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483235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auto"/>
        </w:rPr>
        <w:t>SECURITIES AND EXCHANGE COMMISSION</w:t>
      </w: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color w:val="auto"/>
        </w:rPr>
        <w:t>Washington, D.C. 20549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left="180" w:right="199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 the month of March, 2023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Commission file number: 001-37891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AC IMMUNE SA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EPFL Innovation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Building B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1015 Lausanne, Switzerland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 w:line="207" w:lineRule="exact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207010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233045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541655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027" w:right="1440" w:bottom="1440" w:gutter="0" w:footer="0" w:header="0"/>
        </w:sectPr>
      </w:pPr>
    </w:p>
    <w:bookmarkStart w:id="1" w:name="page2"/>
    <w:bookmarkEnd w:id="1"/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 Immune is aware that the Federal Deposit Insurance Corp. (“FDIC”) has taken control of Silicon Valley Bank (“SVB”) due to liquidity concerns. AC Immune holds less than $100,000 on deposit at SVB and otherwise has no exposure to SVB.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614680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60"/>
          </w:cols>
          <w:pgMar w:left="320" w:top="800" w:right="9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40"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AC IMMUNE SA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Andrea Pfeifer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3870960</wp:posOffset>
            </wp:positionH>
            <wp:positionV relativeFrom="paragraph">
              <wp:posOffset>14605</wp:posOffset>
            </wp:positionV>
            <wp:extent cx="3265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1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Andrea Pfeifer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0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Chief Executive Officer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Christopher Roberts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6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58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Roberts</w:t>
            </w:r>
          </w:p>
        </w:tc>
      </w:tr>
      <w:tr>
        <w:trPr>
          <w:trHeight w:val="230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Vice President, Finance and Interim Chief Financial Officer</w:t>
            </w: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10,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528955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796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2023-03-10T17:23:33Z</dcterms:created>
  <dcterms:modified xsi:type="dcterms:W3CDTF">2023-03-10T17:23:33Z</dcterms:modified>
</cp:coreProperties>
</file>