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SECURITIES AND EXCHANGE COMMISSION</w:t>
      </w:r>
    </w:p>
    <w:p>
      <w:pPr>
        <w:jc w:val="center"/>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307" w:lineRule="exact"/>
        <w:rPr>
          <w:sz w:val="24"/>
          <w:szCs w:val="24"/>
          <w:color w:val="auto"/>
        </w:rPr>
      </w:pPr>
    </w:p>
    <w:p>
      <w:pPr>
        <w:jc w:val="center"/>
        <w:ind w:left="40" w:right="59"/>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the month of April, 2022</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Commission file number: 001-37891</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AC IMMUNE SA</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p>
      <w:pPr>
        <w:spacing w:after="0" w:line="196" w:lineRule="exact"/>
        <w:rPr>
          <w:sz w:val="24"/>
          <w:szCs w:val="24"/>
          <w:color w:val="auto"/>
        </w:rPr>
      </w:pPr>
    </w:p>
    <w:p>
      <w:pPr>
        <w:jc w:val="center"/>
        <w:ind w:right="19"/>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p>
      <w:pPr>
        <w:spacing w:after="0" w:line="196" w:lineRule="exact"/>
        <w:rPr>
          <w:sz w:val="24"/>
          <w:szCs w:val="24"/>
          <w:color w:val="auto"/>
        </w:rPr>
      </w:pPr>
    </w:p>
    <w:p>
      <w:pPr>
        <w:jc w:val="center"/>
        <w:ind w:right="19"/>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207010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224155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747395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02" w:right="1440" w:bottom="1440" w:gutter="0" w:footer="0" w:header="0"/>
        </w:sectPr>
      </w:pPr>
    </w:p>
    <w:bookmarkStart w:id="1" w:name="page2"/>
    <w:bookmarkEnd w:id="1"/>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6200"/>
        <w:spacing w:after="0"/>
        <w:tabs>
          <w:tab w:leader="none" w:pos="6640" w:val="left"/>
        </w:tabs>
        <w:rPr>
          <w:sz w:val="20"/>
          <w:szCs w:val="20"/>
          <w:color w:val="auto"/>
        </w:rPr>
      </w:pPr>
      <w:r>
        <w:rPr>
          <w:rFonts w:ascii="Times New Roman" w:cs="Times New Roman" w:eastAsia="Times New Roman" w:hAnsi="Times New Roman"/>
          <w:sz w:val="18"/>
          <w:szCs w:val="18"/>
          <w:color w:val="auto"/>
        </w:rPr>
        <w:t>By:</w:t>
        <w:tab/>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9146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7" w:lineRule="exact"/>
        <w:rPr>
          <w:sz w:val="20"/>
          <w:szCs w:val="20"/>
          <w:color w:val="auto"/>
        </w:rPr>
      </w:pPr>
    </w:p>
    <w:p>
      <w:pPr>
        <w:ind w:left="6660"/>
        <w:spacing w:after="0"/>
        <w:tabs>
          <w:tab w:leader="none" w:pos="73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Andrea Pfeifer</w:t>
      </w:r>
    </w:p>
    <w:p>
      <w:pPr>
        <w:spacing w:after="0" w:line="23" w:lineRule="exact"/>
        <w:rPr>
          <w:sz w:val="20"/>
          <w:szCs w:val="20"/>
          <w:color w:val="auto"/>
        </w:rPr>
      </w:pPr>
    </w:p>
    <w:p>
      <w:pPr>
        <w:ind w:left="66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23" w:lineRule="exact"/>
        <w:rPr>
          <w:sz w:val="20"/>
          <w:szCs w:val="20"/>
          <w:color w:val="auto"/>
        </w:rPr>
      </w:pPr>
    </w:p>
    <w:p>
      <w:pPr>
        <w:ind w:left="6200"/>
        <w:spacing w:after="0"/>
        <w:tabs>
          <w:tab w:leader="none" w:pos="6640" w:val="left"/>
        </w:tabs>
        <w:rPr>
          <w:sz w:val="20"/>
          <w:szCs w:val="20"/>
          <w:color w:val="auto"/>
        </w:rPr>
      </w:pPr>
      <w:r>
        <w:rPr>
          <w:rFonts w:ascii="Times New Roman" w:cs="Times New Roman" w:eastAsia="Times New Roman" w:hAnsi="Times New Roman"/>
          <w:sz w:val="18"/>
          <w:szCs w:val="18"/>
          <w:color w:val="auto"/>
        </w:rPr>
        <w:t>By:</w:t>
        <w:tab/>
        <w:t>/s/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914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7" w:lineRule="exact"/>
        <w:rPr>
          <w:sz w:val="20"/>
          <w:szCs w:val="20"/>
          <w:color w:val="auto"/>
        </w:rPr>
      </w:pPr>
    </w:p>
    <w:p>
      <w:pPr>
        <w:ind w:left="6660"/>
        <w:spacing w:after="0"/>
        <w:tabs>
          <w:tab w:leader="none" w:pos="73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Joerg Hornstein</w:t>
      </w:r>
    </w:p>
    <w:p>
      <w:pPr>
        <w:spacing w:after="0" w:line="23" w:lineRule="exact"/>
        <w:rPr>
          <w:sz w:val="20"/>
          <w:szCs w:val="20"/>
          <w:color w:val="auto"/>
        </w:rPr>
      </w:pPr>
    </w:p>
    <w:p>
      <w:pPr>
        <w:ind w:left="66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00"/>
          </w:cols>
          <w:pgMar w:left="320" w:top="792" w:right="979" w:bottom="1440" w:gutter="0" w:footer="0" w:header="0"/>
        </w:sectPr>
      </w:pPr>
    </w:p>
    <w:bookmarkStart w:id="2" w:name="page3"/>
    <w:bookmarkEnd w:id="2"/>
    <w:p>
      <w:pPr>
        <w:ind w:left="48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17"/>
          <w:szCs w:val="17"/>
          <w:b w:val="1"/>
          <w:bCs w:val="1"/>
          <w:color w:val="auto"/>
        </w:rPr>
        <w:t>Number</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13335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ind w:left="160"/>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Press Release dated April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854710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59"/>
          </w:cols>
          <w:pgMar w:left="400" w:top="792"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1774190" cy="557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7419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9320"/>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AC Immune Reports Changes to Senior Management</w:t>
      </w:r>
    </w:p>
    <w:p>
      <w:pPr>
        <w:spacing w:after="0" w:line="200" w:lineRule="exact"/>
        <w:rPr>
          <w:sz w:val="20"/>
          <w:szCs w:val="20"/>
          <w:color w:val="auto"/>
        </w:rPr>
      </w:pPr>
    </w:p>
    <w:p>
      <w:pPr>
        <w:spacing w:after="0" w:line="215" w:lineRule="exact"/>
        <w:rPr>
          <w:sz w:val="20"/>
          <w:szCs w:val="20"/>
          <w:color w:val="auto"/>
        </w:rPr>
      </w:pPr>
    </w:p>
    <w:p>
      <w:pPr>
        <w:jc w:val="center"/>
        <w:ind w:left="340" w:right="2060"/>
        <w:spacing w:after="0" w:line="451" w:lineRule="auto"/>
        <w:rPr>
          <w:sz w:val="20"/>
          <w:szCs w:val="20"/>
          <w:color w:val="auto"/>
        </w:rPr>
      </w:pPr>
      <w:r>
        <w:rPr>
          <w:rFonts w:ascii="Arial" w:cs="Arial" w:eastAsia="Arial" w:hAnsi="Arial"/>
          <w:sz w:val="20"/>
          <w:szCs w:val="20"/>
          <w:color w:val="auto"/>
        </w:rPr>
        <w:t>Howard Donovan appointed Chief HR Officer, joins executive committee Joerg Hornstein, CFO, will leave to pursue new role Chris Roberts promoted to Vice President, Finance and appointed Interim CFO Julian Snow promoted to Vice President, U.S. Finance &amp; Corporate Development</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auto"/>
        </w:rPr>
        <w:t xml:space="preserve">Lausanne, Switzerland, April 8, 2022 </w:t>
      </w:r>
      <w:r>
        <w:rPr>
          <w:rFonts w:ascii="Arial" w:cs="Arial" w:eastAsia="Arial" w:hAnsi="Arial"/>
          <w:sz w:val="17"/>
          <w:szCs w:val="17"/>
          <w:color w:val="auto"/>
        </w:rPr>
        <w:t>– AC Immune SA (NASDAQ: ACIU), a clinical-stage biopharmaceutical company pioneering precision</w:t>
      </w:r>
      <w:r>
        <w:rPr>
          <w:rFonts w:ascii="Arial" w:cs="Arial" w:eastAsia="Arial" w:hAnsi="Arial"/>
          <w:sz w:val="17"/>
          <w:szCs w:val="17"/>
          <w:b w:val="1"/>
          <w:bCs w:val="1"/>
          <w:color w:val="auto"/>
        </w:rPr>
        <w:t xml:space="preserve"> </w:t>
      </w:r>
      <w:r>
        <w:rPr>
          <w:rFonts w:ascii="Arial" w:cs="Arial" w:eastAsia="Arial" w:hAnsi="Arial"/>
          <w:sz w:val="17"/>
          <w:szCs w:val="17"/>
          <w:color w:val="auto"/>
        </w:rPr>
        <w:t>medicine for neurodegenerative diseases, today announced senior management changes. Howard Donovan will join the Company as Chief HR Officer and be appointed to the Executive Committee. Joerg Hornstein, Chief Financial Officer, will leave in the second half to pursue a new opportunity. Christopher Roberts, Associate Vice President, Finance, was promoted to Vice President, Finance and appointed interim CFO. Julian Snow, Associate Vice President, Financial Reporting, was promoted to Vice President, U.S. Finance &amp; Corporate Development.</w:t>
      </w:r>
    </w:p>
    <w:p>
      <w:pPr>
        <w:spacing w:after="0" w:line="15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Prof. Andrea Pfeifer, Ph.D., CEO of AC Immune SA, commented: </w:t>
      </w:r>
      <w:r>
        <w:rPr>
          <w:rFonts w:ascii="Arial" w:cs="Arial" w:eastAsia="Arial" w:hAnsi="Arial"/>
          <w:sz w:val="18"/>
          <w:szCs w:val="18"/>
          <w:color w:val="auto"/>
        </w:rPr>
        <w:t>“It is with great pleasure that we welcome Howard Donovan to our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Committee and appoint him as Chief HR Officer. His long and successful experience as a leader and senior human resources executive, most recently with the World Economic Forum, will help us to retain and attract the talented staff, who are the true drivers of AC Immune’s value for patients and investors.”</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Dr Pfeifer continued: </w:t>
      </w:r>
      <w:r>
        <w:rPr>
          <w:rFonts w:ascii="Arial" w:cs="Arial" w:eastAsia="Arial" w:hAnsi="Arial"/>
          <w:sz w:val="18"/>
          <w:szCs w:val="18"/>
          <w:color w:val="auto"/>
        </w:rPr>
        <w:t>“I also want to warmly thank Joerg for his impactful contributions over the past five years, culminating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successful acquisition of ACI-7104, a Phase 2-ready Parkinson’s Disease vaccine candidate, from Affiris AG last year. The fact that we can continue seamlessly as he pursues the next stage of his career is a testament to the robust design and rigorous leadership of our finance team. Chris and Julian have proven themselves, each having played an instrumental role in developing and executing our financial strategy and reporting and planning functions, and we are pleased to confidently promote them to assume their new roles and responsibilities. These changes allow us to further develop and optimize our internal HR and finance functions as we continue to build a stronger, more robust AC Immune team.”</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Howard Donovan is an internationally experienced, commercially focused leader who has competencies in all aspects of employee services, well-being, benefit design, international mobility, talent management, operations and HR business partnering. He has been at the World Economic Forum since 2015, where he led People Services and was responsible for global reward, employee experience, people insights, strategic sourcing, new office launches, and business partnering with the Board of Directors across its locations in Switzerland, United States, China, Japan and India. Howard previously worked as the inhouse Global Head of Reward for Puma Energy and prior to that he held senior HR leadership roles with a strong reward focus with multinational companies, including SGS Group and Xerox Corporation.</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color w:val="auto"/>
        </w:rPr>
        <w:t>Chris Roberts, as a member of AC Immune’s finance leadership team, directs the financial operations of the Company, including reporting, treasury, tax, and budgeting. He also leads key finance transformation initiatives including R&amp;D budgeting and automation. He worked as a Senior Manager for Ernst and Young and supported the AC Immune IPO. Over more than ten years at EY he served companies in the UK, San Francisco Bay Area, and Switzerland. During that time, he developed strong competence in SEC reporting, initial and follow-on public offerings (with over $700 million across seven transactions, both foreign and domestic), and he supported companies developing SOX 404 readiness, implementation, and harmonization projects. Chris is a UK Chartered Accountant and holds a Bachelor of Science in Accounting, Auditing and Finance from Lancaster University.</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Julian Snow, as a member of AC Immune’s finance leadership team, leads SEC reporting, including Form 20-F, Form 6-K and other public filings. He leads internal control design in preparation for SOX 404(b) compliance and is the main communication liaison with external auditors and regulators regarding all SEC, PCAOB, IFRS and other audit related matters. As he completed his executive MBA at HEC Lausanne, he made strong contributions on valuations in support of AC Immune licensing and M&amp;A projects. Previously, he worked for seven years as a manager at BDO and holds a Bachelor of Business Administration in Accounting from Emory University’s Goizueta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ind w:left="93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774190" cy="557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774190" cy="557530"/>
                    </a:xfrm>
                    <a:prstGeom prst="rect">
                      <a:avLst/>
                    </a:prstGeom>
                    <a:noFill/>
                  </pic:spPr>
                </pic:pic>
              </a:graphicData>
            </a:graphic>
          </wp:anchor>
        </w:drawing>
        <w:t>PRESS RELEASE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AC Immune SA is clinical-stage biopharmaceutical company that aims to become a global leader in precision medicine for neurodegenerative diseases, including Alzheimer’s disease, Parkinson’s disease, and NeuroOrphan indications driven by misfolded proteins. The Company’s two clinically validated technology platforms, SupraAntigen® and Morphomer®, fuel its broad and diversified pipeline of first- and best-in-class assets, which currently features ten therapeutic and three diagnostic candidates, six of which are currently in clinical trials. AC Immune has a strong track record of securing strategic partnerships with leading global pharmaceutical companies including Genentech, a member of the Roche Group, Eli Lilly and Company, and Janssen Pharmaceuticals, Inc., resulting in substantial non-dilutive funding to</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advance its proprietary programs and &gt;$3 billion in potential milestone payments.</w:t>
      </w:r>
    </w:p>
    <w:p>
      <w:pPr>
        <w:spacing w:after="0" w:line="2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SupraAntigen® is a registered trademark of AC Immune SA in the following territories: AU, EU, CH, GB, JP, RU and SG. Morphomer® is a registered trademark of AC Immune SA in CN, CH, GB, JP, NO and RU.</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44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361"/>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Media Relations</w:t>
            </w:r>
          </w:p>
        </w:tc>
        <w:tc>
          <w:tcPr>
            <w:tcW w:w="4020" w:type="dxa"/>
            <w:vAlign w:val="bottom"/>
            <w:gridSpan w:val="2"/>
          </w:tcPr>
          <w:p>
            <w:pPr>
              <w:ind w:left="900"/>
              <w:spacing w:after="0"/>
              <w:rPr>
                <w:sz w:val="20"/>
                <w:szCs w:val="20"/>
                <w:color w:val="auto"/>
              </w:rPr>
            </w:pPr>
            <w:r>
              <w:rPr>
                <w:rFonts w:ascii="Arial" w:cs="Arial" w:eastAsia="Arial" w:hAnsi="Arial"/>
                <w:sz w:val="18"/>
                <w:szCs w:val="18"/>
                <w:b w:val="1"/>
                <w:bCs w:val="1"/>
                <w:color w:val="auto"/>
              </w:rPr>
              <w:t>Investor Relations</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Saoyuth Nidh</w:t>
            </w:r>
          </w:p>
        </w:tc>
        <w:tc>
          <w:tcPr>
            <w:tcW w:w="40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Gary Waanders, Ph.D., MBA</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AC Immune</w:t>
            </w:r>
          </w:p>
        </w:tc>
        <w:tc>
          <w:tcPr>
            <w:tcW w:w="40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AC Immune</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Phone: +41 21 345 91 34</w:t>
            </w:r>
          </w:p>
        </w:tc>
        <w:tc>
          <w:tcPr>
            <w:tcW w:w="40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Phone: +41 21 345 91 91</w:t>
            </w:r>
          </w:p>
        </w:tc>
      </w:tr>
      <w:tr>
        <w:trPr>
          <w:trHeight w:val="194"/>
        </w:trPr>
        <w:tc>
          <w:tcPr>
            <w:tcW w:w="4280" w:type="dxa"/>
            <w:vAlign w:val="bottom"/>
            <w:gridSpan w:val="3"/>
          </w:tcPr>
          <w:p>
            <w:pPr>
              <w:spacing w:after="0" w:line="195"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saoyuth.nidh@acimmune.com</w:t>
            </w:r>
          </w:p>
        </w:tc>
        <w:tc>
          <w:tcPr>
            <w:tcW w:w="4020" w:type="dxa"/>
            <w:vAlign w:val="bottom"/>
            <w:gridSpan w:val="2"/>
          </w:tcPr>
          <w:p>
            <w:pPr>
              <w:ind w:left="900"/>
              <w:spacing w:after="0" w:line="195" w:lineRule="exact"/>
              <w:rPr>
                <w:sz w:val="20"/>
                <w:szCs w:val="20"/>
                <w:color w:val="auto"/>
              </w:rPr>
            </w:pPr>
            <w:r>
              <w:rPr>
                <w:rFonts w:ascii="Arial" w:cs="Arial" w:eastAsia="Arial" w:hAnsi="Arial"/>
                <w:sz w:val="18"/>
                <w:szCs w:val="18"/>
                <w:color w:val="auto"/>
                <w:w w:val="98"/>
              </w:rPr>
              <w:t xml:space="preserve">Email: </w:t>
            </w:r>
            <w:r>
              <w:rPr>
                <w:rFonts w:ascii="Arial" w:cs="Arial" w:eastAsia="Arial" w:hAnsi="Arial"/>
                <w:sz w:val="18"/>
                <w:szCs w:val="18"/>
                <w:color w:val="0000FF"/>
                <w:w w:val="98"/>
              </w:rPr>
              <w:t>gary.waanders@acimmune.com</w:t>
            </w:r>
          </w:p>
        </w:tc>
      </w:tr>
      <w:tr>
        <w:trPr>
          <w:trHeight w:val="20"/>
        </w:trPr>
        <w:tc>
          <w:tcPr>
            <w:tcW w:w="56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U.S. Media</w:t>
            </w:r>
          </w:p>
        </w:tc>
        <w:tc>
          <w:tcPr>
            <w:tcW w:w="4740" w:type="dxa"/>
            <w:vAlign w:val="bottom"/>
          </w:tcPr>
          <w:p>
            <w:pPr>
              <w:ind w:left="1980"/>
              <w:spacing w:after="0"/>
              <w:rPr>
                <w:sz w:val="20"/>
                <w:szCs w:val="20"/>
                <w:color w:val="auto"/>
              </w:rPr>
            </w:pPr>
            <w:r>
              <w:rPr>
                <w:rFonts w:ascii="Arial" w:cs="Arial" w:eastAsia="Arial" w:hAnsi="Arial"/>
                <w:sz w:val="18"/>
                <w:szCs w:val="18"/>
                <w:b w:val="1"/>
                <w:bCs w:val="1"/>
                <w:color w:val="auto"/>
              </w:rPr>
              <w:t>U.S. Investors</w:t>
            </w: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Shani Lewis</w:t>
            </w:r>
          </w:p>
        </w:tc>
        <w:tc>
          <w:tcPr>
            <w:tcW w:w="4740" w:type="dxa"/>
            <w:vAlign w:val="bottom"/>
          </w:tcPr>
          <w:p>
            <w:pPr>
              <w:ind w:left="1980"/>
              <w:spacing w:after="0" w:line="202" w:lineRule="exact"/>
              <w:rPr>
                <w:sz w:val="20"/>
                <w:szCs w:val="20"/>
                <w:color w:val="auto"/>
              </w:rPr>
            </w:pPr>
            <w:r>
              <w:rPr>
                <w:rFonts w:ascii="Arial" w:cs="Arial" w:eastAsia="Arial" w:hAnsi="Arial"/>
                <w:sz w:val="18"/>
                <w:szCs w:val="18"/>
                <w:color w:val="auto"/>
              </w:rPr>
              <w:t>Corey Davis, Ph.D.</w:t>
            </w: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LaVoieHealthScience</w:t>
            </w:r>
          </w:p>
        </w:tc>
        <w:tc>
          <w:tcPr>
            <w:tcW w:w="4740" w:type="dxa"/>
            <w:vAlign w:val="bottom"/>
          </w:tcPr>
          <w:p>
            <w:pPr>
              <w:ind w:left="1980"/>
              <w:spacing w:after="0" w:line="202" w:lineRule="exact"/>
              <w:rPr>
                <w:sz w:val="20"/>
                <w:szCs w:val="20"/>
                <w:color w:val="auto"/>
              </w:rPr>
            </w:pPr>
            <w:r>
              <w:rPr>
                <w:rFonts w:ascii="Arial" w:cs="Arial" w:eastAsia="Arial" w:hAnsi="Arial"/>
                <w:sz w:val="18"/>
                <w:szCs w:val="18"/>
                <w:color w:val="auto"/>
              </w:rPr>
              <w:t>LifeSci Advisors</w:t>
            </w: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Phone: +1 609 516 5761</w:t>
            </w:r>
          </w:p>
        </w:tc>
        <w:tc>
          <w:tcPr>
            <w:tcW w:w="4740" w:type="dxa"/>
            <w:vAlign w:val="bottom"/>
          </w:tcPr>
          <w:p>
            <w:pPr>
              <w:ind w:left="1980"/>
              <w:spacing w:after="0" w:line="202" w:lineRule="exact"/>
              <w:rPr>
                <w:sz w:val="20"/>
                <w:szCs w:val="20"/>
                <w:color w:val="auto"/>
              </w:rPr>
            </w:pPr>
            <w:r>
              <w:rPr>
                <w:rFonts w:ascii="Arial" w:cs="Arial" w:eastAsia="Arial" w:hAnsi="Arial"/>
                <w:sz w:val="18"/>
                <w:szCs w:val="18"/>
                <w:color w:val="auto"/>
              </w:rPr>
              <w:t>Phone: +1 212 915 2577</w:t>
            </w:r>
          </w:p>
        </w:tc>
      </w:tr>
      <w:tr>
        <w:trPr>
          <w:trHeight w:val="194"/>
        </w:trPr>
        <w:tc>
          <w:tcPr>
            <w:tcW w:w="3200" w:type="dxa"/>
            <w:vAlign w:val="bottom"/>
            <w:gridSpan w:val="2"/>
          </w:tcPr>
          <w:p>
            <w:pPr>
              <w:spacing w:after="0" w:line="195"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slewis@lavoiehealthscience.com</w:t>
            </w:r>
          </w:p>
        </w:tc>
        <w:tc>
          <w:tcPr>
            <w:tcW w:w="4740" w:type="dxa"/>
            <w:vAlign w:val="bottom"/>
          </w:tcPr>
          <w:p>
            <w:pPr>
              <w:ind w:left="1980"/>
              <w:spacing w:after="0" w:line="195"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cdavis@lifesciadvisors.com</w:t>
            </w:r>
          </w:p>
        </w:tc>
      </w:tr>
      <w:tr>
        <w:trPr>
          <w:trHeight w:val="20"/>
        </w:trPr>
        <w:tc>
          <w:tcPr>
            <w:tcW w:w="56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9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2022-04-08T06:37:53Z</dcterms:created>
  <dcterms:modified xsi:type="dcterms:W3CDTF">2022-04-08T06:37:53Z</dcterms:modified>
</cp:coreProperties>
</file>