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October,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2918460</wp:posOffset>
            </wp:positionH>
            <wp:positionV relativeFrom="paragraph">
              <wp:posOffset>205740</wp:posOffset>
            </wp:positionV>
            <wp:extent cx="114046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0460"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1015 Lausanne, Switzerland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(Address of principal executive office)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45" w:lineRule="exact"/>
        <w:rPr>
          <w:sz w:val="24"/>
          <w:szCs w:val="24"/>
          <w:color w:val="auto"/>
        </w:rPr>
      </w:pPr>
    </w:p>
    <w:p>
      <w:pPr>
        <w:ind w:left="3420"/>
        <w:spacing w:after="0"/>
        <w:tabs>
          <w:tab w:leader="none" w:pos="4780" w:val="left"/>
          <w:tab w:leader="none" w:pos="6020" w:val="left"/>
        </w:tabs>
        <w:rPr>
          <w:sz w:val="20"/>
          <w:szCs w:val="20"/>
          <w:color w:val="auto"/>
        </w:rPr>
      </w:pPr>
      <w:r>
        <w:rPr>
          <w:rFonts w:ascii="Arial" w:cs="Arial" w:eastAsia="Arial" w:hAnsi="Arial"/>
          <w:sz w:val="22"/>
          <w:szCs w:val="22"/>
          <w:color w:val="auto"/>
        </w:rPr>
        <w:t>Form 20-F</w:t>
      </w:r>
      <w:r>
        <w:rPr>
          <w:sz w:val="20"/>
          <w:szCs w:val="20"/>
          <w:color w:val="auto"/>
        </w:rPr>
        <w:tab/>
      </w:r>
      <w:r>
        <w:rPr>
          <w:rFonts w:ascii="Arial" w:cs="Arial" w:eastAsia="Arial" w:hAnsi="Arial"/>
          <w:sz w:val="22"/>
          <w:szCs w:val="22"/>
          <w:color w:val="auto"/>
        </w:rPr>
        <w:t>X</w:t>
      </w:r>
      <w:r>
        <w:rPr>
          <w:sz w:val="20"/>
          <w:szCs w:val="20"/>
          <w:color w:val="auto"/>
        </w:rPr>
        <w:tab/>
      </w:r>
      <w:r>
        <w:rPr>
          <w:rFonts w:ascii="Arial" w:cs="Arial" w:eastAsia="Arial" w:hAnsi="Arial"/>
          <w:sz w:val="19"/>
          <w:szCs w:val="19"/>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2892425</wp:posOffset>
            </wp:positionH>
            <wp:positionV relativeFrom="paragraph">
              <wp:posOffset>7620</wp:posOffset>
            </wp:positionV>
            <wp:extent cx="411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4538980</wp:posOffset>
            </wp:positionH>
            <wp:positionV relativeFrom="paragraph">
              <wp:posOffset>15875</wp:posOffset>
            </wp:positionV>
            <wp:extent cx="403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p>
      <w:pPr>
        <w:spacing w:after="0" w:line="200" w:lineRule="exact"/>
        <w:rPr>
          <w:sz w:val="24"/>
          <w:szCs w:val="24"/>
          <w:color w:val="auto"/>
        </w:rPr>
      </w:pPr>
    </w:p>
    <w:p>
      <w:pPr>
        <w:spacing w:after="0" w:line="243" w:lineRule="exact"/>
        <w:rPr>
          <w:sz w:val="24"/>
          <w:szCs w:val="24"/>
          <w:color w:val="auto"/>
        </w:rPr>
      </w:pPr>
    </w:p>
    <w:p>
      <w:pPr>
        <w:ind w:left="3720"/>
        <w:spacing w:after="0"/>
        <w:tabs>
          <w:tab w:leader="none" w:pos="6360" w:val="left"/>
          <w:tab w:leader="none" w:pos="736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4538980</wp:posOffset>
            </wp:positionH>
            <wp:positionV relativeFrom="paragraph">
              <wp:posOffset>7620</wp:posOffset>
            </wp:positionV>
            <wp:extent cx="403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15875</wp:posOffset>
            </wp:positionV>
            <wp:extent cx="411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p>
      <w:pPr>
        <w:spacing w:after="0" w:line="268" w:lineRule="exact"/>
        <w:rPr>
          <w:sz w:val="24"/>
          <w:szCs w:val="24"/>
          <w:color w:val="auto"/>
        </w:rPr>
      </w:pPr>
    </w:p>
    <w:p>
      <w:pPr>
        <w:ind w:left="3720"/>
        <w:spacing w:after="0"/>
        <w:tabs>
          <w:tab w:leader="none" w:pos="6360" w:val="left"/>
          <w:tab w:leader="none" w:pos="736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4538980</wp:posOffset>
            </wp:positionH>
            <wp:positionV relativeFrom="paragraph">
              <wp:posOffset>7620</wp:posOffset>
            </wp:positionV>
            <wp:extent cx="403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15875</wp:posOffset>
            </wp:positionV>
            <wp:extent cx="411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179070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230505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461645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460" w:top="630"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3"/>
          </w:tcPr>
          <w:p>
            <w:pPr>
              <w:ind w:left="1960"/>
              <w:spacing w:after="0"/>
              <w:rPr>
                <w:sz w:val="20"/>
                <w:szCs w:val="20"/>
                <w:color w:val="auto"/>
              </w:rPr>
            </w:pPr>
            <w:r>
              <w:rPr>
                <w:rFonts w:ascii="Arial" w:cs="Arial" w:eastAsia="Arial" w:hAnsi="Arial"/>
                <w:sz w:val="18"/>
                <w:szCs w:val="18"/>
                <w:b w:val="1"/>
                <w:bCs w:val="1"/>
                <w:color w:val="auto"/>
              </w:rPr>
              <w:t>AC IMMUNE SA</w:t>
            </w:r>
          </w:p>
        </w:tc>
      </w:tr>
      <w:tr>
        <w:trPr>
          <w:trHeight w:val="648"/>
        </w:trPr>
        <w:tc>
          <w:tcPr>
            <w:tcW w:w="3640" w:type="dxa"/>
            <w:vAlign w:val="bottom"/>
          </w:tcPr>
          <w:p>
            <w:pPr>
              <w:spacing w:after="0"/>
              <w:rPr>
                <w:sz w:val="24"/>
                <w:szCs w:val="24"/>
                <w:color w:val="auto"/>
              </w:rPr>
            </w:pP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36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6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36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864"/>
        </w:trPr>
        <w:tc>
          <w:tcPr>
            <w:tcW w:w="3640" w:type="dxa"/>
            <w:vAlign w:val="bottom"/>
          </w:tcPr>
          <w:p>
            <w:pPr>
              <w:spacing w:after="0"/>
              <w:rPr>
                <w:sz w:val="20"/>
                <w:szCs w:val="20"/>
                <w:color w:val="auto"/>
              </w:rPr>
            </w:pPr>
            <w:r>
              <w:rPr>
                <w:rFonts w:ascii="Arial" w:cs="Arial" w:eastAsia="Arial" w:hAnsi="Arial"/>
                <w:sz w:val="18"/>
                <w:szCs w:val="18"/>
                <w:color w:val="auto"/>
              </w:rPr>
              <w:t>Date: October 13, 2016</w:t>
            </w: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Pavey</w:t>
            </w:r>
          </w:p>
        </w:tc>
      </w:tr>
      <w:tr>
        <w:trPr>
          <w:trHeight w:val="195"/>
        </w:trPr>
        <w:tc>
          <w:tcPr>
            <w:tcW w:w="36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60"/>
              <w:spacing w:after="0" w:line="195" w:lineRule="exact"/>
              <w:rPr>
                <w:sz w:val="20"/>
                <w:szCs w:val="20"/>
                <w:color w:val="auto"/>
              </w:rPr>
            </w:pPr>
            <w:r>
              <w:rPr>
                <w:rFonts w:ascii="Arial" w:cs="Arial" w:eastAsia="Arial" w:hAnsi="Arial"/>
                <w:sz w:val="18"/>
                <w:szCs w:val="18"/>
                <w:color w:val="auto"/>
              </w:rPr>
              <w:t>George Pavey</w:t>
            </w:r>
          </w:p>
        </w:tc>
      </w:tr>
      <w:tr>
        <w:trPr>
          <w:trHeight w:val="230"/>
        </w:trPr>
        <w:tc>
          <w:tcPr>
            <w:tcW w:w="36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122"/>
        </w:trPr>
        <w:tc>
          <w:tcPr>
            <w:tcW w:w="364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6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Exhibit Number</w:t>
            </w: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160" w:type="dxa"/>
            <w:vAlign w:val="bottom"/>
          </w:tcPr>
          <w:p>
            <w:pPr>
              <w:spacing w:after="0"/>
              <w:rPr>
                <w:sz w:val="20"/>
                <w:szCs w:val="20"/>
                <w:color w:val="auto"/>
              </w:rPr>
            </w:pPr>
            <w:r>
              <w:rPr>
                <w:rFonts w:ascii="Arial" w:cs="Arial" w:eastAsia="Arial" w:hAnsi="Arial"/>
                <w:sz w:val="18"/>
                <w:szCs w:val="18"/>
                <w:color w:val="auto"/>
              </w:rPr>
              <w:t>Invitation to the Ordinary Shareholders’ Meeting</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160" w:type="dxa"/>
            <w:vAlign w:val="bottom"/>
          </w:tcPr>
          <w:p>
            <w:pPr>
              <w:spacing w:after="0"/>
              <w:rPr>
                <w:sz w:val="20"/>
                <w:szCs w:val="20"/>
                <w:color w:val="auto"/>
              </w:rPr>
            </w:pPr>
            <w:r>
              <w:rPr>
                <w:rFonts w:ascii="Arial" w:cs="Arial" w:eastAsia="Arial" w:hAnsi="Arial"/>
                <w:sz w:val="18"/>
                <w:szCs w:val="18"/>
                <w:color w:val="auto"/>
              </w:rPr>
              <w:t>Instructions on How to Become a Holder of Record</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0160" w:type="dxa"/>
            <w:vAlign w:val="bottom"/>
          </w:tcPr>
          <w:p>
            <w:pPr>
              <w:spacing w:after="0"/>
              <w:rPr>
                <w:sz w:val="20"/>
                <w:szCs w:val="20"/>
                <w:color w:val="auto"/>
              </w:rPr>
            </w:pPr>
            <w:r>
              <w:rPr>
                <w:rFonts w:ascii="Arial" w:cs="Arial" w:eastAsia="Arial" w:hAnsi="Arial"/>
                <w:sz w:val="18"/>
                <w:szCs w:val="18"/>
                <w:color w:val="auto"/>
              </w:rPr>
              <w:t>2016 Annual General Meeting Proxy Card</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0160" w:type="dxa"/>
            <w:vAlign w:val="bottom"/>
          </w:tcPr>
          <w:p>
            <w:pPr>
              <w:spacing w:after="0"/>
              <w:rPr>
                <w:sz w:val="20"/>
                <w:szCs w:val="20"/>
                <w:color w:val="auto"/>
              </w:rPr>
            </w:pPr>
            <w:r>
              <w:rPr>
                <w:rFonts w:ascii="Arial" w:cs="Arial" w:eastAsia="Arial" w:hAnsi="Arial"/>
                <w:sz w:val="18"/>
                <w:szCs w:val="18"/>
                <w:color w:val="auto"/>
              </w:rPr>
              <w:t>Statutory Financial Statements (Swiss CO) 1 January – 31 December 2015</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99.5</w:t>
            </w:r>
          </w:p>
        </w:tc>
        <w:tc>
          <w:tcPr>
            <w:tcW w:w="10160" w:type="dxa"/>
            <w:vAlign w:val="bottom"/>
          </w:tcPr>
          <w:p>
            <w:pPr>
              <w:spacing w:after="0"/>
              <w:rPr>
                <w:sz w:val="20"/>
                <w:szCs w:val="20"/>
                <w:color w:val="auto"/>
              </w:rPr>
            </w:pPr>
            <w:r>
              <w:rPr>
                <w:rFonts w:ascii="Arial" w:cs="Arial" w:eastAsia="Arial" w:hAnsi="Arial"/>
                <w:sz w:val="18"/>
                <w:szCs w:val="18"/>
                <w:color w:val="auto"/>
              </w:rPr>
              <w:t>Report of the Statutory Auditor on the Financial Statements</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99.6</w:t>
            </w:r>
          </w:p>
        </w:tc>
        <w:tc>
          <w:tcPr>
            <w:tcW w:w="10160" w:type="dxa"/>
            <w:vAlign w:val="bottom"/>
          </w:tcPr>
          <w:p>
            <w:pPr>
              <w:spacing w:after="0"/>
              <w:rPr>
                <w:sz w:val="20"/>
                <w:szCs w:val="20"/>
                <w:color w:val="auto"/>
              </w:rPr>
            </w:pPr>
            <w:r>
              <w:rPr>
                <w:rFonts w:ascii="Arial" w:cs="Arial" w:eastAsia="Arial" w:hAnsi="Arial"/>
                <w:sz w:val="18"/>
                <w:szCs w:val="18"/>
                <w:color w:val="auto"/>
              </w:rPr>
              <w:t>Financial Statements (IFRS) as at and for the years ended December 31, 2015 and 2014</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99.7</w:t>
            </w:r>
          </w:p>
        </w:tc>
        <w:tc>
          <w:tcPr>
            <w:tcW w:w="101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99.8</w:t>
            </w:r>
          </w:p>
        </w:tc>
        <w:tc>
          <w:tcPr>
            <w:tcW w:w="10160" w:type="dxa"/>
            <w:vAlign w:val="bottom"/>
          </w:tcPr>
          <w:p>
            <w:pPr>
              <w:spacing w:after="0"/>
              <w:rPr>
                <w:sz w:val="20"/>
                <w:szCs w:val="20"/>
                <w:color w:val="auto"/>
              </w:rPr>
            </w:pPr>
            <w:r>
              <w:rPr>
                <w:rFonts w:ascii="Arial" w:cs="Arial" w:eastAsia="Arial" w:hAnsi="Arial"/>
                <w:sz w:val="18"/>
                <w:szCs w:val="18"/>
                <w:color w:val="auto"/>
              </w:rPr>
              <w:t>2016 Stock Option and Incentive Plan</w:t>
            </w:r>
          </w:p>
        </w:tc>
      </w:tr>
      <w:tr>
        <w:trPr>
          <w:trHeight w:val="1080"/>
        </w:trPr>
        <w:tc>
          <w:tcPr>
            <w:tcW w:w="126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126047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04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Lausanne, 7 October 2016</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77C6"/>
        </w:rPr>
        <w:t>Invitation to the Ordinary Shareholders' Meeting</w:t>
      </w:r>
    </w:p>
    <w:p>
      <w:pPr>
        <w:spacing w:after="0" w:line="19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15 November 2016, at 10.30 Swiss time</w:t>
      </w:r>
    </w:p>
    <w:p>
      <w:pPr>
        <w:spacing w:after="0" w:line="22"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EPFL Innovation Park Building D, ground floor, Uranus Meeting room, 1015 Lausanne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would like to take this opportunity to warmly welcome the investors who recently joined the AC Immune shareholder family, and to thank both new and longstanding shareholders for their commitment to our shared goals.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past 13 years we have been strongly supported by a core group of shareholders. The success of our initial public offering on NASDAQ is testament to the quality of our science and of our people. The IPO has significantly raised our profile with investors globally and the broader shareholder base sets the stage for supporting the exciting next phase of growth and development of AC Immune.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AC Immune we are passionate about making a difference in the lives of people affected by Alzheimer’s and other neurodegenerative diseases. With our pipeline of seven therapeutic and three diagnostic candidates, we believe that we are well-positioned to leverage our expertise in addressing the diseases caused by misfolding proteins.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are grateful for your support in pursuing our mission to become a global leader in personalized treatment of neurodegenerative diseases.</w:t>
      </w:r>
    </w:p>
    <w:p>
      <w:pPr>
        <w:spacing w:after="0"/>
        <w:rPr>
          <w:sz w:val="20"/>
          <w:szCs w:val="20"/>
          <w:color w:val="auto"/>
        </w:rPr>
      </w:pPr>
      <w:r>
        <w:rPr>
          <w:rFonts w:ascii="Arial" w:cs="Arial" w:eastAsia="Arial" w:hAnsi="Arial"/>
          <w:sz w:val="18"/>
          <w:szCs w:val="18"/>
          <w:color w:val="auto"/>
        </w:rPr>
        <w:t>We look forward to welcoming you to the first ordinary annual meeting of AC Immune SA as a public company.</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Kindly find hereafter the agenda items and proposals of the Board of Directors in connection with the first ordinary annual meeting of AC Immune SA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1260475"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60475" cy="274320"/>
                    </a:xfrm>
                    <a:prstGeom prst="rect">
                      <a:avLst/>
                    </a:prstGeom>
                    <a:noFill/>
                  </pic:spPr>
                </pic:pic>
              </a:graphicData>
            </a:graphic>
          </wp:anchor>
        </w:drawing>
        <w:t>Agenda Items and Proposals of the Board of Directors</w:t>
      </w:r>
    </w:p>
    <w:p>
      <w:pPr>
        <w:spacing w:after="0" w:line="198" w:lineRule="exact"/>
        <w:rPr>
          <w:sz w:val="20"/>
          <w:szCs w:val="20"/>
          <w:color w:val="auto"/>
        </w:rPr>
      </w:pPr>
    </w:p>
    <w:p>
      <w:pPr>
        <w:ind w:left="500" w:hanging="492"/>
        <w:spacing w:after="0" w:line="271" w:lineRule="auto"/>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the Annual Report, Annual Financial Statements and Consolidated Financial Statements of AC Immune SA for the year 2015</w:t>
      </w:r>
    </w:p>
    <w:p>
      <w:pPr>
        <w:spacing w:after="0" w:line="162" w:lineRule="exact"/>
        <w:rPr>
          <w:rFonts w:ascii="Arial" w:cs="Arial" w:eastAsia="Arial" w:hAnsi="Arial"/>
          <w:sz w:val="18"/>
          <w:szCs w:val="18"/>
          <w:b w:val="1"/>
          <w:bCs w:val="1"/>
          <w:color w:val="auto"/>
        </w:rPr>
      </w:pPr>
    </w:p>
    <w:p>
      <w:pPr>
        <w:jc w:val="both"/>
        <w:ind w:left="520"/>
        <w:spacing w:after="0"/>
        <w:rPr>
          <w:rFonts w:ascii="Arial" w:cs="Arial" w:eastAsia="Arial" w:hAnsi="Arial"/>
          <w:sz w:val="18"/>
          <w:szCs w:val="18"/>
          <w:b w:val="1"/>
          <w:bCs w:val="1"/>
          <w:color w:val="auto"/>
        </w:rPr>
      </w:pPr>
      <w:r>
        <w:rPr>
          <w:rFonts w:ascii="Arial" w:cs="Arial" w:eastAsia="Arial" w:hAnsi="Arial"/>
          <w:sz w:val="18"/>
          <w:szCs w:val="18"/>
          <w:color w:val="auto"/>
        </w:rPr>
        <w:t>The Board proposes to approve the Annual Report, the Annual Financial Statements and the Consolidated Financial Statements of AC Immune SA under IFRS for the year 2015, and to take note of the Reports of the Auditors. Copies of these documents are available for download in the "Investors" section of our website (www.acimmune.com).</w:t>
      </w:r>
    </w:p>
    <w:p>
      <w:pPr>
        <w:spacing w:after="0" w:line="167" w:lineRule="exact"/>
        <w:rPr>
          <w:rFonts w:ascii="Arial" w:cs="Arial" w:eastAsia="Arial" w:hAnsi="Arial"/>
          <w:sz w:val="18"/>
          <w:szCs w:val="18"/>
          <w:b w:val="1"/>
          <w:bCs w:val="1"/>
          <w:color w:val="auto"/>
        </w:rPr>
      </w:pPr>
    </w:p>
    <w:p>
      <w:pPr>
        <w:ind w:left="500" w:hanging="492"/>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Appropriation of Gain</w:t>
      </w:r>
    </w:p>
    <w:p>
      <w:pPr>
        <w:spacing w:after="0" w:line="220" w:lineRule="exact"/>
        <w:rPr>
          <w:rFonts w:ascii="Arial" w:cs="Arial" w:eastAsia="Arial" w:hAnsi="Arial"/>
          <w:sz w:val="18"/>
          <w:szCs w:val="18"/>
          <w:b w:val="1"/>
          <w:bCs w:val="1"/>
          <w:color w:val="auto"/>
        </w:rPr>
      </w:pPr>
    </w:p>
    <w:p>
      <w:pPr>
        <w:jc w:val="both"/>
        <w:ind w:left="520"/>
        <w:spacing w:after="0"/>
        <w:rPr>
          <w:rFonts w:ascii="Arial" w:cs="Arial" w:eastAsia="Arial" w:hAnsi="Arial"/>
          <w:sz w:val="18"/>
          <w:szCs w:val="18"/>
          <w:b w:val="1"/>
          <w:bCs w:val="1"/>
          <w:color w:val="auto"/>
        </w:rPr>
      </w:pPr>
      <w:r>
        <w:rPr>
          <w:rFonts w:ascii="Arial" w:cs="Arial" w:eastAsia="Arial" w:hAnsi="Arial"/>
          <w:sz w:val="18"/>
          <w:szCs w:val="18"/>
          <w:color w:val="auto"/>
        </w:rPr>
        <w:t>The Board of Directors proposes that the net profit of the year 2015 in the amount of KCHF 20,173 is applied against the loss brought forward of KCHF 45,103 resulting in a reduced new balance of loss brought forward of KCHF 24,930. Under IFRS accounting principles, the net gain for the business year 2015 amounted to KCHF 20,270.</w:t>
      </w:r>
    </w:p>
    <w:p>
      <w:pPr>
        <w:spacing w:after="0" w:line="167" w:lineRule="exact"/>
        <w:rPr>
          <w:rFonts w:ascii="Arial" w:cs="Arial" w:eastAsia="Arial" w:hAnsi="Arial"/>
          <w:sz w:val="18"/>
          <w:szCs w:val="18"/>
          <w:b w:val="1"/>
          <w:bCs w:val="1"/>
          <w:color w:val="auto"/>
        </w:rPr>
      </w:pPr>
    </w:p>
    <w:p>
      <w:pPr>
        <w:ind w:left="500" w:hanging="492"/>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Discharge of the Members of the Board of Directors and the Executive Board</w:t>
      </w:r>
    </w:p>
    <w:p>
      <w:pPr>
        <w:spacing w:after="0" w:line="220" w:lineRule="exact"/>
        <w:rPr>
          <w:rFonts w:ascii="Arial" w:cs="Arial" w:eastAsia="Arial" w:hAnsi="Arial"/>
          <w:sz w:val="18"/>
          <w:szCs w:val="18"/>
          <w:b w:val="1"/>
          <w:bCs w:val="1"/>
          <w:color w:val="auto"/>
        </w:rPr>
      </w:pPr>
    </w:p>
    <w:p>
      <w:pPr>
        <w:ind w:left="52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Board proposes that the members of the Board and the Executive Board are discharged from their liabilities for their activities in the financial year 2015.</w:t>
      </w:r>
    </w:p>
    <w:p>
      <w:pPr>
        <w:spacing w:after="0" w:line="161" w:lineRule="exact"/>
        <w:rPr>
          <w:rFonts w:ascii="Arial" w:cs="Arial" w:eastAsia="Arial" w:hAnsi="Arial"/>
          <w:sz w:val="18"/>
          <w:szCs w:val="18"/>
          <w:b w:val="1"/>
          <w:bCs w:val="1"/>
          <w:color w:val="auto"/>
        </w:rPr>
      </w:pPr>
    </w:p>
    <w:p>
      <w:pPr>
        <w:ind w:left="500" w:hanging="492"/>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for the Members of the Board of Directors and the Executive Committee</w:t>
      </w:r>
    </w:p>
    <w:p>
      <w:pPr>
        <w:spacing w:after="0" w:line="220" w:lineRule="exact"/>
        <w:rPr>
          <w:rFonts w:ascii="Arial" w:cs="Arial" w:eastAsia="Arial" w:hAnsi="Arial"/>
          <w:sz w:val="18"/>
          <w:szCs w:val="18"/>
          <w:b w:val="1"/>
          <w:bCs w:val="1"/>
          <w:color w:val="auto"/>
        </w:rPr>
      </w:pPr>
    </w:p>
    <w:p>
      <w:pPr>
        <w:ind w:left="52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to hold the following separate votes on the non-performance-related and the variable compensation of the Board of Directors and the Executive Committee:</w:t>
      </w:r>
    </w:p>
    <w:p>
      <w:pPr>
        <w:spacing w:after="0" w:line="161"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4.a</w:t>
        <w:tab/>
        <w:t>Vote on Total Non-Performance-Related Compensation for Members of the Board of Directors from 15 November 2016 to</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30 June 2017</w:t>
      </w:r>
    </w:p>
    <w:p>
      <w:pPr>
        <w:spacing w:after="0" w:line="198"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 xml:space="preserve">The Board of Directors proposes that shareholders approve the total maximum amount of non-performance-related compensation for the members of the Board of Directors covering the period from 15 November 2016 to 30 June 2017,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286'080 (cash base compensation plus social security costs).</w:t>
      </w:r>
    </w:p>
    <w:p>
      <w:pPr>
        <w:spacing w:after="0" w:line="167"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4.b</w:t>
      </w:r>
      <w:r>
        <w:rPr>
          <w:sz w:val="20"/>
          <w:szCs w:val="20"/>
          <w:color w:val="auto"/>
        </w:rPr>
        <w:tab/>
      </w:r>
      <w:r>
        <w:rPr>
          <w:rFonts w:ascii="Arial" w:cs="Arial" w:eastAsia="Arial" w:hAnsi="Arial"/>
          <w:sz w:val="17"/>
          <w:szCs w:val="17"/>
          <w:b w:val="1"/>
          <w:bCs w:val="1"/>
          <w:color w:val="auto"/>
        </w:rPr>
        <w:t>Vote on Equity for Members of the Board of Directors</w:t>
      </w:r>
    </w:p>
    <w:p>
      <w:pPr>
        <w:spacing w:after="0" w:line="220"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The Board of Directors proposes that shareholders approve the maximum grant of equity or equity linked instruments for the members of the Board of Directors from 15 November 2016 to 30 June 2017 with maximum value of CHF 460'000 (equity value plus social security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32" w:right="239" w:bottom="1440" w:gutter="0" w:footer="0" w:header="0"/>
        </w:sectPr>
      </w:pPr>
    </w:p>
    <w:bookmarkStart w:id="5" w:name="page6"/>
    <w:bookmarkEnd w:id="5"/>
    <w:p>
      <w:pPr>
        <w:ind w:left="1000" w:right="20" w:hanging="499"/>
        <w:spacing w:after="0" w:line="271" w:lineRule="auto"/>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1260475"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60475" cy="274320"/>
                    </a:xfrm>
                    <a:prstGeom prst="rect">
                      <a:avLst/>
                    </a:prstGeom>
                    <a:noFill/>
                  </pic:spPr>
                </pic:pic>
              </a:graphicData>
            </a:graphic>
          </wp:anchor>
        </w:drawing>
        <w:t>4.c</w:t>
        <w:tab/>
        <w:t>Vote on Total Non-Performance-Related Compensation for Members of the Executive Committee from 15 November 2016 to 30 June 2017</w:t>
      </w:r>
    </w:p>
    <w:p>
      <w:pPr>
        <w:spacing w:after="0" w:line="162"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 xml:space="preserve">The Board of Directors proposes that shareholders approve the total maximum amount of non-performance-related cash compensation for the members of the Executive Committee from 15 November 2016 to 30 June 2017,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836'790 (cash base compensation plus social security costs).</w:t>
      </w:r>
    </w:p>
    <w:p>
      <w:pPr>
        <w:spacing w:after="0" w:line="167"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4.d</w:t>
      </w:r>
      <w:r>
        <w:rPr>
          <w:sz w:val="20"/>
          <w:szCs w:val="20"/>
          <w:color w:val="auto"/>
        </w:rPr>
        <w:tab/>
      </w:r>
      <w:r>
        <w:rPr>
          <w:rFonts w:ascii="Arial" w:cs="Arial" w:eastAsia="Arial" w:hAnsi="Arial"/>
          <w:sz w:val="17"/>
          <w:szCs w:val="17"/>
          <w:b w:val="1"/>
          <w:bCs w:val="1"/>
          <w:color w:val="auto"/>
        </w:rPr>
        <w:t>Vote on Total Variable Compensation for Members of the Executive Committee for the current year 2016</w:t>
      </w:r>
    </w:p>
    <w:p>
      <w:pPr>
        <w:spacing w:after="0" w:line="220" w:lineRule="exact"/>
        <w:rPr>
          <w:sz w:val="20"/>
          <w:szCs w:val="20"/>
          <w:color w:val="auto"/>
        </w:rPr>
      </w:pPr>
    </w:p>
    <w:p>
      <w:pPr>
        <w:jc w:val="both"/>
        <w:ind w:left="1020" w:right="20"/>
        <w:spacing w:after="0" w:line="246" w:lineRule="auto"/>
        <w:rPr>
          <w:sz w:val="20"/>
          <w:szCs w:val="20"/>
          <w:color w:val="auto"/>
        </w:rPr>
      </w:pPr>
      <w:r>
        <w:rPr>
          <w:rFonts w:ascii="Arial" w:cs="Arial" w:eastAsia="Arial" w:hAnsi="Arial"/>
          <w:sz w:val="18"/>
          <w:szCs w:val="18"/>
          <w:color w:val="auto"/>
        </w:rPr>
        <w:t xml:space="preserve">The Board of Directors proposes that shareholders approve the total maximum amount of variable compensation for the members of the Executive Committee for the current year 2016,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667’000 (cash compensation plus social security costs).</w:t>
      </w:r>
    </w:p>
    <w:p>
      <w:pPr>
        <w:spacing w:after="0" w:line="161"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4.e</w:t>
      </w:r>
      <w:r>
        <w:rPr>
          <w:sz w:val="20"/>
          <w:szCs w:val="20"/>
          <w:color w:val="auto"/>
        </w:rPr>
        <w:tab/>
      </w:r>
      <w:r>
        <w:rPr>
          <w:rFonts w:ascii="Arial" w:cs="Arial" w:eastAsia="Arial" w:hAnsi="Arial"/>
          <w:sz w:val="17"/>
          <w:szCs w:val="17"/>
          <w:b w:val="1"/>
          <w:bCs w:val="1"/>
          <w:color w:val="auto"/>
        </w:rPr>
        <w:t>Vote on Equity for Members of the Executive Committee</w:t>
      </w:r>
    </w:p>
    <w:p>
      <w:pPr>
        <w:spacing w:after="0" w:line="220" w:lineRule="exact"/>
        <w:rPr>
          <w:sz w:val="20"/>
          <w:szCs w:val="20"/>
          <w:color w:val="auto"/>
        </w:rPr>
      </w:pPr>
    </w:p>
    <w:p>
      <w:pPr>
        <w:jc w:val="both"/>
        <w:ind w:left="1020" w:right="20"/>
        <w:spacing w:after="0" w:line="246" w:lineRule="auto"/>
        <w:rPr>
          <w:sz w:val="20"/>
          <w:szCs w:val="20"/>
          <w:color w:val="auto"/>
        </w:rPr>
      </w:pPr>
      <w:r>
        <w:rPr>
          <w:rFonts w:ascii="Arial" w:cs="Arial" w:eastAsia="Arial" w:hAnsi="Arial"/>
          <w:sz w:val="18"/>
          <w:szCs w:val="18"/>
          <w:color w:val="auto"/>
        </w:rPr>
        <w:t xml:space="preserve">The Board of Directors proposes that shareholders approve the maximum of equity or equity linked instruments for the members of the Executive Committee from 15 November 2016 to 30 June 2017,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2'001'000 (equity value plus social security costs).</w:t>
      </w:r>
    </w:p>
    <w:p>
      <w:pPr>
        <w:spacing w:after="0" w:line="16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2016 Stock Option and Incentive Plan</w:t>
      </w:r>
    </w:p>
    <w:p>
      <w:pPr>
        <w:spacing w:after="0" w:line="220" w:lineRule="exact"/>
        <w:rPr>
          <w:rFonts w:ascii="Arial" w:cs="Arial" w:eastAsia="Arial" w:hAnsi="Arial"/>
          <w:sz w:val="18"/>
          <w:szCs w:val="18"/>
          <w:b w:val="1"/>
          <w:bCs w:val="1"/>
          <w:color w:val="auto"/>
        </w:rPr>
      </w:pPr>
    </w:p>
    <w:p>
      <w:pPr>
        <w:jc w:val="both"/>
        <w:ind w:left="520" w:right="20"/>
        <w:spacing w:after="0"/>
        <w:rPr>
          <w:rFonts w:ascii="Arial" w:cs="Arial" w:eastAsia="Arial" w:hAnsi="Arial"/>
          <w:sz w:val="18"/>
          <w:szCs w:val="18"/>
          <w:b w:val="1"/>
          <w:bCs w:val="1"/>
          <w:color w:val="auto"/>
        </w:rPr>
      </w:pPr>
      <w:r>
        <w:rPr>
          <w:rFonts w:ascii="Arial" w:cs="Arial" w:eastAsia="Arial" w:hAnsi="Arial"/>
          <w:sz w:val="18"/>
          <w:szCs w:val="18"/>
          <w:color w:val="auto"/>
        </w:rPr>
        <w:t>The Board proposes to approve the 2016 Stock Option and Incentive Plan including a maximum of 2'057'740 options for common shares under the 2016 Stock Option and Incentive Plan. Copies of the 2016 Stock Option and Incentive Plan are available for download in the "Investors" section of our website (www.acimmune.com).</w:t>
      </w:r>
    </w:p>
    <w:p>
      <w:pPr>
        <w:spacing w:after="0" w:line="167" w:lineRule="exact"/>
        <w:rPr>
          <w:rFonts w:ascii="Arial" w:cs="Arial" w:eastAsia="Arial" w:hAnsi="Arial"/>
          <w:sz w:val="18"/>
          <w:szCs w:val="18"/>
          <w:b w:val="1"/>
          <w:bCs w:val="1"/>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the Members of the Board</w:t>
      </w:r>
    </w:p>
    <w:p>
      <w:pPr>
        <w:spacing w:after="0" w:line="220" w:lineRule="exact"/>
        <w:rPr>
          <w:rFonts w:ascii="Arial" w:cs="Arial" w:eastAsia="Arial" w:hAnsi="Arial"/>
          <w:sz w:val="18"/>
          <w:szCs w:val="18"/>
          <w:b w:val="1"/>
          <w:bCs w:val="1"/>
          <w:color w:val="auto"/>
        </w:rPr>
      </w:pPr>
    </w:p>
    <w:p>
      <w:pPr>
        <w:jc w:val="both"/>
        <w:ind w:left="520" w:right="20"/>
        <w:spacing w:after="0"/>
        <w:rPr>
          <w:rFonts w:ascii="Arial" w:cs="Arial" w:eastAsia="Arial" w:hAnsi="Arial"/>
          <w:sz w:val="18"/>
          <w:szCs w:val="18"/>
          <w:b w:val="1"/>
          <w:bCs w:val="1"/>
          <w:color w:val="auto"/>
        </w:rPr>
      </w:pPr>
      <w:r>
        <w:rPr>
          <w:rFonts w:ascii="Arial" w:cs="Arial" w:eastAsia="Arial" w:hAnsi="Arial"/>
          <w:sz w:val="18"/>
          <w:szCs w:val="18"/>
          <w:color w:val="auto"/>
        </w:rPr>
        <w:t>The Board of Directors proposes the re-election of Martin Velasco as member and as Chairman of the Board, Peter Bollmann, Friedrich von Bohlen, Andrea Pfeifer and Detlev Riesner as members of the Board of Directors and the election of Thomas Graney as new member of the Board of Directors, each until the end of the next ordinary General Meeting.</w:t>
      </w:r>
    </w:p>
    <w:p>
      <w:pPr>
        <w:spacing w:after="0" w:line="189" w:lineRule="exact"/>
        <w:rPr>
          <w:rFonts w:ascii="Arial" w:cs="Arial" w:eastAsia="Arial" w:hAnsi="Arial"/>
          <w:sz w:val="18"/>
          <w:szCs w:val="18"/>
          <w:b w:val="1"/>
          <w:bCs w:val="1"/>
          <w:color w:val="auto"/>
        </w:rPr>
      </w:pPr>
    </w:p>
    <w:p>
      <w:pPr>
        <w:jc w:val="both"/>
        <w:ind w:left="5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Mr. Thomas Graney, also known as Tom, has been the Chief Financial Officer and Senior Vice President of Finance &amp; Corporate Strategy at Ironwood Pharmaceuticals, Inc. since 2 September 2014. Prior to Ironwood Pharmaceuticals, Inc, Mr. Graney spent 20 years working with J&amp;J and its affiliates, serving for four years as worldwide vice president of finance and Chief Financial Officer of Ethicon. In addition, Mr. Graney has extensive global experience that spans corporate development, commercial strategy, portfolio management and supply chain management. A Chartered Financial Analyst charterholder, Mr. Graney holds a B.S. in accounting from the University of Delaware and an M.B.A. in Marketing, Finance and International Business from the Leonard N. Stern School of Business at New York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2" w:right="239" w:bottom="1440" w:gutter="0" w:footer="0" w:header="0"/>
        </w:sectPr>
      </w:pPr>
    </w:p>
    <w:bookmarkStart w:id="6" w:name="page7"/>
    <w:bookmarkEnd w:id="6"/>
    <w:p>
      <w:pPr>
        <w:ind w:left="500"/>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1260475"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60475" cy="274320"/>
                    </a:xfrm>
                    <a:prstGeom prst="rect">
                      <a:avLst/>
                    </a:prstGeom>
                    <a:noFill/>
                  </pic:spPr>
                </pic:pic>
              </a:graphicData>
            </a:graphic>
          </wp:anchor>
        </w:drawing>
        <w:t>6.a</w:t>
      </w:r>
      <w:r>
        <w:rPr>
          <w:sz w:val="20"/>
          <w:szCs w:val="20"/>
          <w:color w:val="auto"/>
        </w:rPr>
        <w:tab/>
      </w:r>
      <w:r>
        <w:rPr>
          <w:rFonts w:ascii="Arial" w:cs="Arial" w:eastAsia="Arial" w:hAnsi="Arial"/>
          <w:sz w:val="17"/>
          <w:szCs w:val="17"/>
          <w:b w:val="1"/>
          <w:bCs w:val="1"/>
          <w:color w:val="auto"/>
        </w:rPr>
        <w:t>Re-Election of Martin Velasco as member and Chairman of the Board of Directors</w:t>
      </w:r>
    </w:p>
    <w:p>
      <w:pPr>
        <w:spacing w:after="0" w:line="19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6.b</w:t>
      </w:r>
      <w:r>
        <w:rPr>
          <w:sz w:val="20"/>
          <w:szCs w:val="20"/>
          <w:color w:val="auto"/>
        </w:rPr>
        <w:tab/>
      </w:r>
      <w:r>
        <w:rPr>
          <w:rFonts w:ascii="Arial" w:cs="Arial" w:eastAsia="Arial" w:hAnsi="Arial"/>
          <w:sz w:val="17"/>
          <w:szCs w:val="17"/>
          <w:b w:val="1"/>
          <w:bCs w:val="1"/>
          <w:color w:val="auto"/>
        </w:rPr>
        <w:t>Re-Election of Peter Bollmann</w:t>
      </w:r>
    </w:p>
    <w:p>
      <w:pPr>
        <w:spacing w:after="0" w:line="19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6.c</w:t>
      </w:r>
      <w:r>
        <w:rPr>
          <w:sz w:val="20"/>
          <w:szCs w:val="20"/>
          <w:color w:val="auto"/>
        </w:rPr>
        <w:tab/>
      </w:r>
      <w:r>
        <w:rPr>
          <w:rFonts w:ascii="Arial" w:cs="Arial" w:eastAsia="Arial" w:hAnsi="Arial"/>
          <w:sz w:val="17"/>
          <w:szCs w:val="17"/>
          <w:b w:val="1"/>
          <w:bCs w:val="1"/>
          <w:color w:val="auto"/>
        </w:rPr>
        <w:t>Re-Election of Friedrich von Bohlen</w:t>
      </w:r>
    </w:p>
    <w:p>
      <w:pPr>
        <w:spacing w:after="0" w:line="19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6.d</w:t>
        <w:tab/>
        <w:t>Re-Election of Andrea Pfeifer</w:t>
      </w:r>
    </w:p>
    <w:p>
      <w:pPr>
        <w:spacing w:after="0" w:line="19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6.e</w:t>
        <w:tab/>
        <w:t>Re-Election of Detlev Riesner</w:t>
      </w:r>
    </w:p>
    <w:p>
      <w:pPr>
        <w:spacing w:after="0" w:line="19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6.f</w:t>
      </w:r>
      <w:r>
        <w:rPr>
          <w:sz w:val="20"/>
          <w:szCs w:val="20"/>
          <w:color w:val="auto"/>
        </w:rPr>
        <w:tab/>
      </w:r>
      <w:r>
        <w:rPr>
          <w:rFonts w:ascii="Arial" w:cs="Arial" w:eastAsia="Arial" w:hAnsi="Arial"/>
          <w:sz w:val="17"/>
          <w:szCs w:val="17"/>
          <w:b w:val="1"/>
          <w:bCs w:val="1"/>
          <w:color w:val="auto"/>
        </w:rPr>
        <w:t>Election of Tom Graney</w:t>
      </w:r>
    </w:p>
    <w:p>
      <w:pPr>
        <w:spacing w:after="0" w:line="198"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Election to the Compensation, Nomination &amp; Corporate Governance Committee</w:t>
      </w:r>
    </w:p>
    <w:p>
      <w:pPr>
        <w:spacing w:after="0" w:line="220" w:lineRule="exact"/>
        <w:rPr>
          <w:rFonts w:ascii="Arial" w:cs="Arial" w:eastAsia="Arial" w:hAnsi="Arial"/>
          <w:sz w:val="18"/>
          <w:szCs w:val="18"/>
          <w:b w:val="1"/>
          <w:bCs w:val="1"/>
          <w:color w:val="auto"/>
        </w:rPr>
      </w:pPr>
    </w:p>
    <w:p>
      <w:pPr>
        <w:ind w:left="5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the election of Detlev Riesner, Martin Velasco and Tom Graney as members of the Compensation, Nomination &amp; Corporate Governance Committee, each until the end of the next ordinary General Meeting.</w:t>
      </w:r>
    </w:p>
    <w:p>
      <w:pPr>
        <w:spacing w:after="0" w:line="16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7.a   Election of Detlev Riesner</w:t>
      </w:r>
    </w:p>
    <w:p>
      <w:pPr>
        <w:spacing w:after="0" w:line="1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7.b   Election of Martin Velasco</w:t>
      </w:r>
    </w:p>
    <w:p>
      <w:pPr>
        <w:spacing w:after="0" w:line="1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7.c   Election of Tom Graney</w:t>
      </w:r>
    </w:p>
    <w:p>
      <w:pPr>
        <w:spacing w:after="0" w:line="198" w:lineRule="exact"/>
        <w:rPr>
          <w:rFonts w:ascii="Arial" w:cs="Arial" w:eastAsia="Arial" w:hAnsi="Arial"/>
          <w:sz w:val="18"/>
          <w:szCs w:val="18"/>
          <w:b w:val="1"/>
          <w:bCs w:val="1"/>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Re-Election of the independent proxy</w:t>
      </w:r>
    </w:p>
    <w:p>
      <w:pPr>
        <w:spacing w:after="0" w:line="220" w:lineRule="exact"/>
        <w:rPr>
          <w:rFonts w:ascii="Arial" w:cs="Arial" w:eastAsia="Arial" w:hAnsi="Arial"/>
          <w:sz w:val="18"/>
          <w:szCs w:val="18"/>
          <w:b w:val="1"/>
          <w:bCs w:val="1"/>
          <w:color w:val="auto"/>
        </w:rPr>
      </w:pPr>
    </w:p>
    <w:p>
      <w:pPr>
        <w:ind w:left="5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that Bugnion Ballansat Ehrler, represented by Gérald Virieux, avocat, rue de Rive 6, case postale 3143, CH-1211 Geneva 3 shall be elected as the independent proxy of the Company until the end of the next ordinary General Meeting.</w:t>
      </w:r>
    </w:p>
    <w:p>
      <w:pPr>
        <w:spacing w:after="0" w:line="161" w:lineRule="exact"/>
        <w:rPr>
          <w:rFonts w:ascii="Arial" w:cs="Arial" w:eastAsia="Arial" w:hAnsi="Arial"/>
          <w:sz w:val="18"/>
          <w:szCs w:val="18"/>
          <w:b w:val="1"/>
          <w:bCs w:val="1"/>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Re-Election of the Auditors</w:t>
      </w:r>
    </w:p>
    <w:p>
      <w:pPr>
        <w:spacing w:after="0" w:line="2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Board of Directors proposes to re-elect Ernst &amp; Young SA, in Lancy, for a term of office of one year.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20" w:type="dxa"/>
            <w:vAlign w:val="bottom"/>
            <w:gridSpan w:val="3"/>
          </w:tcPr>
          <w:p>
            <w:pPr>
              <w:spacing w:after="0"/>
              <w:rPr>
                <w:sz w:val="20"/>
                <w:szCs w:val="20"/>
                <w:color w:val="auto"/>
              </w:rPr>
            </w:pPr>
            <w:r>
              <w:rPr>
                <w:rFonts w:ascii="Arial" w:cs="Arial" w:eastAsia="Arial" w:hAnsi="Arial"/>
                <w:sz w:val="18"/>
                <w:szCs w:val="18"/>
                <w:color w:val="auto"/>
              </w:rPr>
              <w:t>For the Board of Directors:</w:t>
            </w:r>
          </w:p>
        </w:tc>
        <w:tc>
          <w:tcPr>
            <w:tcW w:w="3560" w:type="dxa"/>
            <w:vAlign w:val="bottom"/>
          </w:tcPr>
          <w:p>
            <w:pPr>
              <w:spacing w:after="0"/>
              <w:rPr>
                <w:sz w:val="18"/>
                <w:szCs w:val="18"/>
                <w:color w:val="auto"/>
              </w:rPr>
            </w:pPr>
          </w:p>
        </w:tc>
      </w:tr>
      <w:tr>
        <w:trPr>
          <w:trHeight w:val="392"/>
        </w:trPr>
        <w:tc>
          <w:tcPr>
            <w:tcW w:w="4420" w:type="dxa"/>
            <w:vAlign w:val="bottom"/>
            <w:gridSpan w:val="3"/>
          </w:tcPr>
          <w:p>
            <w:pPr>
              <w:spacing w:after="0"/>
              <w:rPr>
                <w:sz w:val="20"/>
                <w:szCs w:val="20"/>
                <w:color w:val="auto"/>
              </w:rPr>
            </w:pPr>
            <w:r>
              <w:rPr>
                <w:rFonts w:ascii="Arial" w:cs="Arial" w:eastAsia="Arial" w:hAnsi="Arial"/>
                <w:sz w:val="18"/>
                <w:szCs w:val="18"/>
                <w:color w:val="auto"/>
              </w:rPr>
              <w:t>/s/ Martin Velasco</w:t>
            </w:r>
          </w:p>
        </w:tc>
        <w:tc>
          <w:tcPr>
            <w:tcW w:w="3560" w:type="dxa"/>
            <w:vAlign w:val="bottom"/>
          </w:tcPr>
          <w:p>
            <w:pPr>
              <w:spacing w:after="0"/>
              <w:rPr>
                <w:sz w:val="20"/>
                <w:szCs w:val="20"/>
                <w:color w:val="auto"/>
              </w:rPr>
            </w:pPr>
            <w:r>
              <w:rPr>
                <w:rFonts w:ascii="Arial" w:cs="Arial" w:eastAsia="Arial" w:hAnsi="Arial"/>
                <w:sz w:val="18"/>
                <w:szCs w:val="18"/>
                <w:color w:val="auto"/>
              </w:rPr>
              <w:t>/s/ Andrea Pfeifer</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Velasco, Chairman</w:t>
            </w:r>
          </w:p>
        </w:tc>
        <w:tc>
          <w:tcPr>
            <w:tcW w:w="340" w:type="dxa"/>
            <w:vAlign w:val="bottom"/>
          </w:tcPr>
          <w:p>
            <w:pPr>
              <w:spacing w:after="0"/>
              <w:rPr>
                <w:sz w:val="18"/>
                <w:szCs w:val="18"/>
                <w:color w:val="auto"/>
              </w:rPr>
            </w:pPr>
          </w:p>
        </w:tc>
        <w:tc>
          <w:tcPr>
            <w:tcW w:w="3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Andrea Pfeifer,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3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126047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60475" cy="274320"/>
                    </a:xfrm>
                    <a:prstGeom prst="rect">
                      <a:avLst/>
                    </a:prstGeom>
                    <a:noFill/>
                  </pic:spPr>
                </pic:pic>
              </a:graphicData>
            </a:graphic>
          </wp:anchor>
        </w:drawing>
        <w:t>Organizational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Financial Statements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Financial Statements (statutory accounts) and the IFRS Financial Statements for the year 2015 as well as the corresponding Auditor's reports are available for download in the "Investors" section of our website (www.acimmune.com).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Invitation and Attendance</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Shareholders registered in the share register maintained by our transfer agent, Computershare Trust Company N.A. at 5:00 pm Eastern Standard Time ("EST") / 11:00 pm Swiss time on 28 September 2016 are entitled to participate in and vote at the Annual General Meeting. On 13 October 2016, the invitation and proxy form will be mailed to all holders of record as at 28 September 2016 at 5:00 pm EST / 11:00 pm Swiss time. The invitation is available for download in the "Investors" section of our website (www.acimmune.com).</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If you wish to attend the Annual General Meeting in person, you will be required to present the enclosed proxy form and a valid government issued proof of identification.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Representation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record, who do not attend the Annual General Meeting in person, may:</w:t>
      </w:r>
    </w:p>
    <w:p>
      <w:pPr>
        <w:spacing w:after="0" w:line="198" w:lineRule="exact"/>
        <w:rPr>
          <w:sz w:val="20"/>
          <w:szCs w:val="20"/>
          <w:color w:val="auto"/>
        </w:rPr>
      </w:pPr>
    </w:p>
    <w:p>
      <w:pPr>
        <w:ind w:firstLine="8"/>
        <w:spacing w:after="0" w:line="246" w:lineRule="auto"/>
        <w:tabs>
          <w:tab w:leader="none" w:pos="274"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 a proxy to the independent proxy, Bugnion Ballansat Ehrler, represented by Gérald Virieux, avocat, rue de Rive 6, case postale 3143, CH-1211 Geneva 3 in writing or electronically; or</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 a proxy in writing to another shareholder or other third party.</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Proxies to the independent proxy must be received by our transfer agent, Computershare Trust Company N.A. by 12:00 pm EST / 6:00 pm Swiss time on 10 November 2016. Proxies received after such time will not be considered.</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login information for electronic instructions is set forth on the proxy form. Electronic instructions must be received no later than 11:59 pm EST on 10 November 2016 / 5:59 am Swiss time on 11 November 2016.</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Shareholders that have granted a proxy to the independent proxy, in writing or electronically, may not vote their shares at the Annual General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Registration as Shareholder with Voting Rights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Instructions on how a "street name" holder may become a holder of record are available in the "Investors" section of our website (www.acimmune.com). Between 5:00 pm EST / 11:00 pm Swiss time on 28 September 2016 and 12:00 pm EST / 6:00 pm Swiss time on 15 November 2016, no new shareholder will be registered for voting purposes. Computershare Trust Company N.A. will continue to register transfers of shares in the share register in its capacity as transfer agent.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Trading Restrictions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registration of shareholders for voting purposes does not impact trading of AC Immune shares held by registered shareholders before, during or after the Annual General Meeting. Shareholders selling their shares in AC Immune prior to the meeting are excluded from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32"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600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Lausanne, 11 October 2016</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77C6"/>
        </w:rPr>
        <w:t>Instructions on how to become a holder of record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These instructions do not apply to existing holders of record as of 28 September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You already qualify as a holder of record as of 28 September 2016 with respect to all your shareholding in AC Immune SA if:</w:t>
      </w:r>
    </w:p>
    <w:p>
      <w:pPr>
        <w:spacing w:after="0" w:line="198"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you were shareholder of AC Immune SA prior to our initial public offering; </w:t>
      </w:r>
      <w:r>
        <w:rPr>
          <w:rFonts w:ascii="Arial" w:cs="Arial" w:eastAsia="Arial" w:hAnsi="Arial"/>
          <w:sz w:val="18"/>
          <w:szCs w:val="18"/>
          <w:u w:val="single" w:color="auto"/>
          <w:color w:val="auto"/>
        </w:rPr>
        <w:t>and</w:t>
      </w:r>
    </w:p>
    <w:p>
      <w:pPr>
        <w:spacing w:after="0" w:line="198"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did not purchase any additional shares in AC Immune SA during our initial public offering.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an individual holder of record, you may attend and vote at our annual general meeting in person or by proxy.</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corporate holder of record (corporations or other entities), you may have your duly authorized representatives attend and vote at our annual general meeting in person or by proxy.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please review the "</w:t>
      </w:r>
      <w:r>
        <w:rPr>
          <w:rFonts w:ascii="Arial" w:cs="Arial" w:eastAsia="Arial" w:hAnsi="Arial"/>
          <w:sz w:val="18"/>
          <w:szCs w:val="18"/>
          <w:i w:val="1"/>
          <w:iCs w:val="1"/>
          <w:color w:val="auto"/>
        </w:rPr>
        <w:t>Invitation to the ordinary shareholders' meeting</w:t>
      </w:r>
      <w:r>
        <w:rPr>
          <w:rFonts w:ascii="Arial" w:cs="Arial" w:eastAsia="Arial" w:hAnsi="Arial"/>
          <w:sz w:val="18"/>
          <w:szCs w:val="18"/>
          <w:color w:val="auto"/>
        </w:rPr>
        <w:t>" and the "</w:t>
      </w:r>
      <w:r>
        <w:rPr>
          <w:rFonts w:ascii="Arial" w:cs="Arial" w:eastAsia="Arial" w:hAnsi="Arial"/>
          <w:sz w:val="18"/>
          <w:szCs w:val="18"/>
          <w:i w:val="1"/>
          <w:iCs w:val="1"/>
          <w:color w:val="auto"/>
        </w:rPr>
        <w:t>Annual General Meeting Proxy Card</w:t>
      </w:r>
      <w:r>
        <w:rPr>
          <w:rFonts w:ascii="Arial" w:cs="Arial" w:eastAsia="Arial" w:hAnsi="Arial"/>
          <w:sz w:val="18"/>
          <w:szCs w:val="18"/>
          <w:color w:val="auto"/>
        </w:rPr>
        <w: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 for shareholders who want to become holders of record</w:t>
      </w:r>
    </w:p>
    <w:p>
      <w:pPr>
        <w:spacing w:after="0" w:line="22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If you purchased shares in AC Immune SA during our initial public offering, your shares are currently registered in the name of a bank or brokerage firm (acting as your record holder). You will receive instructions from your record holder in order for your record holder to vote your shares per your instructions.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encourage you to contact your record holder to commence the process to become a registered holder as at the record date of 28 September 2016. Alternatively, you may directly contact AC Immune SA to request a guest card to attend our annual general meeting. You will need to provide us with evidence of ownership of your shares in AC Immune SA to be entitled to vote your shares at our annual general meeting.</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Please send your written request along with evidence of ownership of your shares in AC Immune SA by regular mail or email at the following address: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 Immune SA</w:t>
      </w:r>
    </w:p>
    <w:p>
      <w:pPr>
        <w:ind w:left="520"/>
        <w:spacing w:after="0" w:line="234" w:lineRule="auto"/>
        <w:rPr>
          <w:sz w:val="20"/>
          <w:szCs w:val="20"/>
          <w:color w:val="auto"/>
        </w:rPr>
      </w:pPr>
      <w:r>
        <w:rPr>
          <w:rFonts w:ascii="Arial" w:cs="Arial" w:eastAsia="Arial" w:hAnsi="Arial"/>
          <w:sz w:val="18"/>
          <w:szCs w:val="18"/>
          <w:color w:val="auto"/>
        </w:rPr>
        <w:t>Attn. Jean-Fabien Monin, Chief Administrative Officer</w:t>
      </w:r>
    </w:p>
    <w:p>
      <w:pPr>
        <w:ind w:left="520"/>
        <w:spacing w:after="0" w:line="235" w:lineRule="auto"/>
        <w:rPr>
          <w:sz w:val="20"/>
          <w:szCs w:val="20"/>
          <w:color w:val="auto"/>
        </w:rPr>
      </w:pPr>
      <w:r>
        <w:rPr>
          <w:rFonts w:ascii="Arial" w:cs="Arial" w:eastAsia="Arial" w:hAnsi="Arial"/>
          <w:sz w:val="18"/>
          <w:szCs w:val="18"/>
          <w:color w:val="auto"/>
        </w:rPr>
        <w:t>EPFL Innovation Park</w:t>
      </w:r>
    </w:p>
    <w:p>
      <w:pPr>
        <w:ind w:left="520"/>
        <w:spacing w:after="0" w:line="235" w:lineRule="auto"/>
        <w:rPr>
          <w:sz w:val="20"/>
          <w:szCs w:val="20"/>
          <w:color w:val="auto"/>
        </w:rPr>
      </w:pPr>
      <w:r>
        <w:rPr>
          <w:rFonts w:ascii="Arial" w:cs="Arial" w:eastAsia="Arial" w:hAnsi="Arial"/>
          <w:sz w:val="18"/>
          <w:szCs w:val="18"/>
          <w:color w:val="auto"/>
        </w:rPr>
        <w:t>Building B</w:t>
      </w:r>
    </w:p>
    <w:p>
      <w:pPr>
        <w:ind w:left="520"/>
        <w:spacing w:after="0" w:line="235" w:lineRule="auto"/>
        <w:rPr>
          <w:sz w:val="20"/>
          <w:szCs w:val="20"/>
          <w:color w:val="auto"/>
        </w:rPr>
      </w:pPr>
      <w:r>
        <w:rPr>
          <w:rFonts w:ascii="Arial" w:cs="Arial" w:eastAsia="Arial" w:hAnsi="Arial"/>
          <w:sz w:val="18"/>
          <w:szCs w:val="18"/>
          <w:color w:val="auto"/>
        </w:rPr>
        <w:t>CH-1015 Lausanne</w:t>
      </w:r>
    </w:p>
    <w:p>
      <w:pPr>
        <w:ind w:left="520"/>
        <w:spacing w:after="0" w:line="235" w:lineRule="auto"/>
        <w:rPr>
          <w:sz w:val="20"/>
          <w:szCs w:val="20"/>
          <w:color w:val="auto"/>
        </w:rPr>
      </w:pPr>
      <w:r>
        <w:rPr>
          <w:rFonts w:ascii="Arial" w:cs="Arial" w:eastAsia="Arial" w:hAnsi="Arial"/>
          <w:sz w:val="18"/>
          <w:szCs w:val="18"/>
          <w:color w:val="auto"/>
        </w:rPr>
        <w:t>Switzerland</w:t>
      </w:r>
    </w:p>
    <w:p>
      <w:pPr>
        <w:ind w:left="520"/>
        <w:spacing w:after="0"/>
        <w:rPr>
          <w:sz w:val="20"/>
          <w:szCs w:val="20"/>
          <w:color w:val="auto"/>
        </w:rPr>
      </w:pPr>
      <w:r>
        <w:rPr>
          <w:rFonts w:ascii="Arial" w:cs="Arial" w:eastAsia="Arial" w:hAnsi="Arial"/>
          <w:sz w:val="18"/>
          <w:szCs w:val="18"/>
          <w:color w:val="auto"/>
        </w:rPr>
        <w:t>E-mail: jean-fabien.monin@acimmune.com</w:t>
      </w:r>
    </w:p>
    <w:p>
      <w:pPr>
        <w:spacing w:after="0" w:line="200" w:lineRule="exact"/>
        <w:rPr>
          <w:sz w:val="20"/>
          <w:szCs w:val="20"/>
          <w:color w:val="auto"/>
        </w:rPr>
      </w:pPr>
    </w:p>
    <w:p>
      <w:pPr>
        <w:spacing w:after="0" w:line="201" w:lineRule="exact"/>
        <w:rPr>
          <w:sz w:val="20"/>
          <w:szCs w:val="20"/>
          <w:color w:val="auto"/>
        </w:rPr>
      </w:pPr>
    </w:p>
    <w:p>
      <w:pPr>
        <w:jc w:val="center"/>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520"/>
        <w:spacing w:after="0"/>
        <w:rPr>
          <w:sz w:val="20"/>
          <w:szCs w:val="20"/>
          <w:color w:val="auto"/>
        </w:rPr>
      </w:pPr>
      <w:r>
        <w:rPr>
          <w:rFonts w:ascii="Arial" w:cs="Arial" w:eastAsia="Arial" w:hAnsi="Arial"/>
          <w:sz w:val="25"/>
          <w:szCs w:val="25"/>
          <w:b w:val="1"/>
          <w:bCs w:val="1"/>
          <w:color w:val="auto"/>
        </w:rPr>
        <w:t>Admission Ticket</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3129915"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29915" cy="197485"/>
                    </a:xfrm>
                    <a:prstGeom prst="rect">
                      <a:avLst/>
                    </a:prstGeom>
                    <a:noFill/>
                  </pic:spPr>
                </pic:pic>
              </a:graphicData>
            </a:graphic>
          </wp:anchor>
        </w:drawing>
      </w:r>
    </w:p>
    <w:p>
      <w:pPr>
        <w:spacing w:after="0" w:line="330"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IMPORTANT ANNUAL GENERAL MEETING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520"/>
        <w:spacing w:after="0"/>
        <w:rPr>
          <w:sz w:val="20"/>
          <w:szCs w:val="20"/>
          <w:color w:val="auto"/>
        </w:rPr>
      </w:pPr>
      <w:r>
        <w:rPr>
          <w:rFonts w:ascii="Arial" w:cs="Arial" w:eastAsia="Arial" w:hAnsi="Arial"/>
          <w:sz w:val="22"/>
          <w:szCs w:val="22"/>
          <w:b w:val="1"/>
          <w:bCs w:val="1"/>
          <w:color w:val="auto"/>
        </w:rPr>
        <w:t>Electronic Voting Instructions</w:t>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204"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Instead of mailing your proxy, you may choose the voting method outlined</w:t>
      </w:r>
    </w:p>
    <w:p>
      <w:pPr>
        <w:spacing w:after="0" w:line="1"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below to vote your proxy.</w:t>
      </w:r>
    </w:p>
    <w:p>
      <w:pPr>
        <w:spacing w:after="0" w:line="163"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VALIDATION DETAILS ARE LOCATED BELOW IN THE TITLE BAR.</w:t>
      </w:r>
    </w:p>
    <w:p>
      <w:pPr>
        <w:spacing w:after="0" w:line="145"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Proxies submitted by the Internet must be received by 11:59 p.m.,</w:t>
      </w:r>
    </w:p>
    <w:p>
      <w:pPr>
        <w:spacing w:after="0" w:line="19"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Eastern Time, on November 10, 2016.</w:t>
      </w:r>
    </w:p>
    <w:p>
      <w:pPr>
        <w:spacing w:after="0" w:line="136"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Vote by Internet</w:t>
      </w:r>
    </w:p>
    <w:p>
      <w:pPr>
        <w:spacing w:after="0" w:line="208"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www.investorvote.com/ACIU</w:t>
      </w:r>
    </w:p>
    <w:p>
      <w:pPr>
        <w:spacing w:after="0" w:line="19"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 Or scan the QR code with your smartphone</w:t>
      </w:r>
    </w:p>
    <w:p>
      <w:pPr>
        <w:spacing w:after="0" w:line="1"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 Follow the steps outlined on the secure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60" w:type="dxa"/>
            <w:vAlign w:val="bottom"/>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420" w:type="dxa"/>
            <w:vAlign w:val="bottom"/>
            <w:vMerge w:val="restart"/>
          </w:tcPr>
          <w:p>
            <w:pPr>
              <w:ind w:left="200"/>
              <w:spacing w:after="0"/>
              <w:rPr>
                <w:sz w:val="20"/>
                <w:szCs w:val="20"/>
                <w:color w:val="auto"/>
              </w:rPr>
            </w:pPr>
            <w:r>
              <w:rPr>
                <w:rFonts w:ascii="Arial" w:cs="Arial" w:eastAsia="Arial" w:hAnsi="Arial"/>
                <w:sz w:val="43"/>
                <w:szCs w:val="43"/>
                <w:color w:val="auto"/>
                <w:w w:val="92"/>
              </w:rPr>
              <w:t>x</w:t>
            </w:r>
          </w:p>
        </w:tc>
        <w:tc>
          <w:tcPr>
            <w:tcW w:w="0" w:type="dxa"/>
            <w:vAlign w:val="bottom"/>
          </w:tcPr>
          <w:p>
            <w:pPr>
              <w:spacing w:after="0"/>
              <w:rPr>
                <w:sz w:val="1"/>
                <w:szCs w:val="1"/>
                <w:color w:val="auto"/>
              </w:rPr>
            </w:pPr>
          </w:p>
        </w:tc>
      </w:tr>
      <w:tr>
        <w:trPr>
          <w:trHeight w:val="355"/>
        </w:trPr>
        <w:tc>
          <w:tcPr>
            <w:tcW w:w="4260" w:type="dxa"/>
            <w:vAlign w:val="bottom"/>
          </w:tcPr>
          <w:p>
            <w:pPr>
              <w:spacing w:after="0"/>
              <w:rPr>
                <w:sz w:val="20"/>
                <w:szCs w:val="20"/>
                <w:color w:val="auto"/>
              </w:rPr>
            </w:pPr>
            <w:r>
              <w:rPr>
                <w:rFonts w:ascii="Arial" w:cs="Arial" w:eastAsia="Arial" w:hAnsi="Arial"/>
                <w:sz w:val="14"/>
                <w:szCs w:val="14"/>
                <w:color w:val="auto"/>
              </w:rPr>
              <w:t>this example. Please do not write outside the designated areas.</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266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General Meeting Proxy Card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auto"/>
        </w:rPr>
        <w:t>IF YOU HAVE NOT VOTED VIA THE INTERNET, FOLD ALONG THE PERFORATION, DETACH AND RETURN THE BOTTOM PORTION IN THE ENCLOSED ENVELOPE</w:t>
      </w:r>
      <w:r>
        <w:rPr>
          <w:rFonts w:ascii="Arial" w:cs="Arial" w:eastAsia="Arial" w:hAnsi="Arial"/>
          <w:sz w:val="22"/>
          <w:szCs w:val="22"/>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306705</wp:posOffset>
            </wp:positionV>
            <wp:extent cx="6431915" cy="4373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31915" cy="437388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b w:val="1"/>
          <w:bCs w:val="1"/>
          <w:color w:val="auto"/>
        </w:rPr>
        <w:t>Admission Card</w:t>
      </w:r>
    </w:p>
    <w:p>
      <w:pPr>
        <w:spacing w:after="0" w:line="24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If you choose to attend the AC Immune SA Annual General Meeting in person, please mark the appropriate box on the Proxy Card, and return it to Computershare in the enclosed postage pre-paid envelope, arriving no later than 12:00 PM Eastern Standard Time on 10 November 2016. In addition, present the admission card at the control offices prior to the meeting. If you hold several admission cards, please present all of them for validation at the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MUST SEPARATE THIS ADMISSION CARD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BEFORE RETURNING THE PROXY CARD IN THE ENCLOSED ENVELOPE.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would like to invite you to the Annual General Meeting of shareholders of AC Immune SA to be held at EPFL Innovation Park Building D, ground floor, Uranus Meeting room, 1015 Lausanne, Switzerland on 15 November 2016, 10:30 AM (local time). Various items are being proposed for approval at the meeting. The agenda and related information are included in the enclosed Invitation to the Annual General Meeting of shareholders of AC Immune SA.</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Your vote is important. Please vote now by proxy so that your shares are represented at the meeting. You can vote your shares via Internet or by marking your choices on this proxy card and then signing, dating and mailing it in the enclosed return envelope. Using this method, you authorize the independent proxy, Bugnion Ballansat Ehrler, represented by Gérald Virieux, avocat, to vote your shares as you specify on the card.</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Alternatively, you may attend the meeting and vote in person, or you may appoint a proxy of your choosing to vote at the meeting for you. If you choose to attend the meeting, or appoint a proxy to attend on your behalf, your shares can only be voted at the meeting. Please direct your written request to Computershare in the enclosed postage pre-paid envelope, arriving no later than 12:00 PM Eastern Standard Time on 10 November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rPr>
          <w:sz w:val="20"/>
          <w:szCs w:val="20"/>
          <w:color w:val="auto"/>
        </w:rPr>
      </w:pPr>
      <w:r>
        <w:rPr>
          <w:rFonts w:ascii="Arial" w:cs="Arial" w:eastAsia="Arial" w:hAnsi="Arial"/>
          <w:sz w:val="18"/>
          <w:szCs w:val="18"/>
          <w:color w:val="auto"/>
        </w:rPr>
        <w:t>AC Immune SA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auto"/>
        </w:rPr>
        <w:t>IF YOU HAVE NOT VOTED VIA THE INTERNET, FOLD ALONG THE PERFORATION, DETACH AND RETURN THE BOTTOM PORTION IN THE ENCLOSED ENVELOPE</w:t>
      </w:r>
      <w:r>
        <w:rPr>
          <w:rFonts w:ascii="Arial" w:cs="Arial" w:eastAsia="Arial" w:hAnsi="Arial"/>
          <w:sz w:val="18"/>
          <w:szCs w:val="18"/>
          <w:color w:val="auto"/>
        </w:rPr>
        <w:t xml:space="preserve"> ‚</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10860" w:type="dxa"/>
            <w:vAlign w:val="bottom"/>
            <w:tcBorders>
              <w:top w:val="single" w:sz="8" w:color="auto"/>
            </w:tcBorders>
            <w:vMerge w:val="restart"/>
          </w:tcPr>
          <w:p>
            <w:pPr>
              <w:spacing w:after="0"/>
              <w:rPr>
                <w:sz w:val="20"/>
                <w:szCs w:val="20"/>
                <w:color w:val="auto"/>
              </w:rPr>
            </w:pPr>
            <w:r>
              <w:rPr>
                <w:rFonts w:ascii="Arial" w:cs="Arial" w:eastAsia="Arial" w:hAnsi="Arial"/>
                <w:sz w:val="25"/>
                <w:szCs w:val="25"/>
                <w:b w:val="1"/>
                <w:bCs w:val="1"/>
                <w:color w:val="auto"/>
              </w:rPr>
              <w:t>Proxy — AC Immune SA</w:t>
            </w:r>
          </w:p>
        </w:tc>
        <w:tc>
          <w:tcPr>
            <w:tcW w:w="560" w:type="dxa"/>
            <w:vAlign w:val="bottom"/>
          </w:tcPr>
          <w:p>
            <w:pPr>
              <w:jc w:val="right"/>
              <w:spacing w:after="0" w:line="404" w:lineRule="exact"/>
              <w:rPr>
                <w:sz w:val="20"/>
                <w:szCs w:val="20"/>
                <w:color w:val="auto"/>
              </w:rPr>
            </w:pPr>
            <w:r>
              <w:rPr>
                <w:rFonts w:ascii="Arial" w:cs="Arial" w:eastAsia="Arial" w:hAnsi="Arial"/>
                <w:sz w:val="46"/>
                <w:szCs w:val="46"/>
                <w:color w:val="auto"/>
              </w:rPr>
              <w:t>+</w:t>
            </w:r>
          </w:p>
        </w:tc>
        <w:tc>
          <w:tcPr>
            <w:tcW w:w="0" w:type="dxa"/>
            <w:vAlign w:val="bottom"/>
          </w:tcPr>
          <w:p>
            <w:pPr>
              <w:spacing w:after="0"/>
              <w:rPr>
                <w:sz w:val="1"/>
                <w:szCs w:val="1"/>
                <w:color w:val="auto"/>
              </w:rPr>
            </w:pPr>
          </w:p>
        </w:tc>
      </w:tr>
      <w:tr>
        <w:trPr>
          <w:trHeight w:val="76"/>
        </w:trPr>
        <w:tc>
          <w:tcPr>
            <w:tcW w:w="108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08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4587875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308610</wp:posOffset>
            </wp:positionV>
            <wp:extent cx="6346190" cy="3670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46190" cy="3670300"/>
                    </a:xfrm>
                    <a:prstGeom prst="rect">
                      <a:avLst/>
                    </a:prstGeom>
                    <a:noFill/>
                  </pic:spPr>
                </pic:pic>
              </a:graphicData>
            </a:graphic>
          </wp:anchor>
        </w:drawing>
      </w:r>
    </w:p>
    <w:p>
      <w:pPr>
        <w:sectPr>
          <w:pgSz w:w="11900" w:h="16838" w:orient="portrait"/>
          <w:cols w:equalWidth="0" w:num="1">
            <w:col w:w="11420"/>
          </w:cols>
          <w:pgMar w:left="240" w:top="81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3822700</wp:posOffset>
            </wp:positionH>
            <wp:positionV relativeFrom="paragraph">
              <wp:posOffset>165735</wp:posOffset>
            </wp:positionV>
            <wp:extent cx="2667000" cy="523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6700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4480" w:hanging="2263"/>
        <w:spacing w:after="0" w:line="287" w:lineRule="auto"/>
        <w:rPr>
          <w:sz w:val="20"/>
          <w:szCs w:val="20"/>
          <w:color w:val="auto"/>
        </w:rPr>
      </w:pPr>
      <w:r>
        <w:rPr>
          <w:rFonts w:ascii="Arial" w:cs="Arial" w:eastAsia="Arial" w:hAnsi="Arial"/>
          <w:sz w:val="39"/>
          <w:szCs w:val="39"/>
          <w:b w:val="1"/>
          <w:bCs w:val="1"/>
          <w:color w:val="auto"/>
        </w:rPr>
        <w:t>Statutory Financial Statements (Swiss CO) 1 January – 31 December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-69215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0"/>
          <w:szCs w:val="20"/>
          <w:color w:val="auto"/>
        </w:rPr>
      </w:pPr>
    </w:p>
    <w:tbl>
      <w:tblPr>
        <w:tblLayout w:type="fixed"/>
        <w:tblInd w:w="5660" w:type="dxa"/>
        <w:tblCellMar>
          <w:top w:w="0" w:type="dxa"/>
          <w:left w:w="0" w:type="dxa"/>
          <w:bottom w:w="0" w:type="dxa"/>
          <w:right w:w="0" w:type="dxa"/>
        </w:tblCellMar>
      </w:tblPr>
      <w:tr>
        <w:trPr>
          <w:trHeight w:val="297"/>
        </w:trPr>
        <w:tc>
          <w:tcPr>
            <w:tcW w:w="2940" w:type="dxa"/>
            <w:vAlign w:val="bottom"/>
          </w:tcPr>
          <w:p>
            <w:pPr>
              <w:spacing w:after="0"/>
              <w:rPr>
                <w:sz w:val="20"/>
                <w:szCs w:val="20"/>
                <w:color w:val="auto"/>
              </w:rPr>
            </w:pPr>
            <w:r>
              <w:rPr>
                <w:rFonts w:ascii="Arial" w:cs="Arial" w:eastAsia="Arial" w:hAnsi="Arial"/>
                <w:sz w:val="25"/>
                <w:szCs w:val="25"/>
                <w:b w:val="1"/>
                <w:bCs w:val="1"/>
                <w:color w:val="auto"/>
              </w:rPr>
              <w:t>Financial</w:t>
            </w:r>
          </w:p>
        </w:tc>
        <w:tc>
          <w:tcPr>
            <w:tcW w:w="1620" w:type="dxa"/>
            <w:vAlign w:val="bottom"/>
          </w:tcPr>
          <w:p>
            <w:pPr>
              <w:jc w:val="right"/>
              <w:spacing w:after="0"/>
              <w:rPr>
                <w:sz w:val="20"/>
                <w:szCs w:val="20"/>
                <w:color w:val="auto"/>
              </w:rPr>
            </w:pPr>
            <w:r>
              <w:rPr>
                <w:rFonts w:ascii="Arial" w:cs="Arial" w:eastAsia="Arial" w:hAnsi="Arial"/>
                <w:sz w:val="25"/>
                <w:szCs w:val="25"/>
                <w:b w:val="1"/>
                <w:bCs w:val="1"/>
                <w:color w:val="auto"/>
              </w:rPr>
              <w:t>2</w:t>
            </w:r>
          </w:p>
        </w:tc>
      </w:tr>
      <w:tr>
        <w:trPr>
          <w:trHeight w:val="297"/>
        </w:trPr>
        <w:tc>
          <w:tcPr>
            <w:tcW w:w="2940" w:type="dxa"/>
            <w:vAlign w:val="bottom"/>
          </w:tcPr>
          <w:p>
            <w:pPr>
              <w:spacing w:after="0"/>
              <w:rPr>
                <w:sz w:val="20"/>
                <w:szCs w:val="20"/>
                <w:color w:val="auto"/>
              </w:rPr>
            </w:pPr>
            <w:r>
              <w:rPr>
                <w:rFonts w:ascii="Arial" w:cs="Arial" w:eastAsia="Arial" w:hAnsi="Arial"/>
                <w:sz w:val="25"/>
                <w:szCs w:val="25"/>
                <w:b w:val="1"/>
                <w:bCs w:val="1"/>
                <w:color w:val="auto"/>
              </w:rPr>
              <w:t>Statements</w:t>
            </w:r>
          </w:p>
        </w:tc>
        <w:tc>
          <w:tcPr>
            <w:tcW w:w="1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Arial" w:cs="Arial" w:eastAsia="Arial" w:hAnsi="Arial"/>
                <w:sz w:val="25"/>
                <w:szCs w:val="25"/>
                <w:b w:val="1"/>
                <w:bCs w:val="1"/>
                <w:color w:val="auto"/>
              </w:rPr>
              <w:t>Notes to the</w:t>
            </w:r>
          </w:p>
        </w:tc>
        <w:tc>
          <w:tcPr>
            <w:tcW w:w="1620" w:type="dxa"/>
            <w:vAlign w:val="bottom"/>
          </w:tcPr>
          <w:p>
            <w:pPr>
              <w:jc w:val="right"/>
              <w:spacing w:after="0"/>
              <w:rPr>
                <w:sz w:val="20"/>
                <w:szCs w:val="20"/>
                <w:color w:val="auto"/>
              </w:rPr>
            </w:pPr>
            <w:r>
              <w:rPr>
                <w:rFonts w:ascii="Arial" w:cs="Arial" w:eastAsia="Arial" w:hAnsi="Arial"/>
                <w:sz w:val="25"/>
                <w:szCs w:val="25"/>
                <w:b w:val="1"/>
                <w:bCs w:val="1"/>
                <w:color w:val="auto"/>
              </w:rPr>
              <w:t>4</w:t>
            </w:r>
          </w:p>
        </w:tc>
      </w:tr>
      <w:tr>
        <w:trPr>
          <w:trHeight w:val="297"/>
        </w:trPr>
        <w:tc>
          <w:tcPr>
            <w:tcW w:w="2940" w:type="dxa"/>
            <w:vAlign w:val="bottom"/>
          </w:tcPr>
          <w:p>
            <w:pPr>
              <w:spacing w:after="0"/>
              <w:rPr>
                <w:sz w:val="20"/>
                <w:szCs w:val="20"/>
                <w:color w:val="auto"/>
              </w:rPr>
            </w:pPr>
            <w:r>
              <w:rPr>
                <w:rFonts w:ascii="Arial" w:cs="Arial" w:eastAsia="Arial" w:hAnsi="Arial"/>
                <w:sz w:val="25"/>
                <w:szCs w:val="25"/>
                <w:b w:val="1"/>
                <w:bCs w:val="1"/>
                <w:color w:val="auto"/>
              </w:rPr>
              <w:t>Financial</w:t>
            </w:r>
          </w:p>
        </w:tc>
        <w:tc>
          <w:tcPr>
            <w:tcW w:w="1620" w:type="dxa"/>
            <w:vAlign w:val="bottom"/>
          </w:tcPr>
          <w:p>
            <w:pPr>
              <w:spacing w:after="0"/>
              <w:rPr>
                <w:sz w:val="24"/>
                <w:szCs w:val="24"/>
                <w:color w:val="auto"/>
              </w:rPr>
            </w:pPr>
          </w:p>
        </w:tc>
      </w:tr>
      <w:tr>
        <w:trPr>
          <w:trHeight w:val="336"/>
        </w:trPr>
        <w:tc>
          <w:tcPr>
            <w:tcW w:w="2940" w:type="dxa"/>
            <w:vAlign w:val="bottom"/>
          </w:tcPr>
          <w:p>
            <w:pPr>
              <w:spacing w:after="0"/>
              <w:rPr>
                <w:sz w:val="20"/>
                <w:szCs w:val="20"/>
                <w:color w:val="auto"/>
              </w:rPr>
            </w:pPr>
            <w:r>
              <w:rPr>
                <w:rFonts w:ascii="Arial" w:cs="Arial" w:eastAsia="Arial" w:hAnsi="Arial"/>
                <w:sz w:val="25"/>
                <w:szCs w:val="25"/>
                <w:b w:val="1"/>
                <w:bCs w:val="1"/>
                <w:color w:val="auto"/>
              </w:rPr>
              <w:t>Statements</w:t>
            </w:r>
          </w:p>
        </w:tc>
        <w:tc>
          <w:tcPr>
            <w:tcW w:w="1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AC Immune SA</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EPFL Innovation Park</w:t>
      </w:r>
    </w:p>
    <w:p>
      <w:pPr>
        <w:jc w:val="right"/>
        <w:spacing w:after="0"/>
        <w:rPr>
          <w:sz w:val="20"/>
          <w:szCs w:val="20"/>
          <w:color w:val="auto"/>
        </w:rPr>
      </w:pPr>
      <w:r>
        <w:rPr>
          <w:rFonts w:ascii="Arial" w:cs="Arial" w:eastAsia="Arial" w:hAnsi="Arial"/>
          <w:sz w:val="18"/>
          <w:szCs w:val="18"/>
          <w:b w:val="1"/>
          <w:bCs w:val="1"/>
          <w:color w:val="auto"/>
        </w:rPr>
        <w:t>1015 Lausanne /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358140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Balance Sheet</w:t>
            </w:r>
          </w:p>
        </w:tc>
        <w:tc>
          <w:tcPr>
            <w:tcW w:w="1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980" w:type="dxa"/>
            <w:vAlign w:val="bottom"/>
            <w:vMerge w:val="restart"/>
          </w:tcPr>
          <w:p>
            <w:pPr>
              <w:jc w:val="center"/>
              <w:ind w:left="510"/>
              <w:spacing w:after="0"/>
              <w:rPr>
                <w:sz w:val="20"/>
                <w:szCs w:val="20"/>
                <w:color w:val="auto"/>
              </w:rPr>
            </w:pPr>
            <w:r>
              <w:rPr>
                <w:rFonts w:ascii="Arial" w:cs="Arial" w:eastAsia="Arial" w:hAnsi="Arial"/>
                <w:sz w:val="18"/>
                <w:szCs w:val="18"/>
                <w:b w:val="1"/>
                <w:bCs w:val="1"/>
                <w:color w:val="auto"/>
                <w:w w:val="99"/>
              </w:rPr>
              <w:t>Notes</w:t>
            </w:r>
          </w:p>
        </w:tc>
        <w:tc>
          <w:tcPr>
            <w:tcW w:w="27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27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2015</w:t>
            </w: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412"/>
        </w:trPr>
        <w:tc>
          <w:tcPr>
            <w:tcW w:w="46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9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6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9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980" w:type="dxa"/>
            <w:vAlign w:val="bottom"/>
          </w:tcPr>
          <w:p>
            <w:pPr>
              <w:jc w:val="center"/>
              <w:ind w:left="510"/>
              <w:spacing w:after="0" w:line="202" w:lineRule="exact"/>
              <w:rPr>
                <w:sz w:val="20"/>
                <w:szCs w:val="20"/>
                <w:color w:val="auto"/>
              </w:rPr>
            </w:pPr>
            <w:r>
              <w:rPr>
                <w:rFonts w:ascii="Arial" w:cs="Arial" w:eastAsia="Arial" w:hAnsi="Arial"/>
                <w:sz w:val="18"/>
                <w:szCs w:val="18"/>
                <w:color w:val="auto"/>
                <w:w w:val="99"/>
              </w:rPr>
              <w:t>5</w:t>
            </w:r>
          </w:p>
        </w:tc>
        <w:tc>
          <w:tcPr>
            <w:tcW w:w="2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76'522</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Trade receivables</w:t>
            </w:r>
          </w:p>
        </w:tc>
        <w:tc>
          <w:tcPr>
            <w:tcW w:w="1980" w:type="dxa"/>
            <w:vAlign w:val="bottom"/>
          </w:tcPr>
          <w:p>
            <w:pPr>
              <w:jc w:val="center"/>
              <w:ind w:left="510"/>
              <w:spacing w:after="0" w:line="202" w:lineRule="exact"/>
              <w:rPr>
                <w:sz w:val="20"/>
                <w:szCs w:val="20"/>
                <w:color w:val="auto"/>
              </w:rPr>
            </w:pPr>
            <w:r>
              <w:rPr>
                <w:rFonts w:ascii="Arial" w:cs="Arial" w:eastAsia="Arial" w:hAnsi="Arial"/>
                <w:sz w:val="18"/>
                <w:szCs w:val="18"/>
                <w:color w:val="auto"/>
                <w:w w:val="99"/>
              </w:rPr>
              <w:t>6</w:t>
            </w:r>
          </w:p>
        </w:tc>
        <w:tc>
          <w:tcPr>
            <w:tcW w:w="2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103</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25'863</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Other receivables</w:t>
            </w:r>
          </w:p>
        </w:tc>
        <w:tc>
          <w:tcPr>
            <w:tcW w:w="19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 Third parties</w:t>
            </w:r>
          </w:p>
        </w:tc>
        <w:tc>
          <w:tcPr>
            <w:tcW w:w="1980" w:type="dxa"/>
            <w:vAlign w:val="bottom"/>
          </w:tcPr>
          <w:p>
            <w:pPr>
              <w:jc w:val="center"/>
              <w:ind w:left="510"/>
              <w:spacing w:after="0" w:line="202" w:lineRule="exact"/>
              <w:rPr>
                <w:sz w:val="20"/>
                <w:szCs w:val="20"/>
                <w:color w:val="auto"/>
              </w:rPr>
            </w:pPr>
            <w:r>
              <w:rPr>
                <w:rFonts w:ascii="Arial" w:cs="Arial" w:eastAsia="Arial" w:hAnsi="Arial"/>
                <w:sz w:val="18"/>
                <w:szCs w:val="18"/>
                <w:color w:val="auto"/>
                <w:w w:val="99"/>
              </w:rPr>
              <w:t>6</w:t>
            </w:r>
          </w:p>
        </w:tc>
        <w:tc>
          <w:tcPr>
            <w:tcW w:w="2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166</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 Short-term Financial receivables</w:t>
            </w:r>
          </w:p>
        </w:tc>
        <w:tc>
          <w:tcPr>
            <w:tcW w:w="1980" w:type="dxa"/>
            <w:vAlign w:val="bottom"/>
          </w:tcPr>
          <w:p>
            <w:pPr>
              <w:jc w:val="center"/>
              <w:ind w:left="510"/>
              <w:spacing w:after="0" w:line="202" w:lineRule="exact"/>
              <w:rPr>
                <w:sz w:val="20"/>
                <w:szCs w:val="20"/>
                <w:color w:val="auto"/>
              </w:rPr>
            </w:pPr>
            <w:r>
              <w:rPr>
                <w:rFonts w:ascii="Arial" w:cs="Arial" w:eastAsia="Arial" w:hAnsi="Arial"/>
                <w:sz w:val="18"/>
                <w:szCs w:val="18"/>
                <w:color w:val="auto"/>
                <w:w w:val="99"/>
              </w:rPr>
              <w:t>6</w:t>
            </w:r>
          </w:p>
        </w:tc>
        <w:tc>
          <w:tcPr>
            <w:tcW w:w="2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20</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Supplies to be used in development activities</w:t>
            </w:r>
          </w:p>
        </w:tc>
        <w:tc>
          <w:tcPr>
            <w:tcW w:w="1980" w:type="dxa"/>
            <w:vAlign w:val="bottom"/>
          </w:tcPr>
          <w:p>
            <w:pPr>
              <w:spacing w:after="0"/>
              <w:rPr>
                <w:sz w:val="17"/>
                <w:szCs w:val="17"/>
                <w:color w:val="auto"/>
              </w:rPr>
            </w:pPr>
          </w:p>
        </w:tc>
        <w:tc>
          <w:tcPr>
            <w:tcW w:w="2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1980" w:type="dxa"/>
            <w:vAlign w:val="bottom"/>
          </w:tcPr>
          <w:p>
            <w:pPr>
              <w:jc w:val="center"/>
              <w:ind w:left="510"/>
              <w:spacing w:after="0" w:line="202" w:lineRule="exact"/>
              <w:rPr>
                <w:sz w:val="20"/>
                <w:szCs w:val="20"/>
                <w:color w:val="auto"/>
              </w:rPr>
            </w:pPr>
            <w:r>
              <w:rPr>
                <w:rFonts w:ascii="Arial" w:cs="Arial" w:eastAsia="Arial" w:hAnsi="Arial"/>
                <w:sz w:val="18"/>
                <w:szCs w:val="18"/>
                <w:color w:val="auto"/>
                <w:w w:val="99"/>
              </w:rPr>
              <w:t>7</w:t>
            </w:r>
          </w:p>
        </w:tc>
        <w:tc>
          <w:tcPr>
            <w:tcW w:w="2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2'508</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3"/>
        </w:trPr>
        <w:tc>
          <w:tcPr>
            <w:tcW w:w="4660" w:type="dxa"/>
            <w:vAlign w:val="bottom"/>
          </w:tcPr>
          <w:p>
            <w:pPr>
              <w:spacing w:after="0" w:line="203" w:lineRule="exact"/>
              <w:rPr>
                <w:sz w:val="20"/>
                <w:szCs w:val="20"/>
                <w:color w:val="auto"/>
              </w:rPr>
            </w:pPr>
            <w:r>
              <w:rPr>
                <w:rFonts w:ascii="Arial" w:cs="Arial" w:eastAsia="Arial" w:hAnsi="Arial"/>
                <w:sz w:val="18"/>
                <w:szCs w:val="18"/>
                <w:color w:val="auto"/>
              </w:rPr>
              <w:t>Accrued Income</w:t>
            </w:r>
          </w:p>
        </w:tc>
        <w:tc>
          <w:tcPr>
            <w:tcW w:w="1980" w:type="dxa"/>
            <w:vAlign w:val="bottom"/>
          </w:tcPr>
          <w:p>
            <w:pPr>
              <w:spacing w:after="0"/>
              <w:rPr>
                <w:sz w:val="17"/>
                <w:szCs w:val="17"/>
                <w:color w:val="auto"/>
              </w:rPr>
            </w:pPr>
          </w:p>
        </w:tc>
        <w:tc>
          <w:tcPr>
            <w:tcW w:w="27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47</w:t>
            </w:r>
          </w:p>
        </w:tc>
        <w:tc>
          <w:tcPr>
            <w:tcW w:w="2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4660" w:type="dxa"/>
            <w:vAlign w:val="bottom"/>
          </w:tcPr>
          <w:p>
            <w:pPr>
              <w:spacing w:after="0" w:line="196" w:lineRule="exact"/>
              <w:rPr>
                <w:sz w:val="20"/>
                <w:szCs w:val="20"/>
                <w:color w:val="auto"/>
              </w:rPr>
            </w:pPr>
            <w:r>
              <w:rPr>
                <w:rFonts w:ascii="Arial" w:cs="Arial" w:eastAsia="Arial" w:hAnsi="Arial"/>
                <w:sz w:val="18"/>
                <w:szCs w:val="18"/>
                <w:b w:val="1"/>
                <w:bCs w:val="1"/>
                <w:color w:val="auto"/>
              </w:rPr>
              <w:t>Total current assets</w:t>
            </w:r>
          </w:p>
        </w:tc>
        <w:tc>
          <w:tcPr>
            <w:tcW w:w="1980" w:type="dxa"/>
            <w:vAlign w:val="bottom"/>
          </w:tcPr>
          <w:p>
            <w:pPr>
              <w:spacing w:after="0"/>
              <w:rPr>
                <w:sz w:val="17"/>
                <w:szCs w:val="17"/>
                <w:color w:val="auto"/>
              </w:rPr>
            </w:pPr>
          </w:p>
        </w:tc>
        <w:tc>
          <w:tcPr>
            <w:tcW w:w="27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79'366</w:t>
            </w: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29'835</w:t>
            </w:r>
          </w:p>
        </w:tc>
        <w:tc>
          <w:tcPr>
            <w:tcW w:w="0" w:type="dxa"/>
            <w:vAlign w:val="bottom"/>
          </w:tcPr>
          <w:p>
            <w:pPr>
              <w:spacing w:after="0"/>
              <w:rPr>
                <w:sz w:val="1"/>
                <w:szCs w:val="1"/>
                <w:color w:val="auto"/>
              </w:rPr>
            </w:pPr>
          </w:p>
        </w:tc>
      </w:tr>
      <w:tr>
        <w:trPr>
          <w:trHeight w:val="398"/>
        </w:trPr>
        <w:tc>
          <w:tcPr>
            <w:tcW w:w="46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9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Long-term financial assets</w:t>
            </w:r>
          </w:p>
        </w:tc>
        <w:tc>
          <w:tcPr>
            <w:tcW w:w="1980" w:type="dxa"/>
            <w:vAlign w:val="bottom"/>
          </w:tcPr>
          <w:p>
            <w:pPr>
              <w:jc w:val="center"/>
              <w:ind w:left="510"/>
              <w:spacing w:after="0" w:line="202" w:lineRule="exact"/>
              <w:rPr>
                <w:sz w:val="20"/>
                <w:szCs w:val="20"/>
                <w:color w:val="auto"/>
              </w:rPr>
            </w:pPr>
            <w:r>
              <w:rPr>
                <w:rFonts w:ascii="Arial" w:cs="Arial" w:eastAsia="Arial" w:hAnsi="Arial"/>
                <w:sz w:val="18"/>
                <w:szCs w:val="18"/>
                <w:color w:val="auto"/>
                <w:w w:val="99"/>
              </w:rPr>
              <w:t>4</w:t>
            </w:r>
          </w:p>
        </w:tc>
        <w:tc>
          <w:tcPr>
            <w:tcW w:w="2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85</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4660" w:type="dxa"/>
            <w:vAlign w:val="bottom"/>
          </w:tcPr>
          <w:p>
            <w:pPr>
              <w:spacing w:after="0" w:line="203" w:lineRule="exact"/>
              <w:rPr>
                <w:sz w:val="20"/>
                <w:szCs w:val="20"/>
                <w:color w:val="auto"/>
              </w:rPr>
            </w:pPr>
            <w:r>
              <w:rPr>
                <w:rFonts w:ascii="Arial" w:cs="Arial" w:eastAsia="Arial" w:hAnsi="Arial"/>
                <w:sz w:val="18"/>
                <w:szCs w:val="18"/>
                <w:color w:val="auto"/>
              </w:rPr>
              <w:t>Property, plant and equipment - net</w:t>
            </w:r>
          </w:p>
        </w:tc>
        <w:tc>
          <w:tcPr>
            <w:tcW w:w="1980" w:type="dxa"/>
            <w:vAlign w:val="bottom"/>
          </w:tcPr>
          <w:p>
            <w:pPr>
              <w:jc w:val="center"/>
              <w:ind w:left="510"/>
              <w:spacing w:after="0" w:line="203" w:lineRule="exact"/>
              <w:rPr>
                <w:sz w:val="20"/>
                <w:szCs w:val="20"/>
                <w:color w:val="auto"/>
              </w:rPr>
            </w:pPr>
            <w:r>
              <w:rPr>
                <w:rFonts w:ascii="Arial" w:cs="Arial" w:eastAsia="Arial" w:hAnsi="Arial"/>
                <w:sz w:val="18"/>
                <w:szCs w:val="18"/>
                <w:color w:val="auto"/>
                <w:w w:val="99"/>
              </w:rPr>
              <w:t>3</w:t>
            </w:r>
          </w:p>
        </w:tc>
        <w:tc>
          <w:tcPr>
            <w:tcW w:w="27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500</w:t>
            </w:r>
          </w:p>
        </w:tc>
        <w:tc>
          <w:tcPr>
            <w:tcW w:w="2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196"/>
        </w:trPr>
        <w:tc>
          <w:tcPr>
            <w:tcW w:w="4660" w:type="dxa"/>
            <w:vAlign w:val="bottom"/>
          </w:tcPr>
          <w:p>
            <w:pPr>
              <w:spacing w:after="0" w:line="196" w:lineRule="exact"/>
              <w:rPr>
                <w:sz w:val="20"/>
                <w:szCs w:val="20"/>
                <w:color w:val="auto"/>
              </w:rPr>
            </w:pPr>
            <w:r>
              <w:rPr>
                <w:rFonts w:ascii="Arial" w:cs="Arial" w:eastAsia="Arial" w:hAnsi="Arial"/>
                <w:sz w:val="18"/>
                <w:szCs w:val="18"/>
                <w:b w:val="1"/>
                <w:bCs w:val="1"/>
                <w:color w:val="auto"/>
              </w:rPr>
              <w:t>Total non-current assets</w:t>
            </w:r>
          </w:p>
        </w:tc>
        <w:tc>
          <w:tcPr>
            <w:tcW w:w="1980" w:type="dxa"/>
            <w:vAlign w:val="bottom"/>
          </w:tcPr>
          <w:p>
            <w:pPr>
              <w:spacing w:after="0"/>
              <w:rPr>
                <w:sz w:val="17"/>
                <w:szCs w:val="17"/>
                <w:color w:val="auto"/>
              </w:rPr>
            </w:pPr>
          </w:p>
        </w:tc>
        <w:tc>
          <w:tcPr>
            <w:tcW w:w="27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585</w:t>
            </w: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703</w:t>
            </w:r>
          </w:p>
        </w:tc>
        <w:tc>
          <w:tcPr>
            <w:tcW w:w="0" w:type="dxa"/>
            <w:vAlign w:val="bottom"/>
          </w:tcPr>
          <w:p>
            <w:pPr>
              <w:spacing w:after="0"/>
              <w:rPr>
                <w:sz w:val="1"/>
                <w:szCs w:val="1"/>
                <w:color w:val="auto"/>
              </w:rPr>
            </w:pPr>
          </w:p>
        </w:tc>
      </w:tr>
      <w:tr>
        <w:trPr>
          <w:trHeight w:val="399"/>
        </w:trPr>
        <w:tc>
          <w:tcPr>
            <w:tcW w:w="46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980" w:type="dxa"/>
            <w:vAlign w:val="bottom"/>
          </w:tcPr>
          <w:p>
            <w:pPr>
              <w:spacing w:after="0"/>
              <w:rPr>
                <w:sz w:val="24"/>
                <w:szCs w:val="24"/>
                <w:color w:val="auto"/>
              </w:rPr>
            </w:pPr>
          </w:p>
        </w:tc>
        <w:tc>
          <w:tcPr>
            <w:tcW w:w="2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79'951</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30'538</w:t>
            </w:r>
          </w:p>
        </w:tc>
        <w:tc>
          <w:tcPr>
            <w:tcW w:w="0" w:type="dxa"/>
            <w:vAlign w:val="bottom"/>
          </w:tcPr>
          <w:p>
            <w:pPr>
              <w:spacing w:after="0"/>
              <w:rPr>
                <w:sz w:val="1"/>
                <w:szCs w:val="1"/>
                <w:color w:val="auto"/>
              </w:rPr>
            </w:pPr>
          </w:p>
        </w:tc>
      </w:tr>
      <w:tr>
        <w:trPr>
          <w:trHeight w:val="196"/>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980" w:type="dxa"/>
            <w:vAlign w:val="bottom"/>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6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9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Trade payables</w:t>
            </w:r>
          </w:p>
        </w:tc>
        <w:tc>
          <w:tcPr>
            <w:tcW w:w="1980" w:type="dxa"/>
            <w:vAlign w:val="bottom"/>
          </w:tcPr>
          <w:p>
            <w:pPr>
              <w:spacing w:after="0"/>
              <w:rPr>
                <w:sz w:val="17"/>
                <w:szCs w:val="17"/>
                <w:color w:val="auto"/>
              </w:rPr>
            </w:pPr>
          </w:p>
        </w:tc>
        <w:tc>
          <w:tcPr>
            <w:tcW w:w="2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3'024</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03"/>
        </w:trPr>
        <w:tc>
          <w:tcPr>
            <w:tcW w:w="4660" w:type="dxa"/>
            <w:vAlign w:val="bottom"/>
          </w:tcPr>
          <w:p>
            <w:pPr>
              <w:spacing w:after="0" w:line="203" w:lineRule="exact"/>
              <w:rPr>
                <w:sz w:val="20"/>
                <w:szCs w:val="20"/>
                <w:color w:val="auto"/>
              </w:rPr>
            </w:pPr>
            <w:r>
              <w:rPr>
                <w:rFonts w:ascii="Arial" w:cs="Arial" w:eastAsia="Arial" w:hAnsi="Arial"/>
                <w:sz w:val="18"/>
                <w:szCs w:val="18"/>
                <w:color w:val="auto"/>
              </w:rPr>
              <w:t>Accrued expenses and deferred income</w:t>
            </w:r>
          </w:p>
        </w:tc>
        <w:tc>
          <w:tcPr>
            <w:tcW w:w="1980" w:type="dxa"/>
            <w:vAlign w:val="bottom"/>
          </w:tcPr>
          <w:p>
            <w:pPr>
              <w:spacing w:after="0"/>
              <w:rPr>
                <w:sz w:val="17"/>
                <w:szCs w:val="17"/>
                <w:color w:val="auto"/>
              </w:rPr>
            </w:pPr>
          </w:p>
        </w:tc>
        <w:tc>
          <w:tcPr>
            <w:tcW w:w="27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3'077</w:t>
            </w:r>
          </w:p>
        </w:tc>
        <w:tc>
          <w:tcPr>
            <w:tcW w:w="2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196"/>
        </w:trPr>
        <w:tc>
          <w:tcPr>
            <w:tcW w:w="4660" w:type="dxa"/>
            <w:vAlign w:val="bottom"/>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198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99"/>
              </w:rPr>
              <w:t>9</w:t>
            </w:r>
          </w:p>
        </w:tc>
        <w:tc>
          <w:tcPr>
            <w:tcW w:w="27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6'101</w:t>
            </w: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4'532</w:t>
            </w:r>
          </w:p>
        </w:tc>
        <w:tc>
          <w:tcPr>
            <w:tcW w:w="0" w:type="dxa"/>
            <w:vAlign w:val="bottom"/>
          </w:tcPr>
          <w:p>
            <w:pPr>
              <w:spacing w:after="0"/>
              <w:rPr>
                <w:sz w:val="1"/>
                <w:szCs w:val="1"/>
                <w:color w:val="auto"/>
              </w:rPr>
            </w:pPr>
          </w:p>
        </w:tc>
      </w:tr>
      <w:tr>
        <w:trPr>
          <w:trHeight w:val="398"/>
        </w:trPr>
        <w:tc>
          <w:tcPr>
            <w:tcW w:w="46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9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Share capital</w:t>
            </w:r>
          </w:p>
        </w:tc>
        <w:tc>
          <w:tcPr>
            <w:tcW w:w="1980" w:type="dxa"/>
            <w:vAlign w:val="bottom"/>
          </w:tcPr>
          <w:p>
            <w:pPr>
              <w:jc w:val="center"/>
              <w:ind w:left="510"/>
              <w:spacing w:after="0" w:line="202" w:lineRule="exact"/>
              <w:rPr>
                <w:sz w:val="20"/>
                <w:szCs w:val="20"/>
                <w:color w:val="auto"/>
              </w:rPr>
            </w:pPr>
            <w:r>
              <w:rPr>
                <w:rFonts w:ascii="Arial" w:cs="Arial" w:eastAsia="Arial" w:hAnsi="Arial"/>
                <w:sz w:val="18"/>
                <w:szCs w:val="18"/>
                <w:color w:val="auto"/>
                <w:w w:val="99"/>
              </w:rPr>
              <w:t>8</w:t>
            </w:r>
          </w:p>
        </w:tc>
        <w:tc>
          <w:tcPr>
            <w:tcW w:w="2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928</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185"/>
        </w:trPr>
        <w:tc>
          <w:tcPr>
            <w:tcW w:w="4660" w:type="dxa"/>
            <w:vAlign w:val="bottom"/>
          </w:tcPr>
          <w:p>
            <w:pPr>
              <w:spacing w:after="0" w:line="185" w:lineRule="exact"/>
              <w:rPr>
                <w:sz w:val="20"/>
                <w:szCs w:val="20"/>
                <w:color w:val="auto"/>
              </w:rPr>
            </w:pPr>
            <w:r>
              <w:rPr>
                <w:rFonts w:ascii="Arial" w:cs="Arial" w:eastAsia="Arial" w:hAnsi="Arial"/>
                <w:sz w:val="18"/>
                <w:szCs w:val="18"/>
                <w:color w:val="auto"/>
              </w:rPr>
              <w:t>General reserve</w:t>
            </w:r>
          </w:p>
        </w:tc>
        <w:tc>
          <w:tcPr>
            <w:tcW w:w="1980" w:type="dxa"/>
            <w:vAlign w:val="bottom"/>
          </w:tcPr>
          <w:p>
            <w:pPr>
              <w:spacing w:after="0"/>
              <w:rPr>
                <w:sz w:val="16"/>
                <w:szCs w:val="16"/>
                <w:color w:val="auto"/>
              </w:rPr>
            </w:pPr>
          </w:p>
        </w:tc>
        <w:tc>
          <w:tcPr>
            <w:tcW w:w="2760" w:type="dxa"/>
            <w:vAlign w:val="bottom"/>
          </w:tcPr>
          <w:p>
            <w:pPr>
              <w:jc w:val="right"/>
              <w:ind w:right="290"/>
              <w:spacing w:after="0" w:line="185" w:lineRule="exact"/>
              <w:rPr>
                <w:sz w:val="20"/>
                <w:szCs w:val="20"/>
                <w:color w:val="auto"/>
              </w:rPr>
            </w:pPr>
            <w:r>
              <w:rPr>
                <w:rFonts w:ascii="Arial" w:cs="Arial" w:eastAsia="Arial" w:hAnsi="Arial"/>
                <w:sz w:val="18"/>
                <w:szCs w:val="18"/>
                <w:color w:val="auto"/>
              </w:rPr>
              <w:t>97'852</w:t>
            </w:r>
          </w:p>
        </w:tc>
        <w:tc>
          <w:tcPr>
            <w:tcW w:w="2020" w:type="dxa"/>
            <w:vAlign w:val="bottom"/>
          </w:tcPr>
          <w:p>
            <w:pPr>
              <w:jc w:val="right"/>
              <w:spacing w:after="0" w:line="185" w:lineRule="exact"/>
              <w:rPr>
                <w:sz w:val="20"/>
                <w:szCs w:val="20"/>
                <w:color w:val="auto"/>
              </w:rPr>
            </w:pPr>
            <w:r>
              <w:rPr>
                <w:rFonts w:ascii="Arial" w:cs="Arial" w:eastAsia="Arial" w:hAnsi="Arial"/>
                <w:sz w:val="18"/>
                <w:szCs w:val="18"/>
                <w:color w:val="auto"/>
              </w:rPr>
              <w:t>70'255</w:t>
            </w:r>
          </w:p>
        </w:tc>
        <w:tc>
          <w:tcPr>
            <w:tcW w:w="0" w:type="dxa"/>
            <w:vAlign w:val="bottom"/>
          </w:tcPr>
          <w:p>
            <w:pPr>
              <w:spacing w:after="0"/>
              <w:rPr>
                <w:sz w:val="1"/>
                <w:szCs w:val="1"/>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8"/>
                <w:szCs w:val="18"/>
                <w:color w:val="auto"/>
              </w:rPr>
              <w:t>- thereof capital contribution reserves</w:t>
            </w:r>
          </w:p>
        </w:tc>
        <w:tc>
          <w:tcPr>
            <w:tcW w:w="1980" w:type="dxa"/>
            <w:vAlign w:val="bottom"/>
          </w:tcPr>
          <w:p>
            <w:pPr>
              <w:spacing w:after="0"/>
              <w:rPr>
                <w:sz w:val="19"/>
                <w:szCs w:val="19"/>
                <w:color w:val="auto"/>
              </w:rPr>
            </w:pPr>
          </w:p>
        </w:tc>
        <w:tc>
          <w:tcPr>
            <w:tcW w:w="2760" w:type="dxa"/>
            <w:vAlign w:val="bottom"/>
          </w:tcPr>
          <w:p>
            <w:pPr>
              <w:jc w:val="right"/>
              <w:ind w:right="290"/>
              <w:spacing w:after="0"/>
              <w:rPr>
                <w:sz w:val="20"/>
                <w:szCs w:val="20"/>
                <w:color w:val="auto"/>
              </w:rPr>
            </w:pPr>
            <w:r>
              <w:rPr>
                <w:rFonts w:ascii="Arial" w:cs="Arial" w:eastAsia="Arial" w:hAnsi="Arial"/>
                <w:sz w:val="18"/>
                <w:szCs w:val="18"/>
                <w:i w:val="1"/>
                <w:iCs w:val="1"/>
                <w:color w:val="auto"/>
              </w:rPr>
              <w:t>97'852</w:t>
            </w:r>
          </w:p>
        </w:tc>
        <w:tc>
          <w:tcPr>
            <w:tcW w:w="2020" w:type="dxa"/>
            <w:vAlign w:val="bottom"/>
          </w:tcPr>
          <w:p>
            <w:pPr>
              <w:jc w:val="right"/>
              <w:spacing w:after="0"/>
              <w:rPr>
                <w:sz w:val="20"/>
                <w:szCs w:val="20"/>
                <w:color w:val="auto"/>
              </w:rPr>
            </w:pPr>
            <w:r>
              <w:rPr>
                <w:rFonts w:ascii="Arial" w:cs="Arial" w:eastAsia="Arial" w:hAnsi="Arial"/>
                <w:sz w:val="18"/>
                <w:szCs w:val="18"/>
                <w:i w:val="1"/>
                <w:iCs w:val="1"/>
                <w:color w:val="auto"/>
              </w:rPr>
              <w:t>70'255</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Accumulated losses brought forward</w:t>
            </w:r>
          </w:p>
        </w:tc>
        <w:tc>
          <w:tcPr>
            <w:tcW w:w="1980" w:type="dxa"/>
            <w:vAlign w:val="bottom"/>
          </w:tcPr>
          <w:p>
            <w:pPr>
              <w:spacing w:after="0"/>
              <w:rPr>
                <w:sz w:val="17"/>
                <w:szCs w:val="17"/>
                <w:color w:val="auto"/>
              </w:rPr>
            </w:pPr>
          </w:p>
        </w:tc>
        <w:tc>
          <w:tcPr>
            <w:tcW w:w="2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(45'103)</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(55'620)</w:t>
            </w:r>
          </w:p>
        </w:tc>
        <w:tc>
          <w:tcPr>
            <w:tcW w:w="0" w:type="dxa"/>
            <w:vAlign w:val="bottom"/>
          </w:tcPr>
          <w:p>
            <w:pPr>
              <w:spacing w:after="0"/>
              <w:rPr>
                <w:sz w:val="1"/>
                <w:szCs w:val="1"/>
                <w:color w:val="auto"/>
              </w:rPr>
            </w:pPr>
          </w:p>
        </w:tc>
      </w:tr>
      <w:tr>
        <w:trPr>
          <w:trHeight w:val="203"/>
        </w:trPr>
        <w:tc>
          <w:tcPr>
            <w:tcW w:w="4660" w:type="dxa"/>
            <w:vAlign w:val="bottom"/>
          </w:tcPr>
          <w:p>
            <w:pPr>
              <w:spacing w:after="0" w:line="203" w:lineRule="exact"/>
              <w:rPr>
                <w:sz w:val="20"/>
                <w:szCs w:val="20"/>
                <w:color w:val="auto"/>
              </w:rPr>
            </w:pPr>
            <w:r>
              <w:rPr>
                <w:rFonts w:ascii="Arial" w:cs="Arial" w:eastAsia="Arial" w:hAnsi="Arial"/>
                <w:sz w:val="18"/>
                <w:szCs w:val="18"/>
                <w:color w:val="auto"/>
              </w:rPr>
              <w:t>Net gain / (loss) for the year</w:t>
            </w:r>
          </w:p>
        </w:tc>
        <w:tc>
          <w:tcPr>
            <w:tcW w:w="1980" w:type="dxa"/>
            <w:vAlign w:val="bottom"/>
          </w:tcPr>
          <w:p>
            <w:pPr>
              <w:spacing w:after="0"/>
              <w:rPr>
                <w:sz w:val="17"/>
                <w:szCs w:val="17"/>
                <w:color w:val="auto"/>
              </w:rPr>
            </w:pPr>
          </w:p>
        </w:tc>
        <w:tc>
          <w:tcPr>
            <w:tcW w:w="27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20'173</w:t>
            </w:r>
          </w:p>
        </w:tc>
        <w:tc>
          <w:tcPr>
            <w:tcW w:w="2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10'517</w:t>
            </w:r>
          </w:p>
        </w:tc>
        <w:tc>
          <w:tcPr>
            <w:tcW w:w="0" w:type="dxa"/>
            <w:vAlign w:val="bottom"/>
          </w:tcPr>
          <w:p>
            <w:pPr>
              <w:spacing w:after="0"/>
              <w:rPr>
                <w:sz w:val="1"/>
                <w:szCs w:val="1"/>
                <w:color w:val="auto"/>
              </w:rPr>
            </w:pPr>
          </w:p>
        </w:tc>
      </w:tr>
      <w:tr>
        <w:trPr>
          <w:trHeight w:val="196"/>
        </w:trPr>
        <w:tc>
          <w:tcPr>
            <w:tcW w:w="4660" w:type="dxa"/>
            <w:vAlign w:val="bottom"/>
          </w:tcPr>
          <w:p>
            <w:pPr>
              <w:spacing w:after="0" w:line="196" w:lineRule="exact"/>
              <w:rPr>
                <w:sz w:val="20"/>
                <w:szCs w:val="20"/>
                <w:color w:val="auto"/>
              </w:rPr>
            </w:pPr>
            <w:r>
              <w:rPr>
                <w:rFonts w:ascii="Arial" w:cs="Arial" w:eastAsia="Arial" w:hAnsi="Arial"/>
                <w:sz w:val="18"/>
                <w:szCs w:val="18"/>
                <w:b w:val="1"/>
                <w:bCs w:val="1"/>
                <w:color w:val="auto"/>
              </w:rPr>
              <w:t>Total shareholders' equity</w:t>
            </w:r>
          </w:p>
        </w:tc>
        <w:tc>
          <w:tcPr>
            <w:tcW w:w="1980" w:type="dxa"/>
            <w:vAlign w:val="bottom"/>
          </w:tcPr>
          <w:p>
            <w:pPr>
              <w:spacing w:after="0"/>
              <w:rPr>
                <w:sz w:val="17"/>
                <w:szCs w:val="17"/>
                <w:color w:val="auto"/>
              </w:rPr>
            </w:pPr>
          </w:p>
        </w:tc>
        <w:tc>
          <w:tcPr>
            <w:tcW w:w="27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73'850</w:t>
            </w: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26'006</w:t>
            </w:r>
          </w:p>
        </w:tc>
        <w:tc>
          <w:tcPr>
            <w:tcW w:w="0" w:type="dxa"/>
            <w:vAlign w:val="bottom"/>
          </w:tcPr>
          <w:p>
            <w:pPr>
              <w:spacing w:after="0"/>
              <w:rPr>
                <w:sz w:val="1"/>
                <w:szCs w:val="1"/>
                <w:color w:val="auto"/>
              </w:rPr>
            </w:pPr>
          </w:p>
        </w:tc>
      </w:tr>
      <w:tr>
        <w:trPr>
          <w:trHeight w:val="399"/>
        </w:trPr>
        <w:tc>
          <w:tcPr>
            <w:tcW w:w="46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980" w:type="dxa"/>
            <w:vAlign w:val="bottom"/>
          </w:tcPr>
          <w:p>
            <w:pPr>
              <w:spacing w:after="0"/>
              <w:rPr>
                <w:sz w:val="24"/>
                <w:szCs w:val="24"/>
                <w:color w:val="auto"/>
              </w:rPr>
            </w:pPr>
          </w:p>
        </w:tc>
        <w:tc>
          <w:tcPr>
            <w:tcW w:w="2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79'951</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30'538</w:t>
            </w:r>
          </w:p>
        </w:tc>
        <w:tc>
          <w:tcPr>
            <w:tcW w:w="0" w:type="dxa"/>
            <w:vAlign w:val="bottom"/>
          </w:tcPr>
          <w:p>
            <w:pPr>
              <w:spacing w:after="0"/>
              <w:rPr>
                <w:sz w:val="1"/>
                <w:szCs w:val="1"/>
                <w:color w:val="auto"/>
              </w:rPr>
            </w:pPr>
          </w:p>
        </w:tc>
      </w:tr>
      <w:tr>
        <w:trPr>
          <w:trHeight w:val="669"/>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w:t>
            </w:r>
          </w:p>
        </w:tc>
        <w:tc>
          <w:tcPr>
            <w:tcW w:w="27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Income Statement</w:t>
            </w:r>
          </w:p>
        </w:tc>
        <w:tc>
          <w:tcPr>
            <w:tcW w:w="2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560" w:type="dxa"/>
            <w:vAlign w:val="bottom"/>
            <w:vMerge w:val="restart"/>
          </w:tcPr>
          <w:p>
            <w:pPr>
              <w:jc w:val="center"/>
              <w:ind w:left="1090"/>
              <w:spacing w:after="0"/>
              <w:rPr>
                <w:sz w:val="20"/>
                <w:szCs w:val="20"/>
                <w:color w:val="auto"/>
              </w:rPr>
            </w:pPr>
            <w:r>
              <w:rPr>
                <w:rFonts w:ascii="Arial" w:cs="Arial" w:eastAsia="Arial" w:hAnsi="Arial"/>
                <w:sz w:val="18"/>
                <w:szCs w:val="18"/>
                <w:b w:val="1"/>
                <w:bCs w:val="1"/>
                <w:color w:val="auto"/>
                <w:w w:val="99"/>
              </w:rPr>
              <w:t>Notes</w:t>
            </w:r>
          </w:p>
        </w:tc>
        <w:tc>
          <w:tcPr>
            <w:tcW w:w="2760" w:type="dxa"/>
            <w:vAlign w:val="bottom"/>
          </w:tcPr>
          <w:p>
            <w:pPr>
              <w:spacing w:after="0"/>
              <w:rPr>
                <w:sz w:val="24"/>
                <w:szCs w:val="24"/>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2560" w:type="dxa"/>
            <w:vAlign w:val="bottom"/>
            <w:vMerge w:val="continue"/>
          </w:tcPr>
          <w:p>
            <w:pPr>
              <w:spacing w:after="0"/>
              <w:rPr>
                <w:sz w:val="17"/>
                <w:szCs w:val="17"/>
                <w:color w:val="auto"/>
              </w:rPr>
            </w:pPr>
          </w:p>
        </w:tc>
        <w:tc>
          <w:tcPr>
            <w:tcW w:w="276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2015</w:t>
            </w:r>
          </w:p>
        </w:tc>
        <w:tc>
          <w:tcPr>
            <w:tcW w:w="2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0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56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2760" w:type="dxa"/>
            <w:vAlign w:val="bottom"/>
          </w:tcPr>
          <w:p>
            <w:pPr>
              <w:jc w:val="right"/>
              <w:ind w:right="290"/>
              <w:spacing w:after="0"/>
              <w:rPr>
                <w:sz w:val="20"/>
                <w:szCs w:val="20"/>
                <w:color w:val="auto"/>
              </w:rPr>
            </w:pPr>
            <w:r>
              <w:rPr>
                <w:rFonts w:ascii="Arial" w:cs="Arial" w:eastAsia="Arial" w:hAnsi="Arial"/>
                <w:sz w:val="18"/>
                <w:szCs w:val="18"/>
                <w:b w:val="1"/>
                <w:bCs w:val="1"/>
                <w:color w:val="auto"/>
              </w:rPr>
              <w:t>39'100</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30'269</w:t>
            </w:r>
          </w:p>
        </w:tc>
        <w:tc>
          <w:tcPr>
            <w:tcW w:w="0" w:type="dxa"/>
            <w:vAlign w:val="bottom"/>
          </w:tcPr>
          <w:p>
            <w:pPr>
              <w:spacing w:after="0"/>
              <w:rPr>
                <w:sz w:val="1"/>
                <w:szCs w:val="1"/>
                <w:color w:val="auto"/>
              </w:rPr>
            </w:pPr>
          </w:p>
        </w:tc>
      </w:tr>
      <w:tr>
        <w:trPr>
          <w:trHeight w:val="391"/>
        </w:trPr>
        <w:tc>
          <w:tcPr>
            <w:tcW w:w="4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Salaries and related costs</w:t>
            </w:r>
          </w:p>
        </w:tc>
        <w:tc>
          <w:tcPr>
            <w:tcW w:w="2560" w:type="dxa"/>
            <w:vAlign w:val="bottom"/>
          </w:tcPr>
          <w:p>
            <w:pPr>
              <w:spacing w:after="0"/>
              <w:rPr>
                <w:sz w:val="17"/>
                <w:szCs w:val="17"/>
                <w:color w:val="auto"/>
              </w:rPr>
            </w:pPr>
          </w:p>
        </w:tc>
        <w:tc>
          <w:tcPr>
            <w:tcW w:w="2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(8'034)</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(7'568)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560" w:type="dxa"/>
            <w:vAlign w:val="bottom"/>
          </w:tcPr>
          <w:p>
            <w:pPr>
              <w:spacing w:after="0"/>
              <w:rPr>
                <w:sz w:val="17"/>
                <w:szCs w:val="17"/>
                <w:color w:val="auto"/>
              </w:rPr>
            </w:pPr>
          </w:p>
        </w:tc>
        <w:tc>
          <w:tcPr>
            <w:tcW w:w="27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(12'253)</w:t>
            </w:r>
          </w:p>
        </w:tc>
        <w:tc>
          <w:tcPr>
            <w:tcW w:w="2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03"/>
        </w:trPr>
        <w:tc>
          <w:tcPr>
            <w:tcW w:w="4080" w:type="dxa"/>
            <w:vAlign w:val="bottom"/>
          </w:tcPr>
          <w:p>
            <w:pPr>
              <w:spacing w:after="0" w:line="203" w:lineRule="exact"/>
              <w:rPr>
                <w:sz w:val="20"/>
                <w:szCs w:val="20"/>
                <w:color w:val="auto"/>
              </w:rPr>
            </w:pPr>
            <w:r>
              <w:rPr>
                <w:rFonts w:ascii="Arial" w:cs="Arial" w:eastAsia="Arial" w:hAnsi="Arial"/>
                <w:sz w:val="18"/>
                <w:szCs w:val="18"/>
                <w:color w:val="auto"/>
              </w:rPr>
              <w:t>Depreciation of fixed assets</w:t>
            </w:r>
          </w:p>
        </w:tc>
        <w:tc>
          <w:tcPr>
            <w:tcW w:w="2560" w:type="dxa"/>
            <w:vAlign w:val="bottom"/>
          </w:tcPr>
          <w:p>
            <w:pPr>
              <w:spacing w:after="0"/>
              <w:rPr>
                <w:sz w:val="17"/>
                <w:szCs w:val="17"/>
                <w:color w:val="auto"/>
              </w:rPr>
            </w:pPr>
          </w:p>
        </w:tc>
        <w:tc>
          <w:tcPr>
            <w:tcW w:w="27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(287)</w:t>
            </w:r>
          </w:p>
        </w:tc>
        <w:tc>
          <w:tcPr>
            <w:tcW w:w="2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560" w:type="dxa"/>
            <w:vAlign w:val="bottom"/>
          </w:tcPr>
          <w:p>
            <w:pPr>
              <w:spacing w:after="0"/>
              <w:rPr>
                <w:sz w:val="20"/>
                <w:szCs w:val="20"/>
                <w:color w:val="auto"/>
              </w:rPr>
            </w:pPr>
          </w:p>
        </w:tc>
        <w:tc>
          <w:tcPr>
            <w:tcW w:w="2760" w:type="dxa"/>
            <w:vAlign w:val="bottom"/>
          </w:tcPr>
          <w:p>
            <w:pPr>
              <w:jc w:val="right"/>
              <w:ind w:right="290"/>
              <w:spacing w:after="0"/>
              <w:rPr>
                <w:sz w:val="20"/>
                <w:szCs w:val="20"/>
                <w:color w:val="auto"/>
              </w:rPr>
            </w:pPr>
            <w:r>
              <w:rPr>
                <w:rFonts w:ascii="Arial" w:cs="Arial" w:eastAsia="Arial" w:hAnsi="Arial"/>
                <w:sz w:val="18"/>
                <w:szCs w:val="18"/>
                <w:b w:val="1"/>
                <w:bCs w:val="1"/>
                <w:color w:val="auto"/>
              </w:rPr>
              <w:t>(20'574)</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(19'780)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4080" w:type="dxa"/>
            <w:vAlign w:val="bottom"/>
          </w:tcPr>
          <w:p>
            <w:pPr>
              <w:spacing w:after="0"/>
              <w:rPr>
                <w:sz w:val="20"/>
                <w:szCs w:val="20"/>
                <w:color w:val="auto"/>
              </w:rPr>
            </w:pPr>
            <w:r>
              <w:rPr>
                <w:rFonts w:ascii="Arial" w:cs="Arial" w:eastAsia="Arial" w:hAnsi="Arial"/>
                <w:sz w:val="18"/>
                <w:szCs w:val="18"/>
                <w:b w:val="1"/>
                <w:bCs w:val="1"/>
                <w:color w:val="auto"/>
              </w:rPr>
              <w:t>Operating gain</w:t>
            </w:r>
          </w:p>
        </w:tc>
        <w:tc>
          <w:tcPr>
            <w:tcW w:w="2560" w:type="dxa"/>
            <w:vAlign w:val="bottom"/>
          </w:tcPr>
          <w:p>
            <w:pPr>
              <w:spacing w:after="0"/>
              <w:rPr>
                <w:sz w:val="24"/>
                <w:szCs w:val="24"/>
                <w:color w:val="auto"/>
              </w:rPr>
            </w:pPr>
          </w:p>
        </w:tc>
        <w:tc>
          <w:tcPr>
            <w:tcW w:w="2760" w:type="dxa"/>
            <w:vAlign w:val="bottom"/>
          </w:tcPr>
          <w:p>
            <w:pPr>
              <w:jc w:val="right"/>
              <w:ind w:right="290"/>
              <w:spacing w:after="0"/>
              <w:rPr>
                <w:sz w:val="20"/>
                <w:szCs w:val="20"/>
                <w:color w:val="auto"/>
              </w:rPr>
            </w:pPr>
            <w:r>
              <w:rPr>
                <w:rFonts w:ascii="Arial" w:cs="Arial" w:eastAsia="Arial" w:hAnsi="Arial"/>
                <w:sz w:val="18"/>
                <w:szCs w:val="18"/>
                <w:b w:val="1"/>
                <w:bCs w:val="1"/>
                <w:color w:val="auto"/>
              </w:rPr>
              <w:t>18'526</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10'489</w:t>
            </w:r>
          </w:p>
        </w:tc>
        <w:tc>
          <w:tcPr>
            <w:tcW w:w="0" w:type="dxa"/>
            <w:vAlign w:val="bottom"/>
          </w:tcPr>
          <w:p>
            <w:pPr>
              <w:spacing w:after="0"/>
              <w:rPr>
                <w:sz w:val="1"/>
                <w:szCs w:val="1"/>
                <w:color w:val="auto"/>
              </w:rPr>
            </w:pPr>
          </w:p>
        </w:tc>
      </w:tr>
      <w:tr>
        <w:trPr>
          <w:trHeight w:val="391"/>
        </w:trPr>
        <w:tc>
          <w:tcPr>
            <w:tcW w:w="4080" w:type="dxa"/>
            <w:vAlign w:val="bottom"/>
          </w:tcPr>
          <w:p>
            <w:pPr>
              <w:spacing w:after="0"/>
              <w:rPr>
                <w:sz w:val="20"/>
                <w:szCs w:val="20"/>
                <w:color w:val="auto"/>
              </w:rPr>
            </w:pPr>
            <w:r>
              <w:rPr>
                <w:rFonts w:ascii="Arial" w:cs="Arial" w:eastAsia="Arial" w:hAnsi="Arial"/>
                <w:sz w:val="18"/>
                <w:szCs w:val="18"/>
                <w:color w:val="auto"/>
              </w:rPr>
              <w:t>Interest income</w:t>
            </w:r>
          </w:p>
        </w:tc>
        <w:tc>
          <w:tcPr>
            <w:tcW w:w="2560" w:type="dxa"/>
            <w:vAlign w:val="bottom"/>
          </w:tcPr>
          <w:p>
            <w:pPr>
              <w:spacing w:after="0"/>
              <w:rPr>
                <w:sz w:val="24"/>
                <w:szCs w:val="24"/>
                <w:color w:val="auto"/>
              </w:rPr>
            </w:pPr>
          </w:p>
        </w:tc>
        <w:tc>
          <w:tcPr>
            <w:tcW w:w="2760" w:type="dxa"/>
            <w:vAlign w:val="bottom"/>
          </w:tcPr>
          <w:p>
            <w:pPr>
              <w:jc w:val="right"/>
              <w:ind w:right="290"/>
              <w:spacing w:after="0"/>
              <w:rPr>
                <w:sz w:val="20"/>
                <w:szCs w:val="20"/>
                <w:color w:val="auto"/>
              </w:rPr>
            </w:pPr>
            <w:r>
              <w:rPr>
                <w:rFonts w:ascii="Arial" w:cs="Arial" w:eastAsia="Arial" w:hAnsi="Arial"/>
                <w:sz w:val="18"/>
                <w:szCs w:val="18"/>
                <w:color w:val="auto"/>
              </w:rPr>
              <w:t>56</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4080" w:type="dxa"/>
            <w:vAlign w:val="bottom"/>
          </w:tcPr>
          <w:p>
            <w:pPr>
              <w:spacing w:after="0" w:line="203" w:lineRule="exact"/>
              <w:rPr>
                <w:sz w:val="20"/>
                <w:szCs w:val="20"/>
                <w:color w:val="auto"/>
              </w:rPr>
            </w:pPr>
            <w:r>
              <w:rPr>
                <w:rFonts w:ascii="Arial" w:cs="Arial" w:eastAsia="Arial" w:hAnsi="Arial"/>
                <w:sz w:val="18"/>
                <w:szCs w:val="18"/>
                <w:color w:val="auto"/>
              </w:rPr>
              <w:t>Finance Income</w:t>
            </w:r>
          </w:p>
        </w:tc>
        <w:tc>
          <w:tcPr>
            <w:tcW w:w="2560" w:type="dxa"/>
            <w:vAlign w:val="bottom"/>
          </w:tcPr>
          <w:p>
            <w:pPr>
              <w:spacing w:after="0"/>
              <w:rPr>
                <w:sz w:val="17"/>
                <w:szCs w:val="17"/>
                <w:color w:val="auto"/>
              </w:rPr>
            </w:pPr>
          </w:p>
        </w:tc>
        <w:tc>
          <w:tcPr>
            <w:tcW w:w="27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1'591</w:t>
            </w:r>
          </w:p>
        </w:tc>
        <w:tc>
          <w:tcPr>
            <w:tcW w:w="2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line="196" w:lineRule="exact"/>
              <w:rPr>
                <w:sz w:val="20"/>
                <w:szCs w:val="20"/>
                <w:color w:val="auto"/>
              </w:rPr>
            </w:pPr>
            <w:r>
              <w:rPr>
                <w:rFonts w:ascii="Arial" w:cs="Arial" w:eastAsia="Arial" w:hAnsi="Arial"/>
                <w:sz w:val="18"/>
                <w:szCs w:val="18"/>
                <w:b w:val="1"/>
                <w:bCs w:val="1"/>
                <w:color w:val="auto"/>
              </w:rPr>
              <w:t>Net gain for the period</w:t>
            </w:r>
          </w:p>
        </w:tc>
        <w:tc>
          <w:tcPr>
            <w:tcW w:w="2560" w:type="dxa"/>
            <w:vAlign w:val="bottom"/>
          </w:tcPr>
          <w:p>
            <w:pPr>
              <w:spacing w:after="0"/>
              <w:rPr>
                <w:sz w:val="17"/>
                <w:szCs w:val="17"/>
                <w:color w:val="auto"/>
              </w:rPr>
            </w:pPr>
          </w:p>
        </w:tc>
        <w:tc>
          <w:tcPr>
            <w:tcW w:w="27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20'173</w:t>
            </w: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10'517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2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w:t>
            </w:r>
          </w:p>
        </w:tc>
        <w:tc>
          <w:tcPr>
            <w:tcW w:w="27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5"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the financial statements</w:t>
      </w:r>
    </w:p>
    <w:p>
      <w:pPr>
        <w:spacing w:after="0" w:line="314" w:lineRule="exact"/>
        <w:rPr>
          <w:sz w:val="20"/>
          <w:szCs w:val="20"/>
          <w:color w:val="auto"/>
        </w:rPr>
      </w:pPr>
    </w:p>
    <w:p>
      <w:pPr>
        <w:ind w:left="720" w:hanging="33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General information</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SupraAntigenTM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was initially incorporated as a limited liability company on February 13, 2003 in Basel and effective August 25, 2003 was transformed into a stock company. The Company’s corporate headquarters are located at EPFL Innovation Park Building B, Ecublens/Lausanne, Vaud, Switzerland.</w:t>
      </w:r>
    </w:p>
    <w:p>
      <w:pPr>
        <w:spacing w:after="0" w:line="1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statutory financial statements of AC Immune SA ended December 31, 2015 were authorized for issue in accordance with a resolution of the Board of Directors on April 14, 2016 and will be submitted to the next Ordinary General Assembly.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During 2014 and 2015, AC Immune had an annual average of less than 250 full time equivalent positions.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7100" w:type="dxa"/>
            <w:vAlign w:val="bottom"/>
            <w:tcBorders>
              <w:bottom w:val="single" w:sz="8" w:color="auto"/>
            </w:tcBorders>
          </w:tcPr>
          <w:p>
            <w:pPr>
              <w:jc w:val="right"/>
              <w:ind w:right="505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15"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720" w:hanging="334"/>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Summary of significant accounting principles</w:t>
      </w:r>
    </w:p>
    <w:p>
      <w:pPr>
        <w:spacing w:after="0" w:line="220"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The present annual accounts have been prepared in accordance with the regulations of Swiss financial reporting law (32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Title of the Swiss Code of Obligations). The principal accounting policies adopted in the preparation of these financial statements are set out below. These policies have been consistently applied to all the years presented, unless otherwise stated.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Non-monetary assets and liabilities at historical costs are converted at the foreign exchange rate at the time of the transaction. Any foreign exchange profits are deferred in the balance sheet as not having an effect on net income. Foreign exchange losses, on the other hand, are recorded in the profit and loss account.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collaboration agreements on product candidates that are (i)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pursuant to guidelines on revenue recognition as contained in IFRS 1 and 15 and ASC 605-25,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7100" w:type="dxa"/>
            <w:vAlign w:val="bottom"/>
            <w:tcBorders>
              <w:bottom w:val="single" w:sz="8" w:color="auto"/>
            </w:tcBorders>
          </w:tcPr>
          <w:p>
            <w:pPr>
              <w:jc w:val="right"/>
              <w:ind w:right="505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15"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420"/>
          </w:cols>
          <w:pgMar w:left="240" w:top="215"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 equipment</w:t>
      </w:r>
    </w:p>
    <w:p>
      <w:pPr>
        <w:spacing w:after="0" w:line="234" w:lineRule="auto"/>
        <w:rPr>
          <w:sz w:val="20"/>
          <w:szCs w:val="20"/>
          <w:color w:val="auto"/>
        </w:rPr>
      </w:pPr>
      <w:r>
        <w:rPr>
          <w:rFonts w:ascii="Arial" w:cs="Arial" w:eastAsia="Arial" w:hAnsi="Arial"/>
          <w:sz w:val="18"/>
          <w:szCs w:val="18"/>
          <w:color w:val="auto"/>
        </w:rPr>
        <w:t>Laboratory equipment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Leaseholds improvements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34" w:lineRule="auto"/>
        <w:rPr>
          <w:sz w:val="20"/>
          <w:szCs w:val="20"/>
          <w:color w:val="auto"/>
        </w:rPr>
      </w:pPr>
      <w:r>
        <w:rPr>
          <w:rFonts w:ascii="Arial" w:cs="Arial" w:eastAsia="Arial" w:hAnsi="Arial"/>
          <w:sz w:val="18"/>
          <w:szCs w:val="18"/>
          <w:color w:val="auto"/>
        </w:rPr>
        <w:t>5 years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00" w:lineRule="exact"/>
        <w:rPr>
          <w:sz w:val="20"/>
          <w:szCs w:val="20"/>
          <w:color w:val="auto"/>
        </w:rPr>
      </w:pPr>
    </w:p>
    <w:p>
      <w:pPr>
        <w:sectPr>
          <w:pgSz w:w="11900" w:h="16838" w:orient="portrait"/>
          <w:cols w:equalWidth="0" w:num="2">
            <w:col w:w="2100" w:space="560"/>
            <w:col w:w="8760"/>
          </w:cols>
          <w:pgMar w:left="240" w:top="215" w:right="239" w:bottom="1440" w:gutter="0" w:footer="0" w:header="0"/>
          <w:type w:val="continuous"/>
        </w:sectPr>
      </w:pPr>
    </w:p>
    <w:p>
      <w:pPr>
        <w:spacing w:after="0" w:line="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Profits and losses on disposals are determined by comparing the disposal proceeds with the carrying amount and are included in the income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Expenditure to acquire patents, trademarks and licenses is capitalized and amortized using the straight-line method over their useful lives of 5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 Receivables are measured at amortized cost.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7100" w:type="dxa"/>
            <w:vAlign w:val="bottom"/>
            <w:tcBorders>
              <w:bottom w:val="single" w:sz="8" w:color="auto"/>
            </w:tcBorders>
          </w:tcPr>
          <w:p>
            <w:pPr>
              <w:jc w:val="right"/>
              <w:ind w:right="505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215"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bank comprise the cash on hand.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r>
        <w:rPr>
          <w:rFonts w:ascii="Arial" w:cs="Arial" w:eastAsia="Arial" w:hAnsi="Arial"/>
          <w:sz w:val="18"/>
          <w:szCs w:val="18"/>
          <w:b w:val="1"/>
          <w:bCs w:val="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preparation of financial statements in conformity with Swiss Code of Obligations requires management to make judgments, estimates and assumptions that affect the application of accounting policies and the reported amounts of assets, liabilities, income and expenses.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relating to items on Balance sheet and Income Statement</w:t>
      </w:r>
    </w:p>
    <w:p>
      <w:pPr>
        <w:spacing w:after="0" w:line="229" w:lineRule="exact"/>
        <w:rPr>
          <w:sz w:val="20"/>
          <w:szCs w:val="20"/>
          <w:color w:val="auto"/>
        </w:rPr>
      </w:pPr>
    </w:p>
    <w:p>
      <w:pPr>
        <w:ind w:left="720" w:hanging="334"/>
        <w:spacing w:after="0"/>
        <w:tabs>
          <w:tab w:leader="none" w:pos="720" w:val="left"/>
        </w:tabs>
        <w:numPr>
          <w:ilvl w:val="0"/>
          <w:numId w:val="8"/>
        </w:numPr>
        <w:rPr>
          <w:rFonts w:ascii="Arial" w:cs="Arial" w:eastAsia="Arial" w:hAnsi="Arial"/>
          <w:sz w:val="22"/>
          <w:szCs w:val="22"/>
          <w:b w:val="1"/>
          <w:bCs w:val="1"/>
          <w:color w:val="auto"/>
        </w:rPr>
      </w:pPr>
      <w:r>
        <w:rPr>
          <w:rFonts w:ascii="Arial" w:cs="Arial" w:eastAsia="Arial" w:hAnsi="Arial"/>
          <w:sz w:val="18"/>
          <w:szCs w:val="18"/>
          <w:b w:val="1"/>
          <w:bCs w:val="1"/>
          <w:color w:val="auto"/>
        </w:rPr>
        <w:t>Property, plant and equipment and Intangible assets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Laboratory</w:t>
            </w:r>
          </w:p>
        </w:tc>
        <w:tc>
          <w:tcPr>
            <w:tcW w:w="2280" w:type="dxa"/>
            <w:vAlign w:val="bottom"/>
          </w:tcPr>
          <w:p>
            <w:pPr>
              <w:jc w:val="right"/>
              <w:ind w:right="470"/>
              <w:spacing w:after="0"/>
              <w:rPr>
                <w:sz w:val="20"/>
                <w:szCs w:val="20"/>
                <w:color w:val="auto"/>
              </w:rPr>
            </w:pPr>
            <w:r>
              <w:rPr>
                <w:rFonts w:ascii="Arial" w:cs="Arial" w:eastAsia="Arial" w:hAnsi="Arial"/>
                <w:sz w:val="18"/>
                <w:szCs w:val="18"/>
                <w:b w:val="1"/>
                <w:bCs w:val="1"/>
                <w:color w:val="auto"/>
              </w:rPr>
              <w:t>IT</w:t>
            </w:r>
          </w:p>
        </w:tc>
        <w:tc>
          <w:tcPr>
            <w:tcW w:w="2120" w:type="dxa"/>
            <w:vAlign w:val="bottom"/>
          </w:tcPr>
          <w:p>
            <w:pPr>
              <w:jc w:val="right"/>
              <w:ind w:right="310"/>
              <w:spacing w:after="0"/>
              <w:rPr>
                <w:sz w:val="20"/>
                <w:szCs w:val="20"/>
                <w:color w:val="auto"/>
              </w:rPr>
            </w:pPr>
            <w:r>
              <w:rPr>
                <w:rFonts w:ascii="Arial" w:cs="Arial" w:eastAsia="Arial" w:hAnsi="Arial"/>
                <w:sz w:val="18"/>
                <w:szCs w:val="18"/>
                <w:b w:val="1"/>
                <w:bCs w:val="1"/>
                <w:color w:val="auto"/>
              </w:rPr>
              <w:t>Building</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Historical cost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Equipment</w:t>
            </w:r>
          </w:p>
        </w:tc>
        <w:tc>
          <w:tcPr>
            <w:tcW w:w="2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Equipment</w:t>
            </w:r>
          </w:p>
        </w:tc>
        <w:tc>
          <w:tcPr>
            <w:tcW w:w="2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and Furniture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3"/>
        </w:trPr>
        <w:tc>
          <w:tcPr>
            <w:tcW w:w="400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w:t>
            </w:r>
          </w:p>
        </w:tc>
        <w:tc>
          <w:tcPr>
            <w:tcW w:w="2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128</w:t>
            </w:r>
          </w:p>
        </w:tc>
        <w:tc>
          <w:tcPr>
            <w:tcW w:w="2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136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173"/>
        </w:trPr>
        <w:tc>
          <w:tcPr>
            <w:tcW w:w="4000" w:type="dxa"/>
            <w:vAlign w:val="bottom"/>
          </w:tcPr>
          <w:p>
            <w:pPr>
              <w:spacing w:after="0" w:line="173" w:lineRule="exact"/>
              <w:rPr>
                <w:sz w:val="20"/>
                <w:szCs w:val="20"/>
                <w:color w:val="auto"/>
              </w:rPr>
            </w:pPr>
            <w:r>
              <w:rPr>
                <w:rFonts w:ascii="Arial" w:cs="Arial" w:eastAsia="Arial" w:hAnsi="Arial"/>
                <w:sz w:val="18"/>
                <w:szCs w:val="18"/>
                <w:color w:val="auto"/>
              </w:rPr>
              <w:t>Acquisitions</w:t>
            </w:r>
          </w:p>
        </w:tc>
        <w:tc>
          <w:tcPr>
            <w:tcW w:w="2180" w:type="dxa"/>
            <w:vAlign w:val="bottom"/>
          </w:tcPr>
          <w:p>
            <w:pPr>
              <w:jc w:val="right"/>
              <w:spacing w:after="0" w:line="173" w:lineRule="exact"/>
              <w:rPr>
                <w:sz w:val="20"/>
                <w:szCs w:val="20"/>
                <w:color w:val="auto"/>
              </w:rPr>
            </w:pPr>
            <w:r>
              <w:rPr>
                <w:rFonts w:ascii="Arial" w:cs="Arial" w:eastAsia="Arial" w:hAnsi="Arial"/>
                <w:sz w:val="18"/>
                <w:szCs w:val="18"/>
                <w:color w:val="auto"/>
              </w:rPr>
              <w:t>74</w:t>
            </w:r>
          </w:p>
        </w:tc>
        <w:tc>
          <w:tcPr>
            <w:tcW w:w="228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44</w:t>
            </w:r>
          </w:p>
        </w:tc>
        <w:tc>
          <w:tcPr>
            <w:tcW w:w="212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10</w:t>
            </w:r>
          </w:p>
        </w:tc>
        <w:tc>
          <w:tcPr>
            <w:tcW w:w="840" w:type="dxa"/>
            <w:vAlign w:val="bottom"/>
          </w:tcPr>
          <w:p>
            <w:pPr>
              <w:jc w:val="right"/>
              <w:spacing w:after="0" w:line="173"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5"/>
        </w:trPr>
        <w:tc>
          <w:tcPr>
            <w:tcW w:w="400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1,815</w:t>
            </w:r>
          </w:p>
        </w:tc>
        <w:tc>
          <w:tcPr>
            <w:tcW w:w="2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172</w:t>
            </w:r>
          </w:p>
        </w:tc>
        <w:tc>
          <w:tcPr>
            <w:tcW w:w="2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146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2,133</w:t>
            </w:r>
          </w:p>
        </w:tc>
        <w:tc>
          <w:tcPr>
            <w:tcW w:w="0" w:type="dxa"/>
            <w:vAlign w:val="bottom"/>
          </w:tcPr>
          <w:p>
            <w:pPr>
              <w:spacing w:after="0"/>
              <w:rPr>
                <w:sz w:val="1"/>
                <w:szCs w:val="1"/>
                <w:color w:val="auto"/>
              </w:rPr>
            </w:pPr>
          </w:p>
        </w:tc>
      </w:tr>
      <w:tr>
        <w:trPr>
          <w:trHeight w:val="173"/>
        </w:trPr>
        <w:tc>
          <w:tcPr>
            <w:tcW w:w="4000" w:type="dxa"/>
            <w:vAlign w:val="bottom"/>
          </w:tcPr>
          <w:p>
            <w:pPr>
              <w:spacing w:after="0" w:line="173" w:lineRule="exact"/>
              <w:rPr>
                <w:sz w:val="20"/>
                <w:szCs w:val="20"/>
                <w:color w:val="auto"/>
              </w:rPr>
            </w:pPr>
            <w:r>
              <w:rPr>
                <w:rFonts w:ascii="Arial" w:cs="Arial" w:eastAsia="Arial" w:hAnsi="Arial"/>
                <w:sz w:val="18"/>
                <w:szCs w:val="18"/>
                <w:color w:val="auto"/>
              </w:rPr>
              <w:t>Acquisitions</w:t>
            </w:r>
          </w:p>
        </w:tc>
        <w:tc>
          <w:tcPr>
            <w:tcW w:w="2180" w:type="dxa"/>
            <w:vAlign w:val="bottom"/>
          </w:tcPr>
          <w:p>
            <w:pPr>
              <w:jc w:val="right"/>
              <w:spacing w:after="0" w:line="173" w:lineRule="exact"/>
              <w:rPr>
                <w:sz w:val="20"/>
                <w:szCs w:val="20"/>
                <w:color w:val="auto"/>
              </w:rPr>
            </w:pPr>
            <w:r>
              <w:rPr>
                <w:rFonts w:ascii="Arial" w:cs="Arial" w:eastAsia="Arial" w:hAnsi="Arial"/>
                <w:sz w:val="18"/>
                <w:szCs w:val="18"/>
                <w:color w:val="auto"/>
              </w:rPr>
              <w:t>243</w:t>
            </w:r>
          </w:p>
        </w:tc>
        <w:tc>
          <w:tcPr>
            <w:tcW w:w="228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73"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5"/>
        </w:trPr>
        <w:tc>
          <w:tcPr>
            <w:tcW w:w="400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2,058</w:t>
            </w:r>
          </w:p>
        </w:tc>
        <w:tc>
          <w:tcPr>
            <w:tcW w:w="2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172</w:t>
            </w:r>
          </w:p>
        </w:tc>
        <w:tc>
          <w:tcPr>
            <w:tcW w:w="2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146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2,376</w:t>
            </w:r>
          </w:p>
        </w:tc>
        <w:tc>
          <w:tcPr>
            <w:tcW w:w="0" w:type="dxa"/>
            <w:vAlign w:val="bottom"/>
          </w:tcPr>
          <w:p>
            <w:pPr>
              <w:spacing w:after="0"/>
              <w:rPr>
                <w:sz w:val="1"/>
                <w:szCs w:val="1"/>
                <w:color w:val="auto"/>
              </w:rPr>
            </w:pPr>
          </w:p>
        </w:tc>
      </w:tr>
      <w:tr>
        <w:trPr>
          <w:trHeight w:val="173"/>
        </w:trPr>
        <w:tc>
          <w:tcPr>
            <w:tcW w:w="4000" w:type="dxa"/>
            <w:vAlign w:val="bottom"/>
          </w:tcPr>
          <w:p>
            <w:pPr>
              <w:spacing w:after="0" w:line="173" w:lineRule="exact"/>
              <w:rPr>
                <w:sz w:val="20"/>
                <w:szCs w:val="20"/>
                <w:color w:val="auto"/>
              </w:rPr>
            </w:pPr>
            <w:r>
              <w:rPr>
                <w:rFonts w:ascii="Arial" w:cs="Arial" w:eastAsia="Arial" w:hAnsi="Arial"/>
                <w:sz w:val="18"/>
                <w:szCs w:val="18"/>
                <w:b w:val="1"/>
                <w:bCs w:val="1"/>
                <w:color w:val="auto"/>
              </w:rPr>
              <w:t>Accumulated depreciation</w:t>
            </w:r>
          </w:p>
        </w:tc>
        <w:tc>
          <w:tcPr>
            <w:tcW w:w="21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1,146</w:t>
            </w:r>
          </w:p>
        </w:tc>
        <w:tc>
          <w:tcPr>
            <w:tcW w:w="2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72</w:t>
            </w:r>
          </w:p>
        </w:tc>
        <w:tc>
          <w:tcPr>
            <w:tcW w:w="2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74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1,292</w:t>
            </w:r>
          </w:p>
        </w:tc>
        <w:tc>
          <w:tcPr>
            <w:tcW w:w="0" w:type="dxa"/>
            <w:vAlign w:val="bottom"/>
          </w:tcPr>
          <w:p>
            <w:pPr>
              <w:spacing w:after="0"/>
              <w:rPr>
                <w:sz w:val="1"/>
                <w:szCs w:val="1"/>
                <w:color w:val="auto"/>
              </w:rPr>
            </w:pPr>
          </w:p>
        </w:tc>
      </w:tr>
      <w:tr>
        <w:trPr>
          <w:trHeight w:val="173"/>
        </w:trPr>
        <w:tc>
          <w:tcPr>
            <w:tcW w:w="4000" w:type="dxa"/>
            <w:vAlign w:val="bottom"/>
          </w:tcPr>
          <w:p>
            <w:pPr>
              <w:spacing w:after="0" w:line="173" w:lineRule="exact"/>
              <w:rPr>
                <w:sz w:val="20"/>
                <w:szCs w:val="20"/>
                <w:color w:val="auto"/>
              </w:rPr>
            </w:pPr>
            <w:r>
              <w:rPr>
                <w:rFonts w:ascii="Arial" w:cs="Arial" w:eastAsia="Arial" w:hAnsi="Arial"/>
                <w:sz w:val="18"/>
                <w:szCs w:val="18"/>
                <w:color w:val="auto"/>
              </w:rPr>
              <w:t>Depreciation</w:t>
            </w:r>
          </w:p>
        </w:tc>
        <w:tc>
          <w:tcPr>
            <w:tcW w:w="2180" w:type="dxa"/>
            <w:vAlign w:val="bottom"/>
          </w:tcPr>
          <w:p>
            <w:pPr>
              <w:jc w:val="right"/>
              <w:spacing w:after="0" w:line="173" w:lineRule="exact"/>
              <w:rPr>
                <w:sz w:val="20"/>
                <w:szCs w:val="20"/>
                <w:color w:val="auto"/>
              </w:rPr>
            </w:pPr>
            <w:r>
              <w:rPr>
                <w:rFonts w:ascii="Arial" w:cs="Arial" w:eastAsia="Arial" w:hAnsi="Arial"/>
                <w:sz w:val="18"/>
                <w:szCs w:val="18"/>
                <w:color w:val="auto"/>
              </w:rPr>
              <w:t>251</w:t>
            </w:r>
          </w:p>
        </w:tc>
        <w:tc>
          <w:tcPr>
            <w:tcW w:w="228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28</w:t>
            </w:r>
          </w:p>
        </w:tc>
        <w:tc>
          <w:tcPr>
            <w:tcW w:w="212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18</w:t>
            </w:r>
          </w:p>
        </w:tc>
        <w:tc>
          <w:tcPr>
            <w:tcW w:w="840" w:type="dxa"/>
            <w:vAlign w:val="bottom"/>
          </w:tcPr>
          <w:p>
            <w:pPr>
              <w:jc w:val="right"/>
              <w:spacing w:after="0" w:line="173"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5"/>
        </w:trPr>
        <w:tc>
          <w:tcPr>
            <w:tcW w:w="400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1,397</w:t>
            </w:r>
          </w:p>
        </w:tc>
        <w:tc>
          <w:tcPr>
            <w:tcW w:w="2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100</w:t>
            </w:r>
          </w:p>
        </w:tc>
        <w:tc>
          <w:tcPr>
            <w:tcW w:w="2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92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1,589</w:t>
            </w:r>
          </w:p>
        </w:tc>
        <w:tc>
          <w:tcPr>
            <w:tcW w:w="0" w:type="dxa"/>
            <w:vAlign w:val="bottom"/>
          </w:tcPr>
          <w:p>
            <w:pPr>
              <w:spacing w:after="0"/>
              <w:rPr>
                <w:sz w:val="1"/>
                <w:szCs w:val="1"/>
                <w:color w:val="auto"/>
              </w:rPr>
            </w:pPr>
          </w:p>
        </w:tc>
      </w:tr>
      <w:tr>
        <w:trPr>
          <w:trHeight w:val="173"/>
        </w:trPr>
        <w:tc>
          <w:tcPr>
            <w:tcW w:w="4000" w:type="dxa"/>
            <w:vAlign w:val="bottom"/>
          </w:tcPr>
          <w:p>
            <w:pPr>
              <w:spacing w:after="0" w:line="173" w:lineRule="exact"/>
              <w:rPr>
                <w:sz w:val="20"/>
                <w:szCs w:val="20"/>
                <w:color w:val="auto"/>
              </w:rPr>
            </w:pPr>
            <w:r>
              <w:rPr>
                <w:rFonts w:ascii="Arial" w:cs="Arial" w:eastAsia="Arial" w:hAnsi="Arial"/>
                <w:sz w:val="18"/>
                <w:szCs w:val="18"/>
                <w:color w:val="auto"/>
              </w:rPr>
              <w:t>Depreciation</w:t>
            </w:r>
          </w:p>
        </w:tc>
        <w:tc>
          <w:tcPr>
            <w:tcW w:w="2180" w:type="dxa"/>
            <w:vAlign w:val="bottom"/>
          </w:tcPr>
          <w:p>
            <w:pPr>
              <w:jc w:val="right"/>
              <w:spacing w:after="0" w:line="173" w:lineRule="exact"/>
              <w:rPr>
                <w:sz w:val="20"/>
                <w:szCs w:val="20"/>
                <w:color w:val="auto"/>
              </w:rPr>
            </w:pPr>
            <w:r>
              <w:rPr>
                <w:rFonts w:ascii="Arial" w:cs="Arial" w:eastAsia="Arial" w:hAnsi="Arial"/>
                <w:sz w:val="18"/>
                <w:szCs w:val="18"/>
                <w:color w:val="auto"/>
              </w:rPr>
              <w:t>232</w:t>
            </w:r>
          </w:p>
        </w:tc>
        <w:tc>
          <w:tcPr>
            <w:tcW w:w="228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38</w:t>
            </w:r>
          </w:p>
        </w:tc>
        <w:tc>
          <w:tcPr>
            <w:tcW w:w="212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17</w:t>
            </w:r>
          </w:p>
        </w:tc>
        <w:tc>
          <w:tcPr>
            <w:tcW w:w="840" w:type="dxa"/>
            <w:vAlign w:val="bottom"/>
          </w:tcPr>
          <w:p>
            <w:pPr>
              <w:jc w:val="right"/>
              <w:spacing w:after="0" w:line="173"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5"/>
        </w:trPr>
        <w:tc>
          <w:tcPr>
            <w:tcW w:w="400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1,629</w:t>
            </w:r>
          </w:p>
        </w:tc>
        <w:tc>
          <w:tcPr>
            <w:tcW w:w="2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138</w:t>
            </w:r>
          </w:p>
        </w:tc>
        <w:tc>
          <w:tcPr>
            <w:tcW w:w="2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109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1,876</w:t>
            </w:r>
          </w:p>
        </w:tc>
        <w:tc>
          <w:tcPr>
            <w:tcW w:w="0" w:type="dxa"/>
            <w:vAlign w:val="bottom"/>
          </w:tcPr>
          <w:p>
            <w:pPr>
              <w:spacing w:after="0"/>
              <w:rPr>
                <w:sz w:val="1"/>
                <w:szCs w:val="1"/>
                <w:color w:val="auto"/>
              </w:rPr>
            </w:pPr>
          </w:p>
        </w:tc>
      </w:tr>
      <w:tr>
        <w:trPr>
          <w:trHeight w:val="196"/>
        </w:trPr>
        <w:tc>
          <w:tcPr>
            <w:tcW w:w="4000" w:type="dxa"/>
            <w:vAlign w:val="bottom"/>
          </w:tcPr>
          <w:p>
            <w:pPr>
              <w:spacing w:after="0" w:line="196" w:lineRule="exact"/>
              <w:rPr>
                <w:sz w:val="20"/>
                <w:szCs w:val="20"/>
                <w:color w:val="auto"/>
              </w:rPr>
            </w:pPr>
            <w:r>
              <w:rPr>
                <w:rFonts w:ascii="Arial" w:cs="Arial" w:eastAsia="Arial" w:hAnsi="Arial"/>
                <w:sz w:val="18"/>
                <w:szCs w:val="18"/>
                <w:b w:val="1"/>
                <w:bCs w:val="1"/>
                <w:color w:val="auto"/>
              </w:rPr>
              <w:t>Net book value December 31, 2015</w:t>
            </w:r>
          </w:p>
        </w:tc>
        <w:tc>
          <w:tcPr>
            <w:tcW w:w="2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429</w:t>
            </w:r>
          </w:p>
        </w:tc>
        <w:tc>
          <w:tcPr>
            <w:tcW w:w="22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34</w:t>
            </w:r>
          </w:p>
        </w:tc>
        <w:tc>
          <w:tcPr>
            <w:tcW w:w="21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37</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196"/>
        </w:trPr>
        <w:tc>
          <w:tcPr>
            <w:tcW w:w="4000" w:type="dxa"/>
            <w:vAlign w:val="bottom"/>
          </w:tcPr>
          <w:p>
            <w:pPr>
              <w:spacing w:after="0" w:line="196" w:lineRule="exact"/>
              <w:rPr>
                <w:sz w:val="20"/>
                <w:szCs w:val="20"/>
                <w:color w:val="auto"/>
              </w:rPr>
            </w:pPr>
            <w:r>
              <w:rPr>
                <w:rFonts w:ascii="Arial" w:cs="Arial" w:eastAsia="Arial" w:hAnsi="Arial"/>
                <w:sz w:val="18"/>
                <w:szCs w:val="18"/>
                <w:color w:val="auto"/>
              </w:rPr>
              <w:t>Net book value December 31, 2014</w:t>
            </w:r>
          </w:p>
        </w:tc>
        <w:tc>
          <w:tcPr>
            <w:tcW w:w="2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418</w:t>
            </w:r>
          </w:p>
        </w:tc>
        <w:tc>
          <w:tcPr>
            <w:tcW w:w="22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72</w:t>
            </w:r>
          </w:p>
        </w:tc>
        <w:tc>
          <w:tcPr>
            <w:tcW w:w="21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54</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65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2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2090"/>
              <w:spacing w:after="0"/>
              <w:rPr>
                <w:sz w:val="20"/>
                <w:szCs w:val="20"/>
                <w:color w:val="auto"/>
              </w:rPr>
            </w:pPr>
            <w:r>
              <w:rPr>
                <w:rFonts w:ascii="Arial" w:cs="Arial" w:eastAsia="Arial" w:hAnsi="Arial"/>
                <w:sz w:val="18"/>
                <w:szCs w:val="18"/>
                <w:color w:val="auto"/>
                <w:w w:val="79"/>
              </w:rPr>
              <w:t>7</w:t>
            </w:r>
          </w:p>
        </w:tc>
        <w:tc>
          <w:tcPr>
            <w:tcW w:w="2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5"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80" w:type="dxa"/>
            <w:vAlign w:val="bottom"/>
          </w:tcPr>
          <w:p>
            <w:pPr>
              <w:ind w:left="38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Financial assets</w:t>
            </w: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As at 31 December,</w:t>
            </w:r>
          </w:p>
        </w:tc>
        <w:tc>
          <w:tcPr>
            <w:tcW w:w="0" w:type="dxa"/>
            <w:vAlign w:val="bottom"/>
          </w:tcPr>
          <w:p>
            <w:pPr>
              <w:spacing w:after="0"/>
              <w:rPr>
                <w:sz w:val="1"/>
                <w:szCs w:val="1"/>
                <w:color w:val="auto"/>
              </w:rPr>
            </w:pPr>
          </w:p>
        </w:tc>
      </w:tr>
      <w:tr>
        <w:trPr>
          <w:trHeight w:val="196"/>
        </w:trPr>
        <w:tc>
          <w:tcPr>
            <w:tcW w:w="3580" w:type="dxa"/>
            <w:vAlign w:val="bottom"/>
            <w:vMerge w:val="continue"/>
          </w:tcPr>
          <w:p>
            <w:pPr>
              <w:spacing w:after="0"/>
              <w:rPr>
                <w:sz w:val="17"/>
                <w:szCs w:val="17"/>
                <w:color w:val="auto"/>
              </w:rPr>
            </w:pPr>
          </w:p>
        </w:tc>
        <w:tc>
          <w:tcPr>
            <w:tcW w:w="154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2015</w:t>
            </w:r>
          </w:p>
        </w:tc>
        <w:tc>
          <w:tcPr>
            <w:tcW w:w="16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3580" w:type="dxa"/>
            <w:vAlign w:val="bottom"/>
          </w:tcPr>
          <w:p>
            <w:pPr>
              <w:spacing w:after="0" w:line="195" w:lineRule="exact"/>
              <w:rPr>
                <w:sz w:val="20"/>
                <w:szCs w:val="20"/>
                <w:color w:val="auto"/>
              </w:rPr>
            </w:pPr>
            <w:r>
              <w:rPr>
                <w:rFonts w:ascii="Arial" w:cs="Arial" w:eastAsia="Arial" w:hAnsi="Arial"/>
                <w:sz w:val="18"/>
                <w:szCs w:val="18"/>
                <w:color w:val="auto"/>
              </w:rPr>
              <w:t>Loans to Employees</w:t>
            </w: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Rental deposit (restricted cash)</w:t>
            </w:r>
          </w:p>
        </w:tc>
        <w:tc>
          <w:tcPr>
            <w:tcW w:w="1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82</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Arial" w:cs="Arial" w:eastAsia="Arial" w:hAnsi="Arial"/>
                <w:sz w:val="18"/>
                <w:szCs w:val="18"/>
                <w:color w:val="auto"/>
              </w:rPr>
              <w:t>Security Deposit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7"/>
                <w:szCs w:val="17"/>
                <w:color w:val="auto"/>
              </w:rPr>
            </w:pPr>
          </w:p>
        </w:tc>
        <w:tc>
          <w:tcPr>
            <w:tcW w:w="16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580" w:type="dxa"/>
            <w:vAlign w:val="bottom"/>
          </w:tcPr>
          <w:p>
            <w:pPr>
              <w:spacing w:after="0" w:line="196" w:lineRule="exact"/>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720" w:hanging="334"/>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8"/>
          </w:tcPr>
          <w:p>
            <w:pPr>
              <w:jc w:val="right"/>
              <w:ind w:right="80"/>
              <w:spacing w:after="0"/>
              <w:rPr>
                <w:sz w:val="20"/>
                <w:szCs w:val="20"/>
                <w:color w:val="auto"/>
              </w:rPr>
            </w:pPr>
            <w:r>
              <w:rPr>
                <w:rFonts w:ascii="Arial" w:cs="Arial" w:eastAsia="Arial" w:hAnsi="Arial"/>
                <w:sz w:val="18"/>
                <w:szCs w:val="18"/>
                <w:b w:val="1"/>
                <w:bCs w:val="1"/>
                <w:color w:val="auto"/>
                <w:w w:val="98"/>
              </w:rPr>
              <w:t>As at 31 December,</w:t>
            </w:r>
          </w:p>
        </w:tc>
        <w:tc>
          <w:tcPr>
            <w:tcW w:w="0" w:type="dxa"/>
            <w:vAlign w:val="bottom"/>
          </w:tcPr>
          <w:p>
            <w:pPr>
              <w:spacing w:after="0"/>
              <w:rPr>
                <w:sz w:val="1"/>
                <w:szCs w:val="1"/>
                <w:color w:val="auto"/>
              </w:rPr>
            </w:pPr>
          </w:p>
        </w:tc>
      </w:tr>
      <w:tr>
        <w:trPr>
          <w:trHeight w:val="196"/>
        </w:trPr>
        <w:tc>
          <w:tcPr>
            <w:tcW w:w="3520" w:type="dxa"/>
            <w:vAlign w:val="bottom"/>
            <w:gridSpan w:val="3"/>
            <w:vMerge w:val="continue"/>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b w:val="1"/>
                <w:bCs w:val="1"/>
                <w:color w:val="auto"/>
              </w:rPr>
              <w:t>2015</w:t>
            </w: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5"/>
          </w:tcPr>
          <w:p>
            <w:pPr>
              <w:jc w:val="right"/>
              <w:ind w:right="20"/>
              <w:spacing w:after="0" w:line="196" w:lineRule="exact"/>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Arial" w:cs="Arial" w:eastAsia="Arial" w:hAnsi="Arial"/>
                <w:sz w:val="18"/>
                <w:szCs w:val="18"/>
                <w:color w:val="auto"/>
              </w:rPr>
              <w:t>Cash</w:t>
            </w:r>
          </w:p>
        </w:tc>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76,522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3,306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Arial" w:cs="Arial" w:eastAsia="Arial" w:hAnsi="Arial"/>
                <w:sz w:val="18"/>
                <w:szCs w:val="18"/>
                <w:b w:val="1"/>
                <w:bCs w:val="1"/>
                <w:color w:val="auto"/>
              </w:rPr>
              <w:t>Total</w:t>
            </w:r>
          </w:p>
        </w:tc>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76,522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By Currency</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3580" w:type="dxa"/>
            <w:vAlign w:val="bottom"/>
            <w:gridSpan w:val="5"/>
            <w:vMerge w:val="continue"/>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CHF</w:t>
            </w:r>
          </w:p>
        </w:tc>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19,812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2,517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EUR</w:t>
            </w:r>
          </w:p>
        </w:tc>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2,371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482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line="203" w:lineRule="exact"/>
              <w:rPr>
                <w:sz w:val="20"/>
                <w:szCs w:val="20"/>
                <w:color w:val="auto"/>
              </w:rPr>
            </w:pPr>
            <w:r>
              <w:rPr>
                <w:rFonts w:ascii="Arial" w:cs="Arial" w:eastAsia="Arial" w:hAnsi="Arial"/>
                <w:sz w:val="18"/>
                <w:szCs w:val="18"/>
                <w:color w:val="auto"/>
              </w:rPr>
              <w:t>USD</w:t>
            </w:r>
          </w:p>
        </w:tc>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54,339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307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Arial" w:cs="Arial" w:eastAsia="Arial" w:hAnsi="Arial"/>
                <w:sz w:val="18"/>
                <w:szCs w:val="18"/>
                <w:b w:val="1"/>
                <w:bCs w:val="1"/>
                <w:color w:val="auto"/>
              </w:rPr>
              <w:t>Total</w:t>
            </w:r>
          </w:p>
        </w:tc>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76,522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20" w:type="dxa"/>
            <w:vAlign w:val="bottom"/>
            <w:vMerge w:val="restart"/>
          </w:tcPr>
          <w:p>
            <w:pPr>
              <w:ind w:left="380"/>
              <w:spacing w:after="0"/>
              <w:rPr>
                <w:sz w:val="20"/>
                <w:szCs w:val="20"/>
                <w:color w:val="auto"/>
              </w:rPr>
            </w:pPr>
            <w:r>
              <w:rPr>
                <w:rFonts w:ascii="Arial" w:cs="Arial" w:eastAsia="Arial" w:hAnsi="Arial"/>
                <w:sz w:val="18"/>
                <w:szCs w:val="18"/>
                <w:color w:val="auto"/>
              </w:rPr>
              <w:t>6.</w:t>
            </w:r>
          </w:p>
        </w:tc>
        <w:tc>
          <w:tcPr>
            <w:tcW w:w="296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Trade receivables</w:t>
            </w: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20" w:type="dxa"/>
            <w:vAlign w:val="bottom"/>
            <w:vMerge w:val="continue"/>
          </w:tcPr>
          <w:p>
            <w:pPr>
              <w:spacing w:after="0"/>
              <w:rPr>
                <w:sz w:val="24"/>
                <w:szCs w:val="24"/>
                <w:color w:val="auto"/>
              </w:rPr>
            </w:pPr>
          </w:p>
        </w:tc>
        <w:tc>
          <w:tcPr>
            <w:tcW w:w="2960" w:type="dxa"/>
            <w:vAlign w:val="bottom"/>
            <w:gridSpan w:val="4"/>
            <w:vMerge w:val="continue"/>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9"/>
              </w:rPr>
              <w:t>As at 31 December,</w:t>
            </w:r>
          </w:p>
        </w:tc>
        <w:tc>
          <w:tcPr>
            <w:tcW w:w="0" w:type="dxa"/>
            <w:vAlign w:val="bottom"/>
          </w:tcPr>
          <w:p>
            <w:pPr>
              <w:spacing w:after="0"/>
              <w:rPr>
                <w:sz w:val="1"/>
                <w:szCs w:val="1"/>
                <w:color w:val="auto"/>
              </w:rPr>
            </w:pPr>
          </w:p>
        </w:tc>
      </w:tr>
      <w:tr>
        <w:trPr>
          <w:trHeight w:val="210"/>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00" w:type="dxa"/>
            <w:vAlign w:val="bottom"/>
            <w:tcBorders>
              <w:bottom w:val="single" w:sz="8" w:color="auto"/>
            </w:tcBorders>
            <w:gridSpan w:val="3"/>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98"/>
        </w:trPr>
        <w:tc>
          <w:tcPr>
            <w:tcW w:w="3580" w:type="dxa"/>
            <w:vAlign w:val="bottom"/>
            <w:gridSpan w:val="5"/>
          </w:tcPr>
          <w:p>
            <w:pPr>
              <w:spacing w:after="0"/>
              <w:rPr>
                <w:sz w:val="20"/>
                <w:szCs w:val="20"/>
                <w:color w:val="auto"/>
              </w:rPr>
            </w:pPr>
            <w:r>
              <w:rPr>
                <w:rFonts w:ascii="Arial" w:cs="Arial" w:eastAsia="Arial" w:hAnsi="Arial"/>
                <w:sz w:val="18"/>
                <w:szCs w:val="18"/>
                <w:color w:val="auto"/>
              </w:rPr>
              <w:t>Trade receivables</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5"/>
          </w:tcPr>
          <w:p>
            <w:pPr>
              <w:jc w:val="right"/>
              <w:ind w:right="20"/>
              <w:spacing w:after="0"/>
              <w:rPr>
                <w:sz w:val="20"/>
                <w:szCs w:val="20"/>
                <w:color w:val="auto"/>
              </w:rPr>
            </w:pPr>
            <w:r>
              <w:rPr>
                <w:rFonts w:ascii="Arial" w:cs="Arial" w:eastAsia="Arial" w:hAnsi="Arial"/>
                <w:sz w:val="18"/>
                <w:szCs w:val="18"/>
                <w:color w:val="auto"/>
              </w:rPr>
              <w:t>25'863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gridSpan w:val="5"/>
          </w:tcPr>
          <w:p>
            <w:pPr>
              <w:spacing w:after="0" w:line="202" w:lineRule="exact"/>
              <w:rPr>
                <w:sz w:val="20"/>
                <w:szCs w:val="20"/>
                <w:color w:val="auto"/>
              </w:rPr>
            </w:pPr>
            <w:r>
              <w:rPr>
                <w:rFonts w:ascii="Arial" w:cs="Arial" w:eastAsia="Arial" w:hAnsi="Arial"/>
                <w:sz w:val="18"/>
                <w:szCs w:val="18"/>
                <w:color w:val="auto"/>
              </w:rPr>
              <w:t>Third party receivables</w:t>
            </w: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80" w:type="dxa"/>
            <w:vAlign w:val="bottom"/>
            <w:gridSpan w:val="5"/>
          </w:tcPr>
          <w:p>
            <w:pPr>
              <w:spacing w:after="0" w:line="195" w:lineRule="exact"/>
              <w:rPr>
                <w:sz w:val="20"/>
                <w:szCs w:val="20"/>
                <w:color w:val="auto"/>
              </w:rPr>
            </w:pPr>
            <w:r>
              <w:rPr>
                <w:rFonts w:ascii="Arial" w:cs="Arial" w:eastAsia="Arial" w:hAnsi="Arial"/>
                <w:sz w:val="18"/>
                <w:szCs w:val="18"/>
                <w:color w:val="auto"/>
              </w:rPr>
              <w:t>Short-term financial receivables</w:t>
            </w:r>
          </w:p>
        </w:tc>
        <w:tc>
          <w:tcPr>
            <w:tcW w:w="150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20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5"/>
          </w:tcPr>
          <w:p>
            <w:pPr>
              <w:jc w:val="right"/>
              <w:ind w:right="20"/>
              <w:spacing w:after="0" w:line="195"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289</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Borders>
              <w:bottom w:val="single" w:sz="8" w:color="auto"/>
            </w:tcBorders>
            <w:gridSpan w:val="5"/>
          </w:tcPr>
          <w:p>
            <w:pPr>
              <w:jc w:val="right"/>
              <w:ind w:right="20"/>
              <w:spacing w:after="0" w:line="196" w:lineRule="exact"/>
              <w:rPr>
                <w:sz w:val="20"/>
                <w:szCs w:val="20"/>
                <w:color w:val="auto"/>
              </w:rPr>
            </w:pPr>
            <w:r>
              <w:rPr>
                <w:rFonts w:ascii="Arial" w:cs="Arial" w:eastAsia="Arial" w:hAnsi="Arial"/>
                <w:sz w:val="18"/>
                <w:szCs w:val="18"/>
                <w:color w:val="auto"/>
              </w:rPr>
              <w:t>25'935</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ind w:left="380"/>
              <w:spacing w:after="0"/>
              <w:rPr>
                <w:sz w:val="20"/>
                <w:szCs w:val="20"/>
                <w:color w:val="auto"/>
              </w:rPr>
            </w:pPr>
            <w:r>
              <w:rPr>
                <w:rFonts w:ascii="Arial" w:cs="Arial" w:eastAsia="Arial" w:hAnsi="Arial"/>
                <w:sz w:val="18"/>
                <w:szCs w:val="18"/>
                <w:color w:val="auto"/>
              </w:rPr>
              <w:t>7.</w:t>
            </w:r>
          </w:p>
        </w:tc>
        <w:tc>
          <w:tcPr>
            <w:tcW w:w="28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Prepaid expenses</w:t>
            </w:r>
          </w:p>
        </w:tc>
        <w:tc>
          <w:tcPr>
            <w:tcW w:w="100" w:type="dxa"/>
            <w:vAlign w:val="bottom"/>
            <w:tcBorders>
              <w:bottom w:val="single" w:sz="8" w:color="auto"/>
            </w:tcBorders>
            <w:gridSpan w:val="3"/>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0" w:type="dxa"/>
            <w:vAlign w:val="bottom"/>
            <w:vMerge w:val="continue"/>
          </w:tcPr>
          <w:p>
            <w:pPr>
              <w:spacing w:after="0"/>
              <w:rPr>
                <w:sz w:val="16"/>
                <w:szCs w:val="16"/>
                <w:color w:val="auto"/>
              </w:rPr>
            </w:pPr>
          </w:p>
        </w:tc>
        <w:tc>
          <w:tcPr>
            <w:tcW w:w="2860" w:type="dxa"/>
            <w:vAlign w:val="bottom"/>
            <w:vMerge w:val="continue"/>
          </w:tcPr>
          <w:p>
            <w:pPr>
              <w:spacing w:after="0"/>
              <w:rPr>
                <w:sz w:val="16"/>
                <w:szCs w:val="16"/>
                <w:color w:val="auto"/>
              </w:rPr>
            </w:pPr>
          </w:p>
        </w:tc>
        <w:tc>
          <w:tcPr>
            <w:tcW w:w="100" w:type="dxa"/>
            <w:vAlign w:val="bottom"/>
            <w:gridSpan w:val="3"/>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auto"/>
                <w:w w:val="99"/>
              </w:rPr>
              <w:t>As at 31 December,</w:t>
            </w:r>
          </w:p>
        </w:tc>
        <w:tc>
          <w:tcPr>
            <w:tcW w:w="0" w:type="dxa"/>
            <w:vAlign w:val="bottom"/>
          </w:tcPr>
          <w:p>
            <w:pPr>
              <w:spacing w:after="0"/>
              <w:rPr>
                <w:sz w:val="1"/>
                <w:szCs w:val="1"/>
                <w:color w:val="auto"/>
              </w:rPr>
            </w:pPr>
          </w:p>
        </w:tc>
      </w:tr>
      <w:tr>
        <w:trPr>
          <w:trHeight w:val="405"/>
        </w:trPr>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00" w:type="dxa"/>
            <w:vAlign w:val="bottom"/>
            <w:tcBorders>
              <w:bottom w:val="single" w:sz="8" w:color="auto"/>
            </w:tcBorders>
            <w:gridSpan w:val="3"/>
          </w:tcPr>
          <w:p>
            <w:pPr>
              <w:spacing w:after="0"/>
              <w:rPr>
                <w:sz w:val="18"/>
                <w:szCs w:val="18"/>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98"/>
        </w:trPr>
        <w:tc>
          <w:tcPr>
            <w:tcW w:w="3580" w:type="dxa"/>
            <w:vAlign w:val="bottom"/>
            <w:gridSpan w:val="5"/>
          </w:tcPr>
          <w:p>
            <w:pPr>
              <w:spacing w:after="0"/>
              <w:rPr>
                <w:sz w:val="20"/>
                <w:szCs w:val="20"/>
                <w:color w:val="auto"/>
              </w:rPr>
            </w:pPr>
            <w:r>
              <w:rPr>
                <w:rFonts w:ascii="Arial" w:cs="Arial" w:eastAsia="Arial" w:hAnsi="Arial"/>
                <w:sz w:val="18"/>
                <w:szCs w:val="18"/>
                <w:color w:val="auto"/>
              </w:rPr>
              <w:t>Prepaid expenses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80" w:type="dxa"/>
            <w:vAlign w:val="bottom"/>
            <w:gridSpan w:val="5"/>
          </w:tcPr>
          <w:p>
            <w:pPr>
              <w:spacing w:after="0" w:line="195" w:lineRule="exact"/>
              <w:rPr>
                <w:sz w:val="20"/>
                <w:szCs w:val="20"/>
                <w:color w:val="auto"/>
              </w:rPr>
            </w:pPr>
            <w:r>
              <w:rPr>
                <w:rFonts w:ascii="Arial" w:cs="Arial" w:eastAsia="Arial" w:hAnsi="Arial"/>
                <w:sz w:val="18"/>
                <w:szCs w:val="18"/>
                <w:color w:val="auto"/>
              </w:rPr>
              <w:t>Deferred offering costs</w:t>
            </w:r>
          </w:p>
        </w:tc>
        <w:tc>
          <w:tcPr>
            <w:tcW w:w="15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2'169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2'508</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373</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720" w:hanging="334"/>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Share capital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issued share capital amounting to CHF 928,050 is comprised of 46,402,500 shares.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7100" w:type="dxa"/>
            <w:vAlign w:val="bottom"/>
            <w:tcBorders>
              <w:bottom w:val="single" w:sz="8" w:color="auto"/>
            </w:tcBorders>
          </w:tcPr>
          <w:p>
            <w:pPr>
              <w:jc w:val="right"/>
              <w:ind w:right="505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215"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720" w:hanging="334"/>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Trade payables and accrued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2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8"/>
              </w:rPr>
              <w:t>As at 31 December,</w:t>
            </w:r>
          </w:p>
        </w:tc>
        <w:tc>
          <w:tcPr>
            <w:tcW w:w="0" w:type="dxa"/>
            <w:vAlign w:val="bottom"/>
          </w:tcPr>
          <w:p>
            <w:pPr>
              <w:spacing w:after="0"/>
              <w:rPr>
                <w:sz w:val="1"/>
                <w:szCs w:val="1"/>
                <w:color w:val="auto"/>
              </w:rPr>
            </w:pPr>
          </w:p>
        </w:tc>
      </w:tr>
      <w:tr>
        <w:trPr>
          <w:trHeight w:val="196"/>
        </w:trPr>
        <w:tc>
          <w:tcPr>
            <w:tcW w:w="35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2015</w:t>
            </w:r>
          </w:p>
        </w:tc>
        <w:tc>
          <w:tcPr>
            <w:tcW w:w="168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3580" w:type="dxa"/>
            <w:vAlign w:val="bottom"/>
            <w:gridSpan w:val="2"/>
          </w:tcPr>
          <w:p>
            <w:pPr>
              <w:spacing w:after="0" w:line="195" w:lineRule="exact"/>
              <w:rPr>
                <w:sz w:val="20"/>
                <w:szCs w:val="20"/>
                <w:color w:val="auto"/>
              </w:rPr>
            </w:pPr>
            <w:r>
              <w:rPr>
                <w:rFonts w:ascii="Arial" w:cs="Arial" w:eastAsia="Arial" w:hAnsi="Arial"/>
                <w:sz w:val="18"/>
                <w:szCs w:val="18"/>
                <w:color w:val="auto"/>
              </w:rPr>
              <w:t>Trade payables</w:t>
            </w: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1,719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Accrued R&amp;D costs</w:t>
            </w:r>
          </w:p>
        </w:tc>
        <w:tc>
          <w:tcPr>
            <w:tcW w:w="1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1,661</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Accrued payroll expenses</w:t>
            </w:r>
          </w:p>
        </w:tc>
        <w:tc>
          <w:tcPr>
            <w:tcW w:w="1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1,304</w:t>
            </w:r>
          </w:p>
        </w:tc>
        <w:tc>
          <w:tcPr>
            <w:tcW w:w="16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Other accrued expenses</w:t>
            </w:r>
          </w:p>
        </w:tc>
        <w:tc>
          <w:tcPr>
            <w:tcW w:w="1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1,372</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3" w:lineRule="exact"/>
              <w:rPr>
                <w:sz w:val="20"/>
                <w:szCs w:val="20"/>
                <w:color w:val="auto"/>
              </w:rPr>
            </w:pPr>
            <w:r>
              <w:rPr>
                <w:rFonts w:ascii="Arial" w:cs="Arial" w:eastAsia="Arial" w:hAnsi="Arial"/>
                <w:sz w:val="18"/>
                <w:szCs w:val="18"/>
                <w:color w:val="auto"/>
              </w:rPr>
              <w:t>Current portion of deferred Income</w:t>
            </w:r>
          </w:p>
        </w:tc>
        <w:tc>
          <w:tcPr>
            <w:tcW w:w="15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45</w:t>
            </w:r>
          </w:p>
        </w:tc>
        <w:tc>
          <w:tcPr>
            <w:tcW w:w="16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6,101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amounts due to pension fund as of closing date is CHF 1’606 (2014: CHF 10)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80" w:type="dxa"/>
            <w:vAlign w:val="bottom"/>
            <w:gridSpan w:val="2"/>
          </w:tcPr>
          <w:p>
            <w:pPr>
              <w:ind w:left="38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b w:val="1"/>
                <w:bCs w:val="1"/>
                <w:color w:val="auto"/>
              </w:rPr>
              <w:t>Revenues</w:t>
            </w: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52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As at 31 December,</w:t>
            </w:r>
          </w:p>
        </w:tc>
        <w:tc>
          <w:tcPr>
            <w:tcW w:w="0" w:type="dxa"/>
            <w:vAlign w:val="bottom"/>
          </w:tcPr>
          <w:p>
            <w:pPr>
              <w:spacing w:after="0"/>
              <w:rPr>
                <w:sz w:val="1"/>
                <w:szCs w:val="1"/>
                <w:color w:val="auto"/>
              </w:rPr>
            </w:pPr>
          </w:p>
        </w:tc>
      </w:tr>
      <w:tr>
        <w:trPr>
          <w:trHeight w:val="196"/>
        </w:trPr>
        <w:tc>
          <w:tcPr>
            <w:tcW w:w="35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2015</w:t>
            </w:r>
          </w:p>
        </w:tc>
        <w:tc>
          <w:tcPr>
            <w:tcW w:w="16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3580" w:type="dxa"/>
            <w:vAlign w:val="bottom"/>
            <w:gridSpan w:val="2"/>
          </w:tcPr>
          <w:p>
            <w:pPr>
              <w:spacing w:after="0" w:line="195" w:lineRule="exact"/>
              <w:rPr>
                <w:sz w:val="20"/>
                <w:szCs w:val="20"/>
                <w:color w:val="auto"/>
              </w:rPr>
            </w:pPr>
            <w:r>
              <w:rPr>
                <w:rFonts w:ascii="Arial" w:cs="Arial" w:eastAsia="Arial" w:hAnsi="Arial"/>
                <w:sz w:val="18"/>
                <w:szCs w:val="18"/>
                <w:color w:val="auto"/>
              </w:rPr>
              <w:t>Collaboration and license revenue</w:t>
            </w: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38,745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30,179</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Grant revenue</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316</w:t>
            </w:r>
          </w:p>
        </w:tc>
        <w:tc>
          <w:tcPr>
            <w:tcW w:w="40" w:type="dxa"/>
            <w:vAlign w:val="bottom"/>
          </w:tcPr>
          <w:p>
            <w:pPr>
              <w:spacing w:after="0"/>
              <w:rPr>
                <w:sz w:val="17"/>
                <w:szCs w:val="17"/>
                <w:color w:val="auto"/>
              </w:rPr>
            </w:pP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3" w:lineRule="exact"/>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39</w:t>
            </w:r>
          </w:p>
        </w:tc>
        <w:tc>
          <w:tcPr>
            <w:tcW w:w="16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720" w:hanging="334"/>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Shareholders rights and options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2015, the following shareholder rights (shares) and options were held by management or administrative bodies and employees: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In CHF thousand</w:t>
            </w:r>
          </w:p>
        </w:tc>
        <w:tc>
          <w:tcPr>
            <w:tcW w:w="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Shares</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Options</w:t>
            </w:r>
          </w:p>
        </w:tc>
        <w:tc>
          <w:tcPr>
            <w:tcW w:w="2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3580" w:type="dxa"/>
            <w:vAlign w:val="bottom"/>
            <w:gridSpan w:val="2"/>
          </w:tcPr>
          <w:p>
            <w:pPr>
              <w:spacing w:after="0"/>
              <w:rPr>
                <w:sz w:val="20"/>
                <w:szCs w:val="20"/>
                <w:color w:val="auto"/>
              </w:rPr>
            </w:pPr>
            <w:r>
              <w:rPr>
                <w:rFonts w:ascii="Arial" w:cs="Arial" w:eastAsia="Arial" w:hAnsi="Arial"/>
                <w:sz w:val="18"/>
                <w:szCs w:val="18"/>
                <w:color w:val="auto"/>
              </w:rPr>
              <w:t>Issued to Management and Board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14,198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10,148</w:t>
            </w:r>
          </w:p>
        </w:tc>
      </w:tr>
      <w:tr>
        <w:trPr>
          <w:trHeight w:val="203"/>
        </w:trPr>
        <w:tc>
          <w:tcPr>
            <w:tcW w:w="3580" w:type="dxa"/>
            <w:vAlign w:val="bottom"/>
            <w:gridSpan w:val="2"/>
          </w:tcPr>
          <w:p>
            <w:pPr>
              <w:spacing w:after="0" w:line="203" w:lineRule="exact"/>
              <w:rPr>
                <w:sz w:val="20"/>
                <w:szCs w:val="20"/>
                <w:color w:val="auto"/>
              </w:rPr>
            </w:pPr>
            <w:r>
              <w:rPr>
                <w:rFonts w:ascii="Arial" w:cs="Arial" w:eastAsia="Arial" w:hAnsi="Arial"/>
                <w:sz w:val="18"/>
                <w:szCs w:val="18"/>
                <w:color w:val="auto"/>
              </w:rPr>
              <w:t>Issued to employees</w:t>
            </w:r>
          </w:p>
        </w:tc>
        <w:tc>
          <w:tcPr>
            <w:tcW w:w="17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7,614</w:t>
            </w:r>
          </w:p>
        </w:tc>
        <w:tc>
          <w:tcPr>
            <w:tcW w:w="15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3,446</w:t>
            </w:r>
          </w:p>
        </w:tc>
      </w:tr>
      <w:tr>
        <w:trPr>
          <w:trHeight w:val="196"/>
        </w:trPr>
        <w:tc>
          <w:tcPr>
            <w:tcW w:w="35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21,812</w:t>
            </w:r>
          </w:p>
        </w:tc>
        <w:tc>
          <w:tcPr>
            <w:tcW w:w="200" w:type="dxa"/>
            <w:vAlign w:val="bottom"/>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13,594</w:t>
            </w:r>
          </w:p>
        </w:tc>
      </w:tr>
      <w:tr>
        <w:trPr>
          <w:trHeight w:val="21"/>
        </w:trPr>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0" w:lineRule="exact"/>
        <w:rPr>
          <w:sz w:val="20"/>
          <w:szCs w:val="20"/>
          <w:color w:val="auto"/>
        </w:rPr>
      </w:pPr>
    </w:p>
    <w:p>
      <w:pPr>
        <w:ind w:left="720" w:hanging="334"/>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Post balance sheet events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our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7100" w:type="dxa"/>
            <w:vAlign w:val="bottom"/>
            <w:tcBorders>
              <w:bottom w:val="single" w:sz="8" w:color="auto"/>
            </w:tcBorders>
          </w:tcPr>
          <w:p>
            <w:pPr>
              <w:jc w:val="right"/>
              <w:ind w:right="505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215"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activities on the PET imaging programs. ACI will retain all intellectual property rights to any PET product developed for further commercialization.</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7120" w:type="dxa"/>
            <w:vAlign w:val="bottom"/>
            <w:tcBorders>
              <w:bottom w:val="single" w:sz="8" w:color="auto"/>
            </w:tcBorders>
          </w:tcPr>
          <w:p>
            <w:pPr>
              <w:jc w:val="right"/>
              <w:ind w:right="499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21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285750</wp:posOffset>
            </wp:positionV>
            <wp:extent cx="3721735" cy="866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2173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To the General Meeting 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 Ecublens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Laney, 25 April 2016</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the statutory auditor on the financial statements</w:t>
      </w:r>
    </w:p>
    <w:p>
      <w:pPr>
        <w:spacing w:after="0" w:line="22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As statutory auditor, we have audited the accompanying financial statements of AC Immune SA, which comprise the balance sheet, income statement and notes, for the year ended 31 December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responsibility</w:t>
      </w:r>
    </w:p>
    <w:p>
      <w:pPr>
        <w:spacing w:after="0" w:line="1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Board of Directors is responsible for the preparation of the financial statements in accordance with the requirements of Swiss law and the company’s articles of incorporation. This responsibility includes designing, implementing and maintaining an internal control system relevant to the preparation of financial statements that are free from material misstatement, whether due to fraud or error. The Board of Directors is further responsible for selecting and applying appropriate accounting policies and making accounting estimates that are reasonable in the circumstances.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Swiss law and Swiss Auditing Standards. Those standards require that we plan and perform the audit to obtain reasonable assurance whether the financial statements are free from material misstatement.</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the internal control system relevant to the entity’s preparation of the financial statements in order to design audit procedures that are appropriate in the circumstances, but not for the purpose of expressing an opinion on the effectiveness of the entity’s internal control system. An audit also includes evaluating the appropriateness of the accounting policies used and the reasonableness of accounting estimates made, as well as evaluating the overall presentation of the financial statements. We believe that the audit evidence we have obtained is sufficient and appropriate to provide a basis for our audit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8" w:lineRule="exact"/>
        <w:rPr>
          <w:sz w:val="20"/>
          <w:szCs w:val="20"/>
          <w:color w:val="auto"/>
        </w:rPr>
      </w:pPr>
    </w:p>
    <w:p>
      <w:pPr>
        <w:ind w:right="1020"/>
        <w:spacing w:after="0" w:line="246" w:lineRule="auto"/>
        <w:rPr>
          <w:sz w:val="20"/>
          <w:szCs w:val="20"/>
          <w:color w:val="auto"/>
        </w:rPr>
      </w:pPr>
      <w:r>
        <w:rPr>
          <w:rFonts w:ascii="Arial" w:cs="Arial" w:eastAsia="Arial" w:hAnsi="Arial"/>
          <w:sz w:val="18"/>
          <w:szCs w:val="18"/>
          <w:color w:val="auto"/>
        </w:rPr>
        <w:t>In our opinion, the financial statements for the year ended 31 December 2015 comply with Swiss law and the company’s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883285" cy="848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883285" cy="848995"/>
                    </a:xfrm>
                    <a:prstGeom prst="rect">
                      <a:avLst/>
                    </a:prstGeom>
                    <a:noFill/>
                  </pic:spPr>
                </pic:pic>
              </a:graphicData>
            </a:graphic>
          </wp:anchor>
        </w:drawing>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on other legal requirements</w:t>
      </w:r>
    </w:p>
    <w:p>
      <w:pPr>
        <w:spacing w:after="0" w:line="22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confirm that we meet the legal requirements on licensing according to the Auditor Oversight Act (AOA) and independence (article 728 CO) and that there are no circumstances incompatible with our independence.</w:t>
      </w:r>
    </w:p>
    <w:p>
      <w:pPr>
        <w:spacing w:after="0" w:line="18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In accordance with article 728a paragraph 1 item 3 CO and Swiss Auditing Standard 890, we confirm that an internal control system exists, which has been designed for the preparation of financial statements according to the instructions of the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further confirm that the proposed appropriation of available earnings complies with Swiss law and the company’s articles of incorporation.</w:t>
      </w:r>
    </w:p>
    <w:p>
      <w:pPr>
        <w:spacing w:after="0"/>
        <w:rPr>
          <w:sz w:val="20"/>
          <w:szCs w:val="20"/>
          <w:color w:val="auto"/>
        </w:rPr>
      </w:pPr>
      <w:r>
        <w:rPr>
          <w:rFonts w:ascii="Arial" w:cs="Arial" w:eastAsia="Arial" w:hAnsi="Arial"/>
          <w:sz w:val="18"/>
          <w:szCs w:val="18"/>
          <w:color w:val="auto"/>
        </w:rPr>
        <w:t>We recommend that the financial statements submitted to you be approved.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Ltd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gridSpan w:val="3"/>
          </w:tcPr>
          <w:p>
            <w:pPr>
              <w:spacing w:after="0"/>
              <w:rPr>
                <w:sz w:val="20"/>
                <w:szCs w:val="20"/>
                <w:color w:val="auto"/>
              </w:rPr>
            </w:pPr>
            <w:r>
              <w:rPr>
                <w:rFonts w:ascii="Arial" w:cs="Arial" w:eastAsia="Arial" w:hAnsi="Arial"/>
                <w:sz w:val="18"/>
                <w:szCs w:val="18"/>
                <w:color w:val="auto"/>
              </w:rPr>
              <w:t>/s/ Mark Hawkins</w:t>
            </w:r>
          </w:p>
        </w:tc>
        <w:tc>
          <w:tcPr>
            <w:tcW w:w="3560" w:type="dxa"/>
            <w:vAlign w:val="bottom"/>
          </w:tcPr>
          <w:p>
            <w:pPr>
              <w:spacing w:after="0"/>
              <w:rPr>
                <w:sz w:val="20"/>
                <w:szCs w:val="20"/>
                <w:color w:val="auto"/>
              </w:rPr>
            </w:pPr>
            <w:r>
              <w:rPr>
                <w:rFonts w:ascii="Arial" w:cs="Arial" w:eastAsia="Arial" w:hAnsi="Arial"/>
                <w:sz w:val="18"/>
                <w:szCs w:val="18"/>
                <w:color w:val="auto"/>
              </w:rPr>
              <w:t>/s/ Chris Roberts</w:t>
            </w:r>
          </w:p>
        </w:tc>
      </w:tr>
      <w:tr>
        <w:trPr>
          <w:trHeight w:val="198"/>
        </w:trPr>
        <w:tc>
          <w:tcPr>
            <w:tcW w:w="20" w:type="dxa"/>
            <w:vAlign w:val="bottom"/>
          </w:tcPr>
          <w:p>
            <w:pPr>
              <w:spacing w:after="0"/>
              <w:rPr>
                <w:sz w:val="17"/>
                <w:szCs w:val="17"/>
                <w:color w:val="auto"/>
              </w:rPr>
            </w:pPr>
          </w:p>
        </w:tc>
        <w:tc>
          <w:tcPr>
            <w:tcW w:w="36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Mark Hawkins</w:t>
            </w:r>
          </w:p>
        </w:tc>
        <w:tc>
          <w:tcPr>
            <w:tcW w:w="740" w:type="dxa"/>
            <w:vAlign w:val="bottom"/>
          </w:tcPr>
          <w:p>
            <w:pPr>
              <w:spacing w:after="0"/>
              <w:rPr>
                <w:sz w:val="17"/>
                <w:szCs w:val="17"/>
                <w:color w:val="auto"/>
              </w:rPr>
            </w:pPr>
          </w:p>
        </w:tc>
        <w:tc>
          <w:tcPr>
            <w:tcW w:w="35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Chris Roberts</w:t>
            </w:r>
          </w:p>
        </w:tc>
      </w:tr>
    </w:tbl>
    <w:p>
      <w:pPr>
        <w:spacing w:after="0"/>
        <w:rPr>
          <w:sz w:val="20"/>
          <w:szCs w:val="20"/>
          <w:color w:val="auto"/>
        </w:rPr>
      </w:pPr>
      <w:r>
        <w:rPr>
          <w:rFonts w:ascii="Arial" w:cs="Arial" w:eastAsia="Arial" w:hAnsi="Arial"/>
          <w:sz w:val="16"/>
          <w:szCs w:val="16"/>
          <w:color w:val="auto"/>
        </w:rPr>
        <w:t>Licensed audit expert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(Auditor in charge)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Enclosures</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Financial statements (balance sheet, income statement and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120015" cy="85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8572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ind w:left="10300"/>
        <w:spacing w:after="0"/>
        <w:rPr>
          <w:sz w:val="20"/>
          <w:szCs w:val="20"/>
          <w:color w:val="auto"/>
        </w:rPr>
      </w:pPr>
      <w:r>
        <w:rPr>
          <w:rFonts w:ascii="Arial" w:cs="Arial" w:eastAsia="Arial" w:hAnsi="Arial"/>
          <w:sz w:val="19"/>
          <w:szCs w:val="19"/>
          <w:b w:val="1"/>
          <w:bCs w:val="1"/>
          <w:color w:val="auto"/>
        </w:rPr>
        <w:t>Exhibit 99.6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sz w:val="1"/>
          <w:szCs w:val="1"/>
          <w:color w:val="auto"/>
        </w:rPr>
        <w:drawing>
          <wp:inline distT="0" distB="0" distL="0" distR="0">
            <wp:extent cx="403225" cy="18034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6"/>
          <w:szCs w:val="36"/>
          <w:b w:val="1"/>
          <w:bCs w:val="1"/>
          <w:color w:val="auto"/>
        </w:rPr>
        <w:t xml:space="preserve"> Financial Statements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419100</wp:posOffset>
            </wp:positionV>
            <wp:extent cx="2950210" cy="926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5021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120" w:firstLine="1883"/>
        <w:spacing w:after="0" w:line="295" w:lineRule="auto"/>
        <w:rPr>
          <w:sz w:val="20"/>
          <w:szCs w:val="20"/>
          <w:color w:val="auto"/>
        </w:rPr>
      </w:pPr>
      <w:r>
        <w:rPr>
          <w:rFonts w:ascii="Arial" w:cs="Arial" w:eastAsia="Arial" w:hAnsi="Arial"/>
          <w:sz w:val="35"/>
          <w:szCs w:val="35"/>
          <w:b w:val="1"/>
          <w:bCs w:val="1"/>
          <w:color w:val="auto"/>
        </w:rPr>
        <w:t>Financial Statements (IFRS) as at and for the years ended December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5720" w:type="dxa"/>
        <w:tblCellMar>
          <w:top w:w="0" w:type="dxa"/>
          <w:left w:w="0" w:type="dxa"/>
          <w:bottom w:w="0" w:type="dxa"/>
          <w:right w:w="0" w:type="dxa"/>
        </w:tblCellMar>
      </w:tblPr>
      <w:tr>
        <w:trPr>
          <w:trHeight w:val="297"/>
        </w:trPr>
        <w:tc>
          <w:tcPr>
            <w:tcW w:w="4080" w:type="dxa"/>
            <w:vAlign w:val="bottom"/>
          </w:tcPr>
          <w:p>
            <w:pPr>
              <w:spacing w:after="0"/>
              <w:rPr>
                <w:sz w:val="20"/>
                <w:szCs w:val="20"/>
                <w:color w:val="auto"/>
              </w:rPr>
            </w:pPr>
            <w:r>
              <w:rPr>
                <w:rFonts w:ascii="Arial" w:cs="Arial" w:eastAsia="Arial" w:hAnsi="Arial"/>
                <w:sz w:val="25"/>
                <w:szCs w:val="25"/>
                <w:b w:val="1"/>
                <w:bCs w:val="1"/>
                <w:color w:val="auto"/>
              </w:rPr>
              <w:t>Financial Statements</w:t>
            </w:r>
          </w:p>
        </w:tc>
        <w:tc>
          <w:tcPr>
            <w:tcW w:w="1620" w:type="dxa"/>
            <w:vAlign w:val="bottom"/>
          </w:tcPr>
          <w:p>
            <w:pPr>
              <w:jc w:val="right"/>
              <w:spacing w:after="0"/>
              <w:rPr>
                <w:sz w:val="20"/>
                <w:szCs w:val="20"/>
                <w:color w:val="auto"/>
              </w:rPr>
            </w:pPr>
            <w:r>
              <w:rPr>
                <w:rFonts w:ascii="Arial" w:cs="Arial" w:eastAsia="Arial" w:hAnsi="Arial"/>
                <w:sz w:val="25"/>
                <w:szCs w:val="25"/>
                <w:b w:val="1"/>
                <w:bCs w:val="1"/>
                <w:color w:val="auto"/>
              </w:rPr>
              <w:t>2</w:t>
            </w:r>
          </w:p>
        </w:tc>
      </w:tr>
      <w:tr>
        <w:trPr>
          <w:trHeight w:val="297"/>
        </w:trPr>
        <w:tc>
          <w:tcPr>
            <w:tcW w:w="4080" w:type="dxa"/>
            <w:vAlign w:val="bottom"/>
          </w:tcPr>
          <w:p>
            <w:pPr>
              <w:spacing w:after="0"/>
              <w:rPr>
                <w:sz w:val="20"/>
                <w:szCs w:val="20"/>
                <w:color w:val="auto"/>
              </w:rPr>
            </w:pPr>
            <w:r>
              <w:rPr>
                <w:rFonts w:ascii="Arial" w:cs="Arial" w:eastAsia="Arial" w:hAnsi="Arial"/>
                <w:sz w:val="25"/>
                <w:szCs w:val="25"/>
                <w:b w:val="1"/>
                <w:bCs w:val="1"/>
                <w:color w:val="auto"/>
              </w:rPr>
              <w:t>Notes to the Financial</w:t>
            </w:r>
          </w:p>
        </w:tc>
        <w:tc>
          <w:tcPr>
            <w:tcW w:w="1620" w:type="dxa"/>
            <w:vAlign w:val="bottom"/>
          </w:tcPr>
          <w:p>
            <w:pPr>
              <w:jc w:val="right"/>
              <w:spacing w:after="0"/>
              <w:rPr>
                <w:sz w:val="20"/>
                <w:szCs w:val="20"/>
                <w:color w:val="auto"/>
              </w:rPr>
            </w:pPr>
            <w:r>
              <w:rPr>
                <w:rFonts w:ascii="Arial" w:cs="Arial" w:eastAsia="Arial" w:hAnsi="Arial"/>
                <w:sz w:val="25"/>
                <w:szCs w:val="25"/>
                <w:b w:val="1"/>
                <w:bCs w:val="1"/>
                <w:color w:val="auto"/>
              </w:rPr>
              <w:t>6</w:t>
            </w:r>
          </w:p>
        </w:tc>
      </w:tr>
      <w:tr>
        <w:trPr>
          <w:trHeight w:val="336"/>
        </w:trPr>
        <w:tc>
          <w:tcPr>
            <w:tcW w:w="4080" w:type="dxa"/>
            <w:vAlign w:val="bottom"/>
          </w:tcPr>
          <w:p>
            <w:pPr>
              <w:spacing w:after="0"/>
              <w:rPr>
                <w:sz w:val="20"/>
                <w:szCs w:val="20"/>
                <w:color w:val="auto"/>
              </w:rPr>
            </w:pPr>
            <w:r>
              <w:rPr>
                <w:rFonts w:ascii="Arial" w:cs="Arial" w:eastAsia="Arial" w:hAnsi="Arial"/>
                <w:sz w:val="25"/>
                <w:szCs w:val="25"/>
                <w:b w:val="1"/>
                <w:bCs w:val="1"/>
                <w:color w:val="auto"/>
              </w:rPr>
              <w:t>Statements</w:t>
            </w:r>
          </w:p>
        </w:tc>
        <w:tc>
          <w:tcPr>
            <w:tcW w:w="1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AC Immune SA</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EPFL Innovation Park</w:t>
      </w:r>
    </w:p>
    <w:p>
      <w:pPr>
        <w:jc w:val="right"/>
        <w:spacing w:after="0" w:line="234" w:lineRule="auto"/>
        <w:rPr>
          <w:sz w:val="20"/>
          <w:szCs w:val="20"/>
          <w:color w:val="auto"/>
        </w:rPr>
      </w:pPr>
      <w:r>
        <w:rPr>
          <w:rFonts w:ascii="Arial" w:cs="Arial" w:eastAsia="Arial" w:hAnsi="Arial"/>
          <w:sz w:val="18"/>
          <w:szCs w:val="18"/>
          <w:b w:val="1"/>
          <w:bCs w:val="1"/>
          <w:color w:val="auto"/>
        </w:rPr>
        <w:t>1015 Lausanne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Switzerland</w:t>
      </w:r>
    </w:p>
    <w:p>
      <w:pPr>
        <w:spacing w:after="0" w:line="30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-1905</wp:posOffset>
            </wp:positionV>
            <wp:extent cx="1260475"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60475" cy="27432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spacing w:after="0"/>
        <w:rPr>
          <w:sz w:val="20"/>
          <w:szCs w:val="20"/>
          <w:color w:val="auto"/>
        </w:rPr>
      </w:pPr>
      <w:r>
        <w:rPr>
          <w:sz w:val="1"/>
          <w:szCs w:val="1"/>
          <w:color w:val="auto"/>
        </w:rPr>
        <w:drawing>
          <wp:inline distT="0" distB="0" distL="0" distR="0">
            <wp:extent cx="403225" cy="18034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6"/>
          <w:szCs w:val="36"/>
          <w:b w:val="1"/>
          <w:bCs w:val="1"/>
          <w:color w:val="auto"/>
        </w:rPr>
        <w:t xml:space="preserve"> Financial Statements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Balance Sheets</w:t>
      </w:r>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586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06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For the Years Ended December 31,</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106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Notes</w:t>
            </w:r>
          </w:p>
        </w:tc>
        <w:tc>
          <w:tcPr>
            <w:tcW w:w="212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2015</w:t>
            </w:r>
          </w:p>
        </w:tc>
        <w:tc>
          <w:tcPr>
            <w:tcW w:w="14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412"/>
        </w:trPr>
        <w:tc>
          <w:tcPr>
            <w:tcW w:w="5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06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9"/>
              </w:rPr>
              <w:t>4</w:t>
            </w:r>
          </w:p>
        </w:tc>
        <w:tc>
          <w:tcPr>
            <w:tcW w:w="2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500</w:t>
            </w:r>
          </w:p>
        </w:tc>
        <w:tc>
          <w:tcPr>
            <w:tcW w:w="1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Arial" w:cs="Arial" w:eastAsia="Arial" w:hAnsi="Arial"/>
                <w:sz w:val="18"/>
                <w:szCs w:val="18"/>
                <w:color w:val="auto"/>
              </w:rPr>
              <w:t>Financial assets</w:t>
            </w:r>
          </w:p>
        </w:tc>
        <w:tc>
          <w:tcPr>
            <w:tcW w:w="1060" w:type="dxa"/>
            <w:vAlign w:val="bottom"/>
          </w:tcPr>
          <w:p>
            <w:pPr>
              <w:jc w:val="center"/>
              <w:ind w:right="270"/>
              <w:spacing w:after="0" w:line="203" w:lineRule="exact"/>
              <w:rPr>
                <w:sz w:val="20"/>
                <w:szCs w:val="20"/>
                <w:color w:val="auto"/>
              </w:rPr>
            </w:pPr>
            <w:r>
              <w:rPr>
                <w:rFonts w:ascii="Arial" w:cs="Arial" w:eastAsia="Arial" w:hAnsi="Arial"/>
                <w:sz w:val="18"/>
                <w:szCs w:val="18"/>
                <w:color w:val="auto"/>
                <w:w w:val="99"/>
              </w:rPr>
              <w:t>5</w:t>
            </w:r>
          </w:p>
        </w:tc>
        <w:tc>
          <w:tcPr>
            <w:tcW w:w="21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85</w:t>
            </w:r>
          </w:p>
        </w:tc>
        <w:tc>
          <w:tcPr>
            <w:tcW w:w="14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1060" w:type="dxa"/>
            <w:vAlign w:val="bottom"/>
          </w:tcPr>
          <w:p>
            <w:pPr>
              <w:spacing w:after="0"/>
              <w:rPr>
                <w:sz w:val="20"/>
                <w:szCs w:val="20"/>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585</w:t>
            </w:r>
          </w:p>
        </w:tc>
        <w:tc>
          <w:tcPr>
            <w:tcW w:w="1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398"/>
        </w:trPr>
        <w:tc>
          <w:tcPr>
            <w:tcW w:w="5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106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9"/>
              </w:rPr>
              <w:t>6</w:t>
            </w:r>
          </w:p>
        </w:tc>
        <w:tc>
          <w:tcPr>
            <w:tcW w:w="2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2'508</w:t>
            </w:r>
          </w:p>
        </w:tc>
        <w:tc>
          <w:tcPr>
            <w:tcW w:w="1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Accrued income</w:t>
            </w:r>
          </w:p>
        </w:tc>
        <w:tc>
          <w:tcPr>
            <w:tcW w:w="106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9"/>
              </w:rPr>
              <w:t>6</w:t>
            </w:r>
          </w:p>
        </w:tc>
        <w:tc>
          <w:tcPr>
            <w:tcW w:w="2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47</w:t>
            </w:r>
          </w:p>
        </w:tc>
        <w:tc>
          <w:tcPr>
            <w:tcW w:w="1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Other current receivables</w:t>
            </w:r>
          </w:p>
        </w:tc>
        <w:tc>
          <w:tcPr>
            <w:tcW w:w="106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9"/>
              </w:rPr>
              <w:t>7</w:t>
            </w:r>
          </w:p>
        </w:tc>
        <w:tc>
          <w:tcPr>
            <w:tcW w:w="2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269</w:t>
            </w:r>
          </w:p>
        </w:tc>
        <w:tc>
          <w:tcPr>
            <w:tcW w:w="1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Arial" w:cs="Arial" w:eastAsia="Arial" w:hAnsi="Arial"/>
                <w:sz w:val="18"/>
                <w:szCs w:val="18"/>
                <w:color w:val="auto"/>
              </w:rPr>
              <w:t>Cash and cash equivalents</w:t>
            </w:r>
          </w:p>
        </w:tc>
        <w:tc>
          <w:tcPr>
            <w:tcW w:w="1060" w:type="dxa"/>
            <w:vAlign w:val="bottom"/>
          </w:tcPr>
          <w:p>
            <w:pPr>
              <w:jc w:val="center"/>
              <w:ind w:right="270"/>
              <w:spacing w:after="0" w:line="203" w:lineRule="exact"/>
              <w:rPr>
                <w:sz w:val="20"/>
                <w:szCs w:val="20"/>
                <w:color w:val="auto"/>
              </w:rPr>
            </w:pPr>
            <w:r>
              <w:rPr>
                <w:rFonts w:ascii="Arial" w:cs="Arial" w:eastAsia="Arial" w:hAnsi="Arial"/>
                <w:sz w:val="18"/>
                <w:szCs w:val="18"/>
                <w:color w:val="auto"/>
                <w:w w:val="99"/>
              </w:rPr>
              <w:t>8</w:t>
            </w:r>
          </w:p>
        </w:tc>
        <w:tc>
          <w:tcPr>
            <w:tcW w:w="21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76'522</w:t>
            </w:r>
          </w:p>
        </w:tc>
        <w:tc>
          <w:tcPr>
            <w:tcW w:w="14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060" w:type="dxa"/>
            <w:vAlign w:val="bottom"/>
          </w:tcPr>
          <w:p>
            <w:pPr>
              <w:spacing w:after="0"/>
              <w:rPr>
                <w:sz w:val="20"/>
                <w:szCs w:val="20"/>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79'346</w:t>
            </w:r>
          </w:p>
        </w:tc>
        <w:tc>
          <w:tcPr>
            <w:tcW w:w="1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29'667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60" w:type="dxa"/>
            <w:vAlign w:val="bottom"/>
          </w:tcPr>
          <w:p>
            <w:pPr>
              <w:spacing w:after="0"/>
              <w:rPr>
                <w:sz w:val="24"/>
                <w:szCs w:val="24"/>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79'931</w:t>
            </w:r>
          </w:p>
        </w:tc>
        <w:tc>
          <w:tcPr>
            <w:tcW w:w="1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30'296</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8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Share capital</w:t>
            </w:r>
          </w:p>
        </w:tc>
        <w:tc>
          <w:tcPr>
            <w:tcW w:w="106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9"/>
              </w:rPr>
              <w:t>9</w:t>
            </w:r>
          </w:p>
        </w:tc>
        <w:tc>
          <w:tcPr>
            <w:tcW w:w="2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928</w:t>
            </w:r>
          </w:p>
        </w:tc>
        <w:tc>
          <w:tcPr>
            <w:tcW w:w="1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7"/>
        </w:trPr>
        <w:tc>
          <w:tcPr>
            <w:tcW w:w="5860" w:type="dxa"/>
            <w:vAlign w:val="bottom"/>
          </w:tcPr>
          <w:p>
            <w:pPr>
              <w:spacing w:after="0"/>
              <w:rPr>
                <w:sz w:val="20"/>
                <w:szCs w:val="20"/>
                <w:color w:val="auto"/>
              </w:rPr>
            </w:pPr>
            <w:r>
              <w:rPr>
                <w:rFonts w:ascii="Arial" w:cs="Arial" w:eastAsia="Arial" w:hAnsi="Arial"/>
                <w:sz w:val="18"/>
                <w:szCs w:val="18"/>
                <w:color w:val="auto"/>
              </w:rPr>
              <w:t>Share premium</w:t>
            </w:r>
          </w:p>
        </w:tc>
        <w:tc>
          <w:tcPr>
            <w:tcW w:w="106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110'496</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Accumulated losses</w:t>
            </w:r>
          </w:p>
        </w:tc>
        <w:tc>
          <w:tcPr>
            <w:tcW w:w="1060" w:type="dxa"/>
            <w:vAlign w:val="bottom"/>
          </w:tcPr>
          <w:p>
            <w:pPr>
              <w:spacing w:after="0"/>
              <w:rPr>
                <w:sz w:val="19"/>
                <w:szCs w:val="19"/>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(40'381)</w:t>
            </w:r>
          </w:p>
        </w:tc>
        <w:tc>
          <w:tcPr>
            <w:tcW w:w="1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060" w:type="dxa"/>
            <w:vAlign w:val="bottom"/>
          </w:tcPr>
          <w:p>
            <w:pPr>
              <w:spacing w:after="0"/>
              <w:rPr>
                <w:sz w:val="20"/>
                <w:szCs w:val="20"/>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71'043</w:t>
            </w:r>
          </w:p>
        </w:tc>
        <w:tc>
          <w:tcPr>
            <w:tcW w:w="1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23'467</w:t>
            </w:r>
          </w:p>
        </w:tc>
        <w:tc>
          <w:tcPr>
            <w:tcW w:w="0" w:type="dxa"/>
            <w:vAlign w:val="bottom"/>
          </w:tcPr>
          <w:p>
            <w:pPr>
              <w:spacing w:after="0"/>
              <w:rPr>
                <w:sz w:val="1"/>
                <w:szCs w:val="1"/>
                <w:color w:val="auto"/>
              </w:rPr>
            </w:pPr>
          </w:p>
        </w:tc>
      </w:tr>
      <w:tr>
        <w:trPr>
          <w:trHeight w:val="398"/>
        </w:trPr>
        <w:tc>
          <w:tcPr>
            <w:tcW w:w="58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0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Arial" w:cs="Arial" w:eastAsia="Arial" w:hAnsi="Arial"/>
                <w:sz w:val="18"/>
                <w:szCs w:val="18"/>
                <w:color w:val="auto"/>
              </w:rPr>
              <w:t>Net employee defined benefit liabilities</w:t>
            </w:r>
          </w:p>
        </w:tc>
        <w:tc>
          <w:tcPr>
            <w:tcW w:w="1060" w:type="dxa"/>
            <w:vAlign w:val="bottom"/>
          </w:tcPr>
          <w:p>
            <w:pPr>
              <w:jc w:val="center"/>
              <w:ind w:right="290"/>
              <w:spacing w:after="0" w:line="203" w:lineRule="exact"/>
              <w:rPr>
                <w:sz w:val="20"/>
                <w:szCs w:val="20"/>
                <w:color w:val="auto"/>
              </w:rPr>
            </w:pPr>
            <w:r>
              <w:rPr>
                <w:rFonts w:ascii="Arial" w:cs="Arial" w:eastAsia="Arial" w:hAnsi="Arial"/>
                <w:sz w:val="18"/>
                <w:szCs w:val="18"/>
                <w:color w:val="auto"/>
                <w:w w:val="99"/>
              </w:rPr>
              <w:t>15</w:t>
            </w:r>
          </w:p>
        </w:tc>
        <w:tc>
          <w:tcPr>
            <w:tcW w:w="21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2'787</w:t>
            </w:r>
          </w:p>
        </w:tc>
        <w:tc>
          <w:tcPr>
            <w:tcW w:w="14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1060" w:type="dxa"/>
            <w:vAlign w:val="bottom"/>
          </w:tcPr>
          <w:p>
            <w:pPr>
              <w:spacing w:after="0"/>
              <w:rPr>
                <w:sz w:val="20"/>
                <w:szCs w:val="20"/>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2'787</w:t>
            </w:r>
          </w:p>
        </w:tc>
        <w:tc>
          <w:tcPr>
            <w:tcW w:w="1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398"/>
        </w:trPr>
        <w:tc>
          <w:tcPr>
            <w:tcW w:w="58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Trade payables &amp; other payables</w:t>
            </w:r>
          </w:p>
        </w:tc>
        <w:tc>
          <w:tcPr>
            <w:tcW w:w="1060" w:type="dxa"/>
            <w:vAlign w:val="bottom"/>
          </w:tcPr>
          <w:p>
            <w:pPr>
              <w:jc w:val="center"/>
              <w:ind w:right="290"/>
              <w:spacing w:after="0" w:line="202" w:lineRule="exact"/>
              <w:rPr>
                <w:sz w:val="20"/>
                <w:szCs w:val="20"/>
                <w:color w:val="auto"/>
              </w:rPr>
            </w:pPr>
            <w:r>
              <w:rPr>
                <w:rFonts w:ascii="Arial" w:cs="Arial" w:eastAsia="Arial" w:hAnsi="Arial"/>
                <w:sz w:val="18"/>
                <w:szCs w:val="18"/>
                <w:color w:val="auto"/>
                <w:w w:val="99"/>
              </w:rPr>
              <w:t>10</w:t>
            </w:r>
          </w:p>
        </w:tc>
        <w:tc>
          <w:tcPr>
            <w:tcW w:w="2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1'719</w:t>
            </w:r>
          </w:p>
        </w:tc>
        <w:tc>
          <w:tcPr>
            <w:tcW w:w="1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060" w:type="dxa"/>
            <w:vAlign w:val="bottom"/>
          </w:tcPr>
          <w:p>
            <w:pPr>
              <w:jc w:val="center"/>
              <w:ind w:right="290"/>
              <w:spacing w:after="0" w:line="202" w:lineRule="exact"/>
              <w:rPr>
                <w:sz w:val="20"/>
                <w:szCs w:val="20"/>
                <w:color w:val="auto"/>
              </w:rPr>
            </w:pPr>
            <w:r>
              <w:rPr>
                <w:rFonts w:ascii="Arial" w:cs="Arial" w:eastAsia="Arial" w:hAnsi="Arial"/>
                <w:sz w:val="18"/>
                <w:szCs w:val="18"/>
                <w:color w:val="auto"/>
                <w:w w:val="99"/>
              </w:rPr>
              <w:t>10</w:t>
            </w:r>
          </w:p>
        </w:tc>
        <w:tc>
          <w:tcPr>
            <w:tcW w:w="2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4'337</w:t>
            </w:r>
          </w:p>
        </w:tc>
        <w:tc>
          <w:tcPr>
            <w:tcW w:w="1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Arial" w:cs="Arial" w:eastAsia="Arial" w:hAnsi="Arial"/>
                <w:sz w:val="18"/>
                <w:szCs w:val="18"/>
                <w:color w:val="auto"/>
              </w:rPr>
              <w:t>Deferred income</w:t>
            </w:r>
          </w:p>
        </w:tc>
        <w:tc>
          <w:tcPr>
            <w:tcW w:w="1060" w:type="dxa"/>
            <w:vAlign w:val="bottom"/>
          </w:tcPr>
          <w:p>
            <w:pPr>
              <w:jc w:val="center"/>
              <w:ind w:right="290"/>
              <w:spacing w:after="0" w:line="203" w:lineRule="exact"/>
              <w:rPr>
                <w:sz w:val="20"/>
                <w:szCs w:val="20"/>
                <w:color w:val="auto"/>
              </w:rPr>
            </w:pPr>
            <w:r>
              <w:rPr>
                <w:rFonts w:ascii="Arial" w:cs="Arial" w:eastAsia="Arial" w:hAnsi="Arial"/>
                <w:sz w:val="18"/>
                <w:szCs w:val="18"/>
                <w:color w:val="auto"/>
                <w:w w:val="99"/>
              </w:rPr>
              <w:t>10</w:t>
            </w:r>
          </w:p>
        </w:tc>
        <w:tc>
          <w:tcPr>
            <w:tcW w:w="21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45</w:t>
            </w:r>
          </w:p>
        </w:tc>
        <w:tc>
          <w:tcPr>
            <w:tcW w:w="14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10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6'101</w:t>
            </w:r>
          </w:p>
        </w:tc>
        <w:tc>
          <w:tcPr>
            <w:tcW w:w="340" w:type="dxa"/>
            <w:vAlign w:val="bottom"/>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4'419</w:t>
            </w:r>
          </w:p>
        </w:tc>
        <w:tc>
          <w:tcPr>
            <w:tcW w:w="0" w:type="dxa"/>
            <w:vAlign w:val="bottom"/>
          </w:tcPr>
          <w:p>
            <w:pPr>
              <w:spacing w:after="0"/>
              <w:rPr>
                <w:sz w:val="1"/>
                <w:szCs w:val="1"/>
                <w:color w:val="auto"/>
              </w:rPr>
            </w:pPr>
          </w:p>
        </w:tc>
      </w:tr>
      <w:tr>
        <w:trPr>
          <w:trHeight w:val="480"/>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60" w:type="dxa"/>
            <w:vAlign w:val="bottom"/>
          </w:tcPr>
          <w:p>
            <w:pPr>
              <w:spacing w:after="0"/>
              <w:rPr>
                <w:sz w:val="24"/>
                <w:szCs w:val="24"/>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8'888</w:t>
            </w:r>
          </w:p>
        </w:tc>
        <w:tc>
          <w:tcPr>
            <w:tcW w:w="1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6'829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060" w:type="dxa"/>
            <w:vAlign w:val="bottom"/>
          </w:tcPr>
          <w:p>
            <w:pPr>
              <w:spacing w:after="0"/>
              <w:rPr>
                <w:sz w:val="24"/>
                <w:szCs w:val="24"/>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79'931</w:t>
            </w:r>
          </w:p>
        </w:tc>
        <w:tc>
          <w:tcPr>
            <w:tcW w:w="1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30'296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0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26" w:name="page27"/>
    <w:bookmarkEnd w:id="26"/>
    <w:p>
      <w:pPr>
        <w:spacing w:after="0"/>
        <w:rPr>
          <w:sz w:val="20"/>
          <w:szCs w:val="20"/>
          <w:color w:val="auto"/>
        </w:rPr>
      </w:pPr>
      <w:r>
        <w:rPr>
          <w:sz w:val="1"/>
          <w:szCs w:val="1"/>
          <w:color w:val="auto"/>
        </w:rPr>
        <w:drawing>
          <wp:inline distT="0" distB="0" distL="0" distR="0">
            <wp:extent cx="403225" cy="18034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6"/>
          <w:szCs w:val="36"/>
          <w:b w:val="1"/>
          <w:bCs w:val="1"/>
          <w:color w:val="auto"/>
        </w:rPr>
        <w:t xml:space="preserve"> Financial Statements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Income Statements</w:t>
      </w:r>
    </w:p>
    <w:p>
      <w:pPr>
        <w:spacing w:after="0" w:line="1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20" w:type="dxa"/>
            <w:vAlign w:val="bottom"/>
            <w:gridSpan w:val="3"/>
          </w:tcPr>
          <w:p>
            <w:pPr>
              <w:ind w:left="440"/>
              <w:spacing w:after="0"/>
              <w:rPr>
                <w:sz w:val="20"/>
                <w:szCs w:val="20"/>
                <w:color w:val="auto"/>
              </w:rPr>
            </w:pPr>
            <w:r>
              <w:rPr>
                <w:rFonts w:ascii="Arial" w:cs="Arial" w:eastAsia="Arial" w:hAnsi="Arial"/>
                <w:sz w:val="18"/>
                <w:szCs w:val="18"/>
                <w:b w:val="1"/>
                <w:bCs w:val="1"/>
                <w:color w:val="auto"/>
                <w:w w:val="99"/>
              </w:rPr>
              <w:t>For the Years Ended December 31,</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60" w:type="dxa"/>
            <w:vAlign w:val="bottom"/>
          </w:tcPr>
          <w:p>
            <w:pPr>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04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Notes</w:t>
            </w:r>
          </w:p>
        </w:tc>
        <w:tc>
          <w:tcPr>
            <w:tcW w:w="2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1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58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0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Arial" w:cs="Arial" w:eastAsia="Arial" w:hAnsi="Arial"/>
                <w:sz w:val="18"/>
                <w:szCs w:val="18"/>
                <w:color w:val="auto"/>
              </w:rPr>
              <w:t>Contract revenue</w:t>
            </w:r>
          </w:p>
        </w:tc>
        <w:tc>
          <w:tcPr>
            <w:tcW w:w="1040" w:type="dxa"/>
            <w:vAlign w:val="bottom"/>
          </w:tcPr>
          <w:p>
            <w:pPr>
              <w:jc w:val="center"/>
              <w:ind w:right="270"/>
              <w:spacing w:after="0" w:line="203" w:lineRule="exact"/>
              <w:rPr>
                <w:sz w:val="20"/>
                <w:szCs w:val="20"/>
                <w:color w:val="auto"/>
              </w:rPr>
            </w:pPr>
            <w:r>
              <w:rPr>
                <w:rFonts w:ascii="Arial" w:cs="Arial" w:eastAsia="Arial" w:hAnsi="Arial"/>
                <w:sz w:val="18"/>
                <w:szCs w:val="18"/>
                <w:color w:val="auto"/>
                <w:w w:val="99"/>
              </w:rPr>
              <w:t>11</w:t>
            </w:r>
          </w:p>
        </w:tc>
        <w:tc>
          <w:tcPr>
            <w:tcW w:w="2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39'090</w:t>
            </w:r>
          </w:p>
        </w:tc>
        <w:tc>
          <w:tcPr>
            <w:tcW w:w="12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30'269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040" w:type="dxa"/>
            <w:vAlign w:val="bottom"/>
          </w:tcPr>
          <w:p>
            <w:pPr>
              <w:spacing w:after="0"/>
              <w:rPr>
                <w:sz w:val="20"/>
                <w:szCs w:val="20"/>
                <w:color w:val="auto"/>
              </w:rPr>
            </w:pPr>
          </w:p>
        </w:tc>
        <w:tc>
          <w:tcPr>
            <w:tcW w:w="2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39'090</w:t>
            </w:r>
          </w:p>
        </w:tc>
        <w:tc>
          <w:tcPr>
            <w:tcW w:w="1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30'269</w:t>
            </w:r>
          </w:p>
        </w:tc>
        <w:tc>
          <w:tcPr>
            <w:tcW w:w="0" w:type="dxa"/>
            <w:vAlign w:val="bottom"/>
          </w:tcPr>
          <w:p>
            <w:pPr>
              <w:spacing w:after="0"/>
              <w:rPr>
                <w:sz w:val="1"/>
                <w:szCs w:val="1"/>
                <w:color w:val="auto"/>
              </w:rPr>
            </w:pPr>
          </w:p>
        </w:tc>
      </w:tr>
      <w:tr>
        <w:trPr>
          <w:trHeight w:val="398"/>
        </w:trPr>
        <w:tc>
          <w:tcPr>
            <w:tcW w:w="58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Research &amp; development expenses</w:t>
            </w:r>
          </w:p>
        </w:tc>
        <w:tc>
          <w:tcPr>
            <w:tcW w:w="104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9"/>
              </w:rPr>
              <w:t>12</w:t>
            </w:r>
          </w:p>
        </w:tc>
        <w:tc>
          <w:tcPr>
            <w:tcW w:w="2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(17'049)</w:t>
            </w:r>
          </w:p>
        </w:tc>
        <w:tc>
          <w:tcPr>
            <w:tcW w:w="128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Arial" w:cs="Arial" w:eastAsia="Arial" w:hAnsi="Arial"/>
                <w:sz w:val="18"/>
                <w:szCs w:val="18"/>
                <w:color w:val="auto"/>
              </w:rPr>
              <w:t>General &amp; administrative expenses</w:t>
            </w:r>
          </w:p>
        </w:tc>
        <w:tc>
          <w:tcPr>
            <w:tcW w:w="1040" w:type="dxa"/>
            <w:vAlign w:val="bottom"/>
          </w:tcPr>
          <w:p>
            <w:pPr>
              <w:jc w:val="center"/>
              <w:ind w:right="270"/>
              <w:spacing w:after="0" w:line="203" w:lineRule="exact"/>
              <w:rPr>
                <w:sz w:val="20"/>
                <w:szCs w:val="20"/>
                <w:color w:val="auto"/>
              </w:rPr>
            </w:pPr>
            <w:r>
              <w:rPr>
                <w:rFonts w:ascii="Arial" w:cs="Arial" w:eastAsia="Arial" w:hAnsi="Arial"/>
                <w:sz w:val="18"/>
                <w:szCs w:val="18"/>
                <w:color w:val="auto"/>
                <w:w w:val="99"/>
              </w:rPr>
              <w:t>12</w:t>
            </w:r>
          </w:p>
        </w:tc>
        <w:tc>
          <w:tcPr>
            <w:tcW w:w="2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(3'417)</w:t>
            </w:r>
          </w:p>
        </w:tc>
        <w:tc>
          <w:tcPr>
            <w:tcW w:w="12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(3'436)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040" w:type="dxa"/>
            <w:vAlign w:val="bottom"/>
          </w:tcPr>
          <w:p>
            <w:pPr>
              <w:spacing w:after="0"/>
              <w:rPr>
                <w:sz w:val="20"/>
                <w:szCs w:val="20"/>
                <w:color w:val="auto"/>
              </w:rPr>
            </w:pPr>
          </w:p>
        </w:tc>
        <w:tc>
          <w:tcPr>
            <w:tcW w:w="2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(20'466)</w:t>
            </w:r>
          </w:p>
        </w:tc>
        <w:tc>
          <w:tcPr>
            <w:tcW w:w="1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(19'552)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tcPr>
          <w:p>
            <w:pPr>
              <w:spacing w:after="0"/>
              <w:rPr>
                <w:sz w:val="20"/>
                <w:szCs w:val="20"/>
                <w:color w:val="auto"/>
              </w:rPr>
            </w:pPr>
          </w:p>
        </w:tc>
        <w:tc>
          <w:tcPr>
            <w:tcW w:w="2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18'624</w:t>
            </w:r>
          </w:p>
        </w:tc>
        <w:tc>
          <w:tcPr>
            <w:tcW w:w="1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10'717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860" w:type="dxa"/>
            <w:vAlign w:val="bottom"/>
          </w:tcPr>
          <w:p>
            <w:pPr>
              <w:spacing w:after="0"/>
              <w:rPr>
                <w:sz w:val="20"/>
                <w:szCs w:val="20"/>
                <w:color w:val="auto"/>
              </w:rPr>
            </w:pPr>
            <w:r>
              <w:rPr>
                <w:rFonts w:ascii="Arial" w:cs="Arial" w:eastAsia="Arial" w:hAnsi="Arial"/>
                <w:sz w:val="18"/>
                <w:szCs w:val="18"/>
                <w:color w:val="auto"/>
              </w:rPr>
              <w:t>Finance income</w:t>
            </w:r>
          </w:p>
        </w:tc>
        <w:tc>
          <w:tcPr>
            <w:tcW w:w="1040" w:type="dxa"/>
            <w:vAlign w:val="bottom"/>
          </w:tcPr>
          <w:p>
            <w:pPr>
              <w:spacing w:after="0"/>
              <w:rPr>
                <w:sz w:val="24"/>
                <w:szCs w:val="24"/>
                <w:color w:val="auto"/>
              </w:rPr>
            </w:pPr>
          </w:p>
        </w:tc>
        <w:tc>
          <w:tcPr>
            <w:tcW w:w="2140" w:type="dxa"/>
            <w:vAlign w:val="bottom"/>
            <w:gridSpan w:val="2"/>
          </w:tcPr>
          <w:p>
            <w:pPr>
              <w:jc w:val="right"/>
              <w:ind w:right="340"/>
              <w:spacing w:after="0"/>
              <w:rPr>
                <w:sz w:val="20"/>
                <w:szCs w:val="20"/>
                <w:color w:val="auto"/>
              </w:rPr>
            </w:pPr>
            <w:r>
              <w:rPr>
                <w:rFonts w:ascii="Arial" w:cs="Arial" w:eastAsia="Arial" w:hAnsi="Arial"/>
                <w:sz w:val="18"/>
                <w:szCs w:val="18"/>
                <w:color w:val="auto"/>
              </w:rPr>
              <w:t>1'617</w:t>
            </w:r>
          </w:p>
        </w:tc>
        <w:tc>
          <w:tcPr>
            <w:tcW w:w="1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7"/>
                <w:szCs w:val="17"/>
                <w:color w:val="auto"/>
              </w:rPr>
            </w:pPr>
          </w:p>
        </w:tc>
        <w:tc>
          <w:tcPr>
            <w:tcW w:w="2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55</w:t>
            </w:r>
          </w:p>
        </w:tc>
        <w:tc>
          <w:tcPr>
            <w:tcW w:w="128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Arial" w:cs="Arial" w:eastAsia="Arial" w:hAnsi="Arial"/>
                <w:sz w:val="18"/>
                <w:szCs w:val="18"/>
                <w:color w:val="auto"/>
              </w:rPr>
              <w:t>Finance costs</w:t>
            </w:r>
          </w:p>
        </w:tc>
        <w:tc>
          <w:tcPr>
            <w:tcW w:w="1040" w:type="dxa"/>
            <w:vAlign w:val="bottom"/>
          </w:tcPr>
          <w:p>
            <w:pPr>
              <w:spacing w:after="0"/>
              <w:rPr>
                <w:sz w:val="17"/>
                <w:szCs w:val="17"/>
                <w:color w:val="auto"/>
              </w:rPr>
            </w:pPr>
          </w:p>
        </w:tc>
        <w:tc>
          <w:tcPr>
            <w:tcW w:w="2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(26)</w:t>
            </w:r>
          </w:p>
        </w:tc>
        <w:tc>
          <w:tcPr>
            <w:tcW w:w="12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60" w:type="dxa"/>
            <w:vAlign w:val="bottom"/>
          </w:tcPr>
          <w:p>
            <w:pPr>
              <w:spacing w:after="0"/>
              <w:rPr>
                <w:sz w:val="20"/>
                <w:szCs w:val="20"/>
                <w:color w:val="auto"/>
              </w:rPr>
            </w:pPr>
            <w:r>
              <w:rPr>
                <w:rFonts w:ascii="Arial" w:cs="Arial" w:eastAsia="Arial" w:hAnsi="Arial"/>
                <w:sz w:val="18"/>
                <w:szCs w:val="18"/>
                <w:b w:val="1"/>
                <w:bCs w:val="1"/>
                <w:color w:val="auto"/>
              </w:rPr>
              <w:t>Finance result, net</w:t>
            </w:r>
          </w:p>
        </w:tc>
        <w:tc>
          <w:tcPr>
            <w:tcW w:w="1040" w:type="dxa"/>
            <w:vAlign w:val="bottom"/>
            <w:tcBorders>
              <w:top w:val="single" w:sz="8" w:color="auto"/>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1'646</w:t>
            </w:r>
          </w:p>
        </w:tc>
        <w:tc>
          <w:tcPr>
            <w:tcW w:w="340" w:type="dxa"/>
            <w:vAlign w:val="bottom"/>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60" w:type="dxa"/>
            <w:vAlign w:val="bottom"/>
          </w:tcPr>
          <w:p>
            <w:pPr>
              <w:spacing w:after="0"/>
              <w:rPr>
                <w:sz w:val="20"/>
                <w:szCs w:val="20"/>
                <w:color w:val="auto"/>
              </w:rPr>
            </w:pPr>
            <w:r>
              <w:rPr>
                <w:rFonts w:ascii="Arial" w:cs="Arial" w:eastAsia="Arial" w:hAnsi="Arial"/>
                <w:sz w:val="18"/>
                <w:szCs w:val="18"/>
                <w:b w:val="1"/>
                <w:bCs w:val="1"/>
                <w:color w:val="auto"/>
              </w:rPr>
              <w:t>Income before tax</w:t>
            </w:r>
          </w:p>
        </w:tc>
        <w:tc>
          <w:tcPr>
            <w:tcW w:w="1040" w:type="dxa"/>
            <w:vAlign w:val="bottom"/>
          </w:tcPr>
          <w:p>
            <w:pPr>
              <w:spacing w:after="0"/>
              <w:rPr>
                <w:sz w:val="24"/>
                <w:szCs w:val="24"/>
                <w:color w:val="auto"/>
              </w:rPr>
            </w:pPr>
          </w:p>
        </w:tc>
        <w:tc>
          <w:tcPr>
            <w:tcW w:w="2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20'270</w:t>
            </w:r>
          </w:p>
        </w:tc>
        <w:tc>
          <w:tcPr>
            <w:tcW w:w="12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Income tax expense</w:t>
            </w:r>
          </w:p>
        </w:tc>
        <w:tc>
          <w:tcPr>
            <w:tcW w:w="1040" w:type="dxa"/>
            <w:vAlign w:val="bottom"/>
            <w:tcBorders>
              <w:top w:val="single" w:sz="8" w:color="auto"/>
              <w:bottom w:val="single" w:sz="8" w:color="auto"/>
            </w:tcBorders>
          </w:tcPr>
          <w:p>
            <w:pPr>
              <w:jc w:val="center"/>
              <w:ind w:right="270"/>
              <w:spacing w:after="0" w:line="196" w:lineRule="exact"/>
              <w:rPr>
                <w:sz w:val="20"/>
                <w:szCs w:val="20"/>
                <w:color w:val="auto"/>
              </w:rPr>
            </w:pPr>
            <w:r>
              <w:rPr>
                <w:rFonts w:ascii="Arial" w:cs="Arial" w:eastAsia="Arial" w:hAnsi="Arial"/>
                <w:sz w:val="18"/>
                <w:szCs w:val="18"/>
                <w:color w:val="auto"/>
                <w:w w:val="99"/>
              </w:rPr>
              <w:t>14</w:t>
            </w:r>
          </w:p>
        </w:tc>
        <w:tc>
          <w:tcPr>
            <w:tcW w:w="18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b w:val="1"/>
                <w:bCs w:val="1"/>
                <w:color w:val="auto"/>
              </w:rPr>
              <w:t>Income for the period</w:t>
            </w:r>
          </w:p>
        </w:tc>
        <w:tc>
          <w:tcPr>
            <w:tcW w:w="1040" w:type="dxa"/>
            <w:vAlign w:val="bottom"/>
          </w:tcPr>
          <w:p>
            <w:pPr>
              <w:spacing w:after="0"/>
              <w:rPr>
                <w:sz w:val="20"/>
                <w:szCs w:val="20"/>
                <w:color w:val="auto"/>
              </w:rPr>
            </w:pPr>
          </w:p>
        </w:tc>
        <w:tc>
          <w:tcPr>
            <w:tcW w:w="2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20'270</w:t>
            </w:r>
          </w:p>
        </w:tc>
        <w:tc>
          <w:tcPr>
            <w:tcW w:w="1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Earnings per share (EPS):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Basic, income for the period attributable to equity holders</w:t>
            </w:r>
          </w:p>
        </w:tc>
        <w:tc>
          <w:tcPr>
            <w:tcW w:w="1040" w:type="dxa"/>
            <w:vAlign w:val="bottom"/>
          </w:tcPr>
          <w:p>
            <w:pPr>
              <w:spacing w:after="0"/>
              <w:rPr>
                <w:sz w:val="17"/>
                <w:szCs w:val="17"/>
                <w:color w:val="auto"/>
              </w:rPr>
            </w:pPr>
          </w:p>
        </w:tc>
        <w:tc>
          <w:tcPr>
            <w:tcW w:w="2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0.47</w:t>
            </w:r>
          </w:p>
        </w:tc>
        <w:tc>
          <w:tcPr>
            <w:tcW w:w="1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Diluted, income for the period attributable to equity holders</w:t>
            </w:r>
          </w:p>
        </w:tc>
        <w:tc>
          <w:tcPr>
            <w:tcW w:w="1040" w:type="dxa"/>
            <w:vAlign w:val="bottom"/>
          </w:tcPr>
          <w:p>
            <w:pPr>
              <w:spacing w:after="0"/>
              <w:rPr>
                <w:sz w:val="17"/>
                <w:szCs w:val="17"/>
                <w:color w:val="auto"/>
              </w:rPr>
            </w:pPr>
          </w:p>
        </w:tc>
        <w:tc>
          <w:tcPr>
            <w:tcW w:w="2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0.44</w:t>
            </w:r>
          </w:p>
        </w:tc>
        <w:tc>
          <w:tcPr>
            <w:tcW w:w="1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Weighted-average number of shares used to compute EPS basic</w:t>
            </w:r>
          </w:p>
        </w:tc>
        <w:tc>
          <w:tcPr>
            <w:tcW w:w="1040" w:type="dxa"/>
            <w:vAlign w:val="bottom"/>
          </w:tcPr>
          <w:p>
            <w:pPr>
              <w:spacing w:after="0"/>
              <w:rPr>
                <w:sz w:val="17"/>
                <w:szCs w:val="17"/>
                <w:color w:val="auto"/>
              </w:rPr>
            </w:pPr>
          </w:p>
        </w:tc>
        <w:tc>
          <w:tcPr>
            <w:tcW w:w="2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43'412'250</w:t>
            </w:r>
          </w:p>
        </w:tc>
        <w:tc>
          <w:tcPr>
            <w:tcW w:w="128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42'684'750</w:t>
            </w:r>
          </w:p>
        </w:tc>
        <w:tc>
          <w:tcPr>
            <w:tcW w:w="0" w:type="dxa"/>
            <w:vAlign w:val="bottom"/>
          </w:tcPr>
          <w:p>
            <w:pPr>
              <w:spacing w:after="0"/>
              <w:rPr>
                <w:sz w:val="1"/>
                <w:szCs w:val="1"/>
                <w:color w:val="auto"/>
              </w:rPr>
            </w:pPr>
          </w:p>
        </w:tc>
      </w:tr>
      <w:tr>
        <w:trPr>
          <w:trHeight w:val="217"/>
        </w:trPr>
        <w:tc>
          <w:tcPr>
            <w:tcW w:w="586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1040" w:type="dxa"/>
            <w:vAlign w:val="bottom"/>
          </w:tcPr>
          <w:p>
            <w:pPr>
              <w:spacing w:after="0"/>
              <w:rPr>
                <w:sz w:val="18"/>
                <w:szCs w:val="18"/>
                <w:color w:val="auto"/>
              </w:rPr>
            </w:pPr>
          </w:p>
        </w:tc>
        <w:tc>
          <w:tcPr>
            <w:tcW w:w="2140" w:type="dxa"/>
            <w:vAlign w:val="bottom"/>
            <w:gridSpan w:val="2"/>
          </w:tcPr>
          <w:p>
            <w:pPr>
              <w:jc w:val="right"/>
              <w:ind w:right="340"/>
              <w:spacing w:after="0"/>
              <w:rPr>
                <w:sz w:val="20"/>
                <w:szCs w:val="20"/>
                <w:color w:val="auto"/>
              </w:rPr>
            </w:pPr>
            <w:r>
              <w:rPr>
                <w:rFonts w:ascii="Arial" w:cs="Arial" w:eastAsia="Arial" w:hAnsi="Arial"/>
                <w:sz w:val="18"/>
                <w:szCs w:val="18"/>
                <w:color w:val="auto"/>
              </w:rPr>
              <w:t>46'043'198</w:t>
            </w:r>
          </w:p>
        </w:tc>
        <w:tc>
          <w:tcPr>
            <w:tcW w:w="1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45'552'500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Statements of Comprehensive Income</w:t>
      </w:r>
    </w:p>
    <w:p>
      <w:pPr>
        <w:spacing w:after="0" w:line="36"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39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vMerge w:val="continue"/>
          </w:tcPr>
          <w:p>
            <w:pPr>
              <w:spacing w:after="0"/>
              <w:rPr>
                <w:sz w:val="17"/>
                <w:szCs w:val="17"/>
                <w:color w:val="auto"/>
              </w:rPr>
            </w:pPr>
          </w:p>
        </w:tc>
        <w:tc>
          <w:tcPr>
            <w:tcW w:w="250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2015</w:t>
            </w:r>
          </w:p>
        </w:tc>
        <w:tc>
          <w:tcPr>
            <w:tcW w:w="14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0" w:type="dxa"/>
            <w:vAlign w:val="bottom"/>
          </w:tcPr>
          <w:p>
            <w:pPr>
              <w:spacing w:after="0"/>
              <w:rPr>
                <w:sz w:val="20"/>
                <w:szCs w:val="20"/>
                <w:color w:val="auto"/>
              </w:rPr>
            </w:pPr>
            <w:r>
              <w:rPr>
                <w:rFonts w:ascii="Arial" w:cs="Arial" w:eastAsia="Arial" w:hAnsi="Arial"/>
                <w:sz w:val="18"/>
                <w:szCs w:val="18"/>
                <w:b w:val="1"/>
                <w:bCs w:val="1"/>
                <w:color w:val="auto"/>
              </w:rPr>
              <w:t>Income for the period</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20'270</w:t>
            </w:r>
          </w:p>
        </w:tc>
        <w:tc>
          <w:tcPr>
            <w:tcW w:w="1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369"/>
        </w:trPr>
        <w:tc>
          <w:tcPr>
            <w:tcW w:w="6400" w:type="dxa"/>
            <w:vAlign w:val="bottom"/>
          </w:tcPr>
          <w:p>
            <w:pPr>
              <w:spacing w:after="0"/>
              <w:rPr>
                <w:sz w:val="20"/>
                <w:szCs w:val="20"/>
                <w:color w:val="auto"/>
              </w:rPr>
            </w:pPr>
            <w:r>
              <w:rPr>
                <w:rFonts w:ascii="Arial" w:cs="Arial" w:eastAsia="Arial" w:hAnsi="Arial"/>
                <w:sz w:val="18"/>
                <w:szCs w:val="18"/>
                <w:b w:val="1"/>
                <w:bCs w:val="1"/>
                <w:color w:val="auto"/>
              </w:rPr>
              <w:t>Other comprehensive income not to be reclassified to income or loss in</w:t>
            </w: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400" w:type="dxa"/>
            <w:vAlign w:val="bottom"/>
          </w:tcPr>
          <w:p>
            <w:pPr>
              <w:spacing w:after="0"/>
              <w:rPr>
                <w:sz w:val="20"/>
                <w:szCs w:val="20"/>
                <w:color w:val="auto"/>
              </w:rPr>
            </w:pPr>
            <w:r>
              <w:rPr>
                <w:rFonts w:ascii="Arial" w:cs="Arial" w:eastAsia="Arial" w:hAnsi="Arial"/>
                <w:sz w:val="18"/>
                <w:szCs w:val="18"/>
                <w:b w:val="1"/>
                <w:bCs w:val="1"/>
                <w:color w:val="auto"/>
              </w:rPr>
              <w:t>subsequent periods (net of tax)</w:t>
            </w: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8"/>
                <w:szCs w:val="18"/>
                <w:color w:val="auto"/>
              </w:rPr>
              <w:t>- Re-measurement losses on defined benefit plans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(736)</w:t>
            </w:r>
          </w:p>
        </w:tc>
        <w:tc>
          <w:tcPr>
            <w:tcW w:w="1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2160" w:type="dxa"/>
            <w:vAlign w:val="bottom"/>
            <w:tcBorders>
              <w:bottom w:val="single" w:sz="8" w:color="auto"/>
            </w:tcBorders>
          </w:tcPr>
          <w:p>
            <w:pPr>
              <w:spacing w:after="0"/>
              <w:rPr>
                <w:sz w:val="19"/>
                <w:szCs w:val="19"/>
                <w:color w:val="auto"/>
              </w:rPr>
            </w:pPr>
          </w:p>
        </w:tc>
        <w:tc>
          <w:tcPr>
            <w:tcW w:w="340" w:type="dxa"/>
            <w:vAlign w:val="bottom"/>
            <w:vMerge w:val="restart"/>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00" w:type="dxa"/>
            <w:vAlign w:val="bottom"/>
            <w:vMerge w:val="continue"/>
          </w:tcPr>
          <w:p>
            <w:pPr>
              <w:spacing w:after="0"/>
              <w:rPr>
                <w:sz w:val="17"/>
                <w:szCs w:val="17"/>
                <w:color w:val="auto"/>
              </w:rPr>
            </w:pPr>
          </w:p>
        </w:tc>
        <w:tc>
          <w:tcPr>
            <w:tcW w:w="2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19'534</w:t>
            </w:r>
          </w:p>
        </w:tc>
        <w:tc>
          <w:tcPr>
            <w:tcW w:w="340" w:type="dxa"/>
            <w:vAlign w:val="bottom"/>
            <w:vMerge w:val="continue"/>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9'426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0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27" w:name="page28"/>
    <w:bookmarkEnd w:id="27"/>
    <w:p>
      <w:pPr>
        <w:spacing w:after="0"/>
        <w:rPr>
          <w:sz w:val="20"/>
          <w:szCs w:val="20"/>
          <w:color w:val="auto"/>
        </w:rPr>
      </w:pPr>
      <w:r>
        <w:rPr>
          <w:sz w:val="1"/>
          <w:szCs w:val="1"/>
          <w:color w:val="auto"/>
        </w:rPr>
        <w:drawing>
          <wp:inline distT="0" distB="0" distL="0" distR="0">
            <wp:extent cx="403225" cy="18034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6"/>
          <w:szCs w:val="36"/>
          <w:b w:val="1"/>
          <w:bCs w:val="1"/>
          <w:color w:val="auto"/>
        </w:rPr>
        <w:t xml:space="preserve"> Financial Statements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Statements of Changes in Equity</w:t>
      </w:r>
    </w:p>
    <w:p>
      <w:pPr>
        <w:spacing w:after="0" w:line="200" w:lineRule="exact"/>
        <w:rPr>
          <w:sz w:val="20"/>
          <w:szCs w:val="20"/>
          <w:color w:val="auto"/>
        </w:rPr>
      </w:pPr>
    </w:p>
    <w:p>
      <w:pPr>
        <w:spacing w:after="0" w:line="299"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Accumulated</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Share capital</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 premium</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losses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92"/>
        </w:trPr>
        <w:tc>
          <w:tcPr>
            <w:tcW w:w="5260" w:type="dxa"/>
            <w:vAlign w:val="bottom"/>
          </w:tcPr>
          <w:p>
            <w:pPr>
              <w:spacing w:after="0"/>
              <w:rPr>
                <w:sz w:val="20"/>
                <w:szCs w:val="20"/>
                <w:color w:val="auto"/>
              </w:rPr>
            </w:pPr>
            <w:r>
              <w:rPr>
                <w:rFonts w:ascii="Arial" w:cs="Arial" w:eastAsia="Arial" w:hAnsi="Arial"/>
                <w:sz w:val="18"/>
                <w:szCs w:val="18"/>
                <w:b w:val="1"/>
                <w:bCs w:val="1"/>
                <w:color w:val="auto"/>
              </w:rPr>
              <w:t>Balance at January 1, 2014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73'211</w:t>
            </w:r>
          </w:p>
        </w:tc>
        <w:tc>
          <w:tcPr>
            <w:tcW w:w="1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(70'092)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60" w:type="dxa"/>
            <w:vAlign w:val="bottom"/>
          </w:tcPr>
          <w:p>
            <w:pPr>
              <w:spacing w:after="0" w:line="195" w:lineRule="exact"/>
              <w:rPr>
                <w:sz w:val="20"/>
                <w:szCs w:val="20"/>
                <w:color w:val="auto"/>
              </w:rPr>
            </w:pPr>
            <w:r>
              <w:rPr>
                <w:rFonts w:ascii="Arial" w:cs="Arial" w:eastAsia="Arial" w:hAnsi="Arial"/>
                <w:sz w:val="18"/>
                <w:szCs w:val="18"/>
                <w:color w:val="auto"/>
              </w:rPr>
              <w:t>Net Income for the period in 2014</w:t>
            </w:r>
          </w:p>
        </w:tc>
        <w:tc>
          <w:tcPr>
            <w:tcW w:w="15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10'744</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10'744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3" w:lineRule="exact"/>
              <w:rPr>
                <w:sz w:val="20"/>
                <w:szCs w:val="20"/>
                <w:color w:val="auto"/>
              </w:rPr>
            </w:pPr>
            <w:r>
              <w:rPr>
                <w:rFonts w:ascii="Arial" w:cs="Arial" w:eastAsia="Arial" w:hAnsi="Arial"/>
                <w:sz w:val="18"/>
                <w:szCs w:val="18"/>
                <w:color w:val="auto"/>
              </w:rPr>
              <w:t>Other comprehensive income / (loss)</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(1'318)</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i w:val="1"/>
                <w:iCs w:val="1"/>
                <w:color w:val="auto"/>
              </w:rPr>
              <w:t>Total comprehensive income</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i w:val="1"/>
                <w:iCs w:val="1"/>
                <w:color w:val="auto"/>
              </w:rPr>
              <w:t>9'426</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9'426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5260" w:type="dxa"/>
            <w:vAlign w:val="bottom"/>
          </w:tcPr>
          <w:p>
            <w:pPr>
              <w:spacing w:after="0"/>
              <w:rPr>
                <w:sz w:val="20"/>
                <w:szCs w:val="20"/>
                <w:color w:val="auto"/>
              </w:rPr>
            </w:pPr>
            <w:r>
              <w:rPr>
                <w:rFonts w:ascii="Arial" w:cs="Arial" w:eastAsia="Arial" w:hAnsi="Arial"/>
                <w:sz w:val="18"/>
                <w:szCs w:val="18"/>
                <w:color w:val="auto"/>
              </w:rPr>
              <w:t>Share-based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211</w:t>
            </w: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Issue of capital</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9'857</w:t>
            </w:r>
          </w:p>
        </w:tc>
        <w:tc>
          <w:tcPr>
            <w:tcW w:w="17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9'899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40"/>
              <w:spacing w:after="0" w:line="202" w:lineRule="exact"/>
              <w:rPr>
                <w:sz w:val="20"/>
                <w:szCs w:val="20"/>
                <w:color w:val="auto"/>
              </w:rPr>
            </w:pPr>
            <w:r>
              <w:rPr>
                <w:rFonts w:ascii="Arial" w:cs="Arial" w:eastAsia="Arial" w:hAnsi="Arial"/>
                <w:sz w:val="18"/>
                <w:szCs w:val="18"/>
                <w:color w:val="auto"/>
              </w:rPr>
              <w:t>- preferred Series D shares</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9'854</w:t>
            </w:r>
          </w:p>
        </w:tc>
        <w:tc>
          <w:tcPr>
            <w:tcW w:w="17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9'896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40"/>
              <w:spacing w:after="0" w:line="202" w:lineRule="exact"/>
              <w:rPr>
                <w:sz w:val="20"/>
                <w:szCs w:val="20"/>
                <w:color w:val="auto"/>
              </w:rPr>
            </w:pPr>
            <w:r>
              <w:rPr>
                <w:rFonts w:ascii="Arial" w:cs="Arial" w:eastAsia="Arial" w:hAnsi="Arial"/>
                <w:sz w:val="18"/>
                <w:szCs w:val="18"/>
                <w:color w:val="auto"/>
              </w:rPr>
              <w:t>- exercise of options</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w:t>
            </w:r>
          </w:p>
        </w:tc>
        <w:tc>
          <w:tcPr>
            <w:tcW w:w="17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60" w:type="dxa"/>
            <w:vAlign w:val="bottom"/>
          </w:tcPr>
          <w:p>
            <w:pPr>
              <w:spacing w:after="0" w:line="181" w:lineRule="exact"/>
              <w:rPr>
                <w:sz w:val="20"/>
                <w:szCs w:val="20"/>
                <w:color w:val="auto"/>
              </w:rPr>
            </w:pPr>
            <w:r>
              <w:rPr>
                <w:rFonts w:ascii="Arial" w:cs="Arial" w:eastAsia="Arial" w:hAnsi="Arial"/>
                <w:sz w:val="18"/>
                <w:szCs w:val="18"/>
                <w:color w:val="auto"/>
              </w:rPr>
              <w:t>Transaction costs</w:t>
            </w:r>
          </w:p>
        </w:tc>
        <w:tc>
          <w:tcPr>
            <w:tcW w:w="15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line="181" w:lineRule="exact"/>
              <w:rPr>
                <w:sz w:val="20"/>
                <w:szCs w:val="20"/>
                <w:color w:val="auto"/>
              </w:rPr>
            </w:pPr>
            <w:r>
              <w:rPr>
                <w:rFonts w:ascii="Arial" w:cs="Arial" w:eastAsia="Arial" w:hAnsi="Arial"/>
                <w:sz w:val="18"/>
                <w:szCs w:val="18"/>
                <w:color w:val="auto"/>
              </w:rPr>
              <w:t>(105)</w:t>
            </w:r>
          </w:p>
        </w:tc>
        <w:tc>
          <w:tcPr>
            <w:tcW w:w="1760" w:type="dxa"/>
            <w:vAlign w:val="bottom"/>
          </w:tcPr>
          <w:p>
            <w:pPr>
              <w:jc w:val="right"/>
              <w:ind w:right="370"/>
              <w:spacing w:after="0" w:line="181"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1"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2014</w:t>
            </w:r>
          </w:p>
        </w:tc>
        <w:tc>
          <w:tcPr>
            <w:tcW w:w="1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854</w:t>
            </w:r>
          </w:p>
        </w:tc>
        <w:tc>
          <w:tcPr>
            <w:tcW w:w="15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83'068</w:t>
            </w:r>
          </w:p>
        </w:tc>
        <w:tc>
          <w:tcPr>
            <w:tcW w:w="17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(60'455)</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23'467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81"/>
        </w:trPr>
        <w:tc>
          <w:tcPr>
            <w:tcW w:w="5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Accumulated</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Share capital</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 premium</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losses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91"/>
        </w:trPr>
        <w:tc>
          <w:tcPr>
            <w:tcW w:w="5260" w:type="dxa"/>
            <w:vAlign w:val="bottom"/>
          </w:tcPr>
          <w:p>
            <w:pPr>
              <w:spacing w:after="0"/>
              <w:rPr>
                <w:sz w:val="20"/>
                <w:szCs w:val="20"/>
                <w:color w:val="auto"/>
              </w:rPr>
            </w:pPr>
            <w:r>
              <w:rPr>
                <w:rFonts w:ascii="Arial" w:cs="Arial" w:eastAsia="Arial" w:hAnsi="Arial"/>
                <w:sz w:val="18"/>
                <w:szCs w:val="18"/>
                <w:b w:val="1"/>
                <w:bCs w:val="1"/>
                <w:color w:val="auto"/>
              </w:rPr>
              <w:t>Balance at January 1, 2015</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854</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83'068</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(60'455)</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23'467</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Net Income for the period in 2015</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20'270</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20'270</w:t>
            </w:r>
          </w:p>
        </w:tc>
        <w:tc>
          <w:tcPr>
            <w:tcW w:w="0" w:type="dxa"/>
            <w:vAlign w:val="bottom"/>
          </w:tcPr>
          <w:p>
            <w:pPr>
              <w:spacing w:after="0"/>
              <w:rPr>
                <w:sz w:val="1"/>
                <w:szCs w:val="1"/>
                <w:color w:val="auto"/>
              </w:rPr>
            </w:pPr>
          </w:p>
        </w:tc>
      </w:tr>
      <w:tr>
        <w:trPr>
          <w:trHeight w:val="203"/>
        </w:trPr>
        <w:tc>
          <w:tcPr>
            <w:tcW w:w="5260" w:type="dxa"/>
            <w:vAlign w:val="bottom"/>
          </w:tcPr>
          <w:p>
            <w:pPr>
              <w:spacing w:after="0" w:line="203" w:lineRule="exact"/>
              <w:rPr>
                <w:sz w:val="20"/>
                <w:szCs w:val="20"/>
                <w:color w:val="auto"/>
              </w:rPr>
            </w:pPr>
            <w:r>
              <w:rPr>
                <w:rFonts w:ascii="Arial" w:cs="Arial" w:eastAsia="Arial" w:hAnsi="Arial"/>
                <w:sz w:val="18"/>
                <w:szCs w:val="18"/>
                <w:color w:val="auto"/>
              </w:rPr>
              <w:t>Other comprehensive loss</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(736)</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i w:val="1"/>
                <w:iCs w:val="1"/>
                <w:color w:val="auto"/>
              </w:rPr>
              <w:t>Total Comprehensive loss</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w:t>
            </w:r>
          </w:p>
        </w:tc>
        <w:tc>
          <w:tcPr>
            <w:tcW w:w="15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i w:val="1"/>
                <w:iCs w:val="1"/>
                <w:color w:val="auto"/>
              </w:rPr>
              <w:t>-</w:t>
            </w:r>
          </w:p>
        </w:tc>
        <w:tc>
          <w:tcPr>
            <w:tcW w:w="17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i w:val="1"/>
                <w:iCs w:val="1"/>
                <w:color w:val="auto"/>
              </w:rPr>
              <w:t>19'534</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19'534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5260" w:type="dxa"/>
            <w:vAlign w:val="bottom"/>
          </w:tcPr>
          <w:p>
            <w:pPr>
              <w:spacing w:after="0"/>
              <w:rPr>
                <w:sz w:val="20"/>
                <w:szCs w:val="20"/>
                <w:color w:val="auto"/>
              </w:rPr>
            </w:pPr>
            <w:r>
              <w:rPr>
                <w:rFonts w:ascii="Arial" w:cs="Arial" w:eastAsia="Arial" w:hAnsi="Arial"/>
                <w:sz w:val="18"/>
                <w:szCs w:val="18"/>
                <w:color w:val="auto"/>
              </w:rPr>
              <w:t>Share-based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540</w:t>
            </w:r>
          </w:p>
        </w:tc>
        <w:tc>
          <w:tcPr>
            <w:tcW w:w="1020" w:type="dxa"/>
            <w:vAlign w:val="bottom"/>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Issue of capital</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29'567</w:t>
            </w:r>
          </w:p>
        </w:tc>
        <w:tc>
          <w:tcPr>
            <w:tcW w:w="17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29'641</w:t>
            </w:r>
          </w:p>
        </w:tc>
        <w:tc>
          <w:tcPr>
            <w:tcW w:w="0" w:type="dxa"/>
            <w:vAlign w:val="bottom"/>
          </w:tcPr>
          <w:p>
            <w:pPr>
              <w:spacing w:after="0"/>
              <w:rPr>
                <w:sz w:val="1"/>
                <w:szCs w:val="1"/>
                <w:color w:val="auto"/>
              </w:rPr>
            </w:pPr>
          </w:p>
        </w:tc>
      </w:tr>
      <w:tr>
        <w:trPr>
          <w:trHeight w:val="203"/>
        </w:trPr>
        <w:tc>
          <w:tcPr>
            <w:tcW w:w="5260" w:type="dxa"/>
            <w:vAlign w:val="bottom"/>
          </w:tcPr>
          <w:p>
            <w:pPr>
              <w:ind w:left="40"/>
              <w:spacing w:after="0" w:line="202" w:lineRule="exact"/>
              <w:rPr>
                <w:sz w:val="20"/>
                <w:szCs w:val="20"/>
                <w:color w:val="auto"/>
              </w:rPr>
            </w:pPr>
            <w:r>
              <w:rPr>
                <w:rFonts w:ascii="Arial" w:cs="Arial" w:eastAsia="Arial" w:hAnsi="Arial"/>
                <w:sz w:val="18"/>
                <w:szCs w:val="18"/>
                <w:color w:val="auto"/>
              </w:rPr>
              <w:t>- preferred Series E shares</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29'437</w:t>
            </w:r>
          </w:p>
        </w:tc>
        <w:tc>
          <w:tcPr>
            <w:tcW w:w="17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29'499</w:t>
            </w:r>
          </w:p>
        </w:tc>
        <w:tc>
          <w:tcPr>
            <w:tcW w:w="0" w:type="dxa"/>
            <w:vAlign w:val="bottom"/>
          </w:tcPr>
          <w:p>
            <w:pPr>
              <w:spacing w:after="0"/>
              <w:rPr>
                <w:sz w:val="1"/>
                <w:szCs w:val="1"/>
                <w:color w:val="auto"/>
              </w:rPr>
            </w:pPr>
          </w:p>
        </w:tc>
      </w:tr>
      <w:tr>
        <w:trPr>
          <w:trHeight w:val="203"/>
        </w:trPr>
        <w:tc>
          <w:tcPr>
            <w:tcW w:w="5260" w:type="dxa"/>
            <w:vAlign w:val="bottom"/>
          </w:tcPr>
          <w:p>
            <w:pPr>
              <w:ind w:left="40"/>
              <w:spacing w:after="0" w:line="202" w:lineRule="exact"/>
              <w:rPr>
                <w:sz w:val="20"/>
                <w:szCs w:val="20"/>
                <w:color w:val="auto"/>
              </w:rPr>
            </w:pPr>
            <w:r>
              <w:rPr>
                <w:rFonts w:ascii="Arial" w:cs="Arial" w:eastAsia="Arial" w:hAnsi="Arial"/>
                <w:sz w:val="18"/>
                <w:szCs w:val="18"/>
                <w:color w:val="auto"/>
              </w:rPr>
              <w:t>- exercise of options</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130</w:t>
            </w:r>
          </w:p>
        </w:tc>
        <w:tc>
          <w:tcPr>
            <w:tcW w:w="17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3" w:lineRule="exact"/>
              <w:rPr>
                <w:sz w:val="20"/>
                <w:szCs w:val="20"/>
                <w:color w:val="auto"/>
              </w:rPr>
            </w:pPr>
            <w:r>
              <w:rPr>
                <w:rFonts w:ascii="Arial" w:cs="Arial" w:eastAsia="Arial" w:hAnsi="Arial"/>
                <w:sz w:val="18"/>
                <w:szCs w:val="18"/>
                <w:color w:val="auto"/>
              </w:rPr>
              <w:t>Transaction costs</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(2'139)</w:t>
            </w:r>
          </w:p>
        </w:tc>
        <w:tc>
          <w:tcPr>
            <w:tcW w:w="176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b w:val="1"/>
                <w:bCs w:val="1"/>
                <w:color w:val="auto"/>
              </w:rPr>
              <w:t>Balance at December 31, 2015</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928</w:t>
            </w:r>
          </w:p>
        </w:tc>
        <w:tc>
          <w:tcPr>
            <w:tcW w:w="15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110'496</w:t>
            </w:r>
          </w:p>
        </w:tc>
        <w:tc>
          <w:tcPr>
            <w:tcW w:w="17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(40'381)</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71'043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0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28" w:name="page29"/>
    <w:bookmarkEnd w:id="28"/>
    <w:p>
      <w:pPr>
        <w:spacing w:after="0"/>
        <w:rPr>
          <w:sz w:val="20"/>
          <w:szCs w:val="20"/>
          <w:color w:val="auto"/>
        </w:rPr>
      </w:pPr>
      <w:r>
        <w:rPr>
          <w:sz w:val="1"/>
          <w:szCs w:val="1"/>
          <w:color w:val="auto"/>
        </w:rPr>
        <w:drawing>
          <wp:inline distT="0" distB="0" distL="0" distR="0">
            <wp:extent cx="403225" cy="18034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6"/>
          <w:szCs w:val="36"/>
          <w:b w:val="1"/>
          <w:bCs w:val="1"/>
          <w:color w:val="auto"/>
        </w:rPr>
        <w:t xml:space="preserve"> Financial Statements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Statements of Cash Flows</w:t>
      </w:r>
    </w:p>
    <w:p>
      <w:pPr>
        <w:spacing w:after="0" w:line="200" w:lineRule="exact"/>
        <w:rPr>
          <w:sz w:val="20"/>
          <w:szCs w:val="20"/>
          <w:color w:val="auto"/>
        </w:rPr>
      </w:pP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6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6540" w:type="dxa"/>
            <w:vAlign w:val="bottom"/>
            <w:vMerge w:val="continue"/>
          </w:tcPr>
          <w:p>
            <w:pPr>
              <w:spacing w:after="0"/>
              <w:rPr>
                <w:sz w:val="17"/>
                <w:szCs w:val="17"/>
                <w:color w:val="auto"/>
              </w:rPr>
            </w:pPr>
          </w:p>
        </w:tc>
        <w:tc>
          <w:tcPr>
            <w:tcW w:w="2500" w:type="dxa"/>
            <w:vAlign w:val="bottom"/>
            <w:tcBorders>
              <w:top w:val="single" w:sz="8" w:color="auto"/>
            </w:tcBorders>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2015</w:t>
            </w:r>
          </w:p>
        </w:tc>
        <w:tc>
          <w:tcPr>
            <w:tcW w:w="2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65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1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540" w:type="dxa"/>
            <w:vAlign w:val="bottom"/>
          </w:tcPr>
          <w:p>
            <w:pPr>
              <w:spacing w:after="0" w:line="181" w:lineRule="exact"/>
              <w:rPr>
                <w:sz w:val="20"/>
                <w:szCs w:val="20"/>
                <w:color w:val="auto"/>
              </w:rPr>
            </w:pPr>
            <w:r>
              <w:rPr>
                <w:rFonts w:ascii="Arial" w:cs="Arial" w:eastAsia="Arial" w:hAnsi="Arial"/>
                <w:sz w:val="18"/>
                <w:szCs w:val="18"/>
                <w:color w:val="auto"/>
              </w:rPr>
              <w:t>Net income for the period</w:t>
            </w:r>
          </w:p>
        </w:tc>
        <w:tc>
          <w:tcPr>
            <w:tcW w:w="2500" w:type="dxa"/>
            <w:vAlign w:val="bottom"/>
            <w:gridSpan w:val="2"/>
          </w:tcPr>
          <w:p>
            <w:pPr>
              <w:jc w:val="right"/>
              <w:ind w:right="340"/>
              <w:spacing w:after="0" w:line="181" w:lineRule="exact"/>
              <w:rPr>
                <w:sz w:val="20"/>
                <w:szCs w:val="20"/>
                <w:color w:val="auto"/>
              </w:rPr>
            </w:pPr>
            <w:r>
              <w:rPr>
                <w:rFonts w:ascii="Arial" w:cs="Arial" w:eastAsia="Arial" w:hAnsi="Arial"/>
                <w:sz w:val="18"/>
                <w:szCs w:val="18"/>
                <w:color w:val="auto"/>
              </w:rPr>
              <w:t>20'270</w:t>
            </w:r>
          </w:p>
        </w:tc>
        <w:tc>
          <w:tcPr>
            <w:tcW w:w="218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b w:val="1"/>
                <w:bCs w:val="1"/>
                <w:color w:val="auto"/>
              </w:rPr>
              <w:t>Adjustments to reconcile net income for the period to net cash</w:t>
            </w:r>
          </w:p>
        </w:tc>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540" w:type="dxa"/>
            <w:vAlign w:val="bottom"/>
          </w:tcPr>
          <w:p>
            <w:pPr>
              <w:spacing w:after="0"/>
              <w:rPr>
                <w:sz w:val="20"/>
                <w:szCs w:val="20"/>
                <w:color w:val="auto"/>
              </w:rPr>
            </w:pPr>
            <w:r>
              <w:rPr>
                <w:rFonts w:ascii="Arial" w:cs="Arial" w:eastAsia="Arial" w:hAnsi="Arial"/>
                <w:sz w:val="18"/>
                <w:szCs w:val="18"/>
                <w:b w:val="1"/>
                <w:bCs w:val="1"/>
                <w:color w:val="auto"/>
              </w:rPr>
              <w:t>flows :</w:t>
            </w: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Depreciation of property, plant &amp; equipment</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287</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298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Finance result, net</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(1'646)</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540</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540" w:type="dxa"/>
            <w:vAlign w:val="bottom"/>
          </w:tcPr>
          <w:p>
            <w:pPr>
              <w:ind w:left="200"/>
              <w:spacing w:after="0" w:line="181" w:lineRule="exact"/>
              <w:rPr>
                <w:sz w:val="20"/>
                <w:szCs w:val="20"/>
                <w:color w:val="auto"/>
              </w:rPr>
            </w:pPr>
            <w:r>
              <w:rPr>
                <w:rFonts w:ascii="Arial" w:cs="Arial" w:eastAsia="Arial" w:hAnsi="Arial"/>
                <w:sz w:val="18"/>
                <w:szCs w:val="18"/>
                <w:color w:val="auto"/>
              </w:rPr>
              <w:t>Changes in pensions</w:t>
            </w:r>
          </w:p>
        </w:tc>
        <w:tc>
          <w:tcPr>
            <w:tcW w:w="2500" w:type="dxa"/>
            <w:vAlign w:val="bottom"/>
            <w:gridSpan w:val="2"/>
          </w:tcPr>
          <w:p>
            <w:pPr>
              <w:jc w:val="right"/>
              <w:ind w:right="340"/>
              <w:spacing w:after="0" w:line="181" w:lineRule="exact"/>
              <w:rPr>
                <w:sz w:val="20"/>
                <w:szCs w:val="20"/>
                <w:color w:val="auto"/>
              </w:rPr>
            </w:pPr>
            <w:r>
              <w:rPr>
                <w:rFonts w:ascii="Arial" w:cs="Arial" w:eastAsia="Arial" w:hAnsi="Arial"/>
                <w:sz w:val="18"/>
                <w:szCs w:val="18"/>
                <w:color w:val="auto"/>
              </w:rPr>
              <w:t>(359)</w:t>
            </w:r>
          </w:p>
        </w:tc>
        <w:tc>
          <w:tcPr>
            <w:tcW w:w="2160" w:type="dxa"/>
            <w:vAlign w:val="bottom"/>
          </w:tcPr>
          <w:p>
            <w:pPr>
              <w:jc w:val="right"/>
              <w:spacing w:after="0" w:line="181" w:lineRule="exact"/>
              <w:rPr>
                <w:sz w:val="20"/>
                <w:szCs w:val="20"/>
                <w:color w:val="auto"/>
              </w:rPr>
            </w:pPr>
            <w:r>
              <w:rPr>
                <w:rFonts w:ascii="Arial" w:cs="Arial" w:eastAsia="Arial" w:hAnsi="Arial"/>
                <w:sz w:val="18"/>
                <w:szCs w:val="18"/>
                <w:color w:val="auto"/>
              </w:rPr>
              <w:t>164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54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(2'135)</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Accrued income</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Other current receivables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25'666</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1'707</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Deferral of unearned revenue (current)</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(160)</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(3'717)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3" w:lineRule="exact"/>
              <w:rPr>
                <w:sz w:val="20"/>
                <w:szCs w:val="20"/>
                <w:color w:val="auto"/>
              </w:rPr>
            </w:pPr>
            <w:r>
              <w:rPr>
                <w:rFonts w:ascii="Arial" w:cs="Arial" w:eastAsia="Arial" w:hAnsi="Arial"/>
                <w:sz w:val="18"/>
                <w:szCs w:val="18"/>
                <w:color w:val="auto"/>
              </w:rPr>
              <w:t>Accounts payable</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(141)</w:t>
            </w: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40" w:type="dxa"/>
            <w:vAlign w:val="bottom"/>
          </w:tcPr>
          <w:p>
            <w:pPr>
              <w:spacing w:after="0" w:line="195" w:lineRule="exact"/>
              <w:rPr>
                <w:sz w:val="20"/>
                <w:szCs w:val="20"/>
                <w:color w:val="auto"/>
              </w:rPr>
            </w:pPr>
            <w:r>
              <w:rPr>
                <w:rFonts w:ascii="Arial" w:cs="Arial" w:eastAsia="Arial" w:hAnsi="Arial"/>
                <w:sz w:val="18"/>
                <w:szCs w:val="18"/>
                <w:b w:val="1"/>
                <w:bCs w:val="1"/>
                <w:color w:val="auto"/>
              </w:rPr>
              <w:t>Cash provided by/(used in) operating activities</w:t>
            </w:r>
          </w:p>
        </w:tc>
        <w:tc>
          <w:tcPr>
            <w:tcW w:w="2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44'035</w:t>
            </w:r>
          </w:p>
        </w:tc>
        <w:tc>
          <w:tcPr>
            <w:tcW w:w="340" w:type="dxa"/>
            <w:vAlign w:val="bottom"/>
          </w:tcPr>
          <w:p>
            <w:pPr>
              <w:spacing w:after="0"/>
              <w:rPr>
                <w:sz w:val="16"/>
                <w:szCs w:val="16"/>
                <w:color w:val="auto"/>
              </w:rPr>
            </w:pPr>
          </w:p>
        </w:tc>
        <w:tc>
          <w:tcPr>
            <w:tcW w:w="2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(17'641)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00"/>
              <w:spacing w:after="0" w:line="202" w:lineRule="exact"/>
              <w:rPr>
                <w:sz w:val="20"/>
                <w:szCs w:val="20"/>
                <w:color w:val="auto"/>
              </w:rPr>
            </w:pPr>
            <w:r>
              <w:rPr>
                <w:rFonts w:ascii="Arial" w:cs="Arial" w:eastAsia="Arial" w:hAnsi="Arial"/>
                <w:sz w:val="18"/>
                <w:szCs w:val="18"/>
                <w:color w:val="auto"/>
              </w:rPr>
              <w:t>Interest income</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55</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6540" w:type="dxa"/>
            <w:vAlign w:val="bottom"/>
          </w:tcPr>
          <w:p>
            <w:pPr>
              <w:ind w:left="100"/>
              <w:spacing w:after="0" w:line="203" w:lineRule="exact"/>
              <w:rPr>
                <w:sz w:val="20"/>
                <w:szCs w:val="20"/>
                <w:color w:val="auto"/>
              </w:rPr>
            </w:pPr>
            <w:r>
              <w:rPr>
                <w:rFonts w:ascii="Arial" w:cs="Arial" w:eastAsia="Arial" w:hAnsi="Arial"/>
                <w:sz w:val="18"/>
                <w:szCs w:val="18"/>
                <w:color w:val="auto"/>
              </w:rPr>
              <w:t>Finance costs</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(6)</w:t>
            </w: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540" w:type="dxa"/>
            <w:vAlign w:val="bottom"/>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44'084</w:t>
            </w:r>
          </w:p>
        </w:tc>
        <w:tc>
          <w:tcPr>
            <w:tcW w:w="340" w:type="dxa"/>
            <w:vAlign w:val="bottom"/>
          </w:tcPr>
          <w:p>
            <w:pPr>
              <w:spacing w:after="0"/>
              <w:rPr>
                <w:sz w:val="20"/>
                <w:szCs w:val="20"/>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(17'624)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65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0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(244)</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00"/>
              <w:spacing w:after="0" w:line="203" w:lineRule="exact"/>
              <w:rPr>
                <w:sz w:val="20"/>
                <w:szCs w:val="20"/>
                <w:color w:val="auto"/>
              </w:rPr>
            </w:pPr>
            <w:r>
              <w:rPr>
                <w:rFonts w:ascii="Arial" w:cs="Arial" w:eastAsia="Arial" w:hAnsi="Arial"/>
                <w:sz w:val="18"/>
                <w:szCs w:val="18"/>
                <w:color w:val="auto"/>
              </w:rPr>
              <w:t>Other non-current assets</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540" w:type="dxa"/>
            <w:vAlign w:val="bottom"/>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340" w:type="dxa"/>
            <w:vAlign w:val="bottom"/>
          </w:tcPr>
          <w:p>
            <w:pPr>
              <w:spacing w:after="0"/>
              <w:rPr>
                <w:sz w:val="20"/>
                <w:szCs w:val="20"/>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65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00"/>
              <w:spacing w:after="0" w:line="202" w:lineRule="exact"/>
              <w:rPr>
                <w:sz w:val="20"/>
                <w:szCs w:val="20"/>
                <w:color w:val="auto"/>
              </w:rPr>
            </w:pPr>
            <w:r>
              <w:rPr>
                <w:rFonts w:ascii="Arial" w:cs="Arial" w:eastAsia="Arial" w:hAnsi="Arial"/>
                <w:sz w:val="18"/>
                <w:szCs w:val="18"/>
                <w:color w:val="auto"/>
              </w:rPr>
              <w:t>Proceeds from issuance of preferred Series E / D shares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29'499</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3"/>
        </w:trPr>
        <w:tc>
          <w:tcPr>
            <w:tcW w:w="6540" w:type="dxa"/>
            <w:vAlign w:val="bottom"/>
          </w:tcPr>
          <w:p>
            <w:pPr>
              <w:ind w:left="100"/>
              <w:spacing w:after="0" w:line="202" w:lineRule="exact"/>
              <w:rPr>
                <w:sz w:val="20"/>
                <w:szCs w:val="20"/>
                <w:color w:val="auto"/>
              </w:rPr>
            </w:pPr>
            <w:r>
              <w:rPr>
                <w:rFonts w:ascii="Arial" w:cs="Arial" w:eastAsia="Arial" w:hAnsi="Arial"/>
                <w:sz w:val="18"/>
                <w:szCs w:val="18"/>
                <w:color w:val="auto"/>
              </w:rPr>
              <w:t>Transaction costs of issue of shares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(1'859)</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00"/>
              <w:spacing w:after="0" w:line="202" w:lineRule="exact"/>
              <w:rPr>
                <w:sz w:val="20"/>
                <w:szCs w:val="20"/>
                <w:color w:val="auto"/>
              </w:rPr>
            </w:pPr>
            <w:r>
              <w:rPr>
                <w:rFonts w:ascii="Arial" w:cs="Arial" w:eastAsia="Arial" w:hAnsi="Arial"/>
                <w:sz w:val="18"/>
                <w:szCs w:val="18"/>
                <w:color w:val="auto"/>
              </w:rPr>
              <w:t>Proceeds from issuance of shares - option plan</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87</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00"/>
              <w:spacing w:after="0" w:line="202" w:lineRule="exact"/>
              <w:rPr>
                <w:sz w:val="20"/>
                <w:szCs w:val="20"/>
                <w:color w:val="auto"/>
              </w:rPr>
            </w:pPr>
            <w:r>
              <w:rPr>
                <w:rFonts w:ascii="Arial" w:cs="Arial" w:eastAsia="Arial" w:hAnsi="Arial"/>
                <w:sz w:val="18"/>
                <w:szCs w:val="18"/>
                <w:color w:val="auto"/>
              </w:rPr>
              <w:t>Cost on issue of shares - option plan</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00"/>
              <w:spacing w:after="0" w:line="203" w:lineRule="exact"/>
              <w:rPr>
                <w:sz w:val="20"/>
                <w:szCs w:val="20"/>
                <w:color w:val="auto"/>
              </w:rPr>
            </w:pPr>
            <w:r>
              <w:rPr>
                <w:rFonts w:ascii="Arial" w:cs="Arial" w:eastAsia="Arial" w:hAnsi="Arial"/>
                <w:sz w:val="18"/>
                <w:szCs w:val="18"/>
                <w:color w:val="auto"/>
              </w:rPr>
              <w:t>Proceeds from employee loan repayments</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55</w:t>
            </w: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540" w:type="dxa"/>
            <w:vAlign w:val="bottom"/>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27'778</w:t>
            </w:r>
          </w:p>
        </w:tc>
        <w:tc>
          <w:tcPr>
            <w:tcW w:w="340" w:type="dxa"/>
            <w:vAlign w:val="bottom"/>
          </w:tcPr>
          <w:p>
            <w:pPr>
              <w:spacing w:after="0"/>
              <w:rPr>
                <w:sz w:val="20"/>
                <w:szCs w:val="20"/>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540" w:type="dxa"/>
            <w:vAlign w:val="bottom"/>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71'618</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(7'954)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54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3'306</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Exchange gains on cash and cash equivalents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1'598</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line="203" w:lineRule="exact"/>
              <w:rPr>
                <w:sz w:val="20"/>
                <w:szCs w:val="20"/>
                <w:color w:val="auto"/>
              </w:rPr>
            </w:pPr>
            <w:r>
              <w:rPr>
                <w:rFonts w:ascii="Arial" w:cs="Arial" w:eastAsia="Arial" w:hAnsi="Arial"/>
                <w:sz w:val="18"/>
                <w:szCs w:val="18"/>
                <w:color w:val="auto"/>
              </w:rPr>
              <w:t>Cash and cash equivalents at December 31</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76'522</w:t>
            </w: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3'306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b w:val="1"/>
                <w:bCs w:val="1"/>
                <w:color w:val="auto"/>
              </w:rPr>
              <w:t>Net increase / (decrease) in cash and cash equivalents</w:t>
            </w: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71'618</w:t>
            </w:r>
          </w:p>
        </w:tc>
        <w:tc>
          <w:tcPr>
            <w:tcW w:w="340" w:type="dxa"/>
            <w:vAlign w:val="bottom"/>
          </w:tcPr>
          <w:p>
            <w:pPr>
              <w:spacing w:after="0"/>
              <w:rPr>
                <w:sz w:val="17"/>
                <w:szCs w:val="17"/>
                <w:color w:val="auto"/>
              </w:rPr>
            </w:pP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(7'954)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04"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29" w:name="page30"/>
    <w:bookmarkEnd w:id="29"/>
    <w:p>
      <w:pPr>
        <w:jc w:val="center"/>
        <w:ind w:right="80"/>
        <w:spacing w:after="0"/>
        <w:rPr>
          <w:sz w:val="20"/>
          <w:szCs w:val="20"/>
          <w:color w:val="auto"/>
        </w:rPr>
      </w:pPr>
      <w:r>
        <w:rPr>
          <w:sz w:val="1"/>
          <w:szCs w:val="1"/>
          <w:color w:val="auto"/>
        </w:rPr>
        <w:drawing>
          <wp:inline distT="0" distB="0" distL="0" distR="0">
            <wp:extent cx="403225" cy="18034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the Financial Statements</w:t>
      </w:r>
    </w:p>
    <w:p>
      <w:pPr>
        <w:spacing w:after="0" w:line="31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General information</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16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Basis of preparation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76.5 million as at December 31, 2015 which includes cash related to the Company’s Series E financing totaling CHF 28.9 million concluded in October 2015.</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12, 2016.</w:t>
      </w:r>
    </w:p>
    <w:p>
      <w:pPr>
        <w:spacing w:after="0" w:line="297"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30" w:name="page31"/>
    <w:bookmarkEnd w:id="30"/>
    <w:p>
      <w:pPr>
        <w:jc w:val="center"/>
        <w:ind w:right="80"/>
        <w:spacing w:after="0"/>
        <w:rPr>
          <w:sz w:val="20"/>
          <w:szCs w:val="20"/>
          <w:color w:val="auto"/>
        </w:rPr>
      </w:pPr>
      <w:r>
        <w:rPr>
          <w:sz w:val="1"/>
          <w:szCs w:val="1"/>
          <w:color w:val="auto"/>
        </w:rPr>
        <w:drawing>
          <wp:inline distT="0" distB="0" distL="0" distR="0">
            <wp:extent cx="403225" cy="18034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collaboration agreements on product candidates that are (i)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89"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1" w:name="page32"/>
    <w:bookmarkEnd w:id="31"/>
    <w:p>
      <w:pPr>
        <w:jc w:val="center"/>
        <w:ind w:right="80"/>
        <w:spacing w:after="0"/>
        <w:rPr>
          <w:sz w:val="20"/>
          <w:szCs w:val="20"/>
          <w:color w:val="auto"/>
        </w:rPr>
      </w:pPr>
      <w:r>
        <w:rPr>
          <w:sz w:val="1"/>
          <w:szCs w:val="1"/>
          <w:color w:val="auto"/>
        </w:rPr>
        <w:drawing>
          <wp:inline distT="0" distB="0" distL="0" distR="0">
            <wp:extent cx="403225" cy="18034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420"/>
          </w:cols>
          <w:pgMar w:left="240" w:top="562"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 equipment</w:t>
      </w:r>
    </w:p>
    <w:p>
      <w:pPr>
        <w:spacing w:after="0" w:line="234" w:lineRule="auto"/>
        <w:rPr>
          <w:sz w:val="20"/>
          <w:szCs w:val="20"/>
          <w:color w:val="auto"/>
        </w:rPr>
      </w:pPr>
      <w:r>
        <w:rPr>
          <w:rFonts w:ascii="Arial" w:cs="Arial" w:eastAsia="Arial" w:hAnsi="Arial"/>
          <w:sz w:val="18"/>
          <w:szCs w:val="18"/>
          <w:color w:val="auto"/>
        </w:rPr>
        <w:t>Laboratory equipment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Leaseholds improvements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00" w:lineRule="exact"/>
        <w:rPr>
          <w:sz w:val="20"/>
          <w:szCs w:val="20"/>
          <w:color w:val="auto"/>
        </w:rPr>
      </w:pPr>
    </w:p>
    <w:p>
      <w:pPr>
        <w:sectPr>
          <w:pgSz w:w="11900" w:h="16838" w:orient="portrait"/>
          <w:cols w:equalWidth="0" w:num="2">
            <w:col w:w="2100" w:space="520"/>
            <w:col w:w="8800"/>
          </w:cols>
          <w:pgMar w:left="240" w:top="562" w:right="239" w:bottom="1440" w:gutter="0" w:footer="0" w:header="0"/>
          <w:type w:val="continuous"/>
        </w:sectPr>
      </w:pPr>
    </w:p>
    <w:p>
      <w:pPr>
        <w:spacing w:after="0" w:line="1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Profits and losses on disposals are determined by comparing the disposal proceeds with the carrying amount and are included in the income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Expenditure to acquire patents, trademarks and licenses is capitalized and amortized using the straight-line method over their useful lives of five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0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type w:val="continuous"/>
        </w:sectPr>
      </w:pPr>
    </w:p>
    <w:bookmarkStart w:id="32" w:name="page33"/>
    <w:bookmarkEnd w:id="32"/>
    <w:p>
      <w:pPr>
        <w:jc w:val="center"/>
        <w:ind w:right="80"/>
        <w:spacing w:after="0"/>
        <w:rPr>
          <w:sz w:val="20"/>
          <w:szCs w:val="20"/>
          <w:color w:val="auto"/>
        </w:rPr>
      </w:pPr>
      <w:r>
        <w:rPr>
          <w:sz w:val="1"/>
          <w:szCs w:val="1"/>
          <w:color w:val="auto"/>
        </w:rPr>
        <w:drawing>
          <wp:inline distT="0" distB="0" distL="0" distR="0">
            <wp:extent cx="403225" cy="18034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1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Cash and cash equivalents at the bank comprise the cash on hand. All cash and cash equivalents are either in cash or in deposits with less than 3 months’ duration.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r>
        <w:rPr>
          <w:rFonts w:ascii="Arial" w:cs="Arial" w:eastAsia="Arial" w:hAnsi="Arial"/>
          <w:sz w:val="18"/>
          <w:szCs w:val="18"/>
          <w:b w:val="1"/>
          <w:bCs w:val="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all Preferred Shares are classified as equity.</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 AC Immune has five classes (Class A, B, C, D and E) of Preferred Shares outstanding. The Preferred Shares are a class of shares that AC Immune SA issued in connection with five separate capital increases and convey voting rights and certain other rights to their holders.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holders of Preferred Shares own 80.1% of the total amount of shares outstanding (assuming conversion of the Preferred Shares into Common Shares on a one-for-one basis), have been the primary source of equity financing for the Company over the past 13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w:t>
      </w:r>
    </w:p>
    <w:p>
      <w:pPr>
        <w:spacing w:after="0" w:line="297"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3" w:name="page34"/>
    <w:bookmarkEnd w:id="33"/>
    <w:p>
      <w:pPr>
        <w:jc w:val="center"/>
        <w:ind w:right="80"/>
        <w:spacing w:after="0"/>
        <w:rPr>
          <w:sz w:val="20"/>
          <w:szCs w:val="20"/>
          <w:color w:val="auto"/>
        </w:rPr>
      </w:pPr>
      <w:r>
        <w:rPr>
          <w:sz w:val="1"/>
          <w:szCs w:val="1"/>
          <w:color w:val="auto"/>
        </w:rPr>
        <w:drawing>
          <wp:inline distT="0" distB="0" distL="0" distR="0">
            <wp:extent cx="403225" cy="18034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Thereafter, all holders of Preferred Shares will participate with the holders of Common Shares on an as-if-converted basis in any remaining proceeds.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 Footnotes 9 (share capital), 16 (share based compensation) and 18 (earnings per share) have all been prepared taking into consideration the 250-for-1 stock split.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9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4" w:name="page35"/>
    <w:bookmarkEnd w:id="34"/>
    <w:p>
      <w:pPr>
        <w:jc w:val="center"/>
        <w:ind w:right="80"/>
        <w:spacing w:after="0"/>
        <w:rPr>
          <w:sz w:val="20"/>
          <w:szCs w:val="20"/>
          <w:color w:val="auto"/>
        </w:rPr>
      </w:pPr>
      <w:r>
        <w:rPr>
          <w:sz w:val="1"/>
          <w:szCs w:val="1"/>
          <w:color w:val="auto"/>
        </w:rPr>
        <w:drawing>
          <wp:inline distT="0" distB="0" distL="0" distR="0">
            <wp:extent cx="403225" cy="18034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presents basic earnings per share for each period in the financial statements. The earnings per share is calculated by dividing the earnings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5" w:name="page36"/>
    <w:bookmarkEnd w:id="35"/>
    <w:p>
      <w:pPr>
        <w:jc w:val="center"/>
        <w:ind w:right="80"/>
        <w:spacing w:after="0"/>
        <w:rPr>
          <w:sz w:val="20"/>
          <w:szCs w:val="20"/>
          <w:color w:val="auto"/>
        </w:rPr>
      </w:pPr>
      <w:r>
        <w:rPr>
          <w:sz w:val="1"/>
          <w:szCs w:val="1"/>
          <w:color w:val="auto"/>
        </w:rPr>
        <w:drawing>
          <wp:inline distT="0" distB="0" distL="0" distR="0">
            <wp:extent cx="403225" cy="18034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Standards, amendments and interpretations effective in current reporting period but without impact on the Company financial statements</w:t>
      </w:r>
    </w:p>
    <w:p>
      <w:pPr>
        <w:spacing w:after="0" w:line="16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2015 but did not have any effect on the Company financial statements:</w:t>
      </w:r>
    </w:p>
    <w:p>
      <w:pPr>
        <w:spacing w:after="0" w:line="183" w:lineRule="exact"/>
        <w:rPr>
          <w:sz w:val="20"/>
          <w:szCs w:val="20"/>
          <w:color w:val="auto"/>
        </w:rPr>
      </w:pPr>
    </w:p>
    <w:p>
      <w:pPr>
        <w:ind w:left="620" w:hanging="301"/>
        <w:spacing w:after="0"/>
        <w:tabs>
          <w:tab w:leader="none" w:pos="620" w:val="left"/>
        </w:tabs>
        <w:numPr>
          <w:ilvl w:val="0"/>
          <w:numId w:val="14"/>
        </w:numPr>
        <w:rPr>
          <w:rFonts w:ascii="Arial" w:cs="Arial" w:eastAsia="Arial" w:hAnsi="Arial"/>
          <w:sz w:val="18"/>
          <w:szCs w:val="18"/>
          <w:color w:val="080006"/>
        </w:rPr>
      </w:pPr>
      <w:r>
        <w:rPr>
          <w:rFonts w:ascii="Arial" w:cs="Arial" w:eastAsia="Arial" w:hAnsi="Arial"/>
          <w:sz w:val="18"/>
          <w:szCs w:val="18"/>
          <w:color w:val="080006"/>
        </w:rPr>
        <w:t>Amendments to IAS 19: Defined Benefits Plans: Employee Contributions</w:t>
      </w:r>
    </w:p>
    <w:p>
      <w:pPr>
        <w:spacing w:after="0" w:line="211" w:lineRule="exact"/>
        <w:rPr>
          <w:rFonts w:ascii="Arial" w:cs="Arial" w:eastAsia="Arial" w:hAnsi="Arial"/>
          <w:sz w:val="18"/>
          <w:szCs w:val="18"/>
          <w:color w:val="080006"/>
        </w:rPr>
      </w:pPr>
    </w:p>
    <w:p>
      <w:pPr>
        <w:ind w:left="620" w:hanging="301"/>
        <w:spacing w:after="0"/>
        <w:tabs>
          <w:tab w:leader="none" w:pos="620" w:val="left"/>
        </w:tabs>
        <w:numPr>
          <w:ilvl w:val="0"/>
          <w:numId w:val="14"/>
        </w:numPr>
        <w:rPr>
          <w:rFonts w:ascii="Arial" w:cs="Arial" w:eastAsia="Arial" w:hAnsi="Arial"/>
          <w:sz w:val="18"/>
          <w:szCs w:val="18"/>
          <w:color w:val="080006"/>
        </w:rPr>
      </w:pPr>
      <w:r>
        <w:rPr>
          <w:rFonts w:ascii="Arial" w:cs="Arial" w:eastAsia="Arial" w:hAnsi="Arial"/>
          <w:sz w:val="18"/>
          <w:szCs w:val="18"/>
          <w:color w:val="080006"/>
        </w:rPr>
        <w:t>Annual Improvements to IFRSs 2010-2012 Cycle (except for the amendment to IFRS 3 Business combinations</w:t>
      </w:r>
    </w:p>
    <w:p>
      <w:pPr>
        <w:spacing w:after="0" w:line="211" w:lineRule="exact"/>
        <w:rPr>
          <w:rFonts w:ascii="Arial" w:cs="Arial" w:eastAsia="Arial" w:hAnsi="Arial"/>
          <w:sz w:val="18"/>
          <w:szCs w:val="18"/>
          <w:color w:val="080006"/>
        </w:rPr>
      </w:pPr>
    </w:p>
    <w:p>
      <w:pPr>
        <w:ind w:left="620" w:hanging="301"/>
        <w:spacing w:after="0"/>
        <w:tabs>
          <w:tab w:leader="none" w:pos="620" w:val="left"/>
        </w:tabs>
        <w:numPr>
          <w:ilvl w:val="0"/>
          <w:numId w:val="14"/>
        </w:numPr>
        <w:rPr>
          <w:rFonts w:ascii="Arial" w:cs="Arial" w:eastAsia="Arial" w:hAnsi="Arial"/>
          <w:sz w:val="18"/>
          <w:szCs w:val="18"/>
          <w:color w:val="080006"/>
        </w:rPr>
      </w:pPr>
      <w:r>
        <w:rPr>
          <w:rFonts w:ascii="Arial" w:cs="Arial" w:eastAsia="Arial" w:hAnsi="Arial"/>
          <w:sz w:val="18"/>
          <w:szCs w:val="18"/>
          <w:color w:val="080006"/>
        </w:rPr>
        <w:t>Annual Improvements to IFRSs 2011-2013 Cycle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January 1, 2016 or later periods but which the Company has not adopted early:</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4260" w:type="dxa"/>
            <w:vAlign w:val="bottom"/>
            <w:tcBorders>
              <w:top w:val="single" w:sz="8" w:color="auto"/>
              <w:left w:val="single" w:sz="8" w:color="auto"/>
              <w:right w:val="single" w:sz="8" w:color="auto"/>
            </w:tcBorders>
            <w:shd w:val="clear" w:color="auto" w:fill="8DB3E2"/>
          </w:tcPr>
          <w:p>
            <w:pPr>
              <w:ind w:left="80"/>
              <w:spacing w:after="0"/>
              <w:rPr>
                <w:sz w:val="20"/>
                <w:szCs w:val="20"/>
                <w:color w:val="auto"/>
              </w:rPr>
            </w:pPr>
            <w:r>
              <w:rPr>
                <w:rFonts w:ascii="Arial" w:cs="Arial" w:eastAsia="Arial" w:hAnsi="Arial"/>
                <w:sz w:val="18"/>
                <w:szCs w:val="18"/>
                <w:b w:val="1"/>
                <w:bCs w:val="1"/>
                <w:color w:val="auto"/>
              </w:rPr>
              <w:t>Recently released Standards/ Interpretations</w:t>
            </w:r>
          </w:p>
        </w:tc>
        <w:tc>
          <w:tcPr>
            <w:tcW w:w="1020" w:type="dxa"/>
            <w:vAlign w:val="bottom"/>
            <w:tcBorders>
              <w:top w:val="single" w:sz="8" w:color="auto"/>
              <w:right w:val="single" w:sz="8" w:color="auto"/>
            </w:tcBorders>
            <w:shd w:val="clear" w:color="auto" w:fill="8DB3E2"/>
          </w:tcPr>
          <w:p>
            <w:pPr>
              <w:ind w:left="40"/>
              <w:spacing w:after="0"/>
              <w:rPr>
                <w:sz w:val="20"/>
                <w:szCs w:val="20"/>
                <w:color w:val="auto"/>
              </w:rPr>
            </w:pPr>
            <w:r>
              <w:rPr>
                <w:rFonts w:ascii="Arial" w:cs="Arial" w:eastAsia="Arial" w:hAnsi="Arial"/>
                <w:sz w:val="18"/>
                <w:szCs w:val="18"/>
                <w:b w:val="1"/>
                <w:bCs w:val="1"/>
                <w:color w:val="auto"/>
              </w:rPr>
              <w:t>Date</w:t>
            </w:r>
          </w:p>
        </w:tc>
        <w:tc>
          <w:tcPr>
            <w:tcW w:w="3300" w:type="dxa"/>
            <w:vAlign w:val="bottom"/>
            <w:tcBorders>
              <w:top w:val="single" w:sz="8" w:color="auto"/>
              <w:right w:val="single" w:sz="8" w:color="auto"/>
            </w:tcBorders>
            <w:shd w:val="clear" w:color="auto" w:fill="8DB3E2"/>
          </w:tcPr>
          <w:p>
            <w:pPr>
              <w:ind w:left="40"/>
              <w:spacing w:after="0"/>
              <w:rPr>
                <w:sz w:val="20"/>
                <w:szCs w:val="20"/>
                <w:color w:val="auto"/>
              </w:rPr>
            </w:pPr>
            <w:r>
              <w:rPr>
                <w:rFonts w:ascii="Arial" w:cs="Arial" w:eastAsia="Arial" w:hAnsi="Arial"/>
                <w:sz w:val="18"/>
                <w:szCs w:val="18"/>
                <w:b w:val="1"/>
                <w:bCs w:val="1"/>
                <w:color w:val="auto"/>
              </w:rPr>
              <w:t>Effective date (mostly annual</w:t>
            </w:r>
          </w:p>
        </w:tc>
        <w:tc>
          <w:tcPr>
            <w:tcW w:w="2840" w:type="dxa"/>
            <w:vAlign w:val="bottom"/>
            <w:tcBorders>
              <w:top w:val="single" w:sz="8" w:color="auto"/>
              <w:right w:val="single" w:sz="8" w:color="auto"/>
            </w:tcBorders>
            <w:shd w:val="clear" w:color="auto" w:fill="8DB3E2"/>
          </w:tcPr>
          <w:p>
            <w:pPr>
              <w:ind w:left="40"/>
              <w:spacing w:after="0"/>
              <w:rPr>
                <w:sz w:val="20"/>
                <w:szCs w:val="20"/>
                <w:color w:val="auto"/>
              </w:rPr>
            </w:pPr>
            <w:r>
              <w:rPr>
                <w:rFonts w:ascii="Arial" w:cs="Arial" w:eastAsia="Arial" w:hAnsi="Arial"/>
                <w:sz w:val="18"/>
                <w:szCs w:val="18"/>
                <w:b w:val="1"/>
                <w:bCs w:val="1"/>
                <w:color w:val="auto"/>
              </w:rPr>
              <w:t>Planned  application  by  AC</w:t>
            </w:r>
          </w:p>
        </w:tc>
      </w:tr>
      <w:tr>
        <w:trPr>
          <w:trHeight w:val="203"/>
        </w:trPr>
        <w:tc>
          <w:tcPr>
            <w:tcW w:w="4260" w:type="dxa"/>
            <w:vAlign w:val="bottom"/>
            <w:tcBorders>
              <w:left w:val="single" w:sz="8" w:color="auto"/>
              <w:right w:val="single" w:sz="8" w:color="auto"/>
            </w:tcBorders>
            <w:shd w:val="clear" w:color="auto" w:fill="8DB3E2"/>
          </w:tcPr>
          <w:p>
            <w:pPr>
              <w:spacing w:after="0"/>
              <w:rPr>
                <w:sz w:val="17"/>
                <w:szCs w:val="17"/>
                <w:color w:val="auto"/>
              </w:rPr>
            </w:pPr>
          </w:p>
        </w:tc>
        <w:tc>
          <w:tcPr>
            <w:tcW w:w="1020" w:type="dxa"/>
            <w:vAlign w:val="bottom"/>
            <w:tcBorders>
              <w:right w:val="single" w:sz="8" w:color="auto"/>
            </w:tcBorders>
            <w:shd w:val="clear" w:color="auto" w:fill="8DB3E2"/>
          </w:tcPr>
          <w:p>
            <w:pPr>
              <w:ind w:left="40"/>
              <w:spacing w:after="0" w:line="202" w:lineRule="exact"/>
              <w:rPr>
                <w:sz w:val="20"/>
                <w:szCs w:val="20"/>
                <w:color w:val="auto"/>
              </w:rPr>
            </w:pPr>
            <w:r>
              <w:rPr>
                <w:rFonts w:ascii="Arial" w:cs="Arial" w:eastAsia="Arial" w:hAnsi="Arial"/>
                <w:sz w:val="18"/>
                <w:szCs w:val="18"/>
                <w:b w:val="1"/>
                <w:bCs w:val="1"/>
                <w:color w:val="auto"/>
              </w:rPr>
              <w:t>Issued</w:t>
            </w:r>
          </w:p>
        </w:tc>
        <w:tc>
          <w:tcPr>
            <w:tcW w:w="3300" w:type="dxa"/>
            <w:vAlign w:val="bottom"/>
            <w:tcBorders>
              <w:right w:val="single" w:sz="8" w:color="auto"/>
            </w:tcBorders>
            <w:shd w:val="clear" w:color="auto" w:fill="8DB3E2"/>
          </w:tcPr>
          <w:p>
            <w:pPr>
              <w:ind w:left="40"/>
              <w:spacing w:after="0" w:line="202" w:lineRule="exact"/>
              <w:rPr>
                <w:sz w:val="20"/>
                <w:szCs w:val="20"/>
                <w:color w:val="auto"/>
              </w:rPr>
            </w:pPr>
            <w:r>
              <w:rPr>
                <w:rFonts w:ascii="Arial" w:cs="Arial" w:eastAsia="Arial" w:hAnsi="Arial"/>
                <w:sz w:val="18"/>
                <w:szCs w:val="18"/>
                <w:b w:val="1"/>
                <w:bCs w:val="1"/>
                <w:color w:val="auto"/>
              </w:rPr>
              <w:t>periods beginning on or after) Early</w:t>
            </w:r>
          </w:p>
        </w:tc>
        <w:tc>
          <w:tcPr>
            <w:tcW w:w="2840" w:type="dxa"/>
            <w:vAlign w:val="bottom"/>
            <w:tcBorders>
              <w:right w:val="single" w:sz="8" w:color="auto"/>
            </w:tcBorders>
            <w:shd w:val="clear" w:color="auto" w:fill="8DB3E2"/>
          </w:tcPr>
          <w:p>
            <w:pPr>
              <w:ind w:left="40"/>
              <w:spacing w:after="0" w:line="202" w:lineRule="exact"/>
              <w:rPr>
                <w:sz w:val="20"/>
                <w:szCs w:val="20"/>
                <w:color w:val="auto"/>
              </w:rPr>
            </w:pPr>
            <w:r>
              <w:rPr>
                <w:rFonts w:ascii="Arial" w:cs="Arial" w:eastAsia="Arial" w:hAnsi="Arial"/>
                <w:sz w:val="18"/>
                <w:szCs w:val="18"/>
                <w:b w:val="1"/>
                <w:bCs w:val="1"/>
                <w:color w:val="auto"/>
              </w:rPr>
              <w:t>Immune</w:t>
            </w:r>
          </w:p>
        </w:tc>
      </w:tr>
      <w:tr>
        <w:trPr>
          <w:trHeight w:val="284"/>
        </w:trPr>
        <w:tc>
          <w:tcPr>
            <w:tcW w:w="4260" w:type="dxa"/>
            <w:vAlign w:val="bottom"/>
            <w:tcBorders>
              <w:left w:val="single" w:sz="8" w:color="auto"/>
              <w:bottom w:val="single" w:sz="8" w:color="8DB3E2"/>
              <w:right w:val="single" w:sz="8" w:color="auto"/>
            </w:tcBorders>
            <w:shd w:val="clear" w:color="auto" w:fill="8DB3E2"/>
          </w:tcPr>
          <w:p>
            <w:pPr>
              <w:spacing w:after="0"/>
              <w:rPr>
                <w:sz w:val="24"/>
                <w:szCs w:val="24"/>
                <w:color w:val="auto"/>
              </w:rPr>
            </w:pPr>
          </w:p>
        </w:tc>
        <w:tc>
          <w:tcPr>
            <w:tcW w:w="1020" w:type="dxa"/>
            <w:vAlign w:val="bottom"/>
            <w:tcBorders>
              <w:bottom w:val="single" w:sz="8" w:color="8DB3E2"/>
              <w:right w:val="single" w:sz="8" w:color="auto"/>
            </w:tcBorders>
            <w:shd w:val="clear" w:color="auto" w:fill="8DB3E2"/>
          </w:tcPr>
          <w:p>
            <w:pPr>
              <w:spacing w:after="0"/>
              <w:rPr>
                <w:sz w:val="24"/>
                <w:szCs w:val="24"/>
                <w:color w:val="auto"/>
              </w:rPr>
            </w:pPr>
          </w:p>
        </w:tc>
        <w:tc>
          <w:tcPr>
            <w:tcW w:w="3300" w:type="dxa"/>
            <w:vAlign w:val="bottom"/>
            <w:tcBorders>
              <w:bottom w:val="single" w:sz="8" w:color="8DB3E2"/>
              <w:right w:val="single" w:sz="8" w:color="auto"/>
            </w:tcBorders>
            <w:shd w:val="clear" w:color="auto" w:fill="8DB3E2"/>
          </w:tcPr>
          <w:p>
            <w:pPr>
              <w:ind w:left="40"/>
              <w:spacing w:after="0"/>
              <w:rPr>
                <w:sz w:val="20"/>
                <w:szCs w:val="20"/>
                <w:color w:val="auto"/>
              </w:rPr>
            </w:pPr>
            <w:r>
              <w:rPr>
                <w:rFonts w:ascii="Arial" w:cs="Arial" w:eastAsia="Arial" w:hAnsi="Arial"/>
                <w:sz w:val="18"/>
                <w:szCs w:val="18"/>
                <w:b w:val="1"/>
                <w:bCs w:val="1"/>
                <w:color w:val="auto"/>
              </w:rPr>
              <w:t>adoption is often permitted</w:t>
            </w:r>
          </w:p>
        </w:tc>
        <w:tc>
          <w:tcPr>
            <w:tcW w:w="2840" w:type="dxa"/>
            <w:vAlign w:val="bottom"/>
            <w:tcBorders>
              <w:bottom w:val="single" w:sz="8" w:color="8DB3E2"/>
              <w:right w:val="single" w:sz="8" w:color="auto"/>
            </w:tcBorders>
            <w:shd w:val="clear" w:color="auto" w:fill="8DB3E2"/>
          </w:tcPr>
          <w:p>
            <w:pPr>
              <w:spacing w:after="0"/>
              <w:rPr>
                <w:sz w:val="24"/>
                <w:szCs w:val="24"/>
                <w:color w:val="auto"/>
              </w:rPr>
            </w:pPr>
          </w:p>
        </w:tc>
      </w:tr>
      <w:tr>
        <w:trPr>
          <w:trHeight w:val="249"/>
        </w:trPr>
        <w:tc>
          <w:tcPr>
            <w:tcW w:w="4260" w:type="dxa"/>
            <w:vAlign w:val="bottom"/>
            <w:tcBorders>
              <w:top w:val="single" w:sz="8" w:color="auto"/>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Investment Entities: Applying the Consolidation</w:t>
            </w:r>
          </w:p>
        </w:tc>
        <w:tc>
          <w:tcPr>
            <w:tcW w:w="102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Dec 2014</w:t>
            </w:r>
          </w:p>
        </w:tc>
        <w:tc>
          <w:tcPr>
            <w:tcW w:w="330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Annual periods beginning on or after</w:t>
            </w:r>
          </w:p>
        </w:tc>
        <w:tc>
          <w:tcPr>
            <w:tcW w:w="284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i w:val="1"/>
                <w:iCs w:val="1"/>
                <w:color w:val="auto"/>
              </w:rPr>
              <w:t>Non applicable</w:t>
            </w:r>
          </w:p>
        </w:tc>
      </w:tr>
      <w:tr>
        <w:trPr>
          <w:trHeight w:val="203"/>
        </w:trPr>
        <w:tc>
          <w:tcPr>
            <w:tcW w:w="4260" w:type="dxa"/>
            <w:vAlign w:val="bottom"/>
            <w:tcBorders>
              <w:left w:val="single" w:sz="8" w:color="auto"/>
              <w:right w:val="single" w:sz="8" w:color="auto"/>
            </w:tcBorders>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shd w:val="clear" w:color="auto" w:fill="C6D9F1"/>
          </w:tcPr>
          <w:p>
            <w:pPr>
              <w:ind w:left="40"/>
              <w:spacing w:after="0" w:line="202" w:lineRule="exact"/>
              <w:rPr>
                <w:sz w:val="20"/>
                <w:szCs w:val="20"/>
                <w:color w:val="auto"/>
              </w:rPr>
            </w:pPr>
            <w:r>
              <w:rPr>
                <w:rFonts w:ascii="Arial" w:cs="Arial" w:eastAsia="Arial" w:hAnsi="Arial"/>
                <w:sz w:val="18"/>
                <w:szCs w:val="18"/>
                <w:color w:val="auto"/>
              </w:rPr>
              <w:t>January 1, 2016, with early application</w:t>
            </w:r>
          </w:p>
        </w:tc>
        <w:tc>
          <w:tcPr>
            <w:tcW w:w="2840" w:type="dxa"/>
            <w:vAlign w:val="bottom"/>
            <w:tcBorders>
              <w:right w:val="single" w:sz="8" w:color="auto"/>
            </w:tcBorders>
            <w:shd w:val="clear" w:color="auto" w:fill="C6D9F1"/>
          </w:tcPr>
          <w:p>
            <w:pPr>
              <w:spacing w:after="0"/>
              <w:rPr>
                <w:sz w:val="17"/>
                <w:szCs w:val="17"/>
                <w:color w:val="auto"/>
              </w:rPr>
            </w:pPr>
          </w:p>
        </w:tc>
      </w:tr>
      <w:tr>
        <w:trPr>
          <w:trHeight w:val="203"/>
        </w:trPr>
        <w:tc>
          <w:tcPr>
            <w:tcW w:w="4260" w:type="dxa"/>
            <w:vAlign w:val="bottom"/>
            <w:tcBorders>
              <w:left w:val="single" w:sz="8" w:color="auto"/>
              <w:right w:val="single" w:sz="8" w:color="auto"/>
            </w:tcBorders>
            <w:shd w:val="clear" w:color="auto" w:fill="C6D9F1"/>
          </w:tcPr>
          <w:p>
            <w:pPr>
              <w:ind w:left="80"/>
              <w:spacing w:after="0" w:line="202" w:lineRule="exact"/>
              <w:rPr>
                <w:sz w:val="20"/>
                <w:szCs w:val="20"/>
                <w:color w:val="auto"/>
              </w:rPr>
            </w:pPr>
            <w:r>
              <w:rPr>
                <w:rFonts w:ascii="Arial" w:cs="Arial" w:eastAsia="Arial" w:hAnsi="Arial"/>
                <w:sz w:val="18"/>
                <w:szCs w:val="18"/>
                <w:color w:val="auto"/>
              </w:rPr>
              <w:t>Exception (Amendments to IFRS 10, IFRS 12 and</w:t>
            </w: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shd w:val="clear" w:color="auto" w:fill="C6D9F1"/>
          </w:tcPr>
          <w:p>
            <w:pPr>
              <w:ind w:left="40"/>
              <w:spacing w:after="0" w:line="202" w:lineRule="exact"/>
              <w:rPr>
                <w:sz w:val="20"/>
                <w:szCs w:val="20"/>
                <w:color w:val="auto"/>
              </w:rPr>
            </w:pPr>
            <w:r>
              <w:rPr>
                <w:rFonts w:ascii="Arial" w:cs="Arial" w:eastAsia="Arial" w:hAnsi="Arial"/>
                <w:sz w:val="18"/>
                <w:szCs w:val="18"/>
                <w:color w:val="auto"/>
              </w:rPr>
              <w:t>permitted</w:t>
            </w:r>
          </w:p>
        </w:tc>
        <w:tc>
          <w:tcPr>
            <w:tcW w:w="2840" w:type="dxa"/>
            <w:vAlign w:val="bottom"/>
            <w:tcBorders>
              <w:right w:val="single" w:sz="8" w:color="auto"/>
            </w:tcBorders>
            <w:shd w:val="clear" w:color="auto" w:fill="C6D9F1"/>
          </w:tcPr>
          <w:p>
            <w:pPr>
              <w:spacing w:after="0"/>
              <w:rPr>
                <w:sz w:val="17"/>
                <w:szCs w:val="17"/>
                <w:color w:val="auto"/>
              </w:rPr>
            </w:pPr>
          </w:p>
        </w:tc>
      </w:tr>
      <w:tr>
        <w:trPr>
          <w:trHeight w:val="217"/>
        </w:trPr>
        <w:tc>
          <w:tcPr>
            <w:tcW w:w="4260" w:type="dxa"/>
            <w:vAlign w:val="bottom"/>
            <w:tcBorders>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IAS 28)</w:t>
            </w:r>
          </w:p>
        </w:tc>
        <w:tc>
          <w:tcPr>
            <w:tcW w:w="1020" w:type="dxa"/>
            <w:vAlign w:val="bottom"/>
            <w:tcBorders>
              <w:right w:val="single" w:sz="8" w:color="auto"/>
            </w:tcBorders>
            <w:shd w:val="clear" w:color="auto" w:fill="C6D9F1"/>
          </w:tcPr>
          <w:p>
            <w:pPr>
              <w:spacing w:after="0"/>
              <w:rPr>
                <w:sz w:val="18"/>
                <w:szCs w:val="18"/>
                <w:color w:val="auto"/>
              </w:rPr>
            </w:pPr>
          </w:p>
        </w:tc>
        <w:tc>
          <w:tcPr>
            <w:tcW w:w="3300" w:type="dxa"/>
            <w:vAlign w:val="bottom"/>
            <w:tcBorders>
              <w:right w:val="single" w:sz="8" w:color="auto"/>
            </w:tcBorders>
            <w:shd w:val="clear" w:color="auto" w:fill="C6D9F1"/>
          </w:tcPr>
          <w:p>
            <w:pPr>
              <w:spacing w:after="0"/>
              <w:rPr>
                <w:sz w:val="18"/>
                <w:szCs w:val="18"/>
                <w:color w:val="auto"/>
              </w:rPr>
            </w:pPr>
          </w:p>
        </w:tc>
        <w:tc>
          <w:tcPr>
            <w:tcW w:w="2840" w:type="dxa"/>
            <w:vAlign w:val="bottom"/>
            <w:tcBorders>
              <w:right w:val="single" w:sz="8" w:color="auto"/>
            </w:tcBorders>
            <w:shd w:val="clear" w:color="auto" w:fill="C6D9F1"/>
          </w:tcPr>
          <w:p>
            <w:pPr>
              <w:spacing w:after="0"/>
              <w:rPr>
                <w:sz w:val="18"/>
                <w:szCs w:val="18"/>
                <w:color w:val="auto"/>
              </w:rPr>
            </w:pPr>
          </w:p>
        </w:tc>
      </w:tr>
      <w:tr>
        <w:trPr>
          <w:trHeight w:val="243"/>
        </w:trPr>
        <w:tc>
          <w:tcPr>
            <w:tcW w:w="4260" w:type="dxa"/>
            <w:vAlign w:val="bottom"/>
            <w:tcBorders>
              <w:left w:val="single" w:sz="8" w:color="auto"/>
              <w:bottom w:val="single" w:sz="8" w:color="auto"/>
              <w:right w:val="single" w:sz="8" w:color="auto"/>
            </w:tcBorders>
            <w:shd w:val="clear" w:color="auto" w:fill="C6D9F1"/>
          </w:tcPr>
          <w:p>
            <w:pPr>
              <w:spacing w:after="0"/>
              <w:rPr>
                <w:sz w:val="21"/>
                <w:szCs w:val="21"/>
                <w:color w:val="auto"/>
              </w:rPr>
            </w:pPr>
          </w:p>
        </w:tc>
        <w:tc>
          <w:tcPr>
            <w:tcW w:w="1020" w:type="dxa"/>
            <w:vAlign w:val="bottom"/>
            <w:tcBorders>
              <w:bottom w:val="single" w:sz="8" w:color="auto"/>
              <w:right w:val="single" w:sz="8" w:color="auto"/>
            </w:tcBorders>
            <w:shd w:val="clear" w:color="auto" w:fill="C6D9F1"/>
          </w:tcPr>
          <w:p>
            <w:pPr>
              <w:spacing w:after="0"/>
              <w:rPr>
                <w:sz w:val="21"/>
                <w:szCs w:val="21"/>
                <w:color w:val="auto"/>
              </w:rPr>
            </w:pPr>
          </w:p>
        </w:tc>
        <w:tc>
          <w:tcPr>
            <w:tcW w:w="3300" w:type="dxa"/>
            <w:vAlign w:val="bottom"/>
            <w:tcBorders>
              <w:bottom w:val="single" w:sz="8" w:color="auto"/>
              <w:right w:val="single" w:sz="8" w:color="auto"/>
            </w:tcBorders>
            <w:shd w:val="clear" w:color="auto" w:fill="C6D9F1"/>
          </w:tcPr>
          <w:p>
            <w:pPr>
              <w:spacing w:after="0"/>
              <w:rPr>
                <w:sz w:val="21"/>
                <w:szCs w:val="21"/>
                <w:color w:val="auto"/>
              </w:rPr>
            </w:pPr>
          </w:p>
        </w:tc>
        <w:tc>
          <w:tcPr>
            <w:tcW w:w="2840" w:type="dxa"/>
            <w:vAlign w:val="bottom"/>
            <w:tcBorders>
              <w:bottom w:val="single" w:sz="8" w:color="auto"/>
              <w:right w:val="single" w:sz="8" w:color="auto"/>
            </w:tcBorders>
            <w:shd w:val="clear" w:color="auto" w:fill="C6D9F1"/>
          </w:tcPr>
          <w:p>
            <w:pPr>
              <w:spacing w:after="0"/>
              <w:rPr>
                <w:sz w:val="21"/>
                <w:szCs w:val="21"/>
                <w:color w:val="auto"/>
              </w:rPr>
            </w:pPr>
          </w:p>
        </w:tc>
      </w:tr>
      <w:tr>
        <w:trPr>
          <w:trHeight w:val="249"/>
        </w:trPr>
        <w:tc>
          <w:tcPr>
            <w:tcW w:w="4260" w:type="dxa"/>
            <w:vAlign w:val="bottom"/>
            <w:tcBorders>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Disclosure Initiative (Amendments</w:t>
            </w:r>
          </w:p>
        </w:tc>
        <w:tc>
          <w:tcPr>
            <w:tcW w:w="1020" w:type="dxa"/>
            <w:vAlign w:val="bottom"/>
            <w:tcBorders>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Dec 2014</w:t>
            </w:r>
          </w:p>
        </w:tc>
        <w:tc>
          <w:tcPr>
            <w:tcW w:w="3300" w:type="dxa"/>
            <w:vAlign w:val="bottom"/>
            <w:tcBorders>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Annual periods beginning on or after</w:t>
            </w:r>
          </w:p>
        </w:tc>
        <w:tc>
          <w:tcPr>
            <w:tcW w:w="2840" w:type="dxa"/>
            <w:vAlign w:val="bottom"/>
            <w:tcBorders>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Jan 1, 2016</w:t>
            </w:r>
          </w:p>
        </w:tc>
      </w:tr>
      <w:tr>
        <w:trPr>
          <w:trHeight w:val="203"/>
        </w:trPr>
        <w:tc>
          <w:tcPr>
            <w:tcW w:w="4260" w:type="dxa"/>
            <w:vAlign w:val="bottom"/>
            <w:tcBorders>
              <w:left w:val="single" w:sz="8" w:color="auto"/>
              <w:right w:val="single" w:sz="8" w:color="auto"/>
            </w:tcBorders>
            <w:shd w:val="clear" w:color="auto" w:fill="C6D9F1"/>
          </w:tcPr>
          <w:p>
            <w:pPr>
              <w:ind w:left="80"/>
              <w:spacing w:after="0" w:line="202" w:lineRule="exact"/>
              <w:rPr>
                <w:sz w:val="20"/>
                <w:szCs w:val="20"/>
                <w:color w:val="auto"/>
              </w:rPr>
            </w:pPr>
            <w:r>
              <w:rPr>
                <w:rFonts w:ascii="Arial" w:cs="Arial" w:eastAsia="Arial" w:hAnsi="Arial"/>
                <w:sz w:val="18"/>
                <w:szCs w:val="18"/>
                <w:color w:val="auto"/>
              </w:rPr>
              <w:t>to IAS 1)</w:t>
            </w: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shd w:val="clear" w:color="auto" w:fill="C6D9F1"/>
          </w:tcPr>
          <w:p>
            <w:pPr>
              <w:ind w:left="40"/>
              <w:spacing w:after="0" w:line="202" w:lineRule="exact"/>
              <w:rPr>
                <w:sz w:val="20"/>
                <w:szCs w:val="20"/>
                <w:color w:val="auto"/>
              </w:rPr>
            </w:pPr>
            <w:r>
              <w:rPr>
                <w:rFonts w:ascii="Arial" w:cs="Arial" w:eastAsia="Arial" w:hAnsi="Arial"/>
                <w:sz w:val="18"/>
                <w:szCs w:val="18"/>
                <w:color w:val="auto"/>
              </w:rPr>
              <w:t>January 1, 2016, with early application</w:t>
            </w:r>
          </w:p>
        </w:tc>
        <w:tc>
          <w:tcPr>
            <w:tcW w:w="2840" w:type="dxa"/>
            <w:vAlign w:val="bottom"/>
            <w:tcBorders>
              <w:right w:val="single" w:sz="8" w:color="auto"/>
            </w:tcBorders>
            <w:shd w:val="clear" w:color="auto" w:fill="C6D9F1"/>
          </w:tcPr>
          <w:p>
            <w:pPr>
              <w:spacing w:after="0"/>
              <w:rPr>
                <w:sz w:val="17"/>
                <w:szCs w:val="17"/>
                <w:color w:val="auto"/>
              </w:rPr>
            </w:pPr>
          </w:p>
        </w:tc>
      </w:tr>
      <w:tr>
        <w:trPr>
          <w:trHeight w:val="262"/>
        </w:trPr>
        <w:tc>
          <w:tcPr>
            <w:tcW w:w="4260" w:type="dxa"/>
            <w:vAlign w:val="bottom"/>
            <w:tcBorders>
              <w:left w:val="single" w:sz="8" w:color="auto"/>
              <w:bottom w:val="single" w:sz="8" w:color="C6D9F1"/>
              <w:right w:val="single" w:sz="8" w:color="auto"/>
            </w:tcBorders>
            <w:shd w:val="clear" w:color="auto" w:fill="C6D9F1"/>
          </w:tcPr>
          <w:p>
            <w:pPr>
              <w:spacing w:after="0"/>
              <w:rPr>
                <w:sz w:val="22"/>
                <w:szCs w:val="22"/>
                <w:color w:val="auto"/>
              </w:rPr>
            </w:pPr>
          </w:p>
        </w:tc>
        <w:tc>
          <w:tcPr>
            <w:tcW w:w="1020" w:type="dxa"/>
            <w:vAlign w:val="bottom"/>
            <w:tcBorders>
              <w:bottom w:val="single" w:sz="8" w:color="C6D9F1"/>
              <w:right w:val="single" w:sz="8" w:color="auto"/>
            </w:tcBorders>
            <w:shd w:val="clear" w:color="auto" w:fill="C6D9F1"/>
          </w:tcPr>
          <w:p>
            <w:pPr>
              <w:spacing w:after="0"/>
              <w:rPr>
                <w:sz w:val="22"/>
                <w:szCs w:val="22"/>
                <w:color w:val="auto"/>
              </w:rPr>
            </w:pPr>
          </w:p>
        </w:tc>
        <w:tc>
          <w:tcPr>
            <w:tcW w:w="3300" w:type="dxa"/>
            <w:vAlign w:val="bottom"/>
            <w:tcBorders>
              <w:bottom w:val="single" w:sz="8" w:color="C6D9F1"/>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permitted</w:t>
            </w:r>
          </w:p>
        </w:tc>
        <w:tc>
          <w:tcPr>
            <w:tcW w:w="2840" w:type="dxa"/>
            <w:vAlign w:val="bottom"/>
            <w:tcBorders>
              <w:bottom w:val="single" w:sz="8" w:color="C6D9F1"/>
              <w:right w:val="single" w:sz="8" w:color="auto"/>
            </w:tcBorders>
            <w:shd w:val="clear" w:color="auto" w:fill="C6D9F1"/>
          </w:tcPr>
          <w:p>
            <w:pPr>
              <w:spacing w:after="0"/>
              <w:rPr>
                <w:sz w:val="22"/>
                <w:szCs w:val="22"/>
                <w:color w:val="auto"/>
              </w:rPr>
            </w:pPr>
          </w:p>
        </w:tc>
      </w:tr>
      <w:tr>
        <w:trPr>
          <w:trHeight w:val="249"/>
        </w:trPr>
        <w:tc>
          <w:tcPr>
            <w:tcW w:w="4260" w:type="dxa"/>
            <w:vAlign w:val="bottom"/>
            <w:tcBorders>
              <w:top w:val="single" w:sz="8" w:color="auto"/>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Annual Improvements 2012-2014 Cycle</w:t>
            </w:r>
          </w:p>
        </w:tc>
        <w:tc>
          <w:tcPr>
            <w:tcW w:w="102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Sept 2014</w:t>
            </w:r>
          </w:p>
        </w:tc>
        <w:tc>
          <w:tcPr>
            <w:tcW w:w="330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Annual periods beginning on or after</w:t>
            </w:r>
          </w:p>
        </w:tc>
        <w:tc>
          <w:tcPr>
            <w:tcW w:w="284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Jan 1, 2016</w:t>
            </w:r>
          </w:p>
        </w:tc>
      </w:tr>
      <w:tr>
        <w:trPr>
          <w:trHeight w:val="203"/>
        </w:trPr>
        <w:tc>
          <w:tcPr>
            <w:tcW w:w="4260" w:type="dxa"/>
            <w:vAlign w:val="bottom"/>
            <w:tcBorders>
              <w:left w:val="single" w:sz="8" w:color="auto"/>
              <w:right w:val="single" w:sz="8" w:color="auto"/>
            </w:tcBorders>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shd w:val="clear" w:color="auto" w:fill="C6D9F1"/>
          </w:tcPr>
          <w:p>
            <w:pPr>
              <w:ind w:left="40"/>
              <w:spacing w:after="0" w:line="202" w:lineRule="exact"/>
              <w:rPr>
                <w:sz w:val="20"/>
                <w:szCs w:val="20"/>
                <w:color w:val="auto"/>
              </w:rPr>
            </w:pPr>
            <w:r>
              <w:rPr>
                <w:rFonts w:ascii="Arial" w:cs="Arial" w:eastAsia="Arial" w:hAnsi="Arial"/>
                <w:sz w:val="18"/>
                <w:szCs w:val="18"/>
                <w:color w:val="auto"/>
              </w:rPr>
              <w:t>January 1, 2016, with earlier application</w:t>
            </w:r>
          </w:p>
        </w:tc>
        <w:tc>
          <w:tcPr>
            <w:tcW w:w="2840" w:type="dxa"/>
            <w:vAlign w:val="bottom"/>
            <w:tcBorders>
              <w:right w:val="single" w:sz="8" w:color="auto"/>
            </w:tcBorders>
            <w:shd w:val="clear" w:color="auto" w:fill="C6D9F1"/>
          </w:tcPr>
          <w:p>
            <w:pPr>
              <w:spacing w:after="0"/>
              <w:rPr>
                <w:sz w:val="17"/>
                <w:szCs w:val="17"/>
                <w:color w:val="auto"/>
              </w:rPr>
            </w:pPr>
          </w:p>
        </w:tc>
      </w:tr>
      <w:tr>
        <w:trPr>
          <w:trHeight w:val="262"/>
        </w:trPr>
        <w:tc>
          <w:tcPr>
            <w:tcW w:w="4260" w:type="dxa"/>
            <w:vAlign w:val="bottom"/>
            <w:tcBorders>
              <w:left w:val="single" w:sz="8" w:color="auto"/>
              <w:bottom w:val="single" w:sz="8" w:color="C6D9F1"/>
              <w:right w:val="single" w:sz="8" w:color="auto"/>
            </w:tcBorders>
            <w:shd w:val="clear" w:color="auto" w:fill="C6D9F1"/>
          </w:tcPr>
          <w:p>
            <w:pPr>
              <w:spacing w:after="0"/>
              <w:rPr>
                <w:sz w:val="22"/>
                <w:szCs w:val="22"/>
                <w:color w:val="auto"/>
              </w:rPr>
            </w:pPr>
          </w:p>
        </w:tc>
        <w:tc>
          <w:tcPr>
            <w:tcW w:w="1020" w:type="dxa"/>
            <w:vAlign w:val="bottom"/>
            <w:tcBorders>
              <w:bottom w:val="single" w:sz="8" w:color="C6D9F1"/>
              <w:right w:val="single" w:sz="8" w:color="auto"/>
            </w:tcBorders>
            <w:shd w:val="clear" w:color="auto" w:fill="C6D9F1"/>
          </w:tcPr>
          <w:p>
            <w:pPr>
              <w:spacing w:after="0"/>
              <w:rPr>
                <w:sz w:val="22"/>
                <w:szCs w:val="22"/>
                <w:color w:val="auto"/>
              </w:rPr>
            </w:pPr>
          </w:p>
        </w:tc>
        <w:tc>
          <w:tcPr>
            <w:tcW w:w="3300" w:type="dxa"/>
            <w:vAlign w:val="bottom"/>
            <w:tcBorders>
              <w:bottom w:val="single" w:sz="8" w:color="C6D9F1"/>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being permitted</w:t>
            </w:r>
          </w:p>
        </w:tc>
        <w:tc>
          <w:tcPr>
            <w:tcW w:w="2840" w:type="dxa"/>
            <w:vAlign w:val="bottom"/>
            <w:tcBorders>
              <w:bottom w:val="single" w:sz="8" w:color="C6D9F1"/>
              <w:right w:val="single" w:sz="8" w:color="auto"/>
            </w:tcBorders>
            <w:shd w:val="clear" w:color="auto" w:fill="C6D9F1"/>
          </w:tcPr>
          <w:p>
            <w:pPr>
              <w:spacing w:after="0"/>
              <w:rPr>
                <w:sz w:val="22"/>
                <w:szCs w:val="22"/>
                <w:color w:val="auto"/>
              </w:rPr>
            </w:pPr>
          </w:p>
        </w:tc>
      </w:tr>
      <w:tr>
        <w:trPr>
          <w:trHeight w:val="249"/>
        </w:trPr>
        <w:tc>
          <w:tcPr>
            <w:tcW w:w="4260" w:type="dxa"/>
            <w:vAlign w:val="bottom"/>
            <w:tcBorders>
              <w:top w:val="single" w:sz="8" w:color="auto"/>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Sale or Contribution of Assets between an Investor</w:t>
            </w:r>
          </w:p>
        </w:tc>
        <w:tc>
          <w:tcPr>
            <w:tcW w:w="102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Sept 2014</w:t>
            </w:r>
          </w:p>
        </w:tc>
        <w:tc>
          <w:tcPr>
            <w:tcW w:w="330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Annual periods beginning on or after</w:t>
            </w:r>
          </w:p>
        </w:tc>
        <w:tc>
          <w:tcPr>
            <w:tcW w:w="284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i w:val="1"/>
                <w:iCs w:val="1"/>
                <w:color w:val="auto"/>
              </w:rPr>
              <w:t>Non applicable</w:t>
            </w:r>
          </w:p>
        </w:tc>
      </w:tr>
      <w:tr>
        <w:trPr>
          <w:trHeight w:val="203"/>
        </w:trPr>
        <w:tc>
          <w:tcPr>
            <w:tcW w:w="4260" w:type="dxa"/>
            <w:vAlign w:val="bottom"/>
            <w:tcBorders>
              <w:left w:val="single" w:sz="8" w:color="auto"/>
              <w:right w:val="single" w:sz="8" w:color="auto"/>
            </w:tcBorders>
            <w:shd w:val="clear" w:color="auto" w:fill="C6D9F1"/>
          </w:tcPr>
          <w:p>
            <w:pPr>
              <w:ind w:left="80"/>
              <w:spacing w:after="0" w:line="202" w:lineRule="exact"/>
              <w:rPr>
                <w:sz w:val="20"/>
                <w:szCs w:val="20"/>
                <w:color w:val="auto"/>
              </w:rPr>
            </w:pPr>
            <w:r>
              <w:rPr>
                <w:rFonts w:ascii="Arial" w:cs="Arial" w:eastAsia="Arial" w:hAnsi="Arial"/>
                <w:sz w:val="18"/>
                <w:szCs w:val="18"/>
                <w:color w:val="auto"/>
              </w:rPr>
              <w:t>and its Associate or Joint Venture (Amendments to</w:t>
            </w: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shd w:val="clear" w:color="auto" w:fill="C6D9F1"/>
          </w:tcPr>
          <w:p>
            <w:pPr>
              <w:ind w:left="40"/>
              <w:spacing w:after="0" w:line="202" w:lineRule="exact"/>
              <w:rPr>
                <w:sz w:val="20"/>
                <w:szCs w:val="20"/>
                <w:color w:val="auto"/>
              </w:rPr>
            </w:pPr>
            <w:r>
              <w:rPr>
                <w:rFonts w:ascii="Arial" w:cs="Arial" w:eastAsia="Arial" w:hAnsi="Arial"/>
                <w:sz w:val="18"/>
                <w:szCs w:val="18"/>
                <w:color w:val="auto"/>
              </w:rPr>
              <w:t>January 1, 2016, with earlier application</w:t>
            </w:r>
          </w:p>
        </w:tc>
        <w:tc>
          <w:tcPr>
            <w:tcW w:w="2840" w:type="dxa"/>
            <w:vAlign w:val="bottom"/>
            <w:tcBorders>
              <w:right w:val="single" w:sz="8" w:color="auto"/>
            </w:tcBorders>
            <w:shd w:val="clear" w:color="auto" w:fill="C6D9F1"/>
          </w:tcPr>
          <w:p>
            <w:pPr>
              <w:spacing w:after="0"/>
              <w:rPr>
                <w:sz w:val="17"/>
                <w:szCs w:val="17"/>
                <w:color w:val="auto"/>
              </w:rPr>
            </w:pPr>
          </w:p>
        </w:tc>
      </w:tr>
      <w:tr>
        <w:trPr>
          <w:trHeight w:val="262"/>
        </w:trPr>
        <w:tc>
          <w:tcPr>
            <w:tcW w:w="4260" w:type="dxa"/>
            <w:vAlign w:val="bottom"/>
            <w:tcBorders>
              <w:left w:val="single" w:sz="8" w:color="auto"/>
              <w:bottom w:val="single" w:sz="8" w:color="C6D9F1"/>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IFRS 10 and IAS 28)</w:t>
            </w:r>
          </w:p>
        </w:tc>
        <w:tc>
          <w:tcPr>
            <w:tcW w:w="1020" w:type="dxa"/>
            <w:vAlign w:val="bottom"/>
            <w:tcBorders>
              <w:bottom w:val="single" w:sz="8" w:color="C6D9F1"/>
              <w:right w:val="single" w:sz="8" w:color="auto"/>
            </w:tcBorders>
            <w:shd w:val="clear" w:color="auto" w:fill="C6D9F1"/>
          </w:tcPr>
          <w:p>
            <w:pPr>
              <w:spacing w:after="0"/>
              <w:rPr>
                <w:sz w:val="22"/>
                <w:szCs w:val="22"/>
                <w:color w:val="auto"/>
              </w:rPr>
            </w:pPr>
          </w:p>
        </w:tc>
        <w:tc>
          <w:tcPr>
            <w:tcW w:w="3300" w:type="dxa"/>
            <w:vAlign w:val="bottom"/>
            <w:tcBorders>
              <w:bottom w:val="single" w:sz="8" w:color="C6D9F1"/>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being permitted</w:t>
            </w:r>
          </w:p>
        </w:tc>
        <w:tc>
          <w:tcPr>
            <w:tcW w:w="2840" w:type="dxa"/>
            <w:vAlign w:val="bottom"/>
            <w:tcBorders>
              <w:bottom w:val="single" w:sz="8" w:color="C6D9F1"/>
              <w:right w:val="single" w:sz="8" w:color="auto"/>
            </w:tcBorders>
            <w:shd w:val="clear" w:color="auto" w:fill="C6D9F1"/>
          </w:tcPr>
          <w:p>
            <w:pPr>
              <w:spacing w:after="0"/>
              <w:rPr>
                <w:sz w:val="22"/>
                <w:szCs w:val="22"/>
                <w:color w:val="auto"/>
              </w:rPr>
            </w:pPr>
          </w:p>
        </w:tc>
      </w:tr>
      <w:tr>
        <w:trPr>
          <w:trHeight w:val="318"/>
        </w:trPr>
        <w:tc>
          <w:tcPr>
            <w:tcW w:w="4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300" w:type="dxa"/>
            <w:vAlign w:val="bottom"/>
            <w:tcBorders>
              <w:top w:val="single" w:sz="8" w:color="auto"/>
            </w:tcBorders>
          </w:tcPr>
          <w:p>
            <w:pPr>
              <w:spacing w:after="0"/>
              <w:rPr>
                <w:sz w:val="24"/>
                <w:szCs w:val="24"/>
                <w:color w:val="auto"/>
              </w:rPr>
            </w:pPr>
          </w:p>
        </w:tc>
        <w:tc>
          <w:tcPr>
            <w:tcW w:w="2840" w:type="dxa"/>
            <w:vAlign w:val="bottom"/>
            <w:tcBorders>
              <w:top w:val="single" w:sz="8" w:color="auto"/>
            </w:tcBorders>
          </w:tcPr>
          <w:p>
            <w:pPr>
              <w:ind w:left="2580"/>
              <w:spacing w:after="0"/>
              <w:rPr>
                <w:sz w:val="20"/>
                <w:szCs w:val="20"/>
                <w:color w:val="auto"/>
              </w:rPr>
            </w:pPr>
            <w:r>
              <w:rPr>
                <w:rFonts w:ascii="Arial" w:cs="Arial" w:eastAsia="Arial" w:hAnsi="Arial"/>
                <w:sz w:val="18"/>
                <w:szCs w:val="18"/>
                <w:color w:val="auto"/>
              </w:rPr>
              <w:t>12</w:t>
            </w:r>
          </w:p>
        </w:tc>
      </w:tr>
      <w:tr>
        <w:trPr>
          <w:trHeight w:val="459"/>
        </w:trPr>
        <w:tc>
          <w:tcPr>
            <w:tcW w:w="4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-307975</wp:posOffset>
            </wp:positionV>
            <wp:extent cx="1260475"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60475" cy="27432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6" w:name="page37"/>
    <w:bookmarkEnd w:id="36"/>
    <w:p>
      <w:pPr>
        <w:jc w:val="center"/>
        <w:ind w:right="80"/>
        <w:spacing w:after="0"/>
        <w:rPr>
          <w:sz w:val="20"/>
          <w:szCs w:val="20"/>
          <w:color w:val="auto"/>
        </w:rPr>
      </w:pPr>
      <w:r>
        <w:rPr>
          <w:sz w:val="1"/>
          <w:szCs w:val="1"/>
          <w:color w:val="auto"/>
        </w:rPr>
        <w:drawing>
          <wp:inline distT="0" distB="0" distL="0" distR="0">
            <wp:extent cx="403225" cy="18034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4260" w:type="dxa"/>
            <w:vAlign w:val="bottom"/>
            <w:tcBorders>
              <w:top w:val="single" w:sz="8" w:color="auto"/>
              <w:left w:val="single" w:sz="8" w:color="auto"/>
              <w:right w:val="single" w:sz="8" w:color="auto"/>
            </w:tcBorders>
            <w:shd w:val="clear" w:color="auto" w:fill="8DB3E2"/>
          </w:tcPr>
          <w:p>
            <w:pPr>
              <w:ind w:left="80"/>
              <w:spacing w:after="0"/>
              <w:rPr>
                <w:sz w:val="20"/>
                <w:szCs w:val="20"/>
                <w:color w:val="auto"/>
              </w:rPr>
            </w:pPr>
            <w:r>
              <w:rPr>
                <w:rFonts w:ascii="Arial" w:cs="Arial" w:eastAsia="Arial" w:hAnsi="Arial"/>
                <w:sz w:val="18"/>
                <w:szCs w:val="18"/>
                <w:b w:val="1"/>
                <w:bCs w:val="1"/>
                <w:color w:val="auto"/>
              </w:rPr>
              <w:t>Recently released Standards/ Interpretations</w:t>
            </w:r>
          </w:p>
        </w:tc>
        <w:tc>
          <w:tcPr>
            <w:tcW w:w="1020" w:type="dxa"/>
            <w:vAlign w:val="bottom"/>
            <w:tcBorders>
              <w:top w:val="single" w:sz="8" w:color="auto"/>
              <w:right w:val="single" w:sz="8" w:color="auto"/>
            </w:tcBorders>
            <w:shd w:val="clear" w:color="auto" w:fill="8DB3E2"/>
          </w:tcPr>
          <w:p>
            <w:pPr>
              <w:ind w:left="40"/>
              <w:spacing w:after="0"/>
              <w:rPr>
                <w:sz w:val="20"/>
                <w:szCs w:val="20"/>
                <w:color w:val="auto"/>
              </w:rPr>
            </w:pPr>
            <w:r>
              <w:rPr>
                <w:rFonts w:ascii="Arial" w:cs="Arial" w:eastAsia="Arial" w:hAnsi="Arial"/>
                <w:sz w:val="18"/>
                <w:szCs w:val="18"/>
                <w:b w:val="1"/>
                <w:bCs w:val="1"/>
                <w:color w:val="auto"/>
              </w:rPr>
              <w:t>Date</w:t>
            </w:r>
          </w:p>
        </w:tc>
        <w:tc>
          <w:tcPr>
            <w:tcW w:w="1720" w:type="dxa"/>
            <w:vAlign w:val="bottom"/>
            <w:tcBorders>
              <w:top w:val="single" w:sz="8" w:color="auto"/>
            </w:tcBorders>
            <w:gridSpan w:val="3"/>
            <w:shd w:val="clear" w:color="auto" w:fill="8DB3E2"/>
          </w:tcPr>
          <w:p>
            <w:pPr>
              <w:ind w:left="40"/>
              <w:spacing w:after="0"/>
              <w:rPr>
                <w:sz w:val="20"/>
                <w:szCs w:val="20"/>
                <w:color w:val="auto"/>
              </w:rPr>
            </w:pPr>
            <w:r>
              <w:rPr>
                <w:rFonts w:ascii="Arial" w:cs="Arial" w:eastAsia="Arial" w:hAnsi="Arial"/>
                <w:sz w:val="18"/>
                <w:szCs w:val="18"/>
                <w:b w:val="1"/>
                <w:bCs w:val="1"/>
                <w:color w:val="auto"/>
              </w:rPr>
              <w:t>Effective   date</w:t>
            </w:r>
          </w:p>
        </w:tc>
        <w:tc>
          <w:tcPr>
            <w:tcW w:w="880" w:type="dxa"/>
            <w:vAlign w:val="bottom"/>
            <w:tcBorders>
              <w:top w:val="single" w:sz="8" w:color="auto"/>
            </w:tcBorders>
            <w:shd w:val="clear" w:color="auto" w:fill="8DB3E2"/>
          </w:tcPr>
          <w:p>
            <w:pPr>
              <w:jc w:val="right"/>
              <w:ind w:right="150"/>
              <w:spacing w:after="0"/>
              <w:rPr>
                <w:sz w:val="20"/>
                <w:szCs w:val="20"/>
                <w:color w:val="auto"/>
              </w:rPr>
            </w:pPr>
            <w:r>
              <w:rPr>
                <w:rFonts w:ascii="Arial" w:cs="Arial" w:eastAsia="Arial" w:hAnsi="Arial"/>
                <w:sz w:val="18"/>
                <w:szCs w:val="18"/>
                <w:b w:val="1"/>
                <w:bCs w:val="1"/>
                <w:color w:val="auto"/>
                <w:w w:val="96"/>
              </w:rPr>
              <w:t>(mostly</w:t>
            </w:r>
          </w:p>
        </w:tc>
        <w:tc>
          <w:tcPr>
            <w:tcW w:w="700" w:type="dxa"/>
            <w:vAlign w:val="bottom"/>
            <w:tcBorders>
              <w:top w:val="single" w:sz="8" w:color="auto"/>
              <w:right w:val="single" w:sz="8" w:color="auto"/>
            </w:tcBorders>
            <w:shd w:val="clear" w:color="auto" w:fill="8DB3E2"/>
          </w:tcPr>
          <w:p>
            <w:pPr>
              <w:jc w:val="right"/>
              <w:spacing w:after="0"/>
              <w:rPr>
                <w:sz w:val="20"/>
                <w:szCs w:val="20"/>
                <w:color w:val="auto"/>
              </w:rPr>
            </w:pPr>
            <w:r>
              <w:rPr>
                <w:rFonts w:ascii="Arial" w:cs="Arial" w:eastAsia="Arial" w:hAnsi="Arial"/>
                <w:sz w:val="18"/>
                <w:szCs w:val="18"/>
                <w:b w:val="1"/>
                <w:bCs w:val="1"/>
                <w:color w:val="auto"/>
              </w:rPr>
              <w:t>annual</w:t>
            </w:r>
          </w:p>
        </w:tc>
        <w:tc>
          <w:tcPr>
            <w:tcW w:w="2840" w:type="dxa"/>
            <w:vAlign w:val="bottom"/>
            <w:tcBorders>
              <w:top w:val="single" w:sz="8" w:color="auto"/>
              <w:right w:val="single" w:sz="8" w:color="auto"/>
            </w:tcBorders>
            <w:shd w:val="clear" w:color="auto" w:fill="8DB3E2"/>
          </w:tcPr>
          <w:p>
            <w:pPr>
              <w:ind w:left="40"/>
              <w:spacing w:after="0"/>
              <w:rPr>
                <w:sz w:val="20"/>
                <w:szCs w:val="20"/>
                <w:color w:val="auto"/>
              </w:rPr>
            </w:pPr>
            <w:r>
              <w:rPr>
                <w:rFonts w:ascii="Arial" w:cs="Arial" w:eastAsia="Arial" w:hAnsi="Arial"/>
                <w:sz w:val="18"/>
                <w:szCs w:val="18"/>
                <w:b w:val="1"/>
                <w:bCs w:val="1"/>
                <w:color w:val="auto"/>
              </w:rPr>
              <w:t>Planned  application  by  AC</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8DB3E2"/>
          </w:tcPr>
          <w:p>
            <w:pPr>
              <w:spacing w:after="0"/>
              <w:rPr>
                <w:sz w:val="17"/>
                <w:szCs w:val="17"/>
                <w:color w:val="auto"/>
              </w:rPr>
            </w:pPr>
          </w:p>
        </w:tc>
        <w:tc>
          <w:tcPr>
            <w:tcW w:w="1020" w:type="dxa"/>
            <w:vAlign w:val="bottom"/>
            <w:tcBorders>
              <w:right w:val="single" w:sz="8" w:color="auto"/>
            </w:tcBorders>
            <w:shd w:val="clear" w:color="auto" w:fill="8DB3E2"/>
          </w:tcPr>
          <w:p>
            <w:pPr>
              <w:ind w:left="40"/>
              <w:spacing w:after="0" w:line="202" w:lineRule="exact"/>
              <w:rPr>
                <w:sz w:val="20"/>
                <w:szCs w:val="20"/>
                <w:color w:val="auto"/>
              </w:rPr>
            </w:pPr>
            <w:r>
              <w:rPr>
                <w:rFonts w:ascii="Arial" w:cs="Arial" w:eastAsia="Arial" w:hAnsi="Arial"/>
                <w:sz w:val="18"/>
                <w:szCs w:val="18"/>
                <w:b w:val="1"/>
                <w:bCs w:val="1"/>
                <w:color w:val="auto"/>
              </w:rPr>
              <w:t>Issued</w:t>
            </w:r>
          </w:p>
        </w:tc>
        <w:tc>
          <w:tcPr>
            <w:tcW w:w="3300" w:type="dxa"/>
            <w:vAlign w:val="bottom"/>
            <w:tcBorders>
              <w:right w:val="single" w:sz="8" w:color="auto"/>
            </w:tcBorders>
            <w:gridSpan w:val="5"/>
            <w:shd w:val="clear" w:color="auto" w:fill="8DB3E2"/>
          </w:tcPr>
          <w:p>
            <w:pPr>
              <w:ind w:left="40"/>
              <w:spacing w:after="0" w:line="202" w:lineRule="exact"/>
              <w:rPr>
                <w:sz w:val="20"/>
                <w:szCs w:val="20"/>
                <w:color w:val="auto"/>
              </w:rPr>
            </w:pPr>
            <w:r>
              <w:rPr>
                <w:rFonts w:ascii="Arial" w:cs="Arial" w:eastAsia="Arial" w:hAnsi="Arial"/>
                <w:sz w:val="18"/>
                <w:szCs w:val="18"/>
                <w:b w:val="1"/>
                <w:bCs w:val="1"/>
                <w:color w:val="auto"/>
              </w:rPr>
              <w:t>periods beginning on or after) Early</w:t>
            </w:r>
          </w:p>
        </w:tc>
        <w:tc>
          <w:tcPr>
            <w:tcW w:w="2840" w:type="dxa"/>
            <w:vAlign w:val="bottom"/>
            <w:tcBorders>
              <w:right w:val="single" w:sz="8" w:color="auto"/>
            </w:tcBorders>
            <w:shd w:val="clear" w:color="auto" w:fill="8DB3E2"/>
          </w:tcPr>
          <w:p>
            <w:pPr>
              <w:ind w:left="40"/>
              <w:spacing w:after="0" w:line="202" w:lineRule="exact"/>
              <w:rPr>
                <w:sz w:val="20"/>
                <w:szCs w:val="20"/>
                <w:color w:val="auto"/>
              </w:rPr>
            </w:pPr>
            <w:r>
              <w:rPr>
                <w:rFonts w:ascii="Arial" w:cs="Arial" w:eastAsia="Arial" w:hAnsi="Arial"/>
                <w:sz w:val="18"/>
                <w:szCs w:val="18"/>
                <w:b w:val="1"/>
                <w:bCs w:val="1"/>
                <w:color w:val="auto"/>
              </w:rPr>
              <w:t>Immune</w:t>
            </w:r>
          </w:p>
        </w:tc>
        <w:tc>
          <w:tcPr>
            <w:tcW w:w="0" w:type="dxa"/>
            <w:vAlign w:val="bottom"/>
          </w:tcPr>
          <w:p>
            <w:pPr>
              <w:spacing w:after="0"/>
              <w:rPr>
                <w:sz w:val="1"/>
                <w:szCs w:val="1"/>
                <w:color w:val="auto"/>
              </w:rPr>
            </w:pPr>
          </w:p>
        </w:tc>
      </w:tr>
      <w:tr>
        <w:trPr>
          <w:trHeight w:val="284"/>
        </w:trPr>
        <w:tc>
          <w:tcPr>
            <w:tcW w:w="4260" w:type="dxa"/>
            <w:vAlign w:val="bottom"/>
            <w:tcBorders>
              <w:left w:val="single" w:sz="8" w:color="auto"/>
              <w:bottom w:val="single" w:sz="8" w:color="8DB3E2"/>
              <w:right w:val="single" w:sz="8" w:color="auto"/>
            </w:tcBorders>
            <w:shd w:val="clear" w:color="auto" w:fill="8DB3E2"/>
          </w:tcPr>
          <w:p>
            <w:pPr>
              <w:spacing w:after="0"/>
              <w:rPr>
                <w:sz w:val="24"/>
                <w:szCs w:val="24"/>
                <w:color w:val="auto"/>
              </w:rPr>
            </w:pPr>
          </w:p>
        </w:tc>
        <w:tc>
          <w:tcPr>
            <w:tcW w:w="1020" w:type="dxa"/>
            <w:vAlign w:val="bottom"/>
            <w:tcBorders>
              <w:bottom w:val="single" w:sz="8" w:color="8DB3E2"/>
              <w:right w:val="single" w:sz="8" w:color="auto"/>
            </w:tcBorders>
            <w:shd w:val="clear" w:color="auto" w:fill="8DB3E2"/>
          </w:tcPr>
          <w:p>
            <w:pPr>
              <w:spacing w:after="0"/>
              <w:rPr>
                <w:sz w:val="24"/>
                <w:szCs w:val="24"/>
                <w:color w:val="auto"/>
              </w:rPr>
            </w:pPr>
          </w:p>
        </w:tc>
        <w:tc>
          <w:tcPr>
            <w:tcW w:w="2600" w:type="dxa"/>
            <w:vAlign w:val="bottom"/>
            <w:tcBorders>
              <w:bottom w:val="single" w:sz="8" w:color="8DB3E2"/>
            </w:tcBorders>
            <w:gridSpan w:val="4"/>
            <w:shd w:val="clear" w:color="auto" w:fill="8DB3E2"/>
          </w:tcPr>
          <w:p>
            <w:pPr>
              <w:ind w:left="40"/>
              <w:spacing w:after="0"/>
              <w:rPr>
                <w:sz w:val="20"/>
                <w:szCs w:val="20"/>
                <w:color w:val="auto"/>
              </w:rPr>
            </w:pPr>
            <w:r>
              <w:rPr>
                <w:rFonts w:ascii="Arial" w:cs="Arial" w:eastAsia="Arial" w:hAnsi="Arial"/>
                <w:sz w:val="18"/>
                <w:szCs w:val="18"/>
                <w:b w:val="1"/>
                <w:bCs w:val="1"/>
                <w:color w:val="auto"/>
              </w:rPr>
              <w:t>adoption is often permitted</w:t>
            </w:r>
          </w:p>
        </w:tc>
        <w:tc>
          <w:tcPr>
            <w:tcW w:w="700" w:type="dxa"/>
            <w:vAlign w:val="bottom"/>
            <w:tcBorders>
              <w:bottom w:val="single" w:sz="8" w:color="8DB3E2"/>
              <w:right w:val="single" w:sz="8" w:color="auto"/>
            </w:tcBorders>
            <w:shd w:val="clear" w:color="auto" w:fill="8DB3E2"/>
          </w:tcPr>
          <w:p>
            <w:pPr>
              <w:spacing w:after="0"/>
              <w:rPr>
                <w:sz w:val="24"/>
                <w:szCs w:val="24"/>
                <w:color w:val="auto"/>
              </w:rPr>
            </w:pPr>
          </w:p>
        </w:tc>
        <w:tc>
          <w:tcPr>
            <w:tcW w:w="2840" w:type="dxa"/>
            <w:vAlign w:val="bottom"/>
            <w:tcBorders>
              <w:bottom w:val="single" w:sz="8" w:color="8DB3E2"/>
              <w:right w:val="single" w:sz="8" w:color="auto"/>
            </w:tcBorders>
            <w:shd w:val="clear" w:color="auto" w:fill="8DB3E2"/>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260" w:type="dxa"/>
            <w:vAlign w:val="bottom"/>
            <w:tcBorders>
              <w:top w:val="single" w:sz="8" w:color="auto"/>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Equity Method in Separate Financial Statements</w:t>
            </w:r>
          </w:p>
        </w:tc>
        <w:tc>
          <w:tcPr>
            <w:tcW w:w="102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Aug 2014</w:t>
            </w:r>
          </w:p>
        </w:tc>
        <w:tc>
          <w:tcPr>
            <w:tcW w:w="3300" w:type="dxa"/>
            <w:vAlign w:val="bottom"/>
            <w:tcBorders>
              <w:top w:val="single" w:sz="8" w:color="auto"/>
              <w:right w:val="single" w:sz="8" w:color="auto"/>
            </w:tcBorders>
            <w:gridSpan w:val="5"/>
            <w:shd w:val="clear" w:color="auto" w:fill="C6D9F1"/>
          </w:tcPr>
          <w:p>
            <w:pPr>
              <w:ind w:left="40"/>
              <w:spacing w:after="0"/>
              <w:rPr>
                <w:sz w:val="20"/>
                <w:szCs w:val="20"/>
                <w:color w:val="auto"/>
              </w:rPr>
            </w:pPr>
            <w:r>
              <w:rPr>
                <w:rFonts w:ascii="Arial" w:cs="Arial" w:eastAsia="Arial" w:hAnsi="Arial"/>
                <w:sz w:val="18"/>
                <w:szCs w:val="18"/>
                <w:color w:val="auto"/>
              </w:rPr>
              <w:t>Annual periods beginning on or after</w:t>
            </w:r>
          </w:p>
        </w:tc>
        <w:tc>
          <w:tcPr>
            <w:tcW w:w="284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ind w:left="80"/>
              <w:spacing w:after="0" w:line="202" w:lineRule="exact"/>
              <w:rPr>
                <w:sz w:val="20"/>
                <w:szCs w:val="20"/>
                <w:color w:val="auto"/>
              </w:rPr>
            </w:pPr>
            <w:r>
              <w:rPr>
                <w:rFonts w:ascii="Arial" w:cs="Arial" w:eastAsia="Arial" w:hAnsi="Arial"/>
                <w:sz w:val="18"/>
                <w:szCs w:val="18"/>
                <w:color w:val="auto"/>
              </w:rPr>
              <w:t>(Amendments to IAS 27)</w:t>
            </w: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gridSpan w:val="5"/>
            <w:shd w:val="clear" w:color="auto" w:fill="C6D9F1"/>
          </w:tcPr>
          <w:p>
            <w:pPr>
              <w:ind w:left="40"/>
              <w:spacing w:after="0" w:line="202" w:lineRule="exact"/>
              <w:rPr>
                <w:sz w:val="20"/>
                <w:szCs w:val="20"/>
                <w:color w:val="auto"/>
              </w:rPr>
            </w:pPr>
            <w:r>
              <w:rPr>
                <w:rFonts w:ascii="Arial" w:cs="Arial" w:eastAsia="Arial" w:hAnsi="Arial"/>
                <w:sz w:val="18"/>
                <w:szCs w:val="18"/>
                <w:color w:val="auto"/>
              </w:rPr>
              <w:t>January 1, 2016, with earlier application</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260" w:type="dxa"/>
            <w:vAlign w:val="bottom"/>
            <w:tcBorders>
              <w:left w:val="single" w:sz="8" w:color="auto"/>
              <w:bottom w:val="single" w:sz="8" w:color="C6D9F1"/>
              <w:right w:val="single" w:sz="8" w:color="auto"/>
            </w:tcBorders>
            <w:shd w:val="clear" w:color="auto" w:fill="C6D9F1"/>
          </w:tcPr>
          <w:p>
            <w:pPr>
              <w:spacing w:after="0"/>
              <w:rPr>
                <w:sz w:val="22"/>
                <w:szCs w:val="22"/>
                <w:color w:val="auto"/>
              </w:rPr>
            </w:pPr>
          </w:p>
        </w:tc>
        <w:tc>
          <w:tcPr>
            <w:tcW w:w="1020" w:type="dxa"/>
            <w:vAlign w:val="bottom"/>
            <w:tcBorders>
              <w:bottom w:val="single" w:sz="8" w:color="C6D9F1"/>
              <w:right w:val="single" w:sz="8" w:color="auto"/>
            </w:tcBorders>
            <w:shd w:val="clear" w:color="auto" w:fill="C6D9F1"/>
          </w:tcPr>
          <w:p>
            <w:pPr>
              <w:spacing w:after="0"/>
              <w:rPr>
                <w:sz w:val="22"/>
                <w:szCs w:val="22"/>
                <w:color w:val="auto"/>
              </w:rPr>
            </w:pPr>
          </w:p>
        </w:tc>
        <w:tc>
          <w:tcPr>
            <w:tcW w:w="1720" w:type="dxa"/>
            <w:vAlign w:val="bottom"/>
            <w:tcBorders>
              <w:bottom w:val="single" w:sz="8" w:color="C6D9F1"/>
            </w:tcBorders>
            <w:gridSpan w:val="3"/>
            <w:shd w:val="clear" w:color="auto" w:fill="C6D9F1"/>
          </w:tcPr>
          <w:p>
            <w:pPr>
              <w:ind w:left="40"/>
              <w:spacing w:after="0"/>
              <w:rPr>
                <w:sz w:val="20"/>
                <w:szCs w:val="20"/>
                <w:color w:val="auto"/>
              </w:rPr>
            </w:pPr>
            <w:r>
              <w:rPr>
                <w:rFonts w:ascii="Arial" w:cs="Arial" w:eastAsia="Arial" w:hAnsi="Arial"/>
                <w:sz w:val="18"/>
                <w:szCs w:val="18"/>
                <w:color w:val="auto"/>
              </w:rPr>
              <w:t>being permitted</w:t>
            </w:r>
          </w:p>
        </w:tc>
        <w:tc>
          <w:tcPr>
            <w:tcW w:w="880" w:type="dxa"/>
            <w:vAlign w:val="bottom"/>
            <w:tcBorders>
              <w:bottom w:val="single" w:sz="8" w:color="C6D9F1"/>
            </w:tcBorders>
            <w:shd w:val="clear" w:color="auto" w:fill="C6D9F1"/>
          </w:tcPr>
          <w:p>
            <w:pPr>
              <w:spacing w:after="0"/>
              <w:rPr>
                <w:sz w:val="22"/>
                <w:szCs w:val="22"/>
                <w:color w:val="auto"/>
              </w:rPr>
            </w:pPr>
          </w:p>
        </w:tc>
        <w:tc>
          <w:tcPr>
            <w:tcW w:w="700" w:type="dxa"/>
            <w:vAlign w:val="bottom"/>
            <w:tcBorders>
              <w:bottom w:val="single" w:sz="8" w:color="C6D9F1"/>
              <w:right w:val="single" w:sz="8" w:color="auto"/>
            </w:tcBorders>
            <w:shd w:val="clear" w:color="auto" w:fill="C6D9F1"/>
          </w:tcPr>
          <w:p>
            <w:pPr>
              <w:spacing w:after="0"/>
              <w:rPr>
                <w:sz w:val="22"/>
                <w:szCs w:val="22"/>
                <w:color w:val="auto"/>
              </w:rPr>
            </w:pPr>
          </w:p>
        </w:tc>
        <w:tc>
          <w:tcPr>
            <w:tcW w:w="2840" w:type="dxa"/>
            <w:vAlign w:val="bottom"/>
            <w:tcBorders>
              <w:bottom w:val="single" w:sz="8" w:color="C6D9F1"/>
              <w:right w:val="single" w:sz="8" w:color="auto"/>
            </w:tcBorders>
            <w:shd w:val="clear" w:color="auto" w:fill="C6D9F1"/>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260" w:type="dxa"/>
            <w:vAlign w:val="bottom"/>
            <w:tcBorders>
              <w:top w:val="single" w:sz="8" w:color="auto"/>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IFRS 9 Financial instruments</w:t>
            </w:r>
          </w:p>
        </w:tc>
        <w:tc>
          <w:tcPr>
            <w:tcW w:w="102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Nov  2009</w:t>
            </w:r>
          </w:p>
        </w:tc>
        <w:tc>
          <w:tcPr>
            <w:tcW w:w="3300" w:type="dxa"/>
            <w:vAlign w:val="bottom"/>
            <w:tcBorders>
              <w:top w:val="single" w:sz="8" w:color="auto"/>
              <w:right w:val="single" w:sz="8" w:color="auto"/>
            </w:tcBorders>
            <w:gridSpan w:val="5"/>
            <w:shd w:val="clear" w:color="auto" w:fill="C6D9F1"/>
          </w:tcPr>
          <w:p>
            <w:pPr>
              <w:ind w:left="40"/>
              <w:spacing w:after="0"/>
              <w:rPr>
                <w:sz w:val="20"/>
                <w:szCs w:val="20"/>
                <w:color w:val="auto"/>
              </w:rPr>
            </w:pPr>
            <w:r>
              <w:rPr>
                <w:rFonts w:ascii="Arial" w:cs="Arial" w:eastAsia="Arial" w:hAnsi="Arial"/>
                <w:sz w:val="18"/>
                <w:szCs w:val="18"/>
                <w:color w:val="auto"/>
              </w:rPr>
              <w:t>Effective  Jan  1,  2018  with  early</w:t>
            </w:r>
          </w:p>
        </w:tc>
        <w:tc>
          <w:tcPr>
            <w:tcW w:w="284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17"/>
        </w:trPr>
        <w:tc>
          <w:tcPr>
            <w:tcW w:w="4260" w:type="dxa"/>
            <w:vAlign w:val="bottom"/>
            <w:tcBorders>
              <w:left w:val="single" w:sz="8" w:color="auto"/>
              <w:right w:val="single" w:sz="8" w:color="auto"/>
            </w:tcBorders>
            <w:shd w:val="clear" w:color="auto" w:fill="C6D9F1"/>
          </w:tcPr>
          <w:p>
            <w:pPr>
              <w:spacing w:after="0"/>
              <w:rPr>
                <w:sz w:val="18"/>
                <w:szCs w:val="18"/>
                <w:color w:val="auto"/>
              </w:rPr>
            </w:pPr>
          </w:p>
        </w:tc>
        <w:tc>
          <w:tcPr>
            <w:tcW w:w="1020" w:type="dxa"/>
            <w:vAlign w:val="bottom"/>
            <w:tcBorders>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to</w:t>
            </w:r>
          </w:p>
        </w:tc>
        <w:tc>
          <w:tcPr>
            <w:tcW w:w="1720" w:type="dxa"/>
            <w:vAlign w:val="bottom"/>
            <w:gridSpan w:val="3"/>
            <w:shd w:val="clear" w:color="auto" w:fill="C6D9F1"/>
          </w:tcPr>
          <w:p>
            <w:pPr>
              <w:ind w:left="40"/>
              <w:spacing w:after="0"/>
              <w:rPr>
                <w:sz w:val="20"/>
                <w:szCs w:val="20"/>
                <w:color w:val="auto"/>
              </w:rPr>
            </w:pPr>
            <w:r>
              <w:rPr>
                <w:rFonts w:ascii="Arial" w:cs="Arial" w:eastAsia="Arial" w:hAnsi="Arial"/>
                <w:sz w:val="18"/>
                <w:szCs w:val="18"/>
                <w:color w:val="auto"/>
              </w:rPr>
              <w:t>adoption allowed</w:t>
            </w:r>
          </w:p>
        </w:tc>
        <w:tc>
          <w:tcPr>
            <w:tcW w:w="880" w:type="dxa"/>
            <w:vAlign w:val="bottom"/>
            <w:shd w:val="clear" w:color="auto" w:fill="C6D9F1"/>
          </w:tcPr>
          <w:p>
            <w:pPr>
              <w:spacing w:after="0"/>
              <w:rPr>
                <w:sz w:val="18"/>
                <w:szCs w:val="18"/>
                <w:color w:val="auto"/>
              </w:rPr>
            </w:pPr>
          </w:p>
        </w:tc>
        <w:tc>
          <w:tcPr>
            <w:tcW w:w="700" w:type="dxa"/>
            <w:vAlign w:val="bottom"/>
            <w:tcBorders>
              <w:right w:val="single" w:sz="8" w:color="auto"/>
            </w:tcBorders>
            <w:shd w:val="clear" w:color="auto" w:fill="C6D9F1"/>
          </w:tcPr>
          <w:p>
            <w:pPr>
              <w:spacing w:after="0"/>
              <w:rPr>
                <w:sz w:val="18"/>
                <w:szCs w:val="18"/>
                <w:color w:val="auto"/>
              </w:rPr>
            </w:pPr>
          </w:p>
        </w:tc>
        <w:tc>
          <w:tcPr>
            <w:tcW w:w="2840" w:type="dxa"/>
            <w:vAlign w:val="bottom"/>
            <w:tcBorders>
              <w:right w:val="single" w:sz="8" w:color="auto"/>
            </w:tcBorders>
            <w:shd w:val="clear" w:color="auto" w:fill="C6D9F1"/>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260" w:type="dxa"/>
            <w:vAlign w:val="bottom"/>
            <w:tcBorders>
              <w:left w:val="single" w:sz="8" w:color="auto"/>
              <w:right w:val="single" w:sz="8" w:color="auto"/>
            </w:tcBorders>
            <w:shd w:val="clear" w:color="auto" w:fill="C6D9F1"/>
          </w:tcPr>
          <w:p>
            <w:pPr>
              <w:spacing w:after="0"/>
              <w:rPr>
                <w:sz w:val="24"/>
                <w:szCs w:val="24"/>
                <w:color w:val="auto"/>
              </w:rPr>
            </w:pPr>
          </w:p>
        </w:tc>
        <w:tc>
          <w:tcPr>
            <w:tcW w:w="1020" w:type="dxa"/>
            <w:vAlign w:val="bottom"/>
            <w:tcBorders>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July 2014</w:t>
            </w:r>
          </w:p>
        </w:tc>
        <w:tc>
          <w:tcPr>
            <w:tcW w:w="3300" w:type="dxa"/>
            <w:vAlign w:val="bottom"/>
            <w:tcBorders>
              <w:right w:val="single" w:sz="8" w:color="auto"/>
            </w:tcBorders>
            <w:gridSpan w:val="5"/>
            <w:shd w:val="clear" w:color="auto" w:fill="C6D9F1"/>
          </w:tcPr>
          <w:p>
            <w:pPr>
              <w:ind w:left="40"/>
              <w:spacing w:after="0"/>
              <w:rPr>
                <w:sz w:val="20"/>
                <w:szCs w:val="20"/>
                <w:color w:val="auto"/>
              </w:rPr>
            </w:pPr>
            <w:r>
              <w:rPr>
                <w:rFonts w:ascii="Arial" w:cs="Arial" w:eastAsia="Arial" w:hAnsi="Arial"/>
                <w:sz w:val="18"/>
                <w:szCs w:val="18"/>
                <w:color w:val="auto"/>
              </w:rPr>
              <w:t>Early application of the own credit risk</w:t>
            </w:r>
          </w:p>
        </w:tc>
        <w:tc>
          <w:tcPr>
            <w:tcW w:w="2840" w:type="dxa"/>
            <w:vAlign w:val="bottom"/>
            <w:tcBorders>
              <w:right w:val="single" w:sz="8" w:color="auto"/>
            </w:tcBorders>
            <w:shd w:val="clear" w:color="auto" w:fill="C6D9F1"/>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gridSpan w:val="5"/>
            <w:shd w:val="clear" w:color="auto" w:fill="C6D9F1"/>
          </w:tcPr>
          <w:p>
            <w:pPr>
              <w:ind w:left="40"/>
              <w:spacing w:after="0" w:line="202" w:lineRule="exact"/>
              <w:rPr>
                <w:sz w:val="20"/>
                <w:szCs w:val="20"/>
                <w:color w:val="auto"/>
              </w:rPr>
            </w:pPr>
            <w:r>
              <w:rPr>
                <w:rFonts w:ascii="Arial" w:cs="Arial" w:eastAsia="Arial" w:hAnsi="Arial"/>
                <w:sz w:val="18"/>
                <w:szCs w:val="18"/>
                <w:color w:val="auto"/>
              </w:rPr>
              <w:t>improvements,  prior  to  any  other</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gridSpan w:val="5"/>
            <w:shd w:val="clear" w:color="auto" w:fill="C6D9F1"/>
          </w:tcPr>
          <w:p>
            <w:pPr>
              <w:ind w:left="40"/>
              <w:spacing w:after="0" w:line="202" w:lineRule="exact"/>
              <w:rPr>
                <w:sz w:val="20"/>
                <w:szCs w:val="20"/>
                <w:color w:val="auto"/>
              </w:rPr>
            </w:pPr>
            <w:r>
              <w:rPr>
                <w:rFonts w:ascii="Arial" w:cs="Arial" w:eastAsia="Arial" w:hAnsi="Arial"/>
                <w:sz w:val="18"/>
                <w:szCs w:val="18"/>
                <w:color w:val="auto"/>
              </w:rPr>
              <w:t>changes in the accounting for financial</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60" w:type="dxa"/>
            <w:vAlign w:val="bottom"/>
            <w:tcBorders>
              <w:left w:val="single" w:sz="8" w:color="auto"/>
              <w:right w:val="single" w:sz="8" w:color="auto"/>
            </w:tcBorders>
            <w:shd w:val="clear" w:color="auto" w:fill="C6D9F1"/>
          </w:tcPr>
          <w:p>
            <w:pPr>
              <w:spacing w:after="0"/>
              <w:rPr>
                <w:sz w:val="18"/>
                <w:szCs w:val="18"/>
                <w:color w:val="auto"/>
              </w:rPr>
            </w:pPr>
          </w:p>
        </w:tc>
        <w:tc>
          <w:tcPr>
            <w:tcW w:w="1020" w:type="dxa"/>
            <w:vAlign w:val="bottom"/>
            <w:tcBorders>
              <w:right w:val="single" w:sz="8" w:color="auto"/>
            </w:tcBorders>
            <w:shd w:val="clear" w:color="auto" w:fill="C6D9F1"/>
          </w:tcPr>
          <w:p>
            <w:pPr>
              <w:spacing w:after="0"/>
              <w:rPr>
                <w:sz w:val="18"/>
                <w:szCs w:val="18"/>
                <w:color w:val="auto"/>
              </w:rPr>
            </w:pPr>
          </w:p>
        </w:tc>
        <w:tc>
          <w:tcPr>
            <w:tcW w:w="3300" w:type="dxa"/>
            <w:vAlign w:val="bottom"/>
            <w:tcBorders>
              <w:right w:val="single" w:sz="8" w:color="auto"/>
            </w:tcBorders>
            <w:gridSpan w:val="5"/>
            <w:shd w:val="clear" w:color="auto" w:fill="C6D9F1"/>
          </w:tcPr>
          <w:p>
            <w:pPr>
              <w:ind w:left="40"/>
              <w:spacing w:after="0"/>
              <w:rPr>
                <w:sz w:val="20"/>
                <w:szCs w:val="20"/>
                <w:color w:val="auto"/>
              </w:rPr>
            </w:pPr>
            <w:r>
              <w:rPr>
                <w:rFonts w:ascii="Arial" w:cs="Arial" w:eastAsia="Arial" w:hAnsi="Arial"/>
                <w:sz w:val="18"/>
                <w:szCs w:val="18"/>
                <w:color w:val="auto"/>
              </w:rPr>
              <w:t>instruments, is permitted by IFRS 9</w:t>
            </w:r>
          </w:p>
        </w:tc>
        <w:tc>
          <w:tcPr>
            <w:tcW w:w="2840" w:type="dxa"/>
            <w:vAlign w:val="bottom"/>
            <w:tcBorders>
              <w:right w:val="single" w:sz="8" w:color="auto"/>
            </w:tcBorders>
            <w:shd w:val="clear" w:color="auto" w:fill="C6D9F1"/>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60" w:type="dxa"/>
            <w:vAlign w:val="bottom"/>
            <w:tcBorders>
              <w:left w:val="single" w:sz="8" w:color="auto"/>
              <w:bottom w:val="single" w:sz="8" w:color="auto"/>
              <w:right w:val="single" w:sz="8" w:color="auto"/>
            </w:tcBorders>
            <w:shd w:val="clear" w:color="auto" w:fill="C6D9F1"/>
          </w:tcPr>
          <w:p>
            <w:pPr>
              <w:spacing w:after="0"/>
              <w:rPr>
                <w:sz w:val="21"/>
                <w:szCs w:val="21"/>
                <w:color w:val="auto"/>
              </w:rPr>
            </w:pPr>
          </w:p>
        </w:tc>
        <w:tc>
          <w:tcPr>
            <w:tcW w:w="1020" w:type="dxa"/>
            <w:vAlign w:val="bottom"/>
            <w:tcBorders>
              <w:bottom w:val="single" w:sz="8" w:color="auto"/>
              <w:right w:val="single" w:sz="8" w:color="auto"/>
            </w:tcBorders>
            <w:shd w:val="clear" w:color="auto" w:fill="C6D9F1"/>
          </w:tcPr>
          <w:p>
            <w:pPr>
              <w:spacing w:after="0"/>
              <w:rPr>
                <w:sz w:val="21"/>
                <w:szCs w:val="21"/>
                <w:color w:val="auto"/>
              </w:rPr>
            </w:pPr>
          </w:p>
        </w:tc>
        <w:tc>
          <w:tcPr>
            <w:tcW w:w="420" w:type="dxa"/>
            <w:vAlign w:val="bottom"/>
            <w:tcBorders>
              <w:bottom w:val="single" w:sz="8" w:color="auto"/>
            </w:tcBorders>
            <w:shd w:val="clear" w:color="auto" w:fill="C6D9F1"/>
          </w:tcPr>
          <w:p>
            <w:pPr>
              <w:spacing w:after="0"/>
              <w:rPr>
                <w:sz w:val="21"/>
                <w:szCs w:val="21"/>
                <w:color w:val="auto"/>
              </w:rPr>
            </w:pPr>
          </w:p>
        </w:tc>
        <w:tc>
          <w:tcPr>
            <w:tcW w:w="720" w:type="dxa"/>
            <w:vAlign w:val="bottom"/>
            <w:tcBorders>
              <w:bottom w:val="single" w:sz="8" w:color="auto"/>
            </w:tcBorders>
            <w:shd w:val="clear" w:color="auto" w:fill="C6D9F1"/>
          </w:tcPr>
          <w:p>
            <w:pPr>
              <w:spacing w:after="0"/>
              <w:rPr>
                <w:sz w:val="21"/>
                <w:szCs w:val="21"/>
                <w:color w:val="auto"/>
              </w:rPr>
            </w:pPr>
          </w:p>
        </w:tc>
        <w:tc>
          <w:tcPr>
            <w:tcW w:w="580" w:type="dxa"/>
            <w:vAlign w:val="bottom"/>
            <w:tcBorders>
              <w:bottom w:val="single" w:sz="8" w:color="auto"/>
            </w:tcBorders>
            <w:shd w:val="clear" w:color="auto" w:fill="C6D9F1"/>
          </w:tcPr>
          <w:p>
            <w:pPr>
              <w:spacing w:after="0"/>
              <w:rPr>
                <w:sz w:val="21"/>
                <w:szCs w:val="21"/>
                <w:color w:val="auto"/>
              </w:rPr>
            </w:pPr>
          </w:p>
        </w:tc>
        <w:tc>
          <w:tcPr>
            <w:tcW w:w="880" w:type="dxa"/>
            <w:vAlign w:val="bottom"/>
            <w:tcBorders>
              <w:bottom w:val="single" w:sz="8" w:color="auto"/>
            </w:tcBorders>
            <w:shd w:val="clear" w:color="auto" w:fill="C6D9F1"/>
          </w:tcPr>
          <w:p>
            <w:pPr>
              <w:spacing w:after="0"/>
              <w:rPr>
                <w:sz w:val="21"/>
                <w:szCs w:val="21"/>
                <w:color w:val="auto"/>
              </w:rPr>
            </w:pPr>
          </w:p>
        </w:tc>
        <w:tc>
          <w:tcPr>
            <w:tcW w:w="700" w:type="dxa"/>
            <w:vAlign w:val="bottom"/>
            <w:tcBorders>
              <w:bottom w:val="single" w:sz="8" w:color="auto"/>
              <w:right w:val="single" w:sz="8" w:color="auto"/>
            </w:tcBorders>
            <w:shd w:val="clear" w:color="auto" w:fill="C6D9F1"/>
          </w:tcPr>
          <w:p>
            <w:pPr>
              <w:spacing w:after="0"/>
              <w:rPr>
                <w:sz w:val="21"/>
                <w:szCs w:val="21"/>
                <w:color w:val="auto"/>
              </w:rPr>
            </w:pPr>
          </w:p>
        </w:tc>
        <w:tc>
          <w:tcPr>
            <w:tcW w:w="2840" w:type="dxa"/>
            <w:vAlign w:val="bottom"/>
            <w:tcBorders>
              <w:bottom w:val="single" w:sz="8" w:color="auto"/>
              <w:right w:val="single" w:sz="8" w:color="auto"/>
            </w:tcBorders>
            <w:shd w:val="clear" w:color="auto" w:fill="C6D9F1"/>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60" w:type="dxa"/>
            <w:vAlign w:val="bottom"/>
            <w:tcBorders>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Agriculture: Bearer Plants (Amendments to IAS 16</w:t>
            </w:r>
          </w:p>
        </w:tc>
        <w:tc>
          <w:tcPr>
            <w:tcW w:w="1020" w:type="dxa"/>
            <w:vAlign w:val="bottom"/>
            <w:tcBorders>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June 2014</w:t>
            </w:r>
          </w:p>
        </w:tc>
        <w:tc>
          <w:tcPr>
            <w:tcW w:w="420" w:type="dxa"/>
            <w:vAlign w:val="bottom"/>
            <w:shd w:val="clear" w:color="auto" w:fill="C6D9F1"/>
          </w:tcPr>
          <w:p>
            <w:pPr>
              <w:ind w:left="40"/>
              <w:spacing w:after="0"/>
              <w:rPr>
                <w:sz w:val="20"/>
                <w:szCs w:val="20"/>
                <w:color w:val="auto"/>
              </w:rPr>
            </w:pPr>
            <w:r>
              <w:rPr>
                <w:rFonts w:ascii="Arial" w:cs="Arial" w:eastAsia="Arial" w:hAnsi="Arial"/>
                <w:sz w:val="18"/>
                <w:szCs w:val="18"/>
                <w:color w:val="auto"/>
              </w:rPr>
              <w:t>An</w:t>
            </w:r>
          </w:p>
        </w:tc>
        <w:tc>
          <w:tcPr>
            <w:tcW w:w="720" w:type="dxa"/>
            <w:vAlign w:val="bottom"/>
            <w:shd w:val="clear" w:color="auto" w:fill="C6D9F1"/>
          </w:tcPr>
          <w:p>
            <w:pPr>
              <w:ind w:left="160"/>
              <w:spacing w:after="0"/>
              <w:rPr>
                <w:sz w:val="20"/>
                <w:szCs w:val="20"/>
                <w:color w:val="auto"/>
              </w:rPr>
            </w:pPr>
            <w:r>
              <w:rPr>
                <w:rFonts w:ascii="Arial" w:cs="Arial" w:eastAsia="Arial" w:hAnsi="Arial"/>
                <w:sz w:val="18"/>
                <w:szCs w:val="18"/>
                <w:color w:val="auto"/>
              </w:rPr>
              <w:t>entity</w:t>
            </w:r>
          </w:p>
        </w:tc>
        <w:tc>
          <w:tcPr>
            <w:tcW w:w="580" w:type="dxa"/>
            <w:vAlign w:val="bottom"/>
            <w:shd w:val="clear" w:color="auto" w:fill="C6D9F1"/>
          </w:tcPr>
          <w:p>
            <w:pPr>
              <w:ind w:left="200"/>
              <w:spacing w:after="0"/>
              <w:rPr>
                <w:sz w:val="20"/>
                <w:szCs w:val="20"/>
                <w:color w:val="auto"/>
              </w:rPr>
            </w:pPr>
            <w:r>
              <w:rPr>
                <w:rFonts w:ascii="Arial" w:cs="Arial" w:eastAsia="Arial" w:hAnsi="Arial"/>
                <w:sz w:val="18"/>
                <w:szCs w:val="18"/>
                <w:color w:val="auto"/>
                <w:w w:val="97"/>
              </w:rPr>
              <w:t>shall</w:t>
            </w:r>
          </w:p>
        </w:tc>
        <w:tc>
          <w:tcPr>
            <w:tcW w:w="880" w:type="dxa"/>
            <w:vAlign w:val="bottom"/>
            <w:shd w:val="clear" w:color="auto" w:fill="C6D9F1"/>
          </w:tcPr>
          <w:p>
            <w:pPr>
              <w:ind w:left="320"/>
              <w:spacing w:after="0"/>
              <w:rPr>
                <w:sz w:val="20"/>
                <w:szCs w:val="20"/>
                <w:color w:val="auto"/>
              </w:rPr>
            </w:pPr>
            <w:r>
              <w:rPr>
                <w:rFonts w:ascii="Arial" w:cs="Arial" w:eastAsia="Arial" w:hAnsi="Arial"/>
                <w:sz w:val="18"/>
                <w:szCs w:val="18"/>
                <w:color w:val="auto"/>
              </w:rPr>
              <w:t>apply</w:t>
            </w:r>
          </w:p>
        </w:tc>
        <w:tc>
          <w:tcPr>
            <w:tcW w:w="70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those</w:t>
            </w:r>
          </w:p>
        </w:tc>
        <w:tc>
          <w:tcPr>
            <w:tcW w:w="2840" w:type="dxa"/>
            <w:vAlign w:val="bottom"/>
            <w:tcBorders>
              <w:right w:val="single" w:sz="8" w:color="auto"/>
            </w:tcBorders>
            <w:shd w:val="clear" w:color="auto" w:fill="C6D9F1"/>
          </w:tcPr>
          <w:p>
            <w:pPr>
              <w:ind w:left="40"/>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ind w:left="80"/>
              <w:spacing w:after="0" w:line="202" w:lineRule="exact"/>
              <w:rPr>
                <w:sz w:val="20"/>
                <w:szCs w:val="20"/>
                <w:color w:val="auto"/>
              </w:rPr>
            </w:pPr>
            <w:r>
              <w:rPr>
                <w:rFonts w:ascii="Arial" w:cs="Arial" w:eastAsia="Arial" w:hAnsi="Arial"/>
                <w:sz w:val="18"/>
                <w:szCs w:val="18"/>
                <w:color w:val="auto"/>
              </w:rPr>
              <w:t>and IAS 41)</w:t>
            </w:r>
          </w:p>
        </w:tc>
        <w:tc>
          <w:tcPr>
            <w:tcW w:w="1020" w:type="dxa"/>
            <w:vAlign w:val="bottom"/>
            <w:tcBorders>
              <w:right w:val="single" w:sz="8" w:color="auto"/>
            </w:tcBorders>
            <w:shd w:val="clear" w:color="auto" w:fill="C6D9F1"/>
          </w:tcPr>
          <w:p>
            <w:pPr>
              <w:spacing w:after="0"/>
              <w:rPr>
                <w:sz w:val="17"/>
                <w:szCs w:val="17"/>
                <w:color w:val="auto"/>
              </w:rPr>
            </w:pPr>
          </w:p>
        </w:tc>
        <w:tc>
          <w:tcPr>
            <w:tcW w:w="1140" w:type="dxa"/>
            <w:vAlign w:val="bottom"/>
            <w:gridSpan w:val="2"/>
            <w:shd w:val="clear" w:color="auto" w:fill="C6D9F1"/>
          </w:tcPr>
          <w:p>
            <w:pPr>
              <w:ind w:left="40"/>
              <w:spacing w:after="0" w:line="202" w:lineRule="exact"/>
              <w:rPr>
                <w:sz w:val="20"/>
                <w:szCs w:val="20"/>
                <w:color w:val="auto"/>
              </w:rPr>
            </w:pPr>
            <w:r>
              <w:rPr>
                <w:rFonts w:ascii="Arial" w:cs="Arial" w:eastAsia="Arial" w:hAnsi="Arial"/>
                <w:sz w:val="18"/>
                <w:szCs w:val="18"/>
                <w:color w:val="auto"/>
              </w:rPr>
              <w:t>amendments</w:t>
            </w:r>
          </w:p>
        </w:tc>
        <w:tc>
          <w:tcPr>
            <w:tcW w:w="580" w:type="dxa"/>
            <w:vAlign w:val="bottom"/>
            <w:shd w:val="clear" w:color="auto" w:fill="C6D9F1"/>
          </w:tcPr>
          <w:p>
            <w:pPr>
              <w:ind w:left="220"/>
              <w:spacing w:after="0" w:line="202" w:lineRule="exact"/>
              <w:rPr>
                <w:sz w:val="20"/>
                <w:szCs w:val="20"/>
                <w:color w:val="auto"/>
              </w:rPr>
            </w:pPr>
            <w:r>
              <w:rPr>
                <w:rFonts w:ascii="Arial" w:cs="Arial" w:eastAsia="Arial" w:hAnsi="Arial"/>
                <w:sz w:val="18"/>
                <w:szCs w:val="18"/>
                <w:color w:val="auto"/>
              </w:rPr>
              <w:t>for</w:t>
            </w:r>
          </w:p>
        </w:tc>
        <w:tc>
          <w:tcPr>
            <w:tcW w:w="880" w:type="dxa"/>
            <w:vAlign w:val="bottom"/>
            <w:shd w:val="clear" w:color="auto" w:fill="C6D9F1"/>
          </w:tcPr>
          <w:p>
            <w:pPr>
              <w:jc w:val="right"/>
              <w:ind w:right="150"/>
              <w:spacing w:after="0" w:line="202" w:lineRule="exact"/>
              <w:rPr>
                <w:sz w:val="20"/>
                <w:szCs w:val="20"/>
                <w:color w:val="auto"/>
              </w:rPr>
            </w:pPr>
            <w:r>
              <w:rPr>
                <w:rFonts w:ascii="Arial" w:cs="Arial" w:eastAsia="Arial" w:hAnsi="Arial"/>
                <w:sz w:val="18"/>
                <w:szCs w:val="18"/>
                <w:color w:val="auto"/>
              </w:rPr>
              <w:t>annual</w:t>
            </w:r>
          </w:p>
        </w:tc>
        <w:tc>
          <w:tcPr>
            <w:tcW w:w="700" w:type="dxa"/>
            <w:vAlign w:val="bottom"/>
            <w:tcBorders>
              <w:right w:val="single" w:sz="8" w:color="auto"/>
            </w:tcBorders>
            <w:shd w:val="clear" w:color="auto" w:fill="C6D9F1"/>
          </w:tcPr>
          <w:p>
            <w:pPr>
              <w:jc w:val="right"/>
              <w:spacing w:after="0" w:line="202" w:lineRule="exact"/>
              <w:rPr>
                <w:sz w:val="20"/>
                <w:szCs w:val="20"/>
                <w:color w:val="auto"/>
              </w:rPr>
            </w:pPr>
            <w:r>
              <w:rPr>
                <w:rFonts w:ascii="Arial" w:cs="Arial" w:eastAsia="Arial" w:hAnsi="Arial"/>
                <w:sz w:val="18"/>
                <w:szCs w:val="18"/>
                <w:color w:val="auto"/>
              </w:rPr>
              <w:t>periods</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gridSpan w:val="5"/>
            <w:shd w:val="clear" w:color="auto" w:fill="C6D9F1"/>
          </w:tcPr>
          <w:p>
            <w:pPr>
              <w:ind w:left="40"/>
              <w:spacing w:after="0" w:line="202" w:lineRule="exact"/>
              <w:rPr>
                <w:sz w:val="20"/>
                <w:szCs w:val="20"/>
                <w:color w:val="auto"/>
              </w:rPr>
            </w:pPr>
            <w:r>
              <w:rPr>
                <w:rFonts w:ascii="Arial" w:cs="Arial" w:eastAsia="Arial" w:hAnsi="Arial"/>
                <w:sz w:val="18"/>
                <w:szCs w:val="18"/>
                <w:color w:val="auto"/>
              </w:rPr>
              <w:t>beginning on or after January 1, 2016.</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260" w:type="dxa"/>
            <w:vAlign w:val="bottom"/>
            <w:tcBorders>
              <w:left w:val="single" w:sz="8" w:color="auto"/>
              <w:bottom w:val="single" w:sz="8" w:color="C6D9F1"/>
              <w:right w:val="single" w:sz="8" w:color="auto"/>
            </w:tcBorders>
            <w:shd w:val="clear" w:color="auto" w:fill="C6D9F1"/>
          </w:tcPr>
          <w:p>
            <w:pPr>
              <w:spacing w:after="0"/>
              <w:rPr>
                <w:sz w:val="22"/>
                <w:szCs w:val="22"/>
                <w:color w:val="auto"/>
              </w:rPr>
            </w:pPr>
          </w:p>
        </w:tc>
        <w:tc>
          <w:tcPr>
            <w:tcW w:w="1020" w:type="dxa"/>
            <w:vAlign w:val="bottom"/>
            <w:tcBorders>
              <w:bottom w:val="single" w:sz="8" w:color="C6D9F1"/>
              <w:right w:val="single" w:sz="8" w:color="auto"/>
            </w:tcBorders>
            <w:shd w:val="clear" w:color="auto" w:fill="C6D9F1"/>
          </w:tcPr>
          <w:p>
            <w:pPr>
              <w:spacing w:after="0"/>
              <w:rPr>
                <w:sz w:val="22"/>
                <w:szCs w:val="22"/>
                <w:color w:val="auto"/>
              </w:rPr>
            </w:pPr>
          </w:p>
        </w:tc>
        <w:tc>
          <w:tcPr>
            <w:tcW w:w="2600" w:type="dxa"/>
            <w:vAlign w:val="bottom"/>
            <w:tcBorders>
              <w:bottom w:val="single" w:sz="8" w:color="C6D9F1"/>
            </w:tcBorders>
            <w:gridSpan w:val="4"/>
            <w:shd w:val="clear" w:color="auto" w:fill="C6D9F1"/>
          </w:tcPr>
          <w:p>
            <w:pPr>
              <w:ind w:left="40"/>
              <w:spacing w:after="0"/>
              <w:rPr>
                <w:sz w:val="20"/>
                <w:szCs w:val="20"/>
                <w:color w:val="auto"/>
              </w:rPr>
            </w:pPr>
            <w:r>
              <w:rPr>
                <w:rFonts w:ascii="Arial" w:cs="Arial" w:eastAsia="Arial" w:hAnsi="Arial"/>
                <w:sz w:val="18"/>
                <w:szCs w:val="18"/>
                <w:color w:val="auto"/>
              </w:rPr>
              <w:t>Earlier application is permitted.</w:t>
            </w:r>
          </w:p>
        </w:tc>
        <w:tc>
          <w:tcPr>
            <w:tcW w:w="700" w:type="dxa"/>
            <w:vAlign w:val="bottom"/>
            <w:tcBorders>
              <w:bottom w:val="single" w:sz="8" w:color="C6D9F1"/>
              <w:right w:val="single" w:sz="8" w:color="auto"/>
            </w:tcBorders>
            <w:shd w:val="clear" w:color="auto" w:fill="C6D9F1"/>
          </w:tcPr>
          <w:p>
            <w:pPr>
              <w:spacing w:after="0"/>
              <w:rPr>
                <w:sz w:val="22"/>
                <w:szCs w:val="22"/>
                <w:color w:val="auto"/>
              </w:rPr>
            </w:pPr>
          </w:p>
        </w:tc>
        <w:tc>
          <w:tcPr>
            <w:tcW w:w="2840" w:type="dxa"/>
            <w:vAlign w:val="bottom"/>
            <w:tcBorders>
              <w:bottom w:val="single" w:sz="8" w:color="C6D9F1"/>
              <w:right w:val="single" w:sz="8" w:color="auto"/>
            </w:tcBorders>
            <w:shd w:val="clear" w:color="auto" w:fill="C6D9F1"/>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260" w:type="dxa"/>
            <w:vAlign w:val="bottom"/>
            <w:tcBorders>
              <w:top w:val="single" w:sz="8" w:color="auto"/>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IFRS 15 Revenue from Contracts with Customers</w:t>
            </w:r>
          </w:p>
        </w:tc>
        <w:tc>
          <w:tcPr>
            <w:tcW w:w="102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May 2014</w:t>
            </w:r>
          </w:p>
        </w:tc>
        <w:tc>
          <w:tcPr>
            <w:tcW w:w="3300" w:type="dxa"/>
            <w:vAlign w:val="bottom"/>
            <w:tcBorders>
              <w:top w:val="single" w:sz="8" w:color="auto"/>
              <w:right w:val="single" w:sz="8" w:color="auto"/>
            </w:tcBorders>
            <w:gridSpan w:val="5"/>
            <w:shd w:val="clear" w:color="auto" w:fill="C6D9F1"/>
          </w:tcPr>
          <w:p>
            <w:pPr>
              <w:ind w:left="40"/>
              <w:spacing w:after="0"/>
              <w:rPr>
                <w:sz w:val="20"/>
                <w:szCs w:val="20"/>
                <w:color w:val="auto"/>
              </w:rPr>
            </w:pPr>
            <w:r>
              <w:rPr>
                <w:rFonts w:ascii="Arial" w:cs="Arial" w:eastAsia="Arial" w:hAnsi="Arial"/>
                <w:sz w:val="18"/>
                <w:szCs w:val="18"/>
                <w:color w:val="auto"/>
              </w:rPr>
              <w:t>Annual periods beginning on or after</w:t>
            </w:r>
          </w:p>
        </w:tc>
        <w:tc>
          <w:tcPr>
            <w:tcW w:w="284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gridSpan w:val="5"/>
            <w:shd w:val="clear" w:color="auto" w:fill="C6D9F1"/>
          </w:tcPr>
          <w:p>
            <w:pPr>
              <w:ind w:left="40"/>
              <w:spacing w:after="0" w:line="202" w:lineRule="exact"/>
              <w:rPr>
                <w:sz w:val="20"/>
                <w:szCs w:val="20"/>
                <w:color w:val="auto"/>
              </w:rPr>
            </w:pPr>
            <w:r>
              <w:rPr>
                <w:rFonts w:ascii="Arial" w:cs="Arial" w:eastAsia="Arial" w:hAnsi="Arial"/>
                <w:sz w:val="18"/>
                <w:szCs w:val="18"/>
                <w:color w:val="auto"/>
              </w:rPr>
              <w:t>January  1,  2018.  Earlier  application</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260" w:type="dxa"/>
            <w:vAlign w:val="bottom"/>
            <w:tcBorders>
              <w:left w:val="single" w:sz="8" w:color="auto"/>
              <w:bottom w:val="single" w:sz="8" w:color="C6D9F1"/>
              <w:right w:val="single" w:sz="8" w:color="auto"/>
            </w:tcBorders>
            <w:shd w:val="clear" w:color="auto" w:fill="C6D9F1"/>
          </w:tcPr>
          <w:p>
            <w:pPr>
              <w:spacing w:after="0"/>
              <w:rPr>
                <w:sz w:val="22"/>
                <w:szCs w:val="22"/>
                <w:color w:val="auto"/>
              </w:rPr>
            </w:pPr>
          </w:p>
        </w:tc>
        <w:tc>
          <w:tcPr>
            <w:tcW w:w="1020" w:type="dxa"/>
            <w:vAlign w:val="bottom"/>
            <w:tcBorders>
              <w:bottom w:val="single" w:sz="8" w:color="C6D9F1"/>
              <w:right w:val="single" w:sz="8" w:color="auto"/>
            </w:tcBorders>
            <w:shd w:val="clear" w:color="auto" w:fill="C6D9F1"/>
          </w:tcPr>
          <w:p>
            <w:pPr>
              <w:spacing w:after="0"/>
              <w:rPr>
                <w:sz w:val="22"/>
                <w:szCs w:val="22"/>
                <w:color w:val="auto"/>
              </w:rPr>
            </w:pPr>
          </w:p>
        </w:tc>
        <w:tc>
          <w:tcPr>
            <w:tcW w:w="1140" w:type="dxa"/>
            <w:vAlign w:val="bottom"/>
            <w:tcBorders>
              <w:bottom w:val="single" w:sz="8" w:color="C6D9F1"/>
            </w:tcBorders>
            <w:gridSpan w:val="2"/>
            <w:shd w:val="clear" w:color="auto" w:fill="C6D9F1"/>
          </w:tcPr>
          <w:p>
            <w:pPr>
              <w:ind w:left="40"/>
              <w:spacing w:after="0"/>
              <w:rPr>
                <w:sz w:val="20"/>
                <w:szCs w:val="20"/>
                <w:color w:val="auto"/>
              </w:rPr>
            </w:pPr>
            <w:r>
              <w:rPr>
                <w:rFonts w:ascii="Arial" w:cs="Arial" w:eastAsia="Arial" w:hAnsi="Arial"/>
                <w:sz w:val="18"/>
                <w:szCs w:val="18"/>
                <w:color w:val="auto"/>
              </w:rPr>
              <w:t>permitted.</w:t>
            </w:r>
          </w:p>
        </w:tc>
        <w:tc>
          <w:tcPr>
            <w:tcW w:w="580" w:type="dxa"/>
            <w:vAlign w:val="bottom"/>
            <w:tcBorders>
              <w:bottom w:val="single" w:sz="8" w:color="C6D9F1"/>
            </w:tcBorders>
            <w:shd w:val="clear" w:color="auto" w:fill="C6D9F1"/>
          </w:tcPr>
          <w:p>
            <w:pPr>
              <w:spacing w:after="0"/>
              <w:rPr>
                <w:sz w:val="22"/>
                <w:szCs w:val="22"/>
                <w:color w:val="auto"/>
              </w:rPr>
            </w:pPr>
          </w:p>
        </w:tc>
        <w:tc>
          <w:tcPr>
            <w:tcW w:w="880" w:type="dxa"/>
            <w:vAlign w:val="bottom"/>
            <w:tcBorders>
              <w:bottom w:val="single" w:sz="8" w:color="C6D9F1"/>
            </w:tcBorders>
            <w:shd w:val="clear" w:color="auto" w:fill="C6D9F1"/>
          </w:tcPr>
          <w:p>
            <w:pPr>
              <w:spacing w:after="0"/>
              <w:rPr>
                <w:sz w:val="22"/>
                <w:szCs w:val="22"/>
                <w:color w:val="auto"/>
              </w:rPr>
            </w:pPr>
          </w:p>
        </w:tc>
        <w:tc>
          <w:tcPr>
            <w:tcW w:w="700" w:type="dxa"/>
            <w:vAlign w:val="bottom"/>
            <w:tcBorders>
              <w:bottom w:val="single" w:sz="8" w:color="C6D9F1"/>
              <w:right w:val="single" w:sz="8" w:color="auto"/>
            </w:tcBorders>
            <w:shd w:val="clear" w:color="auto" w:fill="C6D9F1"/>
          </w:tcPr>
          <w:p>
            <w:pPr>
              <w:spacing w:after="0"/>
              <w:rPr>
                <w:sz w:val="22"/>
                <w:szCs w:val="22"/>
                <w:color w:val="auto"/>
              </w:rPr>
            </w:pPr>
          </w:p>
        </w:tc>
        <w:tc>
          <w:tcPr>
            <w:tcW w:w="2840" w:type="dxa"/>
            <w:vAlign w:val="bottom"/>
            <w:tcBorders>
              <w:bottom w:val="single" w:sz="8" w:color="C6D9F1"/>
              <w:right w:val="single" w:sz="8" w:color="auto"/>
            </w:tcBorders>
            <w:shd w:val="clear" w:color="auto" w:fill="C6D9F1"/>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260" w:type="dxa"/>
            <w:vAlign w:val="bottom"/>
            <w:tcBorders>
              <w:top w:val="single" w:sz="8" w:color="auto"/>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Clarification of Acceptable Methods</w:t>
            </w:r>
          </w:p>
        </w:tc>
        <w:tc>
          <w:tcPr>
            <w:tcW w:w="102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May 2014</w:t>
            </w:r>
          </w:p>
        </w:tc>
        <w:tc>
          <w:tcPr>
            <w:tcW w:w="420" w:type="dxa"/>
            <w:vAlign w:val="bottom"/>
            <w:tcBorders>
              <w:top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An</w:t>
            </w:r>
          </w:p>
        </w:tc>
        <w:tc>
          <w:tcPr>
            <w:tcW w:w="720" w:type="dxa"/>
            <w:vAlign w:val="bottom"/>
            <w:tcBorders>
              <w:top w:val="single" w:sz="8" w:color="auto"/>
            </w:tcBorders>
            <w:shd w:val="clear" w:color="auto" w:fill="C6D9F1"/>
          </w:tcPr>
          <w:p>
            <w:pPr>
              <w:ind w:left="160"/>
              <w:spacing w:after="0"/>
              <w:rPr>
                <w:sz w:val="20"/>
                <w:szCs w:val="20"/>
                <w:color w:val="auto"/>
              </w:rPr>
            </w:pPr>
            <w:r>
              <w:rPr>
                <w:rFonts w:ascii="Arial" w:cs="Arial" w:eastAsia="Arial" w:hAnsi="Arial"/>
                <w:sz w:val="18"/>
                <w:szCs w:val="18"/>
                <w:color w:val="auto"/>
              </w:rPr>
              <w:t>entity</w:t>
            </w:r>
          </w:p>
        </w:tc>
        <w:tc>
          <w:tcPr>
            <w:tcW w:w="580" w:type="dxa"/>
            <w:vAlign w:val="bottom"/>
            <w:tcBorders>
              <w:top w:val="single" w:sz="8" w:color="auto"/>
            </w:tcBorders>
            <w:shd w:val="clear" w:color="auto" w:fill="C6D9F1"/>
          </w:tcPr>
          <w:p>
            <w:pPr>
              <w:ind w:left="200"/>
              <w:spacing w:after="0"/>
              <w:rPr>
                <w:sz w:val="20"/>
                <w:szCs w:val="20"/>
                <w:color w:val="auto"/>
              </w:rPr>
            </w:pPr>
            <w:r>
              <w:rPr>
                <w:rFonts w:ascii="Arial" w:cs="Arial" w:eastAsia="Arial" w:hAnsi="Arial"/>
                <w:sz w:val="18"/>
                <w:szCs w:val="18"/>
                <w:color w:val="auto"/>
                <w:w w:val="97"/>
              </w:rPr>
              <w:t>shall</w:t>
            </w:r>
          </w:p>
        </w:tc>
        <w:tc>
          <w:tcPr>
            <w:tcW w:w="880" w:type="dxa"/>
            <w:vAlign w:val="bottom"/>
            <w:tcBorders>
              <w:top w:val="single" w:sz="8" w:color="auto"/>
            </w:tcBorders>
            <w:shd w:val="clear" w:color="auto" w:fill="C6D9F1"/>
          </w:tcPr>
          <w:p>
            <w:pPr>
              <w:ind w:left="320"/>
              <w:spacing w:after="0"/>
              <w:rPr>
                <w:sz w:val="20"/>
                <w:szCs w:val="20"/>
                <w:color w:val="auto"/>
              </w:rPr>
            </w:pPr>
            <w:r>
              <w:rPr>
                <w:rFonts w:ascii="Arial" w:cs="Arial" w:eastAsia="Arial" w:hAnsi="Arial"/>
                <w:sz w:val="18"/>
                <w:szCs w:val="18"/>
                <w:color w:val="auto"/>
              </w:rPr>
              <w:t>apply</w:t>
            </w:r>
          </w:p>
        </w:tc>
        <w:tc>
          <w:tcPr>
            <w:tcW w:w="700" w:type="dxa"/>
            <w:vAlign w:val="bottom"/>
            <w:tcBorders>
              <w:top w:val="single" w:sz="8" w:color="auto"/>
              <w:right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those</w:t>
            </w:r>
          </w:p>
        </w:tc>
        <w:tc>
          <w:tcPr>
            <w:tcW w:w="284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1140" w:type="dxa"/>
            <w:vAlign w:val="bottom"/>
            <w:gridSpan w:val="2"/>
            <w:shd w:val="clear" w:color="auto" w:fill="C6D9F1"/>
          </w:tcPr>
          <w:p>
            <w:pPr>
              <w:ind w:left="40"/>
              <w:spacing w:after="0" w:line="202" w:lineRule="exact"/>
              <w:rPr>
                <w:sz w:val="20"/>
                <w:szCs w:val="20"/>
                <w:color w:val="auto"/>
              </w:rPr>
            </w:pPr>
            <w:r>
              <w:rPr>
                <w:rFonts w:ascii="Arial" w:cs="Arial" w:eastAsia="Arial" w:hAnsi="Arial"/>
                <w:sz w:val="18"/>
                <w:szCs w:val="18"/>
                <w:color w:val="auto"/>
              </w:rPr>
              <w:t>amendments</w:t>
            </w:r>
          </w:p>
        </w:tc>
        <w:tc>
          <w:tcPr>
            <w:tcW w:w="1460" w:type="dxa"/>
            <w:vAlign w:val="bottom"/>
            <w:gridSpan w:val="2"/>
            <w:shd w:val="clear" w:color="auto" w:fill="C6D9F1"/>
          </w:tcPr>
          <w:p>
            <w:pPr>
              <w:ind w:left="60"/>
              <w:spacing w:after="0" w:line="202" w:lineRule="exact"/>
              <w:rPr>
                <w:sz w:val="20"/>
                <w:szCs w:val="20"/>
                <w:color w:val="auto"/>
              </w:rPr>
            </w:pPr>
            <w:r>
              <w:rPr>
                <w:rFonts w:ascii="Arial" w:cs="Arial" w:eastAsia="Arial" w:hAnsi="Arial"/>
                <w:sz w:val="18"/>
                <w:szCs w:val="18"/>
                <w:color w:val="auto"/>
              </w:rPr>
              <w:t>prospectively for</w:t>
            </w:r>
          </w:p>
        </w:tc>
        <w:tc>
          <w:tcPr>
            <w:tcW w:w="700" w:type="dxa"/>
            <w:vAlign w:val="bottom"/>
            <w:tcBorders>
              <w:right w:val="single" w:sz="8" w:color="auto"/>
            </w:tcBorders>
            <w:shd w:val="clear" w:color="auto" w:fill="C6D9F1"/>
          </w:tcPr>
          <w:p>
            <w:pPr>
              <w:jc w:val="right"/>
              <w:spacing w:after="0" w:line="202" w:lineRule="exact"/>
              <w:rPr>
                <w:sz w:val="20"/>
                <w:szCs w:val="20"/>
                <w:color w:val="auto"/>
              </w:rPr>
            </w:pPr>
            <w:r>
              <w:rPr>
                <w:rFonts w:ascii="Arial" w:cs="Arial" w:eastAsia="Arial" w:hAnsi="Arial"/>
                <w:sz w:val="18"/>
                <w:szCs w:val="18"/>
                <w:color w:val="auto"/>
              </w:rPr>
              <w:t>annual</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ind w:left="80"/>
              <w:spacing w:after="0" w:line="202" w:lineRule="exact"/>
              <w:rPr>
                <w:sz w:val="20"/>
                <w:szCs w:val="20"/>
                <w:color w:val="auto"/>
              </w:rPr>
            </w:pPr>
            <w:r>
              <w:rPr>
                <w:rFonts w:ascii="Arial" w:cs="Arial" w:eastAsia="Arial" w:hAnsi="Arial"/>
                <w:sz w:val="18"/>
                <w:szCs w:val="18"/>
                <w:color w:val="auto"/>
              </w:rPr>
              <w:t>of Depreciation and Amortization</w:t>
            </w: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gridSpan w:val="5"/>
            <w:shd w:val="clear" w:color="auto" w:fill="C6D9F1"/>
          </w:tcPr>
          <w:p>
            <w:pPr>
              <w:ind w:left="40"/>
              <w:spacing w:after="0" w:line="202" w:lineRule="exact"/>
              <w:rPr>
                <w:sz w:val="20"/>
                <w:szCs w:val="20"/>
                <w:color w:val="auto"/>
              </w:rPr>
            </w:pPr>
            <w:r>
              <w:rPr>
                <w:rFonts w:ascii="Arial" w:cs="Arial" w:eastAsia="Arial" w:hAnsi="Arial"/>
                <w:sz w:val="18"/>
                <w:szCs w:val="18"/>
                <w:color w:val="auto"/>
              </w:rPr>
              <w:t>periods beginning on or after January</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60" w:type="dxa"/>
            <w:vAlign w:val="bottom"/>
            <w:tcBorders>
              <w:left w:val="single" w:sz="8" w:color="auto"/>
              <w:right w:val="single" w:sz="8" w:color="auto"/>
            </w:tcBorders>
            <w:vMerge w:val="restart"/>
            <w:shd w:val="clear" w:color="auto" w:fill="C6D9F1"/>
          </w:tcPr>
          <w:p>
            <w:pPr>
              <w:ind w:left="80"/>
              <w:spacing w:after="0"/>
              <w:rPr>
                <w:sz w:val="20"/>
                <w:szCs w:val="20"/>
                <w:color w:val="auto"/>
              </w:rPr>
            </w:pPr>
            <w:r>
              <w:rPr>
                <w:rFonts w:ascii="Arial" w:cs="Arial" w:eastAsia="Arial" w:hAnsi="Arial"/>
                <w:sz w:val="18"/>
                <w:szCs w:val="18"/>
                <w:color w:val="auto"/>
              </w:rPr>
              <w:t>Amendments to IAS 16 and IAS 38</w:t>
            </w:r>
          </w:p>
        </w:tc>
        <w:tc>
          <w:tcPr>
            <w:tcW w:w="1020" w:type="dxa"/>
            <w:vAlign w:val="bottom"/>
            <w:tcBorders>
              <w:right w:val="single" w:sz="8" w:color="auto"/>
            </w:tcBorders>
            <w:shd w:val="clear" w:color="auto" w:fill="C6D9F1"/>
          </w:tcPr>
          <w:p>
            <w:pPr>
              <w:spacing w:after="0"/>
              <w:rPr>
                <w:sz w:val="18"/>
                <w:szCs w:val="18"/>
                <w:color w:val="auto"/>
              </w:rPr>
            </w:pPr>
          </w:p>
        </w:tc>
        <w:tc>
          <w:tcPr>
            <w:tcW w:w="3300" w:type="dxa"/>
            <w:vAlign w:val="bottom"/>
            <w:tcBorders>
              <w:right w:val="single" w:sz="8" w:color="auto"/>
            </w:tcBorders>
            <w:gridSpan w:val="5"/>
            <w:shd w:val="clear" w:color="auto" w:fill="C6D9F1"/>
          </w:tcPr>
          <w:p>
            <w:pPr>
              <w:ind w:left="40"/>
              <w:spacing w:after="0"/>
              <w:rPr>
                <w:sz w:val="20"/>
                <w:szCs w:val="20"/>
                <w:color w:val="auto"/>
              </w:rPr>
            </w:pPr>
            <w:r>
              <w:rPr>
                <w:rFonts w:ascii="Arial" w:cs="Arial" w:eastAsia="Arial" w:hAnsi="Arial"/>
                <w:sz w:val="18"/>
                <w:szCs w:val="18"/>
                <w:color w:val="auto"/>
              </w:rPr>
              <w:t>1, 2016. Earlier application is permitted.</w:t>
            </w:r>
          </w:p>
        </w:tc>
        <w:tc>
          <w:tcPr>
            <w:tcW w:w="2840" w:type="dxa"/>
            <w:vAlign w:val="bottom"/>
            <w:tcBorders>
              <w:right w:val="single" w:sz="8" w:color="auto"/>
            </w:tcBorders>
            <w:shd w:val="clear" w:color="auto" w:fill="C6D9F1"/>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vMerge w:val="continue"/>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420" w:type="dxa"/>
            <w:vAlign w:val="bottom"/>
            <w:shd w:val="clear" w:color="auto" w:fill="C6D9F1"/>
          </w:tcPr>
          <w:p>
            <w:pPr>
              <w:spacing w:after="0"/>
              <w:rPr>
                <w:sz w:val="17"/>
                <w:szCs w:val="17"/>
                <w:color w:val="auto"/>
              </w:rPr>
            </w:pPr>
          </w:p>
        </w:tc>
        <w:tc>
          <w:tcPr>
            <w:tcW w:w="720" w:type="dxa"/>
            <w:vAlign w:val="bottom"/>
            <w:shd w:val="clear" w:color="auto" w:fill="C6D9F1"/>
          </w:tcPr>
          <w:p>
            <w:pPr>
              <w:spacing w:after="0"/>
              <w:rPr>
                <w:sz w:val="17"/>
                <w:szCs w:val="17"/>
                <w:color w:val="auto"/>
              </w:rPr>
            </w:pPr>
          </w:p>
        </w:tc>
        <w:tc>
          <w:tcPr>
            <w:tcW w:w="580" w:type="dxa"/>
            <w:vAlign w:val="bottom"/>
            <w:shd w:val="clear" w:color="auto" w:fill="C6D9F1"/>
          </w:tcPr>
          <w:p>
            <w:pPr>
              <w:spacing w:after="0"/>
              <w:rPr>
                <w:sz w:val="17"/>
                <w:szCs w:val="17"/>
                <w:color w:val="auto"/>
              </w:rPr>
            </w:pPr>
          </w:p>
        </w:tc>
        <w:tc>
          <w:tcPr>
            <w:tcW w:w="880" w:type="dxa"/>
            <w:vAlign w:val="bottom"/>
            <w:shd w:val="clear" w:color="auto" w:fill="C6D9F1"/>
          </w:tcPr>
          <w:p>
            <w:pPr>
              <w:spacing w:after="0"/>
              <w:rPr>
                <w:sz w:val="17"/>
                <w:szCs w:val="17"/>
                <w:color w:val="auto"/>
              </w:rPr>
            </w:pPr>
          </w:p>
        </w:tc>
        <w:tc>
          <w:tcPr>
            <w:tcW w:w="700" w:type="dxa"/>
            <w:vAlign w:val="bottom"/>
            <w:tcBorders>
              <w:right w:val="single" w:sz="8" w:color="auto"/>
            </w:tcBorders>
            <w:shd w:val="clear" w:color="auto" w:fill="C6D9F1"/>
          </w:tcPr>
          <w:p>
            <w:pPr>
              <w:spacing w:after="0"/>
              <w:rPr>
                <w:sz w:val="17"/>
                <w:szCs w:val="17"/>
                <w:color w:val="auto"/>
              </w:rPr>
            </w:pP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60" w:type="dxa"/>
            <w:vAlign w:val="bottom"/>
            <w:tcBorders>
              <w:left w:val="single" w:sz="8" w:color="auto"/>
              <w:bottom w:val="single" w:sz="8" w:color="auto"/>
              <w:right w:val="single" w:sz="8" w:color="auto"/>
            </w:tcBorders>
            <w:shd w:val="clear" w:color="auto" w:fill="C6D9F1"/>
          </w:tcPr>
          <w:p>
            <w:pPr>
              <w:spacing w:after="0"/>
              <w:rPr>
                <w:sz w:val="21"/>
                <w:szCs w:val="21"/>
                <w:color w:val="auto"/>
              </w:rPr>
            </w:pPr>
          </w:p>
        </w:tc>
        <w:tc>
          <w:tcPr>
            <w:tcW w:w="1020" w:type="dxa"/>
            <w:vAlign w:val="bottom"/>
            <w:tcBorders>
              <w:bottom w:val="single" w:sz="8" w:color="auto"/>
              <w:right w:val="single" w:sz="8" w:color="auto"/>
            </w:tcBorders>
            <w:shd w:val="clear" w:color="auto" w:fill="C6D9F1"/>
          </w:tcPr>
          <w:p>
            <w:pPr>
              <w:spacing w:after="0"/>
              <w:rPr>
                <w:sz w:val="21"/>
                <w:szCs w:val="21"/>
                <w:color w:val="auto"/>
              </w:rPr>
            </w:pPr>
          </w:p>
        </w:tc>
        <w:tc>
          <w:tcPr>
            <w:tcW w:w="420" w:type="dxa"/>
            <w:vAlign w:val="bottom"/>
            <w:tcBorders>
              <w:bottom w:val="single" w:sz="8" w:color="auto"/>
            </w:tcBorders>
            <w:shd w:val="clear" w:color="auto" w:fill="C6D9F1"/>
          </w:tcPr>
          <w:p>
            <w:pPr>
              <w:spacing w:after="0"/>
              <w:rPr>
                <w:sz w:val="21"/>
                <w:szCs w:val="21"/>
                <w:color w:val="auto"/>
              </w:rPr>
            </w:pPr>
          </w:p>
        </w:tc>
        <w:tc>
          <w:tcPr>
            <w:tcW w:w="720" w:type="dxa"/>
            <w:vAlign w:val="bottom"/>
            <w:tcBorders>
              <w:bottom w:val="single" w:sz="8" w:color="auto"/>
            </w:tcBorders>
            <w:shd w:val="clear" w:color="auto" w:fill="C6D9F1"/>
          </w:tcPr>
          <w:p>
            <w:pPr>
              <w:spacing w:after="0"/>
              <w:rPr>
                <w:sz w:val="21"/>
                <w:szCs w:val="21"/>
                <w:color w:val="auto"/>
              </w:rPr>
            </w:pPr>
          </w:p>
        </w:tc>
        <w:tc>
          <w:tcPr>
            <w:tcW w:w="580" w:type="dxa"/>
            <w:vAlign w:val="bottom"/>
            <w:tcBorders>
              <w:bottom w:val="single" w:sz="8" w:color="auto"/>
            </w:tcBorders>
            <w:shd w:val="clear" w:color="auto" w:fill="C6D9F1"/>
          </w:tcPr>
          <w:p>
            <w:pPr>
              <w:spacing w:after="0"/>
              <w:rPr>
                <w:sz w:val="21"/>
                <w:szCs w:val="21"/>
                <w:color w:val="auto"/>
              </w:rPr>
            </w:pPr>
          </w:p>
        </w:tc>
        <w:tc>
          <w:tcPr>
            <w:tcW w:w="880" w:type="dxa"/>
            <w:vAlign w:val="bottom"/>
            <w:tcBorders>
              <w:bottom w:val="single" w:sz="8" w:color="auto"/>
            </w:tcBorders>
            <w:shd w:val="clear" w:color="auto" w:fill="C6D9F1"/>
          </w:tcPr>
          <w:p>
            <w:pPr>
              <w:spacing w:after="0"/>
              <w:rPr>
                <w:sz w:val="21"/>
                <w:szCs w:val="21"/>
                <w:color w:val="auto"/>
              </w:rPr>
            </w:pPr>
          </w:p>
        </w:tc>
        <w:tc>
          <w:tcPr>
            <w:tcW w:w="700" w:type="dxa"/>
            <w:vAlign w:val="bottom"/>
            <w:tcBorders>
              <w:bottom w:val="single" w:sz="8" w:color="auto"/>
              <w:right w:val="single" w:sz="8" w:color="auto"/>
            </w:tcBorders>
            <w:shd w:val="clear" w:color="auto" w:fill="C6D9F1"/>
          </w:tcPr>
          <w:p>
            <w:pPr>
              <w:spacing w:after="0"/>
              <w:rPr>
                <w:sz w:val="21"/>
                <w:szCs w:val="21"/>
                <w:color w:val="auto"/>
              </w:rPr>
            </w:pPr>
          </w:p>
        </w:tc>
        <w:tc>
          <w:tcPr>
            <w:tcW w:w="2840" w:type="dxa"/>
            <w:vAlign w:val="bottom"/>
            <w:tcBorders>
              <w:bottom w:val="single" w:sz="8" w:color="auto"/>
              <w:right w:val="single" w:sz="8" w:color="auto"/>
            </w:tcBorders>
            <w:shd w:val="clear" w:color="auto" w:fill="C6D9F1"/>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60" w:type="dxa"/>
            <w:vAlign w:val="bottom"/>
            <w:tcBorders>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Accounting for Acquisitions of</w:t>
            </w:r>
          </w:p>
        </w:tc>
        <w:tc>
          <w:tcPr>
            <w:tcW w:w="1020" w:type="dxa"/>
            <w:vAlign w:val="bottom"/>
            <w:tcBorders>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May 2014</w:t>
            </w:r>
          </w:p>
        </w:tc>
        <w:tc>
          <w:tcPr>
            <w:tcW w:w="420" w:type="dxa"/>
            <w:vAlign w:val="bottom"/>
            <w:shd w:val="clear" w:color="auto" w:fill="C6D9F1"/>
          </w:tcPr>
          <w:p>
            <w:pPr>
              <w:ind w:left="40"/>
              <w:spacing w:after="0"/>
              <w:rPr>
                <w:sz w:val="20"/>
                <w:szCs w:val="20"/>
                <w:color w:val="auto"/>
              </w:rPr>
            </w:pPr>
            <w:r>
              <w:rPr>
                <w:rFonts w:ascii="Arial" w:cs="Arial" w:eastAsia="Arial" w:hAnsi="Arial"/>
                <w:sz w:val="18"/>
                <w:szCs w:val="18"/>
                <w:color w:val="auto"/>
              </w:rPr>
              <w:t>An</w:t>
            </w:r>
          </w:p>
        </w:tc>
        <w:tc>
          <w:tcPr>
            <w:tcW w:w="720" w:type="dxa"/>
            <w:vAlign w:val="bottom"/>
            <w:shd w:val="clear" w:color="auto" w:fill="C6D9F1"/>
          </w:tcPr>
          <w:p>
            <w:pPr>
              <w:ind w:left="160"/>
              <w:spacing w:after="0"/>
              <w:rPr>
                <w:sz w:val="20"/>
                <w:szCs w:val="20"/>
                <w:color w:val="auto"/>
              </w:rPr>
            </w:pPr>
            <w:r>
              <w:rPr>
                <w:rFonts w:ascii="Arial" w:cs="Arial" w:eastAsia="Arial" w:hAnsi="Arial"/>
                <w:sz w:val="18"/>
                <w:szCs w:val="18"/>
                <w:color w:val="auto"/>
              </w:rPr>
              <w:t>entity</w:t>
            </w:r>
          </w:p>
        </w:tc>
        <w:tc>
          <w:tcPr>
            <w:tcW w:w="580" w:type="dxa"/>
            <w:vAlign w:val="bottom"/>
            <w:shd w:val="clear" w:color="auto" w:fill="C6D9F1"/>
          </w:tcPr>
          <w:p>
            <w:pPr>
              <w:ind w:left="200"/>
              <w:spacing w:after="0"/>
              <w:rPr>
                <w:sz w:val="20"/>
                <w:szCs w:val="20"/>
                <w:color w:val="auto"/>
              </w:rPr>
            </w:pPr>
            <w:r>
              <w:rPr>
                <w:rFonts w:ascii="Arial" w:cs="Arial" w:eastAsia="Arial" w:hAnsi="Arial"/>
                <w:sz w:val="18"/>
                <w:szCs w:val="18"/>
                <w:color w:val="auto"/>
                <w:w w:val="97"/>
              </w:rPr>
              <w:t>shall</w:t>
            </w:r>
          </w:p>
        </w:tc>
        <w:tc>
          <w:tcPr>
            <w:tcW w:w="880" w:type="dxa"/>
            <w:vAlign w:val="bottom"/>
            <w:shd w:val="clear" w:color="auto" w:fill="C6D9F1"/>
          </w:tcPr>
          <w:p>
            <w:pPr>
              <w:ind w:left="320"/>
              <w:spacing w:after="0"/>
              <w:rPr>
                <w:sz w:val="20"/>
                <w:szCs w:val="20"/>
                <w:color w:val="auto"/>
              </w:rPr>
            </w:pPr>
            <w:r>
              <w:rPr>
                <w:rFonts w:ascii="Arial" w:cs="Arial" w:eastAsia="Arial" w:hAnsi="Arial"/>
                <w:sz w:val="18"/>
                <w:szCs w:val="18"/>
                <w:color w:val="auto"/>
              </w:rPr>
              <w:t>apply</w:t>
            </w:r>
          </w:p>
        </w:tc>
        <w:tc>
          <w:tcPr>
            <w:tcW w:w="70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those</w:t>
            </w:r>
          </w:p>
        </w:tc>
        <w:tc>
          <w:tcPr>
            <w:tcW w:w="2840" w:type="dxa"/>
            <w:vAlign w:val="bottom"/>
            <w:tcBorders>
              <w:right w:val="single" w:sz="8" w:color="auto"/>
            </w:tcBorders>
            <w:shd w:val="clear" w:color="auto" w:fill="C6D9F1"/>
          </w:tcPr>
          <w:p>
            <w:pPr>
              <w:ind w:left="40"/>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1140" w:type="dxa"/>
            <w:vAlign w:val="bottom"/>
            <w:gridSpan w:val="2"/>
            <w:shd w:val="clear" w:color="auto" w:fill="C6D9F1"/>
          </w:tcPr>
          <w:p>
            <w:pPr>
              <w:ind w:left="40"/>
              <w:spacing w:after="0" w:line="202" w:lineRule="exact"/>
              <w:rPr>
                <w:sz w:val="20"/>
                <w:szCs w:val="20"/>
                <w:color w:val="auto"/>
              </w:rPr>
            </w:pPr>
            <w:r>
              <w:rPr>
                <w:rFonts w:ascii="Arial" w:cs="Arial" w:eastAsia="Arial" w:hAnsi="Arial"/>
                <w:sz w:val="18"/>
                <w:szCs w:val="18"/>
                <w:color w:val="auto"/>
              </w:rPr>
              <w:t>amendments</w:t>
            </w:r>
          </w:p>
        </w:tc>
        <w:tc>
          <w:tcPr>
            <w:tcW w:w="1460" w:type="dxa"/>
            <w:vAlign w:val="bottom"/>
            <w:gridSpan w:val="2"/>
            <w:shd w:val="clear" w:color="auto" w:fill="C6D9F1"/>
          </w:tcPr>
          <w:p>
            <w:pPr>
              <w:ind w:left="80"/>
              <w:spacing w:after="0" w:line="202" w:lineRule="exact"/>
              <w:rPr>
                <w:sz w:val="20"/>
                <w:szCs w:val="20"/>
                <w:color w:val="auto"/>
              </w:rPr>
            </w:pPr>
            <w:r>
              <w:rPr>
                <w:rFonts w:ascii="Arial" w:cs="Arial" w:eastAsia="Arial" w:hAnsi="Arial"/>
                <w:sz w:val="18"/>
                <w:szCs w:val="18"/>
                <w:color w:val="auto"/>
              </w:rPr>
              <w:t>prospectively  in</w:t>
            </w:r>
          </w:p>
        </w:tc>
        <w:tc>
          <w:tcPr>
            <w:tcW w:w="700" w:type="dxa"/>
            <w:vAlign w:val="bottom"/>
            <w:tcBorders>
              <w:right w:val="single" w:sz="8" w:color="auto"/>
            </w:tcBorders>
            <w:shd w:val="clear" w:color="auto" w:fill="C6D9F1"/>
          </w:tcPr>
          <w:p>
            <w:pPr>
              <w:jc w:val="right"/>
              <w:spacing w:after="0" w:line="202" w:lineRule="exact"/>
              <w:rPr>
                <w:sz w:val="20"/>
                <w:szCs w:val="20"/>
                <w:color w:val="auto"/>
              </w:rPr>
            </w:pPr>
            <w:r>
              <w:rPr>
                <w:rFonts w:ascii="Arial" w:cs="Arial" w:eastAsia="Arial" w:hAnsi="Arial"/>
                <w:sz w:val="18"/>
                <w:szCs w:val="18"/>
                <w:color w:val="auto"/>
              </w:rPr>
              <w:t>annual</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ind w:left="80"/>
              <w:spacing w:after="0" w:line="202" w:lineRule="exact"/>
              <w:rPr>
                <w:sz w:val="20"/>
                <w:szCs w:val="20"/>
                <w:color w:val="auto"/>
              </w:rPr>
            </w:pPr>
            <w:r>
              <w:rPr>
                <w:rFonts w:ascii="Arial" w:cs="Arial" w:eastAsia="Arial" w:hAnsi="Arial"/>
                <w:sz w:val="18"/>
                <w:szCs w:val="18"/>
                <w:color w:val="auto"/>
              </w:rPr>
              <w:t>Interests in Joint Operations</w:t>
            </w: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gridSpan w:val="5"/>
            <w:shd w:val="clear" w:color="auto" w:fill="C6D9F1"/>
          </w:tcPr>
          <w:p>
            <w:pPr>
              <w:ind w:left="40"/>
              <w:spacing w:after="0" w:line="202" w:lineRule="exact"/>
              <w:rPr>
                <w:sz w:val="20"/>
                <w:szCs w:val="20"/>
                <w:color w:val="auto"/>
              </w:rPr>
            </w:pPr>
            <w:r>
              <w:rPr>
                <w:rFonts w:ascii="Arial" w:cs="Arial" w:eastAsia="Arial" w:hAnsi="Arial"/>
                <w:sz w:val="18"/>
                <w:szCs w:val="18"/>
                <w:color w:val="auto"/>
              </w:rPr>
              <w:t>periods beginning on or after January</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60" w:type="dxa"/>
            <w:vAlign w:val="bottom"/>
            <w:tcBorders>
              <w:left w:val="single" w:sz="8" w:color="auto"/>
              <w:right w:val="single" w:sz="8" w:color="auto"/>
            </w:tcBorders>
            <w:vMerge w:val="restart"/>
            <w:shd w:val="clear" w:color="auto" w:fill="C6D9F1"/>
          </w:tcPr>
          <w:p>
            <w:pPr>
              <w:ind w:left="80"/>
              <w:spacing w:after="0"/>
              <w:rPr>
                <w:sz w:val="20"/>
                <w:szCs w:val="20"/>
                <w:color w:val="auto"/>
              </w:rPr>
            </w:pPr>
            <w:r>
              <w:rPr>
                <w:rFonts w:ascii="Arial" w:cs="Arial" w:eastAsia="Arial" w:hAnsi="Arial"/>
                <w:sz w:val="18"/>
                <w:szCs w:val="18"/>
                <w:color w:val="auto"/>
              </w:rPr>
              <w:t>Amendments to IFRS 11</w:t>
            </w:r>
          </w:p>
        </w:tc>
        <w:tc>
          <w:tcPr>
            <w:tcW w:w="1020" w:type="dxa"/>
            <w:vAlign w:val="bottom"/>
            <w:tcBorders>
              <w:right w:val="single" w:sz="8" w:color="auto"/>
            </w:tcBorders>
            <w:shd w:val="clear" w:color="auto" w:fill="C6D9F1"/>
          </w:tcPr>
          <w:p>
            <w:pPr>
              <w:spacing w:after="0"/>
              <w:rPr>
                <w:sz w:val="18"/>
                <w:szCs w:val="18"/>
                <w:color w:val="auto"/>
              </w:rPr>
            </w:pPr>
          </w:p>
        </w:tc>
        <w:tc>
          <w:tcPr>
            <w:tcW w:w="1140" w:type="dxa"/>
            <w:vAlign w:val="bottom"/>
            <w:gridSpan w:val="2"/>
            <w:shd w:val="clear" w:color="auto" w:fill="C6D9F1"/>
          </w:tcPr>
          <w:p>
            <w:pPr>
              <w:ind w:left="40"/>
              <w:spacing w:after="0"/>
              <w:rPr>
                <w:sz w:val="20"/>
                <w:szCs w:val="20"/>
                <w:color w:val="auto"/>
              </w:rPr>
            </w:pPr>
            <w:r>
              <w:rPr>
                <w:rFonts w:ascii="Arial" w:cs="Arial" w:eastAsia="Arial" w:hAnsi="Arial"/>
                <w:sz w:val="18"/>
                <w:szCs w:val="18"/>
                <w:color w:val="auto"/>
              </w:rPr>
              <w:t>1, 2016.</w:t>
            </w:r>
          </w:p>
        </w:tc>
        <w:tc>
          <w:tcPr>
            <w:tcW w:w="580" w:type="dxa"/>
            <w:vAlign w:val="bottom"/>
            <w:shd w:val="clear" w:color="auto" w:fill="C6D9F1"/>
          </w:tcPr>
          <w:p>
            <w:pPr>
              <w:spacing w:after="0"/>
              <w:rPr>
                <w:sz w:val="18"/>
                <w:szCs w:val="18"/>
                <w:color w:val="auto"/>
              </w:rPr>
            </w:pPr>
          </w:p>
        </w:tc>
        <w:tc>
          <w:tcPr>
            <w:tcW w:w="880" w:type="dxa"/>
            <w:vAlign w:val="bottom"/>
            <w:shd w:val="clear" w:color="auto" w:fill="C6D9F1"/>
          </w:tcPr>
          <w:p>
            <w:pPr>
              <w:spacing w:after="0"/>
              <w:rPr>
                <w:sz w:val="18"/>
                <w:szCs w:val="18"/>
                <w:color w:val="auto"/>
              </w:rPr>
            </w:pPr>
          </w:p>
        </w:tc>
        <w:tc>
          <w:tcPr>
            <w:tcW w:w="700" w:type="dxa"/>
            <w:vAlign w:val="bottom"/>
            <w:tcBorders>
              <w:right w:val="single" w:sz="8" w:color="auto"/>
            </w:tcBorders>
            <w:shd w:val="clear" w:color="auto" w:fill="C6D9F1"/>
          </w:tcPr>
          <w:p>
            <w:pPr>
              <w:spacing w:after="0"/>
              <w:rPr>
                <w:sz w:val="18"/>
                <w:szCs w:val="18"/>
                <w:color w:val="auto"/>
              </w:rPr>
            </w:pPr>
          </w:p>
        </w:tc>
        <w:tc>
          <w:tcPr>
            <w:tcW w:w="2840" w:type="dxa"/>
            <w:vAlign w:val="bottom"/>
            <w:tcBorders>
              <w:right w:val="single" w:sz="8" w:color="auto"/>
            </w:tcBorders>
            <w:shd w:val="clear" w:color="auto" w:fill="C6D9F1"/>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vMerge w:val="continue"/>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420" w:type="dxa"/>
            <w:vAlign w:val="bottom"/>
            <w:shd w:val="clear" w:color="auto" w:fill="C6D9F1"/>
          </w:tcPr>
          <w:p>
            <w:pPr>
              <w:spacing w:after="0"/>
              <w:rPr>
                <w:sz w:val="17"/>
                <w:szCs w:val="17"/>
                <w:color w:val="auto"/>
              </w:rPr>
            </w:pPr>
          </w:p>
        </w:tc>
        <w:tc>
          <w:tcPr>
            <w:tcW w:w="720" w:type="dxa"/>
            <w:vAlign w:val="bottom"/>
            <w:shd w:val="clear" w:color="auto" w:fill="C6D9F1"/>
          </w:tcPr>
          <w:p>
            <w:pPr>
              <w:spacing w:after="0"/>
              <w:rPr>
                <w:sz w:val="17"/>
                <w:szCs w:val="17"/>
                <w:color w:val="auto"/>
              </w:rPr>
            </w:pPr>
          </w:p>
        </w:tc>
        <w:tc>
          <w:tcPr>
            <w:tcW w:w="580" w:type="dxa"/>
            <w:vAlign w:val="bottom"/>
            <w:shd w:val="clear" w:color="auto" w:fill="C6D9F1"/>
          </w:tcPr>
          <w:p>
            <w:pPr>
              <w:spacing w:after="0"/>
              <w:rPr>
                <w:sz w:val="17"/>
                <w:szCs w:val="17"/>
                <w:color w:val="auto"/>
              </w:rPr>
            </w:pPr>
          </w:p>
        </w:tc>
        <w:tc>
          <w:tcPr>
            <w:tcW w:w="880" w:type="dxa"/>
            <w:vAlign w:val="bottom"/>
            <w:shd w:val="clear" w:color="auto" w:fill="C6D9F1"/>
          </w:tcPr>
          <w:p>
            <w:pPr>
              <w:spacing w:after="0"/>
              <w:rPr>
                <w:sz w:val="17"/>
                <w:szCs w:val="17"/>
                <w:color w:val="auto"/>
              </w:rPr>
            </w:pPr>
          </w:p>
        </w:tc>
        <w:tc>
          <w:tcPr>
            <w:tcW w:w="700" w:type="dxa"/>
            <w:vAlign w:val="bottom"/>
            <w:tcBorders>
              <w:right w:val="single" w:sz="8" w:color="auto"/>
            </w:tcBorders>
            <w:shd w:val="clear" w:color="auto" w:fill="C6D9F1"/>
          </w:tcPr>
          <w:p>
            <w:pPr>
              <w:spacing w:after="0"/>
              <w:rPr>
                <w:sz w:val="17"/>
                <w:szCs w:val="17"/>
                <w:color w:val="auto"/>
              </w:rPr>
            </w:pP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60" w:type="dxa"/>
            <w:vAlign w:val="bottom"/>
            <w:tcBorders>
              <w:left w:val="single" w:sz="8" w:color="auto"/>
              <w:bottom w:val="single" w:sz="8" w:color="auto"/>
              <w:right w:val="single" w:sz="8" w:color="auto"/>
            </w:tcBorders>
            <w:shd w:val="clear" w:color="auto" w:fill="C6D9F1"/>
          </w:tcPr>
          <w:p>
            <w:pPr>
              <w:spacing w:after="0"/>
              <w:rPr>
                <w:sz w:val="21"/>
                <w:szCs w:val="21"/>
                <w:color w:val="auto"/>
              </w:rPr>
            </w:pPr>
          </w:p>
        </w:tc>
        <w:tc>
          <w:tcPr>
            <w:tcW w:w="1020" w:type="dxa"/>
            <w:vAlign w:val="bottom"/>
            <w:tcBorders>
              <w:bottom w:val="single" w:sz="8" w:color="auto"/>
              <w:right w:val="single" w:sz="8" w:color="auto"/>
            </w:tcBorders>
            <w:shd w:val="clear" w:color="auto" w:fill="C6D9F1"/>
          </w:tcPr>
          <w:p>
            <w:pPr>
              <w:spacing w:after="0"/>
              <w:rPr>
                <w:sz w:val="21"/>
                <w:szCs w:val="21"/>
                <w:color w:val="auto"/>
              </w:rPr>
            </w:pPr>
          </w:p>
        </w:tc>
        <w:tc>
          <w:tcPr>
            <w:tcW w:w="3300" w:type="dxa"/>
            <w:vAlign w:val="bottom"/>
            <w:tcBorders>
              <w:bottom w:val="single" w:sz="8" w:color="auto"/>
              <w:right w:val="single" w:sz="8" w:color="auto"/>
            </w:tcBorders>
            <w:gridSpan w:val="5"/>
            <w:shd w:val="clear" w:color="auto" w:fill="C6D9F1"/>
          </w:tcPr>
          <w:p>
            <w:pPr>
              <w:spacing w:after="0"/>
              <w:rPr>
                <w:sz w:val="21"/>
                <w:szCs w:val="21"/>
                <w:color w:val="auto"/>
              </w:rPr>
            </w:pPr>
          </w:p>
        </w:tc>
        <w:tc>
          <w:tcPr>
            <w:tcW w:w="2840" w:type="dxa"/>
            <w:vAlign w:val="bottom"/>
            <w:tcBorders>
              <w:bottom w:val="single" w:sz="8" w:color="auto"/>
              <w:right w:val="single" w:sz="8" w:color="auto"/>
            </w:tcBorders>
            <w:shd w:val="clear" w:color="auto" w:fill="C6D9F1"/>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60" w:type="dxa"/>
            <w:vAlign w:val="bottom"/>
            <w:tcBorders>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IFRS 14 Regulatory Deferral Accounts</w:t>
            </w:r>
          </w:p>
        </w:tc>
        <w:tc>
          <w:tcPr>
            <w:tcW w:w="1020" w:type="dxa"/>
            <w:vAlign w:val="bottom"/>
            <w:tcBorders>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Jan 2014</w:t>
            </w:r>
          </w:p>
        </w:tc>
        <w:tc>
          <w:tcPr>
            <w:tcW w:w="3300" w:type="dxa"/>
            <w:vAlign w:val="bottom"/>
            <w:tcBorders>
              <w:right w:val="single" w:sz="8" w:color="auto"/>
            </w:tcBorders>
            <w:gridSpan w:val="5"/>
            <w:shd w:val="clear" w:color="auto" w:fill="C6D9F1"/>
          </w:tcPr>
          <w:p>
            <w:pPr>
              <w:ind w:left="40"/>
              <w:spacing w:after="0"/>
              <w:rPr>
                <w:sz w:val="20"/>
                <w:szCs w:val="20"/>
                <w:color w:val="auto"/>
              </w:rPr>
            </w:pPr>
            <w:r>
              <w:rPr>
                <w:rFonts w:ascii="Arial" w:cs="Arial" w:eastAsia="Arial" w:hAnsi="Arial"/>
                <w:sz w:val="18"/>
                <w:szCs w:val="18"/>
                <w:color w:val="auto"/>
              </w:rPr>
              <w:t>Effective  for  an  entity’s  first  annual</w:t>
            </w:r>
          </w:p>
        </w:tc>
        <w:tc>
          <w:tcPr>
            <w:tcW w:w="2840" w:type="dxa"/>
            <w:vAlign w:val="bottom"/>
            <w:tcBorders>
              <w:right w:val="single" w:sz="8" w:color="auto"/>
            </w:tcBorders>
            <w:shd w:val="clear" w:color="auto" w:fill="C6D9F1"/>
          </w:tcPr>
          <w:p>
            <w:pPr>
              <w:ind w:left="40"/>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gridSpan w:val="5"/>
            <w:shd w:val="clear" w:color="auto" w:fill="C6D9F1"/>
          </w:tcPr>
          <w:p>
            <w:pPr>
              <w:ind w:left="40"/>
              <w:spacing w:after="0" w:line="202" w:lineRule="exact"/>
              <w:rPr>
                <w:sz w:val="20"/>
                <w:szCs w:val="20"/>
                <w:color w:val="auto"/>
              </w:rPr>
            </w:pPr>
            <w:r>
              <w:rPr>
                <w:rFonts w:ascii="Arial" w:cs="Arial" w:eastAsia="Arial" w:hAnsi="Arial"/>
                <w:sz w:val="18"/>
                <w:szCs w:val="18"/>
                <w:color w:val="auto"/>
              </w:rPr>
              <w:t>IFRS financial statements for a period</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gridSpan w:val="5"/>
            <w:shd w:val="clear" w:color="auto" w:fill="C6D9F1"/>
          </w:tcPr>
          <w:p>
            <w:pPr>
              <w:ind w:left="40"/>
              <w:spacing w:after="0" w:line="202" w:lineRule="exact"/>
              <w:rPr>
                <w:sz w:val="20"/>
                <w:szCs w:val="20"/>
                <w:color w:val="auto"/>
              </w:rPr>
            </w:pPr>
            <w:r>
              <w:rPr>
                <w:rFonts w:ascii="Arial" w:cs="Arial" w:eastAsia="Arial" w:hAnsi="Arial"/>
                <w:sz w:val="18"/>
                <w:szCs w:val="18"/>
                <w:color w:val="auto"/>
              </w:rPr>
              <w:t>beginning on or after January 1, 2016.</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260" w:type="dxa"/>
            <w:vAlign w:val="bottom"/>
            <w:tcBorders>
              <w:left w:val="single" w:sz="8" w:color="auto"/>
              <w:bottom w:val="single" w:sz="8" w:color="C6D9F1"/>
              <w:right w:val="single" w:sz="8" w:color="auto"/>
            </w:tcBorders>
            <w:shd w:val="clear" w:color="auto" w:fill="C6D9F1"/>
          </w:tcPr>
          <w:p>
            <w:pPr>
              <w:spacing w:after="0"/>
              <w:rPr>
                <w:sz w:val="22"/>
                <w:szCs w:val="22"/>
                <w:color w:val="auto"/>
              </w:rPr>
            </w:pPr>
          </w:p>
        </w:tc>
        <w:tc>
          <w:tcPr>
            <w:tcW w:w="1020" w:type="dxa"/>
            <w:vAlign w:val="bottom"/>
            <w:tcBorders>
              <w:bottom w:val="single" w:sz="8" w:color="C6D9F1"/>
              <w:right w:val="single" w:sz="8" w:color="auto"/>
            </w:tcBorders>
            <w:shd w:val="clear" w:color="auto" w:fill="C6D9F1"/>
          </w:tcPr>
          <w:p>
            <w:pPr>
              <w:spacing w:after="0"/>
              <w:rPr>
                <w:sz w:val="22"/>
                <w:szCs w:val="22"/>
                <w:color w:val="auto"/>
              </w:rPr>
            </w:pPr>
          </w:p>
        </w:tc>
        <w:tc>
          <w:tcPr>
            <w:tcW w:w="2600" w:type="dxa"/>
            <w:vAlign w:val="bottom"/>
            <w:tcBorders>
              <w:bottom w:val="single" w:sz="8" w:color="C6D9F1"/>
            </w:tcBorders>
            <w:gridSpan w:val="4"/>
            <w:shd w:val="clear" w:color="auto" w:fill="C6D9F1"/>
          </w:tcPr>
          <w:p>
            <w:pPr>
              <w:ind w:left="40"/>
              <w:spacing w:after="0"/>
              <w:rPr>
                <w:sz w:val="20"/>
                <w:szCs w:val="20"/>
                <w:color w:val="auto"/>
              </w:rPr>
            </w:pPr>
            <w:r>
              <w:rPr>
                <w:rFonts w:ascii="Arial" w:cs="Arial" w:eastAsia="Arial" w:hAnsi="Arial"/>
                <w:sz w:val="18"/>
                <w:szCs w:val="18"/>
                <w:color w:val="auto"/>
              </w:rPr>
              <w:t>Earlier application is permitted</w:t>
            </w:r>
          </w:p>
        </w:tc>
        <w:tc>
          <w:tcPr>
            <w:tcW w:w="700" w:type="dxa"/>
            <w:vAlign w:val="bottom"/>
            <w:tcBorders>
              <w:bottom w:val="single" w:sz="8" w:color="C6D9F1"/>
              <w:right w:val="single" w:sz="8" w:color="auto"/>
            </w:tcBorders>
            <w:shd w:val="clear" w:color="auto" w:fill="C6D9F1"/>
          </w:tcPr>
          <w:p>
            <w:pPr>
              <w:spacing w:after="0"/>
              <w:rPr>
                <w:sz w:val="22"/>
                <w:szCs w:val="22"/>
                <w:color w:val="auto"/>
              </w:rPr>
            </w:pPr>
          </w:p>
        </w:tc>
        <w:tc>
          <w:tcPr>
            <w:tcW w:w="2840" w:type="dxa"/>
            <w:vAlign w:val="bottom"/>
            <w:tcBorders>
              <w:bottom w:val="single" w:sz="8" w:color="C6D9F1"/>
              <w:right w:val="single" w:sz="8" w:color="auto"/>
            </w:tcBorders>
            <w:shd w:val="clear" w:color="auto" w:fill="C6D9F1"/>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260" w:type="dxa"/>
            <w:vAlign w:val="bottom"/>
            <w:tcBorders>
              <w:top w:val="single" w:sz="8" w:color="auto"/>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IFRS 16 Leases</w:t>
            </w:r>
          </w:p>
        </w:tc>
        <w:tc>
          <w:tcPr>
            <w:tcW w:w="102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Jan 2016</w:t>
            </w:r>
          </w:p>
        </w:tc>
        <w:tc>
          <w:tcPr>
            <w:tcW w:w="3300" w:type="dxa"/>
            <w:vAlign w:val="bottom"/>
            <w:tcBorders>
              <w:top w:val="single" w:sz="8" w:color="auto"/>
              <w:right w:val="single" w:sz="8" w:color="auto"/>
            </w:tcBorders>
            <w:gridSpan w:val="5"/>
            <w:shd w:val="clear" w:color="auto" w:fill="C6D9F1"/>
          </w:tcPr>
          <w:p>
            <w:pPr>
              <w:ind w:left="40"/>
              <w:spacing w:after="0"/>
              <w:rPr>
                <w:sz w:val="20"/>
                <w:szCs w:val="20"/>
                <w:color w:val="auto"/>
              </w:rPr>
            </w:pPr>
            <w:r>
              <w:rPr>
                <w:rFonts w:ascii="Arial" w:cs="Arial" w:eastAsia="Arial" w:hAnsi="Arial"/>
                <w:sz w:val="18"/>
                <w:szCs w:val="18"/>
                <w:color w:val="auto"/>
              </w:rPr>
              <w:t>Effective for annual periods beginning</w:t>
            </w:r>
          </w:p>
        </w:tc>
        <w:tc>
          <w:tcPr>
            <w:tcW w:w="284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i w:val="1"/>
                <w:iCs w:val="1"/>
                <w:color w:val="auto"/>
              </w:rPr>
              <w:t>Jan 1. 2019</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gridSpan w:val="5"/>
            <w:shd w:val="clear" w:color="auto" w:fill="C6D9F1"/>
          </w:tcPr>
          <w:p>
            <w:pPr>
              <w:ind w:left="40"/>
              <w:spacing w:after="0" w:line="202" w:lineRule="exact"/>
              <w:rPr>
                <w:sz w:val="20"/>
                <w:szCs w:val="20"/>
                <w:color w:val="auto"/>
              </w:rPr>
            </w:pPr>
            <w:r>
              <w:rPr>
                <w:rFonts w:ascii="Arial" w:cs="Arial" w:eastAsia="Arial" w:hAnsi="Arial"/>
                <w:sz w:val="18"/>
                <w:szCs w:val="18"/>
                <w:color w:val="auto"/>
              </w:rPr>
              <w:t>on or after 1 January 2019 (subject to</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60" w:type="dxa"/>
            <w:vAlign w:val="bottom"/>
            <w:tcBorders>
              <w:left w:val="single" w:sz="8" w:color="auto"/>
              <w:right w:val="single" w:sz="8" w:color="auto"/>
            </w:tcBorders>
            <w:shd w:val="clear" w:color="auto" w:fill="C6D9F1"/>
          </w:tcPr>
          <w:p>
            <w:pPr>
              <w:spacing w:after="0"/>
              <w:rPr>
                <w:sz w:val="18"/>
                <w:szCs w:val="18"/>
                <w:color w:val="auto"/>
              </w:rPr>
            </w:pPr>
          </w:p>
        </w:tc>
        <w:tc>
          <w:tcPr>
            <w:tcW w:w="1020" w:type="dxa"/>
            <w:vAlign w:val="bottom"/>
            <w:tcBorders>
              <w:right w:val="single" w:sz="8" w:color="auto"/>
            </w:tcBorders>
            <w:shd w:val="clear" w:color="auto" w:fill="C6D9F1"/>
          </w:tcPr>
          <w:p>
            <w:pPr>
              <w:spacing w:after="0"/>
              <w:rPr>
                <w:sz w:val="18"/>
                <w:szCs w:val="18"/>
                <w:color w:val="auto"/>
              </w:rPr>
            </w:pPr>
          </w:p>
        </w:tc>
        <w:tc>
          <w:tcPr>
            <w:tcW w:w="1720" w:type="dxa"/>
            <w:vAlign w:val="bottom"/>
            <w:gridSpan w:val="3"/>
            <w:shd w:val="clear" w:color="auto" w:fill="C6D9F1"/>
          </w:tcPr>
          <w:p>
            <w:pPr>
              <w:ind w:left="40"/>
              <w:spacing w:after="0"/>
              <w:rPr>
                <w:sz w:val="20"/>
                <w:szCs w:val="20"/>
                <w:color w:val="auto"/>
              </w:rPr>
            </w:pPr>
            <w:r>
              <w:rPr>
                <w:rFonts w:ascii="Arial" w:cs="Arial" w:eastAsia="Arial" w:hAnsi="Arial"/>
                <w:sz w:val="18"/>
                <w:szCs w:val="18"/>
                <w:color w:val="auto"/>
              </w:rPr>
              <w:t>EU endorsement)</w:t>
            </w:r>
          </w:p>
        </w:tc>
        <w:tc>
          <w:tcPr>
            <w:tcW w:w="880" w:type="dxa"/>
            <w:vAlign w:val="bottom"/>
            <w:shd w:val="clear" w:color="auto" w:fill="C6D9F1"/>
          </w:tcPr>
          <w:p>
            <w:pPr>
              <w:spacing w:after="0"/>
              <w:rPr>
                <w:sz w:val="18"/>
                <w:szCs w:val="18"/>
                <w:color w:val="auto"/>
              </w:rPr>
            </w:pPr>
          </w:p>
        </w:tc>
        <w:tc>
          <w:tcPr>
            <w:tcW w:w="700" w:type="dxa"/>
            <w:vAlign w:val="bottom"/>
            <w:tcBorders>
              <w:right w:val="single" w:sz="8" w:color="auto"/>
            </w:tcBorders>
            <w:shd w:val="clear" w:color="auto" w:fill="C6D9F1"/>
          </w:tcPr>
          <w:p>
            <w:pPr>
              <w:spacing w:after="0"/>
              <w:rPr>
                <w:sz w:val="18"/>
                <w:szCs w:val="18"/>
                <w:color w:val="auto"/>
              </w:rPr>
            </w:pPr>
          </w:p>
        </w:tc>
        <w:tc>
          <w:tcPr>
            <w:tcW w:w="2840" w:type="dxa"/>
            <w:vAlign w:val="bottom"/>
            <w:tcBorders>
              <w:right w:val="single" w:sz="8" w:color="auto"/>
            </w:tcBorders>
            <w:shd w:val="clear" w:color="auto" w:fill="C6D9F1"/>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260" w:type="dxa"/>
            <w:vAlign w:val="bottom"/>
            <w:tcBorders>
              <w:left w:val="single" w:sz="8" w:color="auto"/>
              <w:right w:val="single" w:sz="8" w:color="auto"/>
            </w:tcBorders>
            <w:shd w:val="clear" w:color="auto" w:fill="C6D9F1"/>
          </w:tcPr>
          <w:p>
            <w:pPr>
              <w:spacing w:after="0"/>
              <w:rPr>
                <w:sz w:val="24"/>
                <w:szCs w:val="24"/>
                <w:color w:val="auto"/>
              </w:rPr>
            </w:pPr>
          </w:p>
        </w:tc>
        <w:tc>
          <w:tcPr>
            <w:tcW w:w="1020" w:type="dxa"/>
            <w:vAlign w:val="bottom"/>
            <w:tcBorders>
              <w:right w:val="single" w:sz="8" w:color="auto"/>
            </w:tcBorders>
            <w:shd w:val="clear" w:color="auto" w:fill="C6D9F1"/>
          </w:tcPr>
          <w:p>
            <w:pPr>
              <w:spacing w:after="0"/>
              <w:rPr>
                <w:sz w:val="24"/>
                <w:szCs w:val="24"/>
                <w:color w:val="auto"/>
              </w:rPr>
            </w:pPr>
          </w:p>
        </w:tc>
        <w:tc>
          <w:tcPr>
            <w:tcW w:w="3300" w:type="dxa"/>
            <w:vAlign w:val="bottom"/>
            <w:tcBorders>
              <w:right w:val="single" w:sz="8" w:color="auto"/>
            </w:tcBorders>
            <w:gridSpan w:val="5"/>
            <w:shd w:val="clear" w:color="auto" w:fill="C6D9F1"/>
          </w:tcPr>
          <w:p>
            <w:pPr>
              <w:ind w:left="40"/>
              <w:spacing w:after="0"/>
              <w:rPr>
                <w:sz w:val="20"/>
                <w:szCs w:val="20"/>
                <w:color w:val="auto"/>
              </w:rPr>
            </w:pPr>
            <w:r>
              <w:rPr>
                <w:rFonts w:ascii="Arial" w:cs="Arial" w:eastAsia="Arial" w:hAnsi="Arial"/>
                <w:sz w:val="18"/>
                <w:szCs w:val="18"/>
                <w:color w:val="auto"/>
              </w:rPr>
              <w:t>Effective for annual period beginning on</w:t>
            </w:r>
          </w:p>
        </w:tc>
        <w:tc>
          <w:tcPr>
            <w:tcW w:w="2840" w:type="dxa"/>
            <w:vAlign w:val="bottom"/>
            <w:tcBorders>
              <w:right w:val="single" w:sz="8" w:color="auto"/>
            </w:tcBorders>
            <w:shd w:val="clear" w:color="auto" w:fill="C6D9F1"/>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gridSpan w:val="5"/>
            <w:shd w:val="clear" w:color="auto" w:fill="C6D9F1"/>
          </w:tcPr>
          <w:p>
            <w:pPr>
              <w:ind w:left="40"/>
              <w:spacing w:after="0" w:line="202" w:lineRule="exact"/>
              <w:rPr>
                <w:sz w:val="20"/>
                <w:szCs w:val="20"/>
                <w:color w:val="auto"/>
              </w:rPr>
            </w:pPr>
            <w:r>
              <w:rPr>
                <w:rFonts w:ascii="Arial" w:cs="Arial" w:eastAsia="Arial" w:hAnsi="Arial"/>
                <w:sz w:val="18"/>
                <w:szCs w:val="18"/>
                <w:color w:val="auto"/>
              </w:rPr>
              <w:t>or  after  January  1,  2019.  Earlier</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right w:val="single" w:sz="8" w:color="auto"/>
            </w:tcBorders>
            <w:shd w:val="clear" w:color="auto" w:fill="C6D9F1"/>
          </w:tcPr>
          <w:p>
            <w:pPr>
              <w:spacing w:after="0"/>
              <w:rPr>
                <w:sz w:val="17"/>
                <w:szCs w:val="17"/>
                <w:color w:val="auto"/>
              </w:rPr>
            </w:pPr>
          </w:p>
        </w:tc>
        <w:tc>
          <w:tcPr>
            <w:tcW w:w="1020" w:type="dxa"/>
            <w:vAlign w:val="bottom"/>
            <w:tcBorders>
              <w:right w:val="single" w:sz="8" w:color="auto"/>
            </w:tcBorders>
            <w:shd w:val="clear" w:color="auto" w:fill="C6D9F1"/>
          </w:tcPr>
          <w:p>
            <w:pPr>
              <w:spacing w:after="0"/>
              <w:rPr>
                <w:sz w:val="17"/>
                <w:szCs w:val="17"/>
                <w:color w:val="auto"/>
              </w:rPr>
            </w:pPr>
          </w:p>
        </w:tc>
        <w:tc>
          <w:tcPr>
            <w:tcW w:w="3300" w:type="dxa"/>
            <w:vAlign w:val="bottom"/>
            <w:tcBorders>
              <w:right w:val="single" w:sz="8" w:color="auto"/>
            </w:tcBorders>
            <w:gridSpan w:val="5"/>
            <w:shd w:val="clear" w:color="auto" w:fill="C6D9F1"/>
          </w:tcPr>
          <w:p>
            <w:pPr>
              <w:ind w:left="40"/>
              <w:spacing w:after="0" w:line="202" w:lineRule="exact"/>
              <w:rPr>
                <w:sz w:val="20"/>
                <w:szCs w:val="20"/>
                <w:color w:val="auto"/>
              </w:rPr>
            </w:pPr>
            <w:r>
              <w:rPr>
                <w:rFonts w:ascii="Arial" w:cs="Arial" w:eastAsia="Arial" w:hAnsi="Arial"/>
                <w:sz w:val="18"/>
                <w:szCs w:val="18"/>
                <w:color w:val="auto"/>
              </w:rPr>
              <w:t>application is permitted if IFRS 15 has</w:t>
            </w:r>
          </w:p>
        </w:tc>
        <w:tc>
          <w:tcPr>
            <w:tcW w:w="284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60" w:type="dxa"/>
            <w:vAlign w:val="bottom"/>
            <w:tcBorders>
              <w:left w:val="single" w:sz="8" w:color="auto"/>
              <w:right w:val="single" w:sz="8" w:color="auto"/>
            </w:tcBorders>
            <w:shd w:val="clear" w:color="auto" w:fill="C6D9F1"/>
          </w:tcPr>
          <w:p>
            <w:pPr>
              <w:spacing w:after="0"/>
              <w:rPr>
                <w:sz w:val="18"/>
                <w:szCs w:val="18"/>
                <w:color w:val="auto"/>
              </w:rPr>
            </w:pPr>
          </w:p>
        </w:tc>
        <w:tc>
          <w:tcPr>
            <w:tcW w:w="1020" w:type="dxa"/>
            <w:vAlign w:val="bottom"/>
            <w:tcBorders>
              <w:right w:val="single" w:sz="8" w:color="auto"/>
            </w:tcBorders>
            <w:shd w:val="clear" w:color="auto" w:fill="C6D9F1"/>
          </w:tcPr>
          <w:p>
            <w:pPr>
              <w:spacing w:after="0"/>
              <w:rPr>
                <w:sz w:val="18"/>
                <w:szCs w:val="18"/>
                <w:color w:val="auto"/>
              </w:rPr>
            </w:pPr>
          </w:p>
        </w:tc>
        <w:tc>
          <w:tcPr>
            <w:tcW w:w="1720" w:type="dxa"/>
            <w:vAlign w:val="bottom"/>
            <w:gridSpan w:val="3"/>
            <w:shd w:val="clear" w:color="auto" w:fill="C6D9F1"/>
          </w:tcPr>
          <w:p>
            <w:pPr>
              <w:ind w:left="40"/>
              <w:spacing w:after="0"/>
              <w:rPr>
                <w:sz w:val="20"/>
                <w:szCs w:val="20"/>
                <w:color w:val="auto"/>
              </w:rPr>
            </w:pPr>
            <w:r>
              <w:rPr>
                <w:rFonts w:ascii="Arial" w:cs="Arial" w:eastAsia="Arial" w:hAnsi="Arial"/>
                <w:sz w:val="18"/>
                <w:szCs w:val="18"/>
                <w:color w:val="auto"/>
              </w:rPr>
              <w:t>also been applied.</w:t>
            </w:r>
          </w:p>
        </w:tc>
        <w:tc>
          <w:tcPr>
            <w:tcW w:w="880" w:type="dxa"/>
            <w:vAlign w:val="bottom"/>
            <w:shd w:val="clear" w:color="auto" w:fill="C6D9F1"/>
          </w:tcPr>
          <w:p>
            <w:pPr>
              <w:spacing w:after="0"/>
              <w:rPr>
                <w:sz w:val="18"/>
                <w:szCs w:val="18"/>
                <w:color w:val="auto"/>
              </w:rPr>
            </w:pPr>
          </w:p>
        </w:tc>
        <w:tc>
          <w:tcPr>
            <w:tcW w:w="700" w:type="dxa"/>
            <w:vAlign w:val="bottom"/>
            <w:tcBorders>
              <w:right w:val="single" w:sz="8" w:color="auto"/>
            </w:tcBorders>
            <w:shd w:val="clear" w:color="auto" w:fill="C6D9F1"/>
          </w:tcPr>
          <w:p>
            <w:pPr>
              <w:spacing w:after="0"/>
              <w:rPr>
                <w:sz w:val="18"/>
                <w:szCs w:val="18"/>
                <w:color w:val="auto"/>
              </w:rPr>
            </w:pPr>
          </w:p>
        </w:tc>
        <w:tc>
          <w:tcPr>
            <w:tcW w:w="2840" w:type="dxa"/>
            <w:vAlign w:val="bottom"/>
            <w:tcBorders>
              <w:right w:val="single" w:sz="8" w:color="auto"/>
            </w:tcBorders>
            <w:shd w:val="clear" w:color="auto" w:fill="C6D9F1"/>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60" w:type="dxa"/>
            <w:vAlign w:val="bottom"/>
            <w:tcBorders>
              <w:left w:val="single" w:sz="8" w:color="auto"/>
              <w:bottom w:val="single" w:sz="8" w:color="auto"/>
              <w:right w:val="single" w:sz="8" w:color="auto"/>
            </w:tcBorders>
            <w:shd w:val="clear" w:color="auto" w:fill="C6D9F1"/>
          </w:tcPr>
          <w:p>
            <w:pPr>
              <w:spacing w:after="0"/>
              <w:rPr>
                <w:sz w:val="21"/>
                <w:szCs w:val="21"/>
                <w:color w:val="auto"/>
              </w:rPr>
            </w:pPr>
          </w:p>
        </w:tc>
        <w:tc>
          <w:tcPr>
            <w:tcW w:w="1020" w:type="dxa"/>
            <w:vAlign w:val="bottom"/>
            <w:tcBorders>
              <w:bottom w:val="single" w:sz="8" w:color="auto"/>
              <w:right w:val="single" w:sz="8" w:color="auto"/>
            </w:tcBorders>
            <w:shd w:val="clear" w:color="auto" w:fill="C6D9F1"/>
          </w:tcPr>
          <w:p>
            <w:pPr>
              <w:spacing w:after="0"/>
              <w:rPr>
                <w:sz w:val="21"/>
                <w:szCs w:val="21"/>
                <w:color w:val="auto"/>
              </w:rPr>
            </w:pPr>
          </w:p>
        </w:tc>
        <w:tc>
          <w:tcPr>
            <w:tcW w:w="420" w:type="dxa"/>
            <w:vAlign w:val="bottom"/>
            <w:tcBorders>
              <w:bottom w:val="single" w:sz="8" w:color="auto"/>
            </w:tcBorders>
            <w:shd w:val="clear" w:color="auto" w:fill="C6D9F1"/>
          </w:tcPr>
          <w:p>
            <w:pPr>
              <w:spacing w:after="0"/>
              <w:rPr>
                <w:sz w:val="21"/>
                <w:szCs w:val="21"/>
                <w:color w:val="auto"/>
              </w:rPr>
            </w:pPr>
          </w:p>
        </w:tc>
        <w:tc>
          <w:tcPr>
            <w:tcW w:w="720" w:type="dxa"/>
            <w:vAlign w:val="bottom"/>
            <w:tcBorders>
              <w:bottom w:val="single" w:sz="8" w:color="auto"/>
            </w:tcBorders>
            <w:shd w:val="clear" w:color="auto" w:fill="C6D9F1"/>
          </w:tcPr>
          <w:p>
            <w:pPr>
              <w:spacing w:after="0"/>
              <w:rPr>
                <w:sz w:val="21"/>
                <w:szCs w:val="21"/>
                <w:color w:val="auto"/>
              </w:rPr>
            </w:pPr>
          </w:p>
        </w:tc>
        <w:tc>
          <w:tcPr>
            <w:tcW w:w="580" w:type="dxa"/>
            <w:vAlign w:val="bottom"/>
            <w:tcBorders>
              <w:bottom w:val="single" w:sz="8" w:color="auto"/>
            </w:tcBorders>
            <w:shd w:val="clear" w:color="auto" w:fill="C6D9F1"/>
          </w:tcPr>
          <w:p>
            <w:pPr>
              <w:spacing w:after="0"/>
              <w:rPr>
                <w:sz w:val="21"/>
                <w:szCs w:val="21"/>
                <w:color w:val="auto"/>
              </w:rPr>
            </w:pPr>
          </w:p>
        </w:tc>
        <w:tc>
          <w:tcPr>
            <w:tcW w:w="880" w:type="dxa"/>
            <w:vAlign w:val="bottom"/>
            <w:tcBorders>
              <w:bottom w:val="single" w:sz="8" w:color="auto"/>
            </w:tcBorders>
            <w:shd w:val="clear" w:color="auto" w:fill="C6D9F1"/>
          </w:tcPr>
          <w:p>
            <w:pPr>
              <w:spacing w:after="0"/>
              <w:rPr>
                <w:sz w:val="21"/>
                <w:szCs w:val="21"/>
                <w:color w:val="auto"/>
              </w:rPr>
            </w:pPr>
          </w:p>
        </w:tc>
        <w:tc>
          <w:tcPr>
            <w:tcW w:w="700" w:type="dxa"/>
            <w:vAlign w:val="bottom"/>
            <w:tcBorders>
              <w:bottom w:val="single" w:sz="8" w:color="auto"/>
              <w:right w:val="single" w:sz="8" w:color="auto"/>
            </w:tcBorders>
            <w:shd w:val="clear" w:color="auto" w:fill="C6D9F1"/>
          </w:tcPr>
          <w:p>
            <w:pPr>
              <w:spacing w:after="0"/>
              <w:rPr>
                <w:sz w:val="21"/>
                <w:szCs w:val="21"/>
                <w:color w:val="auto"/>
              </w:rPr>
            </w:pPr>
          </w:p>
        </w:tc>
        <w:tc>
          <w:tcPr>
            <w:tcW w:w="2840" w:type="dxa"/>
            <w:vAlign w:val="bottom"/>
            <w:tcBorders>
              <w:bottom w:val="single" w:sz="8" w:color="auto"/>
              <w:right w:val="single" w:sz="8" w:color="auto"/>
            </w:tcBorders>
            <w:shd w:val="clear" w:color="auto" w:fill="C6D9F1"/>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4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ind w:left="25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59"/>
        </w:trPr>
        <w:tc>
          <w:tcPr>
            <w:tcW w:w="4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-307975</wp:posOffset>
            </wp:positionV>
            <wp:extent cx="1260475"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60475" cy="274320"/>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47"/>
        </w:trPr>
        <w:tc>
          <w:tcPr>
            <w:tcW w:w="4260" w:type="dxa"/>
            <w:vAlign w:val="bottom"/>
            <w:tcBorders>
              <w:top w:val="single" w:sz="8" w:color="auto"/>
              <w:left w:val="single" w:sz="8" w:color="auto"/>
              <w:right w:val="single" w:sz="8" w:color="auto"/>
            </w:tcBorders>
            <w:shd w:val="clear" w:color="auto" w:fill="8DB3E2"/>
          </w:tcPr>
          <w:p>
            <w:pPr>
              <w:ind w:left="80"/>
              <w:spacing w:after="0"/>
              <w:rPr>
                <w:sz w:val="20"/>
                <w:szCs w:val="20"/>
                <w:color w:val="auto"/>
              </w:rPr>
            </w:pPr>
            <w:r>
              <w:rPr>
                <w:rFonts w:ascii="Arial" w:cs="Arial" w:eastAsia="Arial" w:hAnsi="Arial"/>
                <w:sz w:val="18"/>
                <w:szCs w:val="18"/>
                <w:b w:val="1"/>
                <w:bCs w:val="1"/>
                <w:color w:val="auto"/>
              </w:rPr>
              <w:t>Recently released Standards/ Interpretations</w:t>
            </w:r>
          </w:p>
        </w:tc>
        <w:tc>
          <w:tcPr>
            <w:tcW w:w="1020" w:type="dxa"/>
            <w:vAlign w:val="bottom"/>
            <w:tcBorders>
              <w:top w:val="single" w:sz="8" w:color="auto"/>
              <w:right w:val="single" w:sz="8" w:color="auto"/>
            </w:tcBorders>
            <w:shd w:val="clear" w:color="auto" w:fill="8DB3E2"/>
          </w:tcPr>
          <w:p>
            <w:pPr>
              <w:ind w:left="40"/>
              <w:spacing w:after="0"/>
              <w:rPr>
                <w:sz w:val="20"/>
                <w:szCs w:val="20"/>
                <w:color w:val="auto"/>
              </w:rPr>
            </w:pPr>
            <w:r>
              <w:rPr>
                <w:rFonts w:ascii="Arial" w:cs="Arial" w:eastAsia="Arial" w:hAnsi="Arial"/>
                <w:sz w:val="18"/>
                <w:szCs w:val="18"/>
                <w:b w:val="1"/>
                <w:bCs w:val="1"/>
                <w:color w:val="auto"/>
              </w:rPr>
              <w:t>Date</w:t>
            </w:r>
          </w:p>
        </w:tc>
        <w:tc>
          <w:tcPr>
            <w:tcW w:w="3300" w:type="dxa"/>
            <w:vAlign w:val="bottom"/>
            <w:tcBorders>
              <w:top w:val="single" w:sz="8" w:color="auto"/>
              <w:right w:val="single" w:sz="8" w:color="auto"/>
            </w:tcBorders>
            <w:shd w:val="clear" w:color="auto" w:fill="8DB3E2"/>
          </w:tcPr>
          <w:p>
            <w:pPr>
              <w:ind w:left="40"/>
              <w:spacing w:after="0"/>
              <w:rPr>
                <w:sz w:val="20"/>
                <w:szCs w:val="20"/>
                <w:color w:val="auto"/>
              </w:rPr>
            </w:pPr>
            <w:r>
              <w:rPr>
                <w:rFonts w:ascii="Arial" w:cs="Arial" w:eastAsia="Arial" w:hAnsi="Arial"/>
                <w:sz w:val="18"/>
                <w:szCs w:val="18"/>
                <w:b w:val="1"/>
                <w:bCs w:val="1"/>
                <w:color w:val="auto"/>
              </w:rPr>
              <w:t>Effective date (mostly annual</w:t>
            </w:r>
          </w:p>
        </w:tc>
        <w:tc>
          <w:tcPr>
            <w:tcW w:w="2840" w:type="dxa"/>
            <w:vAlign w:val="bottom"/>
            <w:tcBorders>
              <w:top w:val="single" w:sz="8" w:color="auto"/>
              <w:right w:val="single" w:sz="8" w:color="auto"/>
            </w:tcBorders>
            <w:shd w:val="clear" w:color="auto" w:fill="8DB3E2"/>
          </w:tcPr>
          <w:p>
            <w:pPr>
              <w:ind w:left="40"/>
              <w:spacing w:after="0"/>
              <w:rPr>
                <w:sz w:val="20"/>
                <w:szCs w:val="20"/>
                <w:color w:val="auto"/>
              </w:rPr>
            </w:pPr>
            <w:r>
              <w:rPr>
                <w:rFonts w:ascii="Arial" w:cs="Arial" w:eastAsia="Arial" w:hAnsi="Arial"/>
                <w:sz w:val="18"/>
                <w:szCs w:val="18"/>
                <w:b w:val="1"/>
                <w:bCs w:val="1"/>
                <w:color w:val="auto"/>
              </w:rPr>
              <w:t>Planned application by AC</w:t>
            </w:r>
          </w:p>
        </w:tc>
      </w:tr>
      <w:tr>
        <w:trPr>
          <w:trHeight w:val="203"/>
        </w:trPr>
        <w:tc>
          <w:tcPr>
            <w:tcW w:w="4260" w:type="dxa"/>
            <w:vAlign w:val="bottom"/>
            <w:tcBorders>
              <w:left w:val="single" w:sz="8" w:color="auto"/>
              <w:right w:val="single" w:sz="8" w:color="auto"/>
            </w:tcBorders>
            <w:shd w:val="clear" w:color="auto" w:fill="8DB3E2"/>
          </w:tcPr>
          <w:p>
            <w:pPr>
              <w:spacing w:after="0"/>
              <w:rPr>
                <w:sz w:val="17"/>
                <w:szCs w:val="17"/>
                <w:color w:val="auto"/>
              </w:rPr>
            </w:pPr>
          </w:p>
        </w:tc>
        <w:tc>
          <w:tcPr>
            <w:tcW w:w="1020" w:type="dxa"/>
            <w:vAlign w:val="bottom"/>
            <w:tcBorders>
              <w:right w:val="single" w:sz="8" w:color="auto"/>
            </w:tcBorders>
            <w:shd w:val="clear" w:color="auto" w:fill="8DB3E2"/>
          </w:tcPr>
          <w:p>
            <w:pPr>
              <w:ind w:left="40"/>
              <w:spacing w:after="0" w:line="202" w:lineRule="exact"/>
              <w:rPr>
                <w:sz w:val="20"/>
                <w:szCs w:val="20"/>
                <w:color w:val="auto"/>
              </w:rPr>
            </w:pPr>
            <w:r>
              <w:rPr>
                <w:rFonts w:ascii="Arial" w:cs="Arial" w:eastAsia="Arial" w:hAnsi="Arial"/>
                <w:sz w:val="18"/>
                <w:szCs w:val="18"/>
                <w:b w:val="1"/>
                <w:bCs w:val="1"/>
                <w:color w:val="auto"/>
              </w:rPr>
              <w:t>Issued</w:t>
            </w:r>
          </w:p>
        </w:tc>
        <w:tc>
          <w:tcPr>
            <w:tcW w:w="3300" w:type="dxa"/>
            <w:vAlign w:val="bottom"/>
            <w:tcBorders>
              <w:right w:val="single" w:sz="8" w:color="auto"/>
            </w:tcBorders>
            <w:shd w:val="clear" w:color="auto" w:fill="8DB3E2"/>
          </w:tcPr>
          <w:p>
            <w:pPr>
              <w:ind w:left="40"/>
              <w:spacing w:after="0" w:line="202" w:lineRule="exact"/>
              <w:rPr>
                <w:sz w:val="20"/>
                <w:szCs w:val="20"/>
                <w:color w:val="auto"/>
              </w:rPr>
            </w:pPr>
            <w:r>
              <w:rPr>
                <w:rFonts w:ascii="Arial" w:cs="Arial" w:eastAsia="Arial" w:hAnsi="Arial"/>
                <w:sz w:val="18"/>
                <w:szCs w:val="18"/>
                <w:b w:val="1"/>
                <w:bCs w:val="1"/>
                <w:color w:val="auto"/>
              </w:rPr>
              <w:t>periods beginning on or after) Early</w:t>
            </w:r>
          </w:p>
        </w:tc>
        <w:tc>
          <w:tcPr>
            <w:tcW w:w="2840" w:type="dxa"/>
            <w:vAlign w:val="bottom"/>
            <w:tcBorders>
              <w:right w:val="single" w:sz="8" w:color="auto"/>
            </w:tcBorders>
            <w:shd w:val="clear" w:color="auto" w:fill="8DB3E2"/>
          </w:tcPr>
          <w:p>
            <w:pPr>
              <w:ind w:left="40"/>
              <w:spacing w:after="0" w:line="202" w:lineRule="exact"/>
              <w:rPr>
                <w:sz w:val="20"/>
                <w:szCs w:val="20"/>
                <w:color w:val="auto"/>
              </w:rPr>
            </w:pPr>
            <w:r>
              <w:rPr>
                <w:rFonts w:ascii="Arial" w:cs="Arial" w:eastAsia="Arial" w:hAnsi="Arial"/>
                <w:sz w:val="18"/>
                <w:szCs w:val="18"/>
                <w:b w:val="1"/>
                <w:bCs w:val="1"/>
                <w:color w:val="auto"/>
              </w:rPr>
              <w:t>Immune</w:t>
            </w:r>
          </w:p>
        </w:tc>
      </w:tr>
      <w:tr>
        <w:trPr>
          <w:trHeight w:val="284"/>
        </w:trPr>
        <w:tc>
          <w:tcPr>
            <w:tcW w:w="4260" w:type="dxa"/>
            <w:vAlign w:val="bottom"/>
            <w:tcBorders>
              <w:left w:val="single" w:sz="8" w:color="auto"/>
              <w:bottom w:val="single" w:sz="8" w:color="8DB3E2"/>
              <w:right w:val="single" w:sz="8" w:color="auto"/>
            </w:tcBorders>
            <w:shd w:val="clear" w:color="auto" w:fill="8DB3E2"/>
          </w:tcPr>
          <w:p>
            <w:pPr>
              <w:spacing w:after="0"/>
              <w:rPr>
                <w:sz w:val="24"/>
                <w:szCs w:val="24"/>
                <w:color w:val="auto"/>
              </w:rPr>
            </w:pPr>
          </w:p>
        </w:tc>
        <w:tc>
          <w:tcPr>
            <w:tcW w:w="1020" w:type="dxa"/>
            <w:vAlign w:val="bottom"/>
            <w:tcBorders>
              <w:bottom w:val="single" w:sz="8" w:color="8DB3E2"/>
              <w:right w:val="single" w:sz="8" w:color="auto"/>
            </w:tcBorders>
            <w:shd w:val="clear" w:color="auto" w:fill="8DB3E2"/>
          </w:tcPr>
          <w:p>
            <w:pPr>
              <w:spacing w:after="0"/>
              <w:rPr>
                <w:sz w:val="24"/>
                <w:szCs w:val="24"/>
                <w:color w:val="auto"/>
              </w:rPr>
            </w:pPr>
          </w:p>
        </w:tc>
        <w:tc>
          <w:tcPr>
            <w:tcW w:w="3300" w:type="dxa"/>
            <w:vAlign w:val="bottom"/>
            <w:tcBorders>
              <w:bottom w:val="single" w:sz="8" w:color="8DB3E2"/>
              <w:right w:val="single" w:sz="8" w:color="auto"/>
            </w:tcBorders>
            <w:shd w:val="clear" w:color="auto" w:fill="8DB3E2"/>
          </w:tcPr>
          <w:p>
            <w:pPr>
              <w:ind w:left="40"/>
              <w:spacing w:after="0"/>
              <w:rPr>
                <w:sz w:val="20"/>
                <w:szCs w:val="20"/>
                <w:color w:val="auto"/>
              </w:rPr>
            </w:pPr>
            <w:r>
              <w:rPr>
                <w:rFonts w:ascii="Arial" w:cs="Arial" w:eastAsia="Arial" w:hAnsi="Arial"/>
                <w:sz w:val="18"/>
                <w:szCs w:val="18"/>
                <w:b w:val="1"/>
                <w:bCs w:val="1"/>
                <w:color w:val="auto"/>
              </w:rPr>
              <w:t>adoption is often permitted</w:t>
            </w:r>
          </w:p>
        </w:tc>
        <w:tc>
          <w:tcPr>
            <w:tcW w:w="2840" w:type="dxa"/>
            <w:vAlign w:val="bottom"/>
            <w:tcBorders>
              <w:bottom w:val="single" w:sz="8" w:color="8DB3E2"/>
              <w:right w:val="single" w:sz="8" w:color="auto"/>
            </w:tcBorders>
            <w:shd w:val="clear" w:color="auto" w:fill="8DB3E2"/>
          </w:tcPr>
          <w:p>
            <w:pPr>
              <w:spacing w:after="0"/>
              <w:rPr>
                <w:sz w:val="24"/>
                <w:szCs w:val="24"/>
                <w:color w:val="auto"/>
              </w:rPr>
            </w:pPr>
          </w:p>
        </w:tc>
      </w:tr>
      <w:tr>
        <w:trPr>
          <w:trHeight w:val="249"/>
        </w:trPr>
        <w:tc>
          <w:tcPr>
            <w:tcW w:w="4260" w:type="dxa"/>
            <w:vAlign w:val="bottom"/>
            <w:tcBorders>
              <w:top w:val="single" w:sz="8" w:color="auto"/>
              <w:left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Annual Improvements 2012-2014 Cycle (IAS 12</w:t>
            </w:r>
          </w:p>
        </w:tc>
        <w:tc>
          <w:tcPr>
            <w:tcW w:w="102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Jan 2016</w:t>
            </w:r>
          </w:p>
        </w:tc>
        <w:tc>
          <w:tcPr>
            <w:tcW w:w="330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Effective for annual period beginning on</w:t>
            </w:r>
          </w:p>
        </w:tc>
        <w:tc>
          <w:tcPr>
            <w:tcW w:w="2840" w:type="dxa"/>
            <w:vAlign w:val="bottom"/>
            <w:tcBorders>
              <w:top w:val="single" w:sz="8" w:color="auto"/>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Jan 1. 2017</w:t>
            </w:r>
          </w:p>
        </w:tc>
      </w:tr>
      <w:tr>
        <w:trPr>
          <w:trHeight w:val="237"/>
        </w:trPr>
        <w:tc>
          <w:tcPr>
            <w:tcW w:w="4260" w:type="dxa"/>
            <w:vAlign w:val="bottom"/>
            <w:tcBorders>
              <w:left w:val="single" w:sz="8" w:color="auto"/>
              <w:bottom w:val="single" w:sz="8" w:color="C6D9F1"/>
              <w:right w:val="single" w:sz="8" w:color="auto"/>
            </w:tcBorders>
            <w:shd w:val="clear" w:color="auto" w:fill="C6D9F1"/>
          </w:tcPr>
          <w:p>
            <w:pPr>
              <w:ind w:left="80"/>
              <w:spacing w:after="0"/>
              <w:rPr>
                <w:sz w:val="20"/>
                <w:szCs w:val="20"/>
                <w:color w:val="auto"/>
              </w:rPr>
            </w:pPr>
            <w:r>
              <w:rPr>
                <w:rFonts w:ascii="Arial" w:cs="Arial" w:eastAsia="Arial" w:hAnsi="Arial"/>
                <w:sz w:val="18"/>
                <w:szCs w:val="18"/>
                <w:color w:val="auto"/>
              </w:rPr>
              <w:t>Income Taxes)</w:t>
            </w:r>
          </w:p>
        </w:tc>
        <w:tc>
          <w:tcPr>
            <w:tcW w:w="1020" w:type="dxa"/>
            <w:vAlign w:val="bottom"/>
            <w:tcBorders>
              <w:bottom w:val="single" w:sz="8" w:color="C6D9F1"/>
              <w:right w:val="single" w:sz="8" w:color="auto"/>
            </w:tcBorders>
            <w:shd w:val="clear" w:color="auto" w:fill="C6D9F1"/>
          </w:tcPr>
          <w:p>
            <w:pPr>
              <w:spacing w:after="0"/>
              <w:rPr>
                <w:sz w:val="20"/>
                <w:szCs w:val="20"/>
                <w:color w:val="auto"/>
              </w:rPr>
            </w:pPr>
          </w:p>
        </w:tc>
        <w:tc>
          <w:tcPr>
            <w:tcW w:w="3300" w:type="dxa"/>
            <w:vAlign w:val="bottom"/>
            <w:tcBorders>
              <w:bottom w:val="single" w:sz="8" w:color="C6D9F1"/>
              <w:right w:val="single" w:sz="8" w:color="auto"/>
            </w:tcBorders>
            <w:shd w:val="clear" w:color="auto" w:fill="C6D9F1"/>
          </w:tcPr>
          <w:p>
            <w:pPr>
              <w:ind w:left="40"/>
              <w:spacing w:after="0"/>
              <w:rPr>
                <w:sz w:val="20"/>
                <w:szCs w:val="20"/>
                <w:color w:val="auto"/>
              </w:rPr>
            </w:pPr>
            <w:r>
              <w:rPr>
                <w:rFonts w:ascii="Arial" w:cs="Arial" w:eastAsia="Arial" w:hAnsi="Arial"/>
                <w:sz w:val="18"/>
                <w:szCs w:val="18"/>
                <w:color w:val="auto"/>
              </w:rPr>
              <w:t>or after January 1, 2017.</w:t>
            </w:r>
          </w:p>
        </w:tc>
        <w:tc>
          <w:tcPr>
            <w:tcW w:w="2840" w:type="dxa"/>
            <w:vAlign w:val="bottom"/>
            <w:tcBorders>
              <w:bottom w:val="single" w:sz="8" w:color="C6D9F1"/>
              <w:right w:val="single" w:sz="8" w:color="auto"/>
            </w:tcBorders>
            <w:shd w:val="clear" w:color="auto" w:fill="C6D9F1"/>
          </w:tcPr>
          <w:p>
            <w:pPr>
              <w:spacing w:after="0"/>
              <w:rPr>
                <w:sz w:val="20"/>
                <w:szCs w:val="20"/>
                <w:color w:val="auto"/>
              </w:rPr>
            </w:pPr>
          </w:p>
        </w:tc>
      </w:tr>
      <w:tr>
        <w:trPr>
          <w:trHeight w:val="20"/>
        </w:trPr>
        <w:tc>
          <w:tcPr>
            <w:tcW w:w="4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3300" w:type="dxa"/>
            <w:vAlign w:val="bottom"/>
            <w:tcBorders>
              <w:right w:val="single" w:sz="8" w:color="auto"/>
            </w:tcBorders>
            <w:shd w:val="clear" w:color="auto" w:fill="000000"/>
          </w:tcPr>
          <w:p>
            <w:pPr>
              <w:spacing w:after="0" w:line="20" w:lineRule="exact"/>
              <w:rPr>
                <w:sz w:val="1"/>
                <w:szCs w:val="1"/>
                <w:color w:val="auto"/>
              </w:rPr>
            </w:pPr>
          </w:p>
        </w:tc>
        <w:tc>
          <w:tcPr>
            <w:tcW w:w="28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r>
              <w:rPr>
                <w:rFonts w:ascii="Arial" w:cs="Arial" w:eastAsia="Arial" w:hAnsi="Arial"/>
                <w:sz w:val="18"/>
                <w:szCs w:val="18"/>
                <w:b w:val="1"/>
                <w:bCs w:val="1"/>
                <w:color w:val="auto"/>
              </w:rPr>
              <w:t>4.  Property, plant and equipment</w:t>
            </w:r>
          </w:p>
        </w:tc>
        <w:tc>
          <w:tcPr>
            <w:tcW w:w="1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5040" w:type="dxa"/>
            <w:vAlign w:val="bottom"/>
          </w:tcPr>
          <w:p>
            <w:pPr>
              <w:ind w:left="240"/>
              <w:spacing w:after="0"/>
              <w:rPr>
                <w:sz w:val="20"/>
                <w:szCs w:val="20"/>
                <w:color w:val="auto"/>
              </w:rPr>
            </w:pPr>
            <w:r>
              <w:rPr>
                <w:rFonts w:ascii="Arial" w:cs="Arial" w:eastAsia="Arial" w:hAnsi="Arial"/>
                <w:sz w:val="18"/>
                <w:szCs w:val="18"/>
                <w:b w:val="1"/>
                <w:bCs w:val="1"/>
                <w:color w:val="auto"/>
              </w:rPr>
              <w:t>in CHF thousands</w:t>
            </w:r>
          </w:p>
        </w:tc>
        <w:tc>
          <w:tcPr>
            <w:tcW w:w="1720" w:type="dxa"/>
            <w:vAlign w:val="bottom"/>
          </w:tcPr>
          <w:p>
            <w:pPr>
              <w:jc w:val="right"/>
              <w:ind w:right="30"/>
              <w:spacing w:after="0"/>
              <w:rPr>
                <w:sz w:val="20"/>
                <w:szCs w:val="20"/>
                <w:color w:val="auto"/>
              </w:rPr>
            </w:pPr>
            <w:r>
              <w:rPr>
                <w:rFonts w:ascii="Arial" w:cs="Arial" w:eastAsia="Arial" w:hAnsi="Arial"/>
                <w:sz w:val="18"/>
                <w:szCs w:val="18"/>
                <w:b w:val="1"/>
                <w:bCs w:val="1"/>
                <w:color w:val="auto"/>
              </w:rPr>
              <w:t>Laboratory</w:t>
            </w: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IT</w:t>
            </w:r>
          </w:p>
        </w:tc>
        <w:tc>
          <w:tcPr>
            <w:tcW w:w="540" w:type="dxa"/>
            <w:vAlign w:val="bottom"/>
          </w:tcPr>
          <w:p>
            <w:pPr>
              <w:spacing w:after="0"/>
              <w:rPr>
                <w:sz w:val="24"/>
                <w:szCs w:val="24"/>
                <w:color w:val="auto"/>
              </w:rPr>
            </w:pPr>
          </w:p>
        </w:tc>
        <w:tc>
          <w:tcPr>
            <w:tcW w:w="186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Building</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Historical cost</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Equipment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Equipment</w:t>
            </w:r>
          </w:p>
        </w:tc>
        <w:tc>
          <w:tcPr>
            <w:tcW w:w="240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8"/>
                <w:szCs w:val="18"/>
                <w:b w:val="1"/>
                <w:bCs w:val="1"/>
                <w:color w:val="auto"/>
              </w:rPr>
              <w:t>and Furniture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40"/>
              <w:spacing w:after="0"/>
              <w:rPr>
                <w:sz w:val="20"/>
                <w:szCs w:val="20"/>
                <w:color w:val="auto"/>
              </w:rPr>
            </w:pPr>
            <w:r>
              <w:rPr>
                <w:rFonts w:ascii="Arial" w:cs="Arial" w:eastAsia="Arial" w:hAnsi="Arial"/>
                <w:sz w:val="18"/>
                <w:szCs w:val="18"/>
                <w:b w:val="1"/>
                <w:bCs w:val="1"/>
                <w:color w:val="auto"/>
              </w:rPr>
              <w:t>As of January 1, 2014</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1'741</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128</w:t>
            </w:r>
          </w:p>
        </w:tc>
        <w:tc>
          <w:tcPr>
            <w:tcW w:w="240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8"/>
                <w:szCs w:val="18"/>
                <w:b w:val="1"/>
                <w:bCs w:val="1"/>
                <w:color w:val="auto"/>
              </w:rPr>
              <w:t>136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173"/>
        </w:trPr>
        <w:tc>
          <w:tcPr>
            <w:tcW w:w="5040" w:type="dxa"/>
            <w:vAlign w:val="bottom"/>
          </w:tcPr>
          <w:p>
            <w:pPr>
              <w:ind w:left="240"/>
              <w:spacing w:after="0" w:line="173" w:lineRule="exact"/>
              <w:rPr>
                <w:sz w:val="20"/>
                <w:szCs w:val="20"/>
                <w:color w:val="auto"/>
              </w:rPr>
            </w:pPr>
            <w:r>
              <w:rPr>
                <w:rFonts w:ascii="Arial" w:cs="Arial" w:eastAsia="Arial" w:hAnsi="Arial"/>
                <w:sz w:val="18"/>
                <w:szCs w:val="18"/>
                <w:color w:val="auto"/>
              </w:rPr>
              <w:t>Acquisitions</w:t>
            </w:r>
          </w:p>
        </w:tc>
        <w:tc>
          <w:tcPr>
            <w:tcW w:w="1720" w:type="dxa"/>
            <w:vAlign w:val="bottom"/>
          </w:tcPr>
          <w:p>
            <w:pPr>
              <w:jc w:val="right"/>
              <w:ind w:right="30"/>
              <w:spacing w:after="0" w:line="173" w:lineRule="exact"/>
              <w:rPr>
                <w:sz w:val="20"/>
                <w:szCs w:val="20"/>
                <w:color w:val="auto"/>
              </w:rPr>
            </w:pPr>
            <w:r>
              <w:rPr>
                <w:rFonts w:ascii="Arial" w:cs="Arial" w:eastAsia="Arial" w:hAnsi="Arial"/>
                <w:sz w:val="18"/>
                <w:szCs w:val="18"/>
                <w:color w:val="auto"/>
              </w:rPr>
              <w:t>74</w:t>
            </w:r>
          </w:p>
        </w:tc>
        <w:tc>
          <w:tcPr>
            <w:tcW w:w="1620" w:type="dxa"/>
            <w:vAlign w:val="bottom"/>
          </w:tcPr>
          <w:p>
            <w:pPr>
              <w:jc w:val="right"/>
              <w:ind w:right="50"/>
              <w:spacing w:after="0" w:line="173" w:lineRule="exact"/>
              <w:rPr>
                <w:sz w:val="20"/>
                <w:szCs w:val="20"/>
                <w:color w:val="auto"/>
              </w:rPr>
            </w:pPr>
            <w:r>
              <w:rPr>
                <w:rFonts w:ascii="Arial" w:cs="Arial" w:eastAsia="Arial" w:hAnsi="Arial"/>
                <w:sz w:val="18"/>
                <w:szCs w:val="18"/>
                <w:color w:val="auto"/>
              </w:rPr>
              <w:t>44</w:t>
            </w:r>
          </w:p>
        </w:tc>
        <w:tc>
          <w:tcPr>
            <w:tcW w:w="2400" w:type="dxa"/>
            <w:vAlign w:val="bottom"/>
            <w:gridSpan w:val="3"/>
          </w:tcPr>
          <w:p>
            <w:pPr>
              <w:jc w:val="right"/>
              <w:ind w:right="960"/>
              <w:spacing w:after="0" w:line="173" w:lineRule="exact"/>
              <w:rPr>
                <w:sz w:val="20"/>
                <w:szCs w:val="20"/>
                <w:color w:val="auto"/>
              </w:rPr>
            </w:pPr>
            <w:r>
              <w:rPr>
                <w:rFonts w:ascii="Arial" w:cs="Arial" w:eastAsia="Arial" w:hAnsi="Arial"/>
                <w:sz w:val="18"/>
                <w:szCs w:val="18"/>
                <w:color w:val="auto"/>
              </w:rPr>
              <w:t>10</w:t>
            </w:r>
          </w:p>
        </w:tc>
        <w:tc>
          <w:tcPr>
            <w:tcW w:w="640" w:type="dxa"/>
            <w:vAlign w:val="bottom"/>
          </w:tcPr>
          <w:p>
            <w:pPr>
              <w:jc w:val="right"/>
              <w:spacing w:after="0" w:line="173"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5"/>
        </w:trPr>
        <w:tc>
          <w:tcPr>
            <w:tcW w:w="5040" w:type="dxa"/>
            <w:vAlign w:val="bottom"/>
          </w:tcPr>
          <w:p>
            <w:pPr>
              <w:ind w:left="240"/>
              <w:spacing w:after="0"/>
              <w:rPr>
                <w:sz w:val="20"/>
                <w:szCs w:val="20"/>
                <w:color w:val="auto"/>
              </w:rPr>
            </w:pPr>
            <w:r>
              <w:rPr>
                <w:rFonts w:ascii="Arial" w:cs="Arial" w:eastAsia="Arial" w:hAnsi="Arial"/>
                <w:sz w:val="18"/>
                <w:szCs w:val="18"/>
                <w:b w:val="1"/>
                <w:bCs w:val="1"/>
                <w:color w:val="auto"/>
              </w:rPr>
              <w:t>As of January 1, 2015</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1'815</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172</w:t>
            </w:r>
          </w:p>
        </w:tc>
        <w:tc>
          <w:tcPr>
            <w:tcW w:w="240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8"/>
                <w:szCs w:val="18"/>
                <w:b w:val="1"/>
                <w:bCs w:val="1"/>
                <w:color w:val="auto"/>
              </w:rPr>
              <w:t>146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2'133</w:t>
            </w:r>
          </w:p>
        </w:tc>
        <w:tc>
          <w:tcPr>
            <w:tcW w:w="0" w:type="dxa"/>
            <w:vAlign w:val="bottom"/>
          </w:tcPr>
          <w:p>
            <w:pPr>
              <w:spacing w:after="0"/>
              <w:rPr>
                <w:sz w:val="1"/>
                <w:szCs w:val="1"/>
                <w:color w:val="auto"/>
              </w:rPr>
            </w:pPr>
          </w:p>
        </w:tc>
      </w:tr>
      <w:tr>
        <w:trPr>
          <w:trHeight w:val="173"/>
        </w:trPr>
        <w:tc>
          <w:tcPr>
            <w:tcW w:w="5040" w:type="dxa"/>
            <w:vAlign w:val="bottom"/>
          </w:tcPr>
          <w:p>
            <w:pPr>
              <w:ind w:left="240"/>
              <w:spacing w:after="0" w:line="173" w:lineRule="exact"/>
              <w:rPr>
                <w:sz w:val="20"/>
                <w:szCs w:val="20"/>
                <w:color w:val="auto"/>
              </w:rPr>
            </w:pPr>
            <w:r>
              <w:rPr>
                <w:rFonts w:ascii="Arial" w:cs="Arial" w:eastAsia="Arial" w:hAnsi="Arial"/>
                <w:sz w:val="18"/>
                <w:szCs w:val="18"/>
                <w:color w:val="auto"/>
              </w:rPr>
              <w:t>Acquisitions</w:t>
            </w:r>
          </w:p>
        </w:tc>
        <w:tc>
          <w:tcPr>
            <w:tcW w:w="1720" w:type="dxa"/>
            <w:vAlign w:val="bottom"/>
          </w:tcPr>
          <w:p>
            <w:pPr>
              <w:jc w:val="right"/>
              <w:ind w:right="30"/>
              <w:spacing w:after="0" w:line="173" w:lineRule="exact"/>
              <w:rPr>
                <w:sz w:val="20"/>
                <w:szCs w:val="20"/>
                <w:color w:val="auto"/>
              </w:rPr>
            </w:pPr>
            <w:r>
              <w:rPr>
                <w:rFonts w:ascii="Arial" w:cs="Arial" w:eastAsia="Arial" w:hAnsi="Arial"/>
                <w:sz w:val="18"/>
                <w:szCs w:val="18"/>
                <w:color w:val="auto"/>
              </w:rPr>
              <w:t>243</w:t>
            </w:r>
          </w:p>
        </w:tc>
        <w:tc>
          <w:tcPr>
            <w:tcW w:w="1620" w:type="dxa"/>
            <w:vAlign w:val="bottom"/>
          </w:tcPr>
          <w:p>
            <w:pPr>
              <w:jc w:val="right"/>
              <w:ind w:right="50"/>
              <w:spacing w:after="0" w:line="173" w:lineRule="exact"/>
              <w:rPr>
                <w:sz w:val="20"/>
                <w:szCs w:val="20"/>
                <w:color w:val="auto"/>
              </w:rPr>
            </w:pPr>
            <w:r>
              <w:rPr>
                <w:rFonts w:ascii="Arial" w:cs="Arial" w:eastAsia="Arial" w:hAnsi="Arial"/>
                <w:sz w:val="18"/>
                <w:szCs w:val="18"/>
                <w:color w:val="auto"/>
              </w:rPr>
              <w:t>-</w:t>
            </w:r>
          </w:p>
        </w:tc>
        <w:tc>
          <w:tcPr>
            <w:tcW w:w="2400" w:type="dxa"/>
            <w:vAlign w:val="bottom"/>
            <w:gridSpan w:val="3"/>
          </w:tcPr>
          <w:p>
            <w:pPr>
              <w:jc w:val="right"/>
              <w:ind w:right="960"/>
              <w:spacing w:after="0" w:line="173"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3"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5"/>
        </w:trPr>
        <w:tc>
          <w:tcPr>
            <w:tcW w:w="5040" w:type="dxa"/>
            <w:vAlign w:val="bottom"/>
          </w:tcPr>
          <w:p>
            <w:pPr>
              <w:ind w:left="240"/>
              <w:spacing w:after="0"/>
              <w:rPr>
                <w:sz w:val="20"/>
                <w:szCs w:val="20"/>
                <w:color w:val="auto"/>
              </w:rPr>
            </w:pPr>
            <w:r>
              <w:rPr>
                <w:rFonts w:ascii="Arial" w:cs="Arial" w:eastAsia="Arial" w:hAnsi="Arial"/>
                <w:sz w:val="18"/>
                <w:szCs w:val="18"/>
                <w:b w:val="1"/>
                <w:bCs w:val="1"/>
                <w:color w:val="auto"/>
              </w:rPr>
              <w:t>As of December 31, 2015</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2'058</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172</w:t>
            </w:r>
          </w:p>
        </w:tc>
        <w:tc>
          <w:tcPr>
            <w:tcW w:w="240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8"/>
                <w:szCs w:val="18"/>
                <w:b w:val="1"/>
                <w:bCs w:val="1"/>
                <w:color w:val="auto"/>
              </w:rPr>
              <w:t>146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2'376</w:t>
            </w:r>
          </w:p>
        </w:tc>
        <w:tc>
          <w:tcPr>
            <w:tcW w:w="0" w:type="dxa"/>
            <w:vAlign w:val="bottom"/>
          </w:tcPr>
          <w:p>
            <w:pPr>
              <w:spacing w:after="0"/>
              <w:rPr>
                <w:sz w:val="1"/>
                <w:szCs w:val="1"/>
                <w:color w:val="auto"/>
              </w:rPr>
            </w:pPr>
          </w:p>
        </w:tc>
      </w:tr>
      <w:tr>
        <w:trPr>
          <w:trHeight w:val="376"/>
        </w:trPr>
        <w:tc>
          <w:tcPr>
            <w:tcW w:w="5040" w:type="dxa"/>
            <w:vAlign w:val="bottom"/>
          </w:tcPr>
          <w:p>
            <w:pPr>
              <w:ind w:left="240"/>
              <w:spacing w:after="0"/>
              <w:rPr>
                <w:sz w:val="20"/>
                <w:szCs w:val="20"/>
                <w:color w:val="auto"/>
              </w:rPr>
            </w:pPr>
            <w:r>
              <w:rPr>
                <w:rFonts w:ascii="Arial" w:cs="Arial" w:eastAsia="Arial" w:hAnsi="Arial"/>
                <w:sz w:val="18"/>
                <w:szCs w:val="18"/>
                <w:b w:val="1"/>
                <w:bCs w:val="1"/>
                <w:color w:val="auto"/>
              </w:rPr>
              <w:t>Accumulated depreciation</w:t>
            </w: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40"/>
              <w:spacing w:after="0"/>
              <w:rPr>
                <w:sz w:val="20"/>
                <w:szCs w:val="20"/>
                <w:color w:val="auto"/>
              </w:rPr>
            </w:pPr>
            <w:r>
              <w:rPr>
                <w:rFonts w:ascii="Arial" w:cs="Arial" w:eastAsia="Arial" w:hAnsi="Arial"/>
                <w:sz w:val="18"/>
                <w:szCs w:val="18"/>
                <w:b w:val="1"/>
                <w:bCs w:val="1"/>
                <w:color w:val="auto"/>
              </w:rPr>
              <w:t>As of January 1, 2014</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1'146</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72</w:t>
            </w:r>
          </w:p>
        </w:tc>
        <w:tc>
          <w:tcPr>
            <w:tcW w:w="240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8"/>
                <w:szCs w:val="18"/>
                <w:b w:val="1"/>
                <w:bCs w:val="1"/>
                <w:color w:val="auto"/>
              </w:rPr>
              <w:t>74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1'292</w:t>
            </w:r>
          </w:p>
        </w:tc>
        <w:tc>
          <w:tcPr>
            <w:tcW w:w="0" w:type="dxa"/>
            <w:vAlign w:val="bottom"/>
          </w:tcPr>
          <w:p>
            <w:pPr>
              <w:spacing w:after="0"/>
              <w:rPr>
                <w:sz w:val="1"/>
                <w:szCs w:val="1"/>
                <w:color w:val="auto"/>
              </w:rPr>
            </w:pPr>
          </w:p>
        </w:tc>
      </w:tr>
      <w:tr>
        <w:trPr>
          <w:trHeight w:val="173"/>
        </w:trPr>
        <w:tc>
          <w:tcPr>
            <w:tcW w:w="5040" w:type="dxa"/>
            <w:vAlign w:val="bottom"/>
          </w:tcPr>
          <w:p>
            <w:pPr>
              <w:ind w:left="240"/>
              <w:spacing w:after="0" w:line="173" w:lineRule="exact"/>
              <w:rPr>
                <w:sz w:val="20"/>
                <w:szCs w:val="20"/>
                <w:color w:val="auto"/>
              </w:rPr>
            </w:pPr>
            <w:r>
              <w:rPr>
                <w:rFonts w:ascii="Arial" w:cs="Arial" w:eastAsia="Arial" w:hAnsi="Arial"/>
                <w:sz w:val="18"/>
                <w:szCs w:val="18"/>
                <w:color w:val="auto"/>
              </w:rPr>
              <w:t>Depreciation</w:t>
            </w:r>
          </w:p>
        </w:tc>
        <w:tc>
          <w:tcPr>
            <w:tcW w:w="1720" w:type="dxa"/>
            <w:vAlign w:val="bottom"/>
          </w:tcPr>
          <w:p>
            <w:pPr>
              <w:jc w:val="right"/>
              <w:ind w:right="30"/>
              <w:spacing w:after="0" w:line="173" w:lineRule="exact"/>
              <w:rPr>
                <w:sz w:val="20"/>
                <w:szCs w:val="20"/>
                <w:color w:val="auto"/>
              </w:rPr>
            </w:pPr>
            <w:r>
              <w:rPr>
                <w:rFonts w:ascii="Arial" w:cs="Arial" w:eastAsia="Arial" w:hAnsi="Arial"/>
                <w:sz w:val="18"/>
                <w:szCs w:val="18"/>
                <w:color w:val="auto"/>
              </w:rPr>
              <w:t>251</w:t>
            </w:r>
          </w:p>
        </w:tc>
        <w:tc>
          <w:tcPr>
            <w:tcW w:w="1620" w:type="dxa"/>
            <w:vAlign w:val="bottom"/>
          </w:tcPr>
          <w:p>
            <w:pPr>
              <w:jc w:val="right"/>
              <w:ind w:right="50"/>
              <w:spacing w:after="0" w:line="173" w:lineRule="exact"/>
              <w:rPr>
                <w:sz w:val="20"/>
                <w:szCs w:val="20"/>
                <w:color w:val="auto"/>
              </w:rPr>
            </w:pPr>
            <w:r>
              <w:rPr>
                <w:rFonts w:ascii="Arial" w:cs="Arial" w:eastAsia="Arial" w:hAnsi="Arial"/>
                <w:sz w:val="18"/>
                <w:szCs w:val="18"/>
                <w:color w:val="auto"/>
              </w:rPr>
              <w:t>28</w:t>
            </w:r>
          </w:p>
        </w:tc>
        <w:tc>
          <w:tcPr>
            <w:tcW w:w="2400" w:type="dxa"/>
            <w:vAlign w:val="bottom"/>
            <w:gridSpan w:val="3"/>
          </w:tcPr>
          <w:p>
            <w:pPr>
              <w:jc w:val="right"/>
              <w:ind w:right="960"/>
              <w:spacing w:after="0" w:line="173" w:lineRule="exact"/>
              <w:rPr>
                <w:sz w:val="20"/>
                <w:szCs w:val="20"/>
                <w:color w:val="auto"/>
              </w:rPr>
            </w:pPr>
            <w:r>
              <w:rPr>
                <w:rFonts w:ascii="Arial" w:cs="Arial" w:eastAsia="Arial" w:hAnsi="Arial"/>
                <w:sz w:val="18"/>
                <w:szCs w:val="18"/>
                <w:color w:val="auto"/>
              </w:rPr>
              <w:t>18</w:t>
            </w:r>
          </w:p>
        </w:tc>
        <w:tc>
          <w:tcPr>
            <w:tcW w:w="640" w:type="dxa"/>
            <w:vAlign w:val="bottom"/>
          </w:tcPr>
          <w:p>
            <w:pPr>
              <w:jc w:val="right"/>
              <w:spacing w:after="0" w:line="173"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5"/>
        </w:trPr>
        <w:tc>
          <w:tcPr>
            <w:tcW w:w="5040" w:type="dxa"/>
            <w:vAlign w:val="bottom"/>
          </w:tcPr>
          <w:p>
            <w:pPr>
              <w:ind w:left="240"/>
              <w:spacing w:after="0"/>
              <w:rPr>
                <w:sz w:val="20"/>
                <w:szCs w:val="20"/>
                <w:color w:val="auto"/>
              </w:rPr>
            </w:pPr>
            <w:r>
              <w:rPr>
                <w:rFonts w:ascii="Arial" w:cs="Arial" w:eastAsia="Arial" w:hAnsi="Arial"/>
                <w:sz w:val="18"/>
                <w:szCs w:val="18"/>
                <w:b w:val="1"/>
                <w:bCs w:val="1"/>
                <w:color w:val="auto"/>
              </w:rPr>
              <w:t>As of January 1, 2015</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1'397</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100</w:t>
            </w:r>
          </w:p>
        </w:tc>
        <w:tc>
          <w:tcPr>
            <w:tcW w:w="240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8"/>
                <w:szCs w:val="18"/>
                <w:b w:val="1"/>
                <w:bCs w:val="1"/>
                <w:color w:val="auto"/>
              </w:rPr>
              <w:t>92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1'589</w:t>
            </w:r>
          </w:p>
        </w:tc>
        <w:tc>
          <w:tcPr>
            <w:tcW w:w="0" w:type="dxa"/>
            <w:vAlign w:val="bottom"/>
          </w:tcPr>
          <w:p>
            <w:pPr>
              <w:spacing w:after="0"/>
              <w:rPr>
                <w:sz w:val="1"/>
                <w:szCs w:val="1"/>
                <w:color w:val="auto"/>
              </w:rPr>
            </w:pPr>
          </w:p>
        </w:tc>
      </w:tr>
      <w:tr>
        <w:trPr>
          <w:trHeight w:val="173"/>
        </w:trPr>
        <w:tc>
          <w:tcPr>
            <w:tcW w:w="5040" w:type="dxa"/>
            <w:vAlign w:val="bottom"/>
          </w:tcPr>
          <w:p>
            <w:pPr>
              <w:ind w:left="240"/>
              <w:spacing w:after="0" w:line="173" w:lineRule="exact"/>
              <w:rPr>
                <w:sz w:val="20"/>
                <w:szCs w:val="20"/>
                <w:color w:val="auto"/>
              </w:rPr>
            </w:pPr>
            <w:r>
              <w:rPr>
                <w:rFonts w:ascii="Arial" w:cs="Arial" w:eastAsia="Arial" w:hAnsi="Arial"/>
                <w:sz w:val="18"/>
                <w:szCs w:val="18"/>
                <w:color w:val="auto"/>
              </w:rPr>
              <w:t>Depreciation</w:t>
            </w:r>
          </w:p>
        </w:tc>
        <w:tc>
          <w:tcPr>
            <w:tcW w:w="1720" w:type="dxa"/>
            <w:vAlign w:val="bottom"/>
          </w:tcPr>
          <w:p>
            <w:pPr>
              <w:jc w:val="right"/>
              <w:ind w:right="30"/>
              <w:spacing w:after="0" w:line="173" w:lineRule="exact"/>
              <w:rPr>
                <w:sz w:val="20"/>
                <w:szCs w:val="20"/>
                <w:color w:val="auto"/>
              </w:rPr>
            </w:pPr>
            <w:r>
              <w:rPr>
                <w:rFonts w:ascii="Arial" w:cs="Arial" w:eastAsia="Arial" w:hAnsi="Arial"/>
                <w:sz w:val="18"/>
                <w:szCs w:val="18"/>
                <w:color w:val="auto"/>
              </w:rPr>
              <w:t>232</w:t>
            </w:r>
          </w:p>
        </w:tc>
        <w:tc>
          <w:tcPr>
            <w:tcW w:w="1620" w:type="dxa"/>
            <w:vAlign w:val="bottom"/>
          </w:tcPr>
          <w:p>
            <w:pPr>
              <w:jc w:val="right"/>
              <w:ind w:right="50"/>
              <w:spacing w:after="0" w:line="173" w:lineRule="exact"/>
              <w:rPr>
                <w:sz w:val="20"/>
                <w:szCs w:val="20"/>
                <w:color w:val="auto"/>
              </w:rPr>
            </w:pPr>
            <w:r>
              <w:rPr>
                <w:rFonts w:ascii="Arial" w:cs="Arial" w:eastAsia="Arial" w:hAnsi="Arial"/>
                <w:sz w:val="18"/>
                <w:szCs w:val="18"/>
                <w:color w:val="auto"/>
              </w:rPr>
              <w:t>38</w:t>
            </w:r>
          </w:p>
        </w:tc>
        <w:tc>
          <w:tcPr>
            <w:tcW w:w="2400" w:type="dxa"/>
            <w:vAlign w:val="bottom"/>
            <w:gridSpan w:val="3"/>
          </w:tcPr>
          <w:p>
            <w:pPr>
              <w:jc w:val="right"/>
              <w:ind w:right="960"/>
              <w:spacing w:after="0" w:line="173" w:lineRule="exact"/>
              <w:rPr>
                <w:sz w:val="20"/>
                <w:szCs w:val="20"/>
                <w:color w:val="auto"/>
              </w:rPr>
            </w:pPr>
            <w:r>
              <w:rPr>
                <w:rFonts w:ascii="Arial" w:cs="Arial" w:eastAsia="Arial" w:hAnsi="Arial"/>
                <w:sz w:val="18"/>
                <w:szCs w:val="18"/>
                <w:color w:val="auto"/>
              </w:rPr>
              <w:t>17</w:t>
            </w:r>
          </w:p>
        </w:tc>
        <w:tc>
          <w:tcPr>
            <w:tcW w:w="640" w:type="dxa"/>
            <w:vAlign w:val="bottom"/>
          </w:tcPr>
          <w:p>
            <w:pPr>
              <w:jc w:val="right"/>
              <w:spacing w:after="0" w:line="173"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5"/>
        </w:trPr>
        <w:tc>
          <w:tcPr>
            <w:tcW w:w="5040" w:type="dxa"/>
            <w:vAlign w:val="bottom"/>
          </w:tcPr>
          <w:p>
            <w:pPr>
              <w:ind w:left="240"/>
              <w:spacing w:after="0"/>
              <w:rPr>
                <w:sz w:val="20"/>
                <w:szCs w:val="20"/>
                <w:color w:val="auto"/>
              </w:rPr>
            </w:pPr>
            <w:r>
              <w:rPr>
                <w:rFonts w:ascii="Arial" w:cs="Arial" w:eastAsia="Arial" w:hAnsi="Arial"/>
                <w:sz w:val="18"/>
                <w:szCs w:val="18"/>
                <w:b w:val="1"/>
                <w:bCs w:val="1"/>
                <w:color w:val="auto"/>
              </w:rPr>
              <w:t>As of December 31, 2015</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1'629</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138</w:t>
            </w:r>
          </w:p>
        </w:tc>
        <w:tc>
          <w:tcPr>
            <w:tcW w:w="240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8"/>
                <w:szCs w:val="18"/>
                <w:b w:val="1"/>
                <w:bCs w:val="1"/>
                <w:color w:val="auto"/>
              </w:rPr>
              <w:t>109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1'876</w:t>
            </w:r>
          </w:p>
        </w:tc>
        <w:tc>
          <w:tcPr>
            <w:tcW w:w="0" w:type="dxa"/>
            <w:vAlign w:val="bottom"/>
          </w:tcPr>
          <w:p>
            <w:pPr>
              <w:spacing w:after="0"/>
              <w:rPr>
                <w:sz w:val="1"/>
                <w:szCs w:val="1"/>
                <w:color w:val="auto"/>
              </w:rPr>
            </w:pPr>
          </w:p>
        </w:tc>
      </w:tr>
      <w:tr>
        <w:trPr>
          <w:trHeight w:val="399"/>
        </w:trPr>
        <w:tc>
          <w:tcPr>
            <w:tcW w:w="5040" w:type="dxa"/>
            <w:vAlign w:val="bottom"/>
          </w:tcPr>
          <w:p>
            <w:pPr>
              <w:ind w:left="240"/>
              <w:spacing w:after="0"/>
              <w:rPr>
                <w:sz w:val="20"/>
                <w:szCs w:val="20"/>
                <w:color w:val="auto"/>
              </w:rPr>
            </w:pPr>
            <w:r>
              <w:rPr>
                <w:rFonts w:ascii="Arial" w:cs="Arial" w:eastAsia="Arial" w:hAnsi="Arial"/>
                <w:sz w:val="18"/>
                <w:szCs w:val="18"/>
                <w:b w:val="1"/>
                <w:bCs w:val="1"/>
                <w:color w:val="auto"/>
              </w:rPr>
              <w:t>Net book value December 31, 2015</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429</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34</w:t>
            </w:r>
          </w:p>
        </w:tc>
        <w:tc>
          <w:tcPr>
            <w:tcW w:w="240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8"/>
                <w:szCs w:val="18"/>
                <w:b w:val="1"/>
                <w:bCs w:val="1"/>
                <w:color w:val="auto"/>
              </w:rPr>
              <w:t>37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412"/>
        </w:trPr>
        <w:tc>
          <w:tcPr>
            <w:tcW w:w="5040" w:type="dxa"/>
            <w:vAlign w:val="bottom"/>
          </w:tcPr>
          <w:p>
            <w:pPr>
              <w:ind w:left="240"/>
              <w:spacing w:after="0"/>
              <w:rPr>
                <w:sz w:val="20"/>
                <w:szCs w:val="20"/>
                <w:color w:val="auto"/>
              </w:rPr>
            </w:pPr>
            <w:r>
              <w:rPr>
                <w:rFonts w:ascii="Arial" w:cs="Arial" w:eastAsia="Arial" w:hAnsi="Arial"/>
                <w:sz w:val="18"/>
                <w:szCs w:val="18"/>
                <w:color w:val="auto"/>
              </w:rPr>
              <w:t>Net book value December 31, 2014</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2400" w:type="dxa"/>
            <w:vAlign w:val="bottom"/>
            <w:gridSpan w:val="3"/>
          </w:tcPr>
          <w:p>
            <w:pPr>
              <w:jc w:val="right"/>
              <w:ind w:right="960"/>
              <w:spacing w:after="0"/>
              <w:rPr>
                <w:sz w:val="20"/>
                <w:szCs w:val="20"/>
                <w:color w:val="auto"/>
              </w:rPr>
            </w:pPr>
            <w:r>
              <w:rPr>
                <w:rFonts w:ascii="Arial" w:cs="Arial" w:eastAsia="Arial" w:hAnsi="Arial"/>
                <w:sz w:val="18"/>
                <w:szCs w:val="18"/>
                <w:color w:val="auto"/>
              </w:rPr>
              <w:t>54</w:t>
            </w:r>
          </w:p>
        </w:tc>
        <w:tc>
          <w:tcPr>
            <w:tcW w:w="64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689"/>
        </w:trPr>
        <w:tc>
          <w:tcPr>
            <w:tcW w:w="5040" w:type="dxa"/>
            <w:vAlign w:val="bottom"/>
          </w:tcPr>
          <w:p>
            <w:pPr>
              <w:spacing w:after="0"/>
              <w:rPr>
                <w:sz w:val="20"/>
                <w:szCs w:val="20"/>
                <w:color w:val="auto"/>
              </w:rPr>
            </w:pPr>
            <w:r>
              <w:rPr>
                <w:rFonts w:ascii="Arial" w:cs="Arial" w:eastAsia="Arial" w:hAnsi="Arial"/>
                <w:sz w:val="18"/>
                <w:szCs w:val="18"/>
                <w:b w:val="1"/>
                <w:bCs w:val="1"/>
                <w:color w:val="auto"/>
              </w:rPr>
              <w:t>5.  Financial assets</w:t>
            </w: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For the Years Ended December 31,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360"/>
              <w:spacing w:after="0"/>
              <w:rPr>
                <w:sz w:val="20"/>
                <w:szCs w:val="20"/>
                <w:color w:val="auto"/>
              </w:rPr>
            </w:pPr>
            <w:r>
              <w:rPr>
                <w:rFonts w:ascii="Arial" w:cs="Arial" w:eastAsia="Arial" w:hAnsi="Arial"/>
                <w:sz w:val="18"/>
                <w:szCs w:val="18"/>
                <w:b w:val="1"/>
                <w:bCs w:val="1"/>
                <w:color w:val="auto"/>
              </w:rPr>
              <w:t>in CHF thousands</w:t>
            </w:r>
          </w:p>
        </w:tc>
        <w:tc>
          <w:tcPr>
            <w:tcW w:w="1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40" w:type="dxa"/>
            <w:vAlign w:val="bottom"/>
          </w:tcPr>
          <w:p>
            <w:pPr>
              <w:ind w:left="360"/>
              <w:spacing w:after="0"/>
              <w:rPr>
                <w:sz w:val="20"/>
                <w:szCs w:val="20"/>
                <w:color w:val="auto"/>
              </w:rPr>
            </w:pPr>
            <w:r>
              <w:rPr>
                <w:rFonts w:ascii="Arial" w:cs="Arial" w:eastAsia="Arial" w:hAnsi="Arial"/>
                <w:sz w:val="18"/>
                <w:szCs w:val="18"/>
                <w:color w:val="auto"/>
              </w:rPr>
              <w:t>Rental deposit (restricted cash)</w:t>
            </w: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gridSpan w:val="2"/>
          </w:tcPr>
          <w:p>
            <w:pPr>
              <w:jc w:val="right"/>
              <w:ind w:right="250"/>
              <w:spacing w:after="0"/>
              <w:rPr>
                <w:sz w:val="20"/>
                <w:szCs w:val="20"/>
                <w:color w:val="auto"/>
              </w:rPr>
            </w:pPr>
            <w:r>
              <w:rPr>
                <w:rFonts w:ascii="Arial" w:cs="Arial" w:eastAsia="Arial" w:hAnsi="Arial"/>
                <w:sz w:val="18"/>
                <w:szCs w:val="18"/>
                <w:color w:val="auto"/>
              </w:rPr>
              <w:t>82</w:t>
            </w:r>
          </w:p>
        </w:tc>
        <w:tc>
          <w:tcPr>
            <w:tcW w:w="15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5040" w:type="dxa"/>
            <w:vAlign w:val="bottom"/>
          </w:tcPr>
          <w:p>
            <w:pPr>
              <w:ind w:left="360"/>
              <w:spacing w:after="0" w:line="203" w:lineRule="exact"/>
              <w:rPr>
                <w:sz w:val="20"/>
                <w:szCs w:val="20"/>
                <w:color w:val="auto"/>
              </w:rPr>
            </w:pPr>
            <w:r>
              <w:rPr>
                <w:rFonts w:ascii="Arial" w:cs="Arial" w:eastAsia="Arial" w:hAnsi="Arial"/>
                <w:sz w:val="18"/>
                <w:szCs w:val="18"/>
                <w:color w:val="auto"/>
              </w:rPr>
              <w:t>Security Deposit</w:t>
            </w:r>
          </w:p>
        </w:tc>
        <w:tc>
          <w:tcPr>
            <w:tcW w:w="1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80" w:type="dxa"/>
            <w:vAlign w:val="bottom"/>
            <w:gridSpan w:val="2"/>
          </w:tcPr>
          <w:p>
            <w:pPr>
              <w:jc w:val="right"/>
              <w:ind w:right="250"/>
              <w:spacing w:after="0" w:line="203" w:lineRule="exact"/>
              <w:rPr>
                <w:sz w:val="20"/>
                <w:szCs w:val="20"/>
                <w:color w:val="auto"/>
              </w:rPr>
            </w:pPr>
            <w:r>
              <w:rPr>
                <w:rFonts w:ascii="Arial" w:cs="Arial" w:eastAsia="Arial" w:hAnsi="Arial"/>
                <w:sz w:val="18"/>
                <w:szCs w:val="18"/>
                <w:color w:val="auto"/>
              </w:rPr>
              <w:t>3</w:t>
            </w:r>
          </w:p>
        </w:tc>
        <w:tc>
          <w:tcPr>
            <w:tcW w:w="1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04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rPr>
                <w:sz w:val="17"/>
                <w:szCs w:val="17"/>
                <w:color w:val="auto"/>
              </w:rPr>
            </w:pPr>
          </w:p>
        </w:tc>
        <w:tc>
          <w:tcPr>
            <w:tcW w:w="16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c>
          <w:tcPr>
            <w:tcW w:w="340" w:type="dxa"/>
            <w:vAlign w:val="bottom"/>
          </w:tcPr>
          <w:p>
            <w:pPr>
              <w:spacing w:after="0"/>
              <w:rPr>
                <w:sz w:val="17"/>
                <w:szCs w:val="17"/>
                <w:color w:val="auto"/>
              </w:rPr>
            </w:pPr>
          </w:p>
        </w:tc>
        <w:tc>
          <w:tcPr>
            <w:tcW w:w="15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 Immune has a two deposits in escrow accounts totaling CHF 85 thousand associated with the lease of the Company’s premises.</w:t>
      </w:r>
    </w:p>
    <w:p>
      <w:pPr>
        <w:spacing w:after="0" w:line="306"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8" w:name="page39"/>
    <w:bookmarkEnd w:id="38"/>
    <w:p>
      <w:pPr>
        <w:jc w:val="center"/>
        <w:ind w:right="80"/>
        <w:spacing w:after="0"/>
        <w:rPr>
          <w:sz w:val="20"/>
          <w:szCs w:val="20"/>
          <w:color w:val="auto"/>
        </w:rPr>
      </w:pPr>
      <w:r>
        <w:rPr>
          <w:sz w:val="1"/>
          <w:szCs w:val="1"/>
          <w:color w:val="auto"/>
        </w:rPr>
        <w:drawing>
          <wp:inline distT="0" distB="0" distL="0" distR="0">
            <wp:extent cx="403225" cy="18034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60" w:type="dxa"/>
            <w:vAlign w:val="bottom"/>
          </w:tcPr>
          <w:p>
            <w:pPr>
              <w:spacing w:after="0"/>
              <w:rPr>
                <w:sz w:val="20"/>
                <w:szCs w:val="20"/>
                <w:color w:val="auto"/>
              </w:rPr>
            </w:pPr>
            <w:r>
              <w:rPr>
                <w:rFonts w:ascii="Arial" w:cs="Arial" w:eastAsia="Arial" w:hAnsi="Arial"/>
                <w:sz w:val="18"/>
                <w:szCs w:val="18"/>
                <w:b w:val="1"/>
                <w:bCs w:val="1"/>
                <w:color w:val="auto"/>
              </w:rPr>
              <w:t>6.  Prepaid expenses and accrued income</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6760" w:type="dxa"/>
            <w:vAlign w:val="bottom"/>
          </w:tcPr>
          <w:p>
            <w:pPr>
              <w:spacing w:after="0"/>
              <w:rPr>
                <w:sz w:val="24"/>
                <w:szCs w:val="24"/>
                <w:color w:val="auto"/>
              </w:rPr>
            </w:pPr>
          </w:p>
        </w:tc>
        <w:tc>
          <w:tcPr>
            <w:tcW w:w="404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620" w:type="dxa"/>
            <w:vAlign w:val="bottom"/>
            <w:tcBorders>
              <w:bottom w:val="single" w:sz="8" w:color="auto"/>
            </w:tcBorders>
          </w:tcPr>
          <w:p>
            <w:pPr>
              <w:spacing w:after="0"/>
              <w:rPr>
                <w:sz w:val="24"/>
                <w:szCs w:val="24"/>
                <w:color w:val="auto"/>
              </w:rPr>
            </w:pPr>
          </w:p>
        </w:tc>
      </w:tr>
      <w:tr>
        <w:trPr>
          <w:trHeight w:val="237"/>
        </w:trPr>
        <w:tc>
          <w:tcPr>
            <w:tcW w:w="6760" w:type="dxa"/>
            <w:vAlign w:val="bottom"/>
          </w:tcPr>
          <w:p>
            <w:pPr>
              <w:ind w:left="360"/>
              <w:spacing w:after="0"/>
              <w:rPr>
                <w:sz w:val="20"/>
                <w:szCs w:val="20"/>
                <w:color w:val="auto"/>
              </w:rPr>
            </w:pPr>
            <w:r>
              <w:rPr>
                <w:rFonts w:ascii="Arial" w:cs="Arial" w:eastAsia="Arial" w:hAnsi="Arial"/>
                <w:sz w:val="18"/>
                <w:szCs w:val="18"/>
                <w:b w:val="1"/>
                <w:bCs w:val="1"/>
                <w:color w:val="auto"/>
              </w:rPr>
              <w:t>in CHF thousands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15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r>
      <w:tr>
        <w:trPr>
          <w:trHeight w:val="20"/>
        </w:trPr>
        <w:tc>
          <w:tcPr>
            <w:tcW w:w="67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398"/>
        </w:trPr>
        <w:tc>
          <w:tcPr>
            <w:tcW w:w="67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339</w:t>
            </w:r>
          </w:p>
        </w:tc>
        <w:tc>
          <w:tcPr>
            <w:tcW w:w="15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03"/>
        </w:trPr>
        <w:tc>
          <w:tcPr>
            <w:tcW w:w="6760" w:type="dxa"/>
            <w:vAlign w:val="bottom"/>
          </w:tcPr>
          <w:p>
            <w:pPr>
              <w:ind w:left="360"/>
              <w:spacing w:after="0" w:line="202" w:lineRule="exact"/>
              <w:rPr>
                <w:sz w:val="20"/>
                <w:szCs w:val="20"/>
                <w:color w:val="auto"/>
              </w:rPr>
            </w:pPr>
            <w:r>
              <w:rPr>
                <w:rFonts w:ascii="Arial" w:cs="Arial" w:eastAsia="Arial" w:hAnsi="Arial"/>
                <w:sz w:val="18"/>
                <w:szCs w:val="18"/>
                <w:color w:val="auto"/>
              </w:rPr>
              <w:t>Deferred offering costs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2'169</w:t>
            </w:r>
          </w:p>
        </w:tc>
        <w:tc>
          <w:tcPr>
            <w:tcW w:w="15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760" w:type="dxa"/>
            <w:vAlign w:val="bottom"/>
          </w:tcPr>
          <w:p>
            <w:pPr>
              <w:ind w:left="360"/>
              <w:spacing w:after="0" w:line="203" w:lineRule="exact"/>
              <w:rPr>
                <w:sz w:val="20"/>
                <w:szCs w:val="20"/>
                <w:color w:val="auto"/>
              </w:rPr>
            </w:pPr>
            <w:r>
              <w:rPr>
                <w:rFonts w:ascii="Arial" w:cs="Arial" w:eastAsia="Arial" w:hAnsi="Arial"/>
                <w:sz w:val="18"/>
                <w:szCs w:val="18"/>
                <w:color w:val="auto"/>
              </w:rPr>
              <w:t>Grant receivable</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47</w:t>
            </w:r>
          </w:p>
        </w:tc>
        <w:tc>
          <w:tcPr>
            <w:tcW w:w="15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53</w:t>
            </w:r>
          </w:p>
        </w:tc>
      </w:tr>
      <w:tr>
        <w:trPr>
          <w:trHeight w:val="196"/>
        </w:trPr>
        <w:tc>
          <w:tcPr>
            <w:tcW w:w="6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Total</w:t>
            </w: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2'555</w:t>
            </w:r>
          </w:p>
        </w:tc>
        <w:tc>
          <w:tcPr>
            <w:tcW w:w="340" w:type="dxa"/>
            <w:vAlign w:val="bottom"/>
          </w:tcPr>
          <w:p>
            <w:pPr>
              <w:spacing w:after="0"/>
              <w:rPr>
                <w:sz w:val="17"/>
                <w:szCs w:val="17"/>
                <w:color w:val="auto"/>
              </w:rPr>
            </w:pPr>
          </w:p>
        </w:tc>
        <w:tc>
          <w:tcPr>
            <w:tcW w:w="15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426</w:t>
            </w:r>
          </w:p>
        </w:tc>
      </w:tr>
      <w:tr>
        <w:trPr>
          <w:trHeight w:val="20"/>
        </w:trPr>
        <w:tc>
          <w:tcPr>
            <w:tcW w:w="67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prepaid expenses relate mainly to research contracts with down-payments at contract signature and their related activities will start or continue in 2016.</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Deferred offering costs, which consist primarily of direct incremental legal, accounting and printing costs relating to the Company’s planned initial public offering (“IPO”), are capitalized within prepaid expenses. The deferred offering costs will be offset against IPO proceeds upon the consummation of the IPO. In the event the IPO is terminated, deferred offering costs will be expenses. As at December 31, 2015, CHF 2,169 thousand (2014: none) of deferred offering costs were capitalized in prepaid expenses on the balance sheet.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60" w:type="dxa"/>
            <w:vAlign w:val="bottom"/>
          </w:tcPr>
          <w:p>
            <w:pPr>
              <w:spacing w:after="0"/>
              <w:rPr>
                <w:sz w:val="20"/>
                <w:szCs w:val="20"/>
                <w:color w:val="auto"/>
              </w:rPr>
            </w:pPr>
            <w:r>
              <w:rPr>
                <w:rFonts w:ascii="Arial" w:cs="Arial" w:eastAsia="Arial" w:hAnsi="Arial"/>
                <w:sz w:val="18"/>
                <w:szCs w:val="18"/>
                <w:b w:val="1"/>
                <w:bCs w:val="1"/>
                <w:color w:val="auto"/>
              </w:rPr>
              <w:t>7.  Other current receivables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in CHF thousands</w:t>
            </w:r>
          </w:p>
        </w:tc>
        <w:tc>
          <w:tcPr>
            <w:tcW w:w="39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50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2015</w:t>
            </w:r>
          </w:p>
        </w:tc>
        <w:tc>
          <w:tcPr>
            <w:tcW w:w="14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76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1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25'863</w:t>
            </w:r>
          </w:p>
        </w:tc>
        <w:tc>
          <w:tcPr>
            <w:tcW w:w="0" w:type="dxa"/>
            <w:vAlign w:val="bottom"/>
          </w:tcPr>
          <w:p>
            <w:pPr>
              <w:spacing w:after="0"/>
              <w:rPr>
                <w:sz w:val="1"/>
                <w:szCs w:val="1"/>
                <w:color w:val="auto"/>
              </w:rPr>
            </w:pPr>
          </w:p>
        </w:tc>
      </w:tr>
      <w:tr>
        <w:trPr>
          <w:trHeight w:val="203"/>
        </w:trPr>
        <w:tc>
          <w:tcPr>
            <w:tcW w:w="6760" w:type="dxa"/>
            <w:vAlign w:val="bottom"/>
          </w:tcPr>
          <w:p>
            <w:pPr>
              <w:ind w:left="360"/>
              <w:spacing w:after="0" w:line="202" w:lineRule="exact"/>
              <w:rPr>
                <w:sz w:val="20"/>
                <w:szCs w:val="20"/>
                <w:color w:val="auto"/>
              </w:rPr>
            </w:pPr>
            <w:r>
              <w:rPr>
                <w:rFonts w:ascii="Arial" w:cs="Arial" w:eastAsia="Arial" w:hAnsi="Arial"/>
                <w:sz w:val="18"/>
                <w:szCs w:val="18"/>
                <w:color w:val="auto"/>
              </w:rPr>
              <w:t>Swiss VAT</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147</w:t>
            </w:r>
          </w:p>
        </w:tc>
        <w:tc>
          <w:tcPr>
            <w:tcW w:w="14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6760" w:type="dxa"/>
            <w:vAlign w:val="bottom"/>
          </w:tcPr>
          <w:p>
            <w:pPr>
              <w:ind w:left="360"/>
              <w:spacing w:after="0" w:line="203" w:lineRule="exact"/>
              <w:rPr>
                <w:sz w:val="20"/>
                <w:szCs w:val="20"/>
                <w:color w:val="auto"/>
              </w:rPr>
            </w:pPr>
            <w:r>
              <w:rPr>
                <w:rFonts w:ascii="Arial" w:cs="Arial" w:eastAsia="Arial" w:hAnsi="Arial"/>
                <w:sz w:val="18"/>
                <w:szCs w:val="18"/>
                <w:color w:val="auto"/>
              </w:rPr>
              <w:t>Withholding tax</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19</w:t>
            </w:r>
          </w:p>
        </w:tc>
        <w:tc>
          <w:tcPr>
            <w:tcW w:w="14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Total</w:t>
            </w: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w:t>
            </w:r>
          </w:p>
        </w:tc>
        <w:tc>
          <w:tcPr>
            <w:tcW w:w="340" w:type="dxa"/>
            <w:vAlign w:val="bottom"/>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60" w:type="dxa"/>
            <w:vAlign w:val="bottom"/>
          </w:tcPr>
          <w:p>
            <w:pPr>
              <w:spacing w:after="0"/>
              <w:rPr>
                <w:sz w:val="20"/>
                <w:szCs w:val="20"/>
                <w:color w:val="auto"/>
              </w:rPr>
            </w:pPr>
            <w:r>
              <w:rPr>
                <w:rFonts w:ascii="Arial" w:cs="Arial" w:eastAsia="Arial" w:hAnsi="Arial"/>
                <w:sz w:val="18"/>
                <w:szCs w:val="18"/>
                <w:b w:val="1"/>
                <w:bCs w:val="1"/>
                <w:color w:val="auto"/>
              </w:rPr>
              <w:t>8.  Cash and cash equivalents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in CHF thousands</w:t>
            </w:r>
          </w:p>
        </w:tc>
        <w:tc>
          <w:tcPr>
            <w:tcW w:w="40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50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2015</w:t>
            </w:r>
          </w:p>
        </w:tc>
        <w:tc>
          <w:tcPr>
            <w:tcW w:w="15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760" w:type="dxa"/>
            <w:vAlign w:val="bottom"/>
          </w:tcPr>
          <w:p>
            <w:pPr>
              <w:ind w:left="360"/>
              <w:spacing w:after="0" w:line="173" w:lineRule="exact"/>
              <w:rPr>
                <w:sz w:val="20"/>
                <w:szCs w:val="20"/>
                <w:color w:val="auto"/>
              </w:rPr>
            </w:pPr>
            <w:r>
              <w:rPr>
                <w:rFonts w:ascii="Arial" w:cs="Arial" w:eastAsia="Arial" w:hAnsi="Arial"/>
                <w:sz w:val="18"/>
                <w:szCs w:val="18"/>
                <w:color w:val="auto"/>
              </w:rPr>
              <w:t>Cash</w:t>
            </w:r>
          </w:p>
        </w:tc>
        <w:tc>
          <w:tcPr>
            <w:tcW w:w="21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76'522</w:t>
            </w:r>
          </w:p>
        </w:tc>
        <w:tc>
          <w:tcPr>
            <w:tcW w:w="34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jc w:val="right"/>
              <w:ind w:right="20"/>
              <w:spacing w:after="0" w:line="173" w:lineRule="exact"/>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25"/>
        </w:trPr>
        <w:tc>
          <w:tcPr>
            <w:tcW w:w="676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76'522</w:t>
            </w:r>
          </w:p>
        </w:tc>
        <w:tc>
          <w:tcPr>
            <w:tcW w:w="15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3'306</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By Currency</w:t>
            </w: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7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360"/>
              <w:spacing w:after="0" w:line="202" w:lineRule="exact"/>
              <w:rPr>
                <w:sz w:val="20"/>
                <w:szCs w:val="20"/>
                <w:color w:val="auto"/>
              </w:rPr>
            </w:pPr>
            <w:r>
              <w:rPr>
                <w:rFonts w:ascii="Arial" w:cs="Arial" w:eastAsia="Arial" w:hAnsi="Arial"/>
                <w:sz w:val="18"/>
                <w:szCs w:val="18"/>
                <w:color w:val="auto"/>
              </w:rPr>
              <w:t>CHF</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19'812</w:t>
            </w:r>
          </w:p>
        </w:tc>
        <w:tc>
          <w:tcPr>
            <w:tcW w:w="15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03"/>
        </w:trPr>
        <w:tc>
          <w:tcPr>
            <w:tcW w:w="6760" w:type="dxa"/>
            <w:vAlign w:val="bottom"/>
          </w:tcPr>
          <w:p>
            <w:pPr>
              <w:ind w:left="360"/>
              <w:spacing w:after="0" w:line="202" w:lineRule="exact"/>
              <w:rPr>
                <w:sz w:val="20"/>
                <w:szCs w:val="20"/>
                <w:color w:val="auto"/>
              </w:rPr>
            </w:pPr>
            <w:r>
              <w:rPr>
                <w:rFonts w:ascii="Arial" w:cs="Arial" w:eastAsia="Arial" w:hAnsi="Arial"/>
                <w:sz w:val="18"/>
                <w:szCs w:val="18"/>
                <w:color w:val="auto"/>
              </w:rPr>
              <w:t>EUR</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2'371</w:t>
            </w:r>
          </w:p>
        </w:tc>
        <w:tc>
          <w:tcPr>
            <w:tcW w:w="15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3"/>
        </w:trPr>
        <w:tc>
          <w:tcPr>
            <w:tcW w:w="6760" w:type="dxa"/>
            <w:vAlign w:val="bottom"/>
          </w:tcPr>
          <w:p>
            <w:pPr>
              <w:ind w:left="360"/>
              <w:spacing w:after="0" w:line="203" w:lineRule="exact"/>
              <w:rPr>
                <w:sz w:val="20"/>
                <w:szCs w:val="20"/>
                <w:color w:val="auto"/>
              </w:rPr>
            </w:pPr>
            <w:r>
              <w:rPr>
                <w:rFonts w:ascii="Arial" w:cs="Arial" w:eastAsia="Arial" w:hAnsi="Arial"/>
                <w:sz w:val="18"/>
                <w:szCs w:val="18"/>
                <w:color w:val="auto"/>
              </w:rPr>
              <w:t>USD</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54'339</w:t>
            </w:r>
          </w:p>
        </w:tc>
        <w:tc>
          <w:tcPr>
            <w:tcW w:w="1520" w:type="dxa"/>
            <w:vAlign w:val="bottom"/>
          </w:tcPr>
          <w:p>
            <w:pPr>
              <w:spacing w:after="0"/>
              <w:rPr>
                <w:sz w:val="17"/>
                <w:szCs w:val="17"/>
                <w:color w:val="auto"/>
              </w:rPr>
            </w:pPr>
          </w:p>
        </w:tc>
        <w:tc>
          <w:tcPr>
            <w:tcW w:w="6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96"/>
        </w:trPr>
        <w:tc>
          <w:tcPr>
            <w:tcW w:w="6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Total</w:t>
            </w: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76'522</w:t>
            </w:r>
          </w:p>
        </w:tc>
        <w:tc>
          <w:tcPr>
            <w:tcW w:w="340" w:type="dxa"/>
            <w:vAlign w:val="bottom"/>
          </w:tcPr>
          <w:p>
            <w:pPr>
              <w:spacing w:after="0"/>
              <w:rPr>
                <w:sz w:val="17"/>
                <w:szCs w:val="17"/>
                <w:color w:val="auto"/>
              </w:rPr>
            </w:pPr>
          </w:p>
        </w:tc>
        <w:tc>
          <w:tcPr>
            <w:tcW w:w="15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3'306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1.0916 and 0.9991, respectively.</w:t>
      </w:r>
    </w:p>
    <w:p>
      <w:pPr>
        <w:spacing w:after="0" w:line="29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39" w:name="page40"/>
    <w:bookmarkEnd w:id="39"/>
    <w:p>
      <w:pPr>
        <w:jc w:val="center"/>
        <w:ind w:right="80"/>
        <w:spacing w:after="0"/>
        <w:rPr>
          <w:sz w:val="20"/>
          <w:szCs w:val="20"/>
          <w:color w:val="auto"/>
        </w:rPr>
      </w:pPr>
      <w:r>
        <w:rPr>
          <w:sz w:val="1"/>
          <w:szCs w:val="1"/>
          <w:color w:val="auto"/>
        </w:rPr>
        <w:drawing>
          <wp:inline distT="0" distB="0" distL="0" distR="0">
            <wp:extent cx="403225" cy="18034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Share capital</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issued share capital amounting to CHF 928,050 is comprised of 46,402,500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60" w:type="dxa"/>
            <w:vAlign w:val="bottom"/>
            <w:gridSpan w:val="2"/>
          </w:tcPr>
          <w:p>
            <w:pPr>
              <w:spacing w:after="0"/>
              <w:rPr>
                <w:sz w:val="20"/>
                <w:szCs w:val="20"/>
                <w:color w:val="auto"/>
              </w:rPr>
            </w:pPr>
            <w:r>
              <w:rPr>
                <w:rFonts w:ascii="Arial" w:cs="Arial" w:eastAsia="Arial" w:hAnsi="Arial"/>
                <w:sz w:val="18"/>
                <w:szCs w:val="18"/>
                <w:color w:val="auto"/>
              </w:rPr>
              <w:t>The table below summarizes the capital structure:</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8"/>
                <w:szCs w:val="18"/>
                <w:b w:val="1"/>
                <w:bCs w:val="1"/>
                <w:color w:val="auto"/>
              </w:rPr>
              <w:t>For the Years Ended December 31,</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2015</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2014</w:t>
            </w: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Common shares with a nominal value of CHF 0.02 each</w:t>
            </w:r>
          </w:p>
        </w:tc>
        <w:tc>
          <w:tcPr>
            <w:tcW w:w="1420" w:type="dxa"/>
            <w:vAlign w:val="bottom"/>
            <w:gridSpan w:val="3"/>
          </w:tcPr>
          <w:p>
            <w:pPr>
              <w:jc w:val="right"/>
              <w:ind w:right="620"/>
              <w:spacing w:after="0" w:line="196" w:lineRule="exact"/>
              <w:rPr>
                <w:sz w:val="20"/>
                <w:szCs w:val="20"/>
                <w:color w:val="auto"/>
              </w:rPr>
            </w:pPr>
            <w:r>
              <w:rPr>
                <w:rFonts w:ascii="Arial" w:cs="Arial" w:eastAsia="Arial" w:hAnsi="Arial"/>
                <w:sz w:val="18"/>
                <w:szCs w:val="18"/>
                <w:b w:val="1"/>
                <w:bCs w:val="1"/>
                <w:color w:val="auto"/>
              </w:rPr>
              <w:t>Number</w:t>
            </w:r>
          </w:p>
        </w:tc>
        <w:tc>
          <w:tcPr>
            <w:tcW w:w="88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CHF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right"/>
              <w:ind w:right="580"/>
              <w:spacing w:after="0" w:line="196" w:lineRule="exact"/>
              <w:rPr>
                <w:sz w:val="20"/>
                <w:szCs w:val="20"/>
                <w:color w:val="auto"/>
              </w:rPr>
            </w:pPr>
            <w:r>
              <w:rPr>
                <w:rFonts w:ascii="Arial" w:cs="Arial" w:eastAsia="Arial" w:hAnsi="Arial"/>
                <w:sz w:val="18"/>
                <w:szCs w:val="18"/>
                <w:b w:val="1"/>
                <w:bCs w:val="1"/>
                <w:color w:val="auto"/>
              </w:rPr>
              <w:t>Number</w:t>
            </w:r>
          </w:p>
        </w:tc>
        <w:tc>
          <w:tcPr>
            <w:tcW w:w="860" w:type="dxa"/>
            <w:vAlign w:val="bottom"/>
            <w:gridSpan w:val="3"/>
          </w:tcPr>
          <w:p>
            <w:pPr>
              <w:ind w:left="120"/>
              <w:spacing w:after="0" w:line="196" w:lineRule="exact"/>
              <w:rPr>
                <w:sz w:val="20"/>
                <w:szCs w:val="20"/>
                <w:color w:val="auto"/>
              </w:rPr>
            </w:pPr>
            <w:r>
              <w:rPr>
                <w:rFonts w:ascii="Arial" w:cs="Arial" w:eastAsia="Arial" w:hAnsi="Arial"/>
                <w:sz w:val="18"/>
                <w:szCs w:val="18"/>
                <w:b w:val="1"/>
                <w:bCs w:val="1"/>
                <w:color w:val="auto"/>
              </w:rPr>
              <w:t>CHF</w:t>
            </w:r>
          </w:p>
        </w:tc>
        <w:tc>
          <w:tcPr>
            <w:tcW w:w="0" w:type="dxa"/>
            <w:vAlign w:val="bottom"/>
          </w:tcPr>
          <w:p>
            <w:pPr>
              <w:spacing w:after="0"/>
              <w:rPr>
                <w:sz w:val="1"/>
                <w:szCs w:val="1"/>
                <w:color w:val="auto"/>
              </w:rPr>
            </w:pPr>
          </w:p>
        </w:tc>
      </w:tr>
      <w:tr>
        <w:trPr>
          <w:trHeight w:val="195"/>
        </w:trPr>
        <w:tc>
          <w:tcPr>
            <w:tcW w:w="6660" w:type="dxa"/>
            <w:vAlign w:val="bottom"/>
            <w:gridSpan w:val="2"/>
            <w:vMerge w:val="continue"/>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9,227,250</w:t>
            </w:r>
          </w:p>
        </w:tc>
        <w:tc>
          <w:tcPr>
            <w:tcW w:w="3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184,545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8,633,000</w:t>
            </w:r>
          </w:p>
        </w:tc>
        <w:tc>
          <w:tcPr>
            <w:tcW w:w="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172,660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Preferred shares Series A with a nominal value of CHF 0.02</w:t>
            </w: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3,538,000</w:t>
            </w: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70,760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3,538,000</w:t>
            </w:r>
          </w:p>
        </w:tc>
        <w:tc>
          <w:tcPr>
            <w:tcW w:w="16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70,760</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Preferred shares Series B with a nominal value of CHF 0.02</w:t>
            </w: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9"/>
              </w:rPr>
              <w:t>16,782,500</w:t>
            </w: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335,650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7"/>
              </w:rPr>
              <w:t>16,782,500</w:t>
            </w:r>
          </w:p>
        </w:tc>
        <w:tc>
          <w:tcPr>
            <w:tcW w:w="16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335,650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Preferred shares Series C with a nominal value of CHF 0.02</w:t>
            </w: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9,619,000</w:t>
            </w: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192,380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9,619,000</w:t>
            </w:r>
          </w:p>
        </w:tc>
        <w:tc>
          <w:tcPr>
            <w:tcW w:w="16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192,380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Preferred shares Series D with a nominal value of CHF 0.02</w:t>
            </w: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4,122,500</w:t>
            </w: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82,450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4,122,500</w:t>
            </w:r>
          </w:p>
        </w:tc>
        <w:tc>
          <w:tcPr>
            <w:tcW w:w="16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82,450</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3" w:lineRule="exact"/>
              <w:rPr>
                <w:sz w:val="20"/>
                <w:szCs w:val="20"/>
                <w:color w:val="auto"/>
              </w:rPr>
            </w:pPr>
            <w:r>
              <w:rPr>
                <w:rFonts w:ascii="Arial" w:cs="Arial" w:eastAsia="Arial" w:hAnsi="Arial"/>
                <w:sz w:val="18"/>
                <w:szCs w:val="18"/>
                <w:color w:val="auto"/>
              </w:rPr>
              <w:t>Preferred shares Series E with a nominal value of CHF 0.02</w:t>
            </w:r>
          </w:p>
        </w:tc>
        <w:tc>
          <w:tcPr>
            <w:tcW w:w="128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3,113,250</w:t>
            </w: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62,265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46,402,500</w:t>
            </w:r>
          </w:p>
        </w:tc>
        <w:tc>
          <w:tcPr>
            <w:tcW w:w="3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928,050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42,695,000</w:t>
            </w:r>
          </w:p>
        </w:tc>
        <w:tc>
          <w:tcPr>
            <w:tcW w:w="3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853,900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Common and Preferred Shares have a nominal value of CHF 0.02 and are fully paid in. In a liquidation or winding up event (including trade sale), Preferred A, B, C, D and E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727,500 (split-adjusted) registered Common Shares with a par value of CHF 0.02. These shares are reserved for the Company’s stock option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October 23, 2015 the Company successfully completed a financing round of USD 30 million (CHF 29.4 million). The split-adjusted share price of the round was USD 9.63624 for each of the 3,113,250 Series E Preferred Shares.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December 13, 2013, the Company approved a CHF 20 million capital increase. The capital increase was completed in two stages with 2,061,250 shares issued immediately in December 2013 at CHF 4.8516 per share raising gross proceeds of CHF 10 million and the second tranche completed in May 2014 with the Company issuing 2,061,250 shares at CHF 4.8516 per share raising gross proceeds of CHF 10 million.</w:t>
      </w:r>
    </w:p>
    <w:p>
      <w:pPr>
        <w:spacing w:after="0" w:line="296"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40" w:name="page41"/>
    <w:bookmarkEnd w:id="40"/>
    <w:p>
      <w:pPr>
        <w:jc w:val="center"/>
        <w:ind w:right="80"/>
        <w:spacing w:after="0"/>
        <w:rPr>
          <w:sz w:val="20"/>
          <w:szCs w:val="20"/>
          <w:color w:val="auto"/>
        </w:rPr>
      </w:pPr>
      <w:r>
        <w:rPr>
          <w:sz w:val="1"/>
          <w:szCs w:val="1"/>
          <w:color w:val="auto"/>
        </w:rPr>
        <w:drawing>
          <wp:inline distT="0" distB="0" distL="0" distR="0">
            <wp:extent cx="403225" cy="18034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7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10. Trade payables and accrued liabilities</w:t>
            </w:r>
          </w:p>
        </w:tc>
        <w:tc>
          <w:tcPr>
            <w:tcW w:w="21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r>
      <w:tr>
        <w:trPr>
          <w:trHeight w:val="409"/>
        </w:trPr>
        <w:tc>
          <w:tcPr>
            <w:tcW w:w="6760" w:type="dxa"/>
            <w:vAlign w:val="bottom"/>
          </w:tcPr>
          <w:p>
            <w:pPr>
              <w:spacing w:after="0"/>
              <w:rPr>
                <w:sz w:val="24"/>
                <w:szCs w:val="24"/>
                <w:color w:val="auto"/>
              </w:rPr>
            </w:pPr>
          </w:p>
        </w:tc>
        <w:tc>
          <w:tcPr>
            <w:tcW w:w="40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640" w:type="dxa"/>
            <w:vAlign w:val="bottom"/>
            <w:tcBorders>
              <w:bottom w:val="single" w:sz="8" w:color="auto"/>
            </w:tcBorders>
          </w:tcPr>
          <w:p>
            <w:pPr>
              <w:spacing w:after="0"/>
              <w:rPr>
                <w:sz w:val="24"/>
                <w:szCs w:val="24"/>
                <w:color w:val="auto"/>
              </w:rPr>
            </w:pPr>
          </w:p>
        </w:tc>
      </w:tr>
      <w:tr>
        <w:trPr>
          <w:trHeight w:val="237"/>
        </w:trPr>
        <w:tc>
          <w:tcPr>
            <w:tcW w:w="6760" w:type="dxa"/>
            <w:vAlign w:val="bottom"/>
          </w:tcPr>
          <w:p>
            <w:pPr>
              <w:ind w:left="360"/>
              <w:spacing w:after="0"/>
              <w:rPr>
                <w:sz w:val="20"/>
                <w:szCs w:val="20"/>
                <w:color w:val="auto"/>
              </w:rPr>
            </w:pPr>
            <w:r>
              <w:rPr>
                <w:rFonts w:ascii="Arial" w:cs="Arial" w:eastAsia="Arial" w:hAnsi="Arial"/>
                <w:sz w:val="18"/>
                <w:szCs w:val="18"/>
                <w:b w:val="1"/>
                <w:bCs w:val="1"/>
                <w:color w:val="auto"/>
              </w:rPr>
              <w:t>in CHF thousands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1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r>
      <w:tr>
        <w:trPr>
          <w:trHeight w:val="20"/>
        </w:trPr>
        <w:tc>
          <w:tcPr>
            <w:tcW w:w="67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438"/>
        </w:trPr>
        <w:tc>
          <w:tcPr>
            <w:tcW w:w="6760" w:type="dxa"/>
            <w:vAlign w:val="bottom"/>
          </w:tcPr>
          <w:p>
            <w:pPr>
              <w:ind w:left="360"/>
              <w:spacing w:after="0"/>
              <w:rPr>
                <w:sz w:val="20"/>
                <w:szCs w:val="20"/>
                <w:color w:val="auto"/>
              </w:rPr>
            </w:pPr>
            <w:r>
              <w:rPr>
                <w:rFonts w:ascii="Arial" w:cs="Arial" w:eastAsia="Arial" w:hAnsi="Arial"/>
                <w:sz w:val="18"/>
                <w:szCs w:val="18"/>
                <w:color w:val="auto"/>
              </w:rPr>
              <w:t>Trade payables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1'719</w:t>
            </w:r>
          </w:p>
        </w:tc>
        <w:tc>
          <w:tcPr>
            <w:tcW w:w="15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1'584</w:t>
            </w:r>
          </w:p>
        </w:tc>
      </w:tr>
      <w:tr>
        <w:trPr>
          <w:trHeight w:val="203"/>
        </w:trPr>
        <w:tc>
          <w:tcPr>
            <w:tcW w:w="6760" w:type="dxa"/>
            <w:vAlign w:val="bottom"/>
          </w:tcPr>
          <w:p>
            <w:pPr>
              <w:ind w:left="360"/>
              <w:spacing w:after="0" w:line="202" w:lineRule="exact"/>
              <w:rPr>
                <w:sz w:val="20"/>
                <w:szCs w:val="20"/>
                <w:color w:val="auto"/>
              </w:rPr>
            </w:pPr>
            <w:r>
              <w:rPr>
                <w:rFonts w:ascii="Arial" w:cs="Arial" w:eastAsia="Arial" w:hAnsi="Arial"/>
                <w:sz w:val="18"/>
                <w:szCs w:val="18"/>
                <w:color w:val="auto"/>
              </w:rPr>
              <w:t>Accrued R&amp;D costs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1'661</w:t>
            </w:r>
          </w:p>
        </w:tc>
        <w:tc>
          <w:tcPr>
            <w:tcW w:w="15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712</w:t>
            </w:r>
          </w:p>
        </w:tc>
      </w:tr>
      <w:tr>
        <w:trPr>
          <w:trHeight w:val="203"/>
        </w:trPr>
        <w:tc>
          <w:tcPr>
            <w:tcW w:w="6760" w:type="dxa"/>
            <w:vAlign w:val="bottom"/>
          </w:tcPr>
          <w:p>
            <w:pPr>
              <w:ind w:left="360"/>
              <w:spacing w:after="0" w:line="202" w:lineRule="exact"/>
              <w:rPr>
                <w:sz w:val="20"/>
                <w:szCs w:val="20"/>
                <w:color w:val="auto"/>
              </w:rPr>
            </w:pPr>
            <w:r>
              <w:rPr>
                <w:rFonts w:ascii="Arial" w:cs="Arial" w:eastAsia="Arial" w:hAnsi="Arial"/>
                <w:sz w:val="18"/>
                <w:szCs w:val="18"/>
                <w:color w:val="auto"/>
              </w:rPr>
              <w:t>Accrued payroll expenses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1'304</w:t>
            </w:r>
          </w:p>
        </w:tc>
        <w:tc>
          <w:tcPr>
            <w:tcW w:w="15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1'318</w:t>
            </w:r>
          </w:p>
        </w:tc>
      </w:tr>
      <w:tr>
        <w:trPr>
          <w:trHeight w:val="203"/>
        </w:trPr>
        <w:tc>
          <w:tcPr>
            <w:tcW w:w="6760" w:type="dxa"/>
            <w:vAlign w:val="bottom"/>
          </w:tcPr>
          <w:p>
            <w:pPr>
              <w:ind w:left="360"/>
              <w:spacing w:after="0" w:line="202" w:lineRule="exact"/>
              <w:rPr>
                <w:sz w:val="20"/>
                <w:szCs w:val="20"/>
                <w:color w:val="auto"/>
              </w:rPr>
            </w:pPr>
            <w:r>
              <w:rPr>
                <w:rFonts w:ascii="Arial" w:cs="Arial" w:eastAsia="Arial" w:hAnsi="Arial"/>
                <w:sz w:val="18"/>
                <w:szCs w:val="18"/>
                <w:color w:val="auto"/>
              </w:rPr>
              <w:t>Other accrued expenses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1'372</w:t>
            </w:r>
          </w:p>
        </w:tc>
        <w:tc>
          <w:tcPr>
            <w:tcW w:w="15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r>
      <w:tr>
        <w:trPr>
          <w:trHeight w:val="203"/>
        </w:trPr>
        <w:tc>
          <w:tcPr>
            <w:tcW w:w="6760" w:type="dxa"/>
            <w:vAlign w:val="bottom"/>
          </w:tcPr>
          <w:p>
            <w:pPr>
              <w:ind w:left="360"/>
              <w:spacing w:after="0" w:line="203" w:lineRule="exact"/>
              <w:rPr>
                <w:sz w:val="20"/>
                <w:szCs w:val="20"/>
                <w:color w:val="auto"/>
              </w:rPr>
            </w:pPr>
            <w:r>
              <w:rPr>
                <w:rFonts w:ascii="Arial" w:cs="Arial" w:eastAsia="Arial" w:hAnsi="Arial"/>
                <w:sz w:val="18"/>
                <w:szCs w:val="18"/>
                <w:color w:val="auto"/>
              </w:rPr>
              <w:t>Current portion of deferred Income</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45</w:t>
            </w:r>
          </w:p>
        </w:tc>
        <w:tc>
          <w:tcPr>
            <w:tcW w:w="1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205</w:t>
            </w:r>
          </w:p>
        </w:tc>
      </w:tr>
      <w:tr>
        <w:trPr>
          <w:trHeight w:val="196"/>
        </w:trPr>
        <w:tc>
          <w:tcPr>
            <w:tcW w:w="6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Total</w:t>
            </w: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6'101</w:t>
            </w:r>
          </w:p>
        </w:tc>
        <w:tc>
          <w:tcPr>
            <w:tcW w:w="340" w:type="dxa"/>
            <w:vAlign w:val="bottom"/>
          </w:tcPr>
          <w:p>
            <w:pPr>
              <w:spacing w:after="0"/>
              <w:rPr>
                <w:sz w:val="17"/>
                <w:szCs w:val="17"/>
                <w:color w:val="auto"/>
              </w:rPr>
            </w:pPr>
          </w:p>
        </w:tc>
        <w:tc>
          <w:tcPr>
            <w:tcW w:w="15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4'419</w:t>
            </w:r>
          </w:p>
        </w:tc>
      </w:tr>
      <w:tr>
        <w:trPr>
          <w:trHeight w:val="20"/>
        </w:trPr>
        <w:tc>
          <w:tcPr>
            <w:tcW w:w="67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 accrual of CHF 880 thousand and CHF 947 thousand was recognized for performance-related remuneration relating to 2015 and 2014,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22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2015 we received a grant from the Michael J Fox Foundation for developing an alpha-synuclein protein positron emission tomography (PET) imaging agent. The grant covers an 18 month period. We recognized revenues on a straight line basis over the period of the grant. As of December 31, 2015, the remaining CHF 45 thousand is recorded as a current liability in deferred income.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tracers supporting the diagnosis and clinical management of AD and potential tau-related disorders.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No deferred income was recognized during the year ended on December 31, 2015.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60" w:type="dxa"/>
            <w:vAlign w:val="bottom"/>
          </w:tcPr>
          <w:p>
            <w:pPr>
              <w:spacing w:after="0"/>
              <w:rPr>
                <w:sz w:val="20"/>
                <w:szCs w:val="20"/>
                <w:color w:val="auto"/>
              </w:rPr>
            </w:pPr>
            <w:r>
              <w:rPr>
                <w:rFonts w:ascii="Arial" w:cs="Arial" w:eastAsia="Arial" w:hAnsi="Arial"/>
                <w:sz w:val="18"/>
                <w:szCs w:val="18"/>
                <w:b w:val="1"/>
                <w:bCs w:val="1"/>
                <w:color w:val="auto"/>
              </w:rPr>
              <w:t>11. Revenues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in CHF thousands</w:t>
            </w:r>
          </w:p>
        </w:tc>
        <w:tc>
          <w:tcPr>
            <w:tcW w:w="39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760" w:type="dxa"/>
            <w:vAlign w:val="bottom"/>
            <w:vMerge w:val="continue"/>
          </w:tcPr>
          <w:p>
            <w:pPr>
              <w:spacing w:after="0"/>
              <w:rPr>
                <w:sz w:val="20"/>
                <w:szCs w:val="20"/>
                <w:color w:val="auto"/>
              </w:rPr>
            </w:pPr>
          </w:p>
        </w:tc>
        <w:tc>
          <w:tcPr>
            <w:tcW w:w="2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1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760" w:type="dxa"/>
            <w:vAlign w:val="bottom"/>
          </w:tcPr>
          <w:p>
            <w:pPr>
              <w:ind w:left="360"/>
              <w:spacing w:after="0"/>
              <w:rPr>
                <w:sz w:val="20"/>
                <w:szCs w:val="20"/>
                <w:color w:val="auto"/>
              </w:rPr>
            </w:pPr>
            <w:r>
              <w:rPr>
                <w:rFonts w:ascii="Arial" w:cs="Arial" w:eastAsia="Arial" w:hAnsi="Arial"/>
                <w:sz w:val="18"/>
                <w:szCs w:val="18"/>
                <w:color w:val="auto"/>
              </w:rPr>
              <w:t>Collaboration and license revenue</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38'745</w:t>
            </w:r>
          </w:p>
        </w:tc>
        <w:tc>
          <w:tcPr>
            <w:tcW w:w="1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30'179</w:t>
            </w:r>
          </w:p>
        </w:tc>
        <w:tc>
          <w:tcPr>
            <w:tcW w:w="0" w:type="dxa"/>
            <w:vAlign w:val="bottom"/>
          </w:tcPr>
          <w:p>
            <w:pPr>
              <w:spacing w:after="0"/>
              <w:rPr>
                <w:sz w:val="1"/>
                <w:szCs w:val="1"/>
                <w:color w:val="auto"/>
              </w:rPr>
            </w:pPr>
          </w:p>
        </w:tc>
      </w:tr>
      <w:tr>
        <w:trPr>
          <w:trHeight w:val="203"/>
        </w:trPr>
        <w:tc>
          <w:tcPr>
            <w:tcW w:w="6760" w:type="dxa"/>
            <w:vAlign w:val="bottom"/>
          </w:tcPr>
          <w:p>
            <w:pPr>
              <w:ind w:left="360"/>
              <w:spacing w:after="0" w:line="202" w:lineRule="exact"/>
              <w:rPr>
                <w:sz w:val="20"/>
                <w:szCs w:val="20"/>
                <w:color w:val="auto"/>
              </w:rPr>
            </w:pPr>
            <w:r>
              <w:rPr>
                <w:rFonts w:ascii="Arial" w:cs="Arial" w:eastAsia="Arial" w:hAnsi="Arial"/>
                <w:sz w:val="18"/>
                <w:szCs w:val="18"/>
                <w:color w:val="auto"/>
              </w:rPr>
              <w:t>Grant revenue</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316</w:t>
            </w:r>
          </w:p>
        </w:tc>
        <w:tc>
          <w:tcPr>
            <w:tcW w:w="14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6760" w:type="dxa"/>
            <w:vAlign w:val="bottom"/>
          </w:tcPr>
          <w:p>
            <w:pPr>
              <w:ind w:left="360"/>
              <w:spacing w:after="0" w:line="203" w:lineRule="exact"/>
              <w:rPr>
                <w:sz w:val="20"/>
                <w:szCs w:val="20"/>
                <w:color w:val="auto"/>
              </w:rPr>
            </w:pPr>
            <w:r>
              <w:rPr>
                <w:rFonts w:ascii="Arial" w:cs="Arial" w:eastAsia="Arial" w:hAnsi="Arial"/>
                <w:sz w:val="18"/>
                <w:szCs w:val="18"/>
                <w:color w:val="auto"/>
              </w:rPr>
              <w:t>Other</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29</w:t>
            </w:r>
          </w:p>
        </w:tc>
        <w:tc>
          <w:tcPr>
            <w:tcW w:w="14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676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Total</w:t>
            </w: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39'090</w:t>
            </w:r>
          </w:p>
        </w:tc>
        <w:tc>
          <w:tcPr>
            <w:tcW w:w="340" w:type="dxa"/>
            <w:vAlign w:val="bottom"/>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in July 2015, Genentech announced it will commence Phase 3 clinical studies for crenezumab in 2016. If crenezumab receives regulatory approval, we will be entitled to receive royalties that are tied to annual sales volumes with different royalty rates applicable in the U.S. and Europe. These percentage rates range from the low double digits to the mid-teens.</w:t>
      </w:r>
    </w:p>
    <w:p>
      <w:pPr>
        <w:spacing w:after="0" w:line="296"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41" w:name="page42"/>
    <w:bookmarkEnd w:id="41"/>
    <w:p>
      <w:pPr>
        <w:jc w:val="center"/>
        <w:ind w:right="80"/>
        <w:spacing w:after="0"/>
        <w:rPr>
          <w:sz w:val="20"/>
          <w:szCs w:val="20"/>
          <w:color w:val="auto"/>
        </w:rPr>
      </w:pPr>
      <w:r>
        <w:rPr>
          <w:sz w:val="1"/>
          <w:szCs w:val="1"/>
          <w:color w:val="auto"/>
        </w:rPr>
        <w:drawing>
          <wp:inline distT="0" distB="0" distL="0" distR="0">
            <wp:extent cx="403225" cy="18034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As at December 31, 2015 we have received total payments of $65 million (CHF 70.1 million): $40 million (CHF 45.8 million) were received in three milestone payments prior to 2013 and $25 million (CHF 24.3 million) were received in July 2015.</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recognized the Phase 3 payment in our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received in 2015. In June 2015, the Company recognized as revenue a milestone payment of CHF 14 million as there is no further performance obligation. This milestone was due upon the ED-GO decision by Genentech on the anti-tau antibody’s product in AD. At the same time, Genentech announced that it intends to move the anti-tau antibody program into Phase 1 clinical studies in late 2016.</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Genentech may terminate the agreement at any time by providing three months’ notice to us. In such event all costs incurred are still refundable.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Tau Vaccine in AD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Collaboration agreement of 2014 with Janssen Pharmaceuticals</w:t>
      </w:r>
    </w:p>
    <w:p>
      <w:pPr>
        <w:spacing w:after="0" w:line="2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2" w:name="page43"/>
    <w:bookmarkEnd w:id="42"/>
    <w:p>
      <w:pPr>
        <w:jc w:val="center"/>
        <w:ind w:right="80"/>
        <w:spacing w:after="0"/>
        <w:rPr>
          <w:sz w:val="20"/>
          <w:szCs w:val="20"/>
          <w:color w:val="auto"/>
        </w:rPr>
      </w:pPr>
      <w:r>
        <w:rPr>
          <w:sz w:val="1"/>
          <w:szCs w:val="1"/>
          <w:color w:val="auto"/>
        </w:rPr>
        <w:drawing>
          <wp:inline distT="0" distB="0" distL="0" distR="0">
            <wp:extent cx="403225" cy="18034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create value from the license without our R&amp;D support services due their extensive experience in vaccine development and production which would allow them to complete the phase 1b clinical trials.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2014 we recognized revenue associated with a research grant given to us by a European Institution in October of 2011 and which had a 3-year duration. We recognized the revenues on a straight line basis over the period of the grant.</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2015 we received a grant from the Michael J Fox Foundation for developing an alpha-synuclein PET imaging agent. The grant covers an 18 month period. We recognized revenues on a straight line basis over the period of the grant.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Expenses by category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60" w:type="dxa"/>
            <w:vAlign w:val="bottom"/>
          </w:tcPr>
          <w:p>
            <w:pPr>
              <w:spacing w:after="0"/>
              <w:rPr>
                <w:sz w:val="21"/>
                <w:szCs w:val="21"/>
                <w:color w:val="auto"/>
              </w:rPr>
            </w:pPr>
          </w:p>
        </w:tc>
        <w:tc>
          <w:tcPr>
            <w:tcW w:w="39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580"/>
              <w:spacing w:after="0"/>
              <w:rPr>
                <w:sz w:val="20"/>
                <w:szCs w:val="20"/>
                <w:color w:val="auto"/>
              </w:rPr>
            </w:pPr>
            <w:r>
              <w:rPr>
                <w:rFonts w:ascii="Arial" w:cs="Arial" w:eastAsia="Arial" w:hAnsi="Arial"/>
                <w:sz w:val="18"/>
                <w:szCs w:val="18"/>
                <w:b w:val="1"/>
                <w:bCs w:val="1"/>
                <w:color w:val="auto"/>
              </w:rPr>
              <w:t>in CHF thousands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1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60" w:type="dxa"/>
            <w:vAlign w:val="bottom"/>
          </w:tcPr>
          <w:p>
            <w:pPr>
              <w:ind w:left="580"/>
              <w:spacing w:after="0"/>
              <w:rPr>
                <w:sz w:val="20"/>
                <w:szCs w:val="20"/>
                <w:color w:val="auto"/>
              </w:rPr>
            </w:pPr>
            <w:r>
              <w:rPr>
                <w:rFonts w:ascii="Arial" w:cs="Arial" w:eastAsia="Arial" w:hAnsi="Arial"/>
                <w:sz w:val="18"/>
                <w:szCs w:val="18"/>
                <w:color w:val="auto"/>
              </w:rPr>
              <w:t>Operating expenses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10'476</w:t>
            </w:r>
          </w:p>
        </w:tc>
        <w:tc>
          <w:tcPr>
            <w:tcW w:w="1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9'990</w:t>
            </w:r>
          </w:p>
        </w:tc>
        <w:tc>
          <w:tcPr>
            <w:tcW w:w="0" w:type="dxa"/>
            <w:vAlign w:val="bottom"/>
          </w:tcPr>
          <w:p>
            <w:pPr>
              <w:spacing w:after="0"/>
              <w:rPr>
                <w:sz w:val="1"/>
                <w:szCs w:val="1"/>
                <w:color w:val="auto"/>
              </w:rPr>
            </w:pPr>
          </w:p>
        </w:tc>
      </w:tr>
      <w:tr>
        <w:trPr>
          <w:trHeight w:val="243"/>
        </w:trPr>
        <w:tc>
          <w:tcPr>
            <w:tcW w:w="6760" w:type="dxa"/>
            <w:vAlign w:val="bottom"/>
          </w:tcPr>
          <w:p>
            <w:pPr>
              <w:ind w:left="580"/>
              <w:spacing w:after="0"/>
              <w:rPr>
                <w:sz w:val="20"/>
                <w:szCs w:val="20"/>
                <w:color w:val="auto"/>
              </w:rPr>
            </w:pPr>
            <w:r>
              <w:rPr>
                <w:rFonts w:ascii="Arial" w:cs="Arial" w:eastAsia="Arial" w:hAnsi="Arial"/>
                <w:sz w:val="18"/>
                <w:szCs w:val="18"/>
                <w:color w:val="auto"/>
              </w:rPr>
              <w:t>Payroll expenses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5'879</w:t>
            </w:r>
          </w:p>
        </w:tc>
        <w:tc>
          <w:tcPr>
            <w:tcW w:w="1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r>
        <w:trPr>
          <w:trHeight w:val="243"/>
        </w:trPr>
        <w:tc>
          <w:tcPr>
            <w:tcW w:w="6760" w:type="dxa"/>
            <w:vAlign w:val="bottom"/>
          </w:tcPr>
          <w:p>
            <w:pPr>
              <w:ind w:left="580"/>
              <w:spacing w:after="0"/>
              <w:rPr>
                <w:sz w:val="20"/>
                <w:szCs w:val="20"/>
                <w:color w:val="auto"/>
              </w:rPr>
            </w:pPr>
            <w:r>
              <w:rPr>
                <w:rFonts w:ascii="Arial" w:cs="Arial" w:eastAsia="Arial" w:hAnsi="Arial"/>
                <w:sz w:val="18"/>
                <w:szCs w:val="18"/>
                <w:color w:val="auto"/>
              </w:rPr>
              <w:t>Share-based compensation</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407</w:t>
            </w:r>
          </w:p>
        </w:tc>
        <w:tc>
          <w:tcPr>
            <w:tcW w:w="1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0"/>
        </w:trPr>
        <w:tc>
          <w:tcPr>
            <w:tcW w:w="6760" w:type="dxa"/>
            <w:vAlign w:val="bottom"/>
          </w:tcPr>
          <w:p>
            <w:pPr>
              <w:ind w:left="580"/>
              <w:spacing w:after="0"/>
              <w:rPr>
                <w:sz w:val="20"/>
                <w:szCs w:val="20"/>
                <w:color w:val="auto"/>
              </w:rPr>
            </w:pPr>
            <w:r>
              <w:rPr>
                <w:rFonts w:ascii="Arial" w:cs="Arial" w:eastAsia="Arial" w:hAnsi="Arial"/>
                <w:sz w:val="18"/>
                <w:szCs w:val="18"/>
                <w:color w:val="auto"/>
              </w:rPr>
              <w:t>Depreciation of tangible fixed assets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287</w:t>
            </w:r>
          </w:p>
        </w:tc>
        <w:tc>
          <w:tcPr>
            <w:tcW w:w="1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6760" w:type="dxa"/>
            <w:vAlign w:val="bottom"/>
          </w:tcPr>
          <w:p>
            <w:pPr>
              <w:ind w:left="580"/>
              <w:spacing w:after="0"/>
              <w:rPr>
                <w:sz w:val="20"/>
                <w:szCs w:val="20"/>
                <w:color w:val="auto"/>
              </w:rPr>
            </w:pPr>
            <w:r>
              <w:rPr>
                <w:rFonts w:ascii="Arial" w:cs="Arial" w:eastAsia="Arial" w:hAnsi="Arial"/>
                <w:sz w:val="18"/>
                <w:szCs w:val="18"/>
                <w:color w:val="auto"/>
              </w:rPr>
              <w:t>Total research and development expenses</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17'049</w:t>
            </w:r>
          </w:p>
        </w:tc>
        <w:tc>
          <w:tcPr>
            <w:tcW w:w="340" w:type="dxa"/>
            <w:vAlign w:val="bottom"/>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i w:val="1"/>
                <w:iCs w:val="1"/>
                <w:color w:val="auto"/>
              </w:rPr>
              <w:t>Administration</w:t>
            </w: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7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760" w:type="dxa"/>
            <w:vAlign w:val="bottom"/>
          </w:tcPr>
          <w:p>
            <w:pPr>
              <w:spacing w:after="0"/>
              <w:rPr>
                <w:sz w:val="24"/>
                <w:szCs w:val="24"/>
                <w:color w:val="auto"/>
              </w:rPr>
            </w:pPr>
          </w:p>
        </w:tc>
        <w:tc>
          <w:tcPr>
            <w:tcW w:w="39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580"/>
              <w:spacing w:after="0"/>
              <w:rPr>
                <w:sz w:val="20"/>
                <w:szCs w:val="20"/>
                <w:color w:val="auto"/>
              </w:rPr>
            </w:pPr>
            <w:r>
              <w:rPr>
                <w:rFonts w:ascii="Arial" w:cs="Arial" w:eastAsia="Arial" w:hAnsi="Arial"/>
                <w:sz w:val="18"/>
                <w:szCs w:val="18"/>
                <w:b w:val="1"/>
                <w:bCs w:val="1"/>
                <w:color w:val="auto"/>
              </w:rPr>
              <w:t>in CHF thousands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1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580"/>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760" w:type="dxa"/>
            <w:vAlign w:val="bottom"/>
            <w:vMerge w:val="continue"/>
          </w:tcPr>
          <w:p>
            <w:pPr>
              <w:spacing w:after="0"/>
              <w:rPr>
                <w:sz w:val="24"/>
                <w:szCs w:val="24"/>
                <w:color w:val="auto"/>
              </w:rPr>
            </w:pP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1'377</w:t>
            </w:r>
          </w:p>
        </w:tc>
        <w:tc>
          <w:tcPr>
            <w:tcW w:w="1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43"/>
        </w:trPr>
        <w:tc>
          <w:tcPr>
            <w:tcW w:w="6760" w:type="dxa"/>
            <w:vAlign w:val="bottom"/>
          </w:tcPr>
          <w:p>
            <w:pPr>
              <w:ind w:left="580"/>
              <w:spacing w:after="0"/>
              <w:rPr>
                <w:sz w:val="20"/>
                <w:szCs w:val="20"/>
                <w:color w:val="auto"/>
              </w:rPr>
            </w:pPr>
            <w:r>
              <w:rPr>
                <w:rFonts w:ascii="Arial" w:cs="Arial" w:eastAsia="Arial" w:hAnsi="Arial"/>
                <w:sz w:val="18"/>
                <w:szCs w:val="18"/>
                <w:color w:val="auto"/>
              </w:rPr>
              <w:t>Payroll expenses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1'908</w:t>
            </w:r>
          </w:p>
        </w:tc>
        <w:tc>
          <w:tcPr>
            <w:tcW w:w="1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30"/>
        </w:trPr>
        <w:tc>
          <w:tcPr>
            <w:tcW w:w="6760" w:type="dxa"/>
            <w:vAlign w:val="bottom"/>
          </w:tcPr>
          <w:p>
            <w:pPr>
              <w:ind w:left="580"/>
              <w:spacing w:after="0"/>
              <w:rPr>
                <w:sz w:val="20"/>
                <w:szCs w:val="20"/>
                <w:color w:val="auto"/>
              </w:rPr>
            </w:pPr>
            <w:r>
              <w:rPr>
                <w:rFonts w:ascii="Arial" w:cs="Arial" w:eastAsia="Arial" w:hAnsi="Arial"/>
                <w:sz w:val="18"/>
                <w:szCs w:val="18"/>
                <w:color w:val="auto"/>
              </w:rPr>
              <w:t>Share-based compensation</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132</w:t>
            </w:r>
          </w:p>
        </w:tc>
        <w:tc>
          <w:tcPr>
            <w:tcW w:w="1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tcPr>
          <w:p>
            <w:pPr>
              <w:ind w:left="580"/>
              <w:spacing w:after="0"/>
              <w:rPr>
                <w:sz w:val="20"/>
                <w:szCs w:val="20"/>
                <w:color w:val="auto"/>
              </w:rPr>
            </w:pPr>
            <w:r>
              <w:rPr>
                <w:rFonts w:ascii="Arial" w:cs="Arial" w:eastAsia="Arial" w:hAnsi="Arial"/>
                <w:sz w:val="18"/>
                <w:szCs w:val="18"/>
                <w:color w:val="auto"/>
              </w:rPr>
              <w:t>Total general and administrative expenses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3'417</w:t>
            </w:r>
          </w:p>
        </w:tc>
        <w:tc>
          <w:tcPr>
            <w:tcW w:w="1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59"/>
        </w:trPr>
        <w:tc>
          <w:tcPr>
            <w:tcW w:w="67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-307975</wp:posOffset>
            </wp:positionV>
            <wp:extent cx="1260475"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60475" cy="274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3" w:name="page44"/>
    <w:bookmarkEnd w:id="43"/>
    <w:p>
      <w:pPr>
        <w:jc w:val="center"/>
        <w:ind w:right="80"/>
        <w:spacing w:after="0"/>
        <w:rPr>
          <w:sz w:val="20"/>
          <w:szCs w:val="20"/>
          <w:color w:val="auto"/>
        </w:rPr>
      </w:pPr>
      <w:r>
        <w:rPr>
          <w:sz w:val="1"/>
          <w:szCs w:val="1"/>
          <w:color w:val="auto"/>
        </w:rPr>
        <w:drawing>
          <wp:inline distT="0" distB="0" distL="0" distR="0">
            <wp:extent cx="403225" cy="18034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(four individuals) compensation is: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46"/>
        </w:trPr>
        <w:tc>
          <w:tcPr>
            <w:tcW w:w="6180" w:type="dxa"/>
            <w:vAlign w:val="bottom"/>
          </w:tcPr>
          <w:p>
            <w:pPr>
              <w:spacing w:after="0"/>
              <w:rPr>
                <w:sz w:val="21"/>
                <w:szCs w:val="21"/>
                <w:color w:val="auto"/>
              </w:rPr>
            </w:pPr>
          </w:p>
        </w:tc>
        <w:tc>
          <w:tcPr>
            <w:tcW w:w="40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640" w:type="dxa"/>
            <w:vAlign w:val="bottom"/>
            <w:tcBorders>
              <w:bottom w:val="single" w:sz="8" w:color="auto"/>
            </w:tcBorders>
          </w:tcPr>
          <w:p>
            <w:pPr>
              <w:spacing w:after="0"/>
              <w:rPr>
                <w:sz w:val="21"/>
                <w:szCs w:val="21"/>
                <w:color w:val="auto"/>
              </w:rPr>
            </w:pPr>
          </w:p>
        </w:tc>
      </w:tr>
      <w:tr>
        <w:trPr>
          <w:trHeight w:val="241"/>
        </w:trPr>
        <w:tc>
          <w:tcPr>
            <w:tcW w:w="618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1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r>
      <w:tr>
        <w:trPr>
          <w:trHeight w:val="20"/>
        </w:trPr>
        <w:tc>
          <w:tcPr>
            <w:tcW w:w="61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468"/>
        </w:trPr>
        <w:tc>
          <w:tcPr>
            <w:tcW w:w="6180" w:type="dxa"/>
            <w:vAlign w:val="bottom"/>
          </w:tcPr>
          <w:p>
            <w:pPr>
              <w:spacing w:after="0"/>
              <w:rPr>
                <w:sz w:val="20"/>
                <w:szCs w:val="20"/>
                <w:color w:val="auto"/>
              </w:rPr>
            </w:pPr>
            <w:r>
              <w:rPr>
                <w:rFonts w:ascii="Arial" w:cs="Arial" w:eastAsia="Arial" w:hAnsi="Arial"/>
                <w:sz w:val="18"/>
                <w:szCs w:val="18"/>
                <w:color w:val="auto"/>
              </w:rPr>
              <w:t>Short-term employee benefits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1'776</w:t>
            </w:r>
          </w:p>
        </w:tc>
        <w:tc>
          <w:tcPr>
            <w:tcW w:w="15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1'631</w:t>
            </w: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124</w:t>
            </w:r>
          </w:p>
        </w:tc>
        <w:tc>
          <w:tcPr>
            <w:tcW w:w="1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50"/>
        </w:trPr>
        <w:tc>
          <w:tcPr>
            <w:tcW w:w="61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340" w:type="dxa"/>
            <w:vAlign w:val="bottom"/>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20"/>
        </w:trPr>
        <w:tc>
          <w:tcPr>
            <w:tcW w:w="61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July 2015, George Pavey joined AC Immune as Chief Financial Officer and a member of Executive Management. At the same time, Jean-Fabien Monin assumed the role of Chief Administrative Officer. He had previously been Chief Financial Officer since 2009.</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Friedrich von Bohlen and Peter Bollmann joined the Board of Directors of AC Immune in October and December 2015, respectively. Friedrich von Bohlen replaced Christof Hettich who stepped down from the Board in August 2015. Beat Guertler resigned from the board in December 2015. His position was assumed by Peter Bollmann.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45,000 and 62,500 options were granted in 2015 and 2014, respectively, to the Executive Management of the Company. Zero and 51,250 options were granted in 2015 and 2014, respectively, to the Directors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79"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For the Years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ind w:left="580"/>
              <w:spacing w:after="0"/>
              <w:rPr>
                <w:sz w:val="20"/>
                <w:szCs w:val="20"/>
                <w:color w:val="auto"/>
              </w:rPr>
            </w:pPr>
            <w:r>
              <w:rPr>
                <w:rFonts w:ascii="Arial" w:cs="Arial" w:eastAsia="Arial" w:hAnsi="Arial"/>
                <w:sz w:val="18"/>
                <w:szCs w:val="18"/>
                <w:b w:val="1"/>
                <w:bCs w:val="1"/>
                <w:color w:val="auto"/>
              </w:rPr>
              <w:t>in CHF thousands</w:t>
            </w:r>
          </w:p>
        </w:tc>
        <w:tc>
          <w:tcPr>
            <w:tcW w:w="62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14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49"/>
        </w:trPr>
        <w:tc>
          <w:tcPr>
            <w:tcW w:w="6760" w:type="dxa"/>
            <w:vAlign w:val="bottom"/>
          </w:tcPr>
          <w:p>
            <w:pPr>
              <w:ind w:left="580"/>
              <w:spacing w:after="0"/>
              <w:rPr>
                <w:sz w:val="20"/>
                <w:szCs w:val="20"/>
                <w:color w:val="auto"/>
              </w:rPr>
            </w:pPr>
            <w:r>
              <w:rPr>
                <w:rFonts w:ascii="Arial" w:cs="Arial" w:eastAsia="Arial" w:hAnsi="Arial"/>
                <w:sz w:val="18"/>
                <w:szCs w:val="18"/>
                <w:b w:val="1"/>
                <w:bCs w:val="1"/>
                <w:color w:val="auto"/>
              </w:rPr>
              <w:t>Income tax recognized in profit or loss</w:t>
            </w:r>
          </w:p>
        </w:tc>
        <w:tc>
          <w:tcPr>
            <w:tcW w:w="6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380" w:type="dxa"/>
            <w:vAlign w:val="bottom"/>
            <w:gridSpan w:val="2"/>
          </w:tcPr>
          <w:p>
            <w:pPr>
              <w:ind w:left="580"/>
              <w:spacing w:after="0"/>
              <w:rPr>
                <w:sz w:val="20"/>
                <w:szCs w:val="20"/>
                <w:color w:val="auto"/>
              </w:rPr>
            </w:pPr>
            <w:r>
              <w:rPr>
                <w:rFonts w:ascii="Arial" w:cs="Arial" w:eastAsia="Arial" w:hAnsi="Arial"/>
                <w:sz w:val="18"/>
                <w:szCs w:val="18"/>
                <w:color w:val="auto"/>
              </w:rPr>
              <w:t>Current tax</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380" w:type="dxa"/>
            <w:vAlign w:val="bottom"/>
            <w:gridSpan w:val="2"/>
          </w:tcPr>
          <w:p>
            <w:pPr>
              <w:ind w:left="580"/>
              <w:spacing w:after="0"/>
              <w:rPr>
                <w:sz w:val="20"/>
                <w:szCs w:val="20"/>
                <w:color w:val="auto"/>
              </w:rPr>
            </w:pPr>
            <w:r>
              <w:rPr>
                <w:rFonts w:ascii="Arial" w:cs="Arial" w:eastAsia="Arial" w:hAnsi="Arial"/>
                <w:sz w:val="18"/>
                <w:szCs w:val="18"/>
                <w:color w:val="auto"/>
              </w:rPr>
              <w:t>Deferred tax</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580"/>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80" w:type="dxa"/>
            <w:vAlign w:val="bottom"/>
            <w:gridSpan w:val="2"/>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7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For the Years Ended December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760" w:type="dxa"/>
            <w:vAlign w:val="bottom"/>
          </w:tcPr>
          <w:p>
            <w:pPr>
              <w:ind w:left="580"/>
              <w:spacing w:after="0"/>
              <w:rPr>
                <w:sz w:val="20"/>
                <w:szCs w:val="20"/>
                <w:color w:val="auto"/>
              </w:rPr>
            </w:pPr>
            <w:r>
              <w:rPr>
                <w:rFonts w:ascii="Arial" w:cs="Arial" w:eastAsia="Arial" w:hAnsi="Arial"/>
                <w:sz w:val="18"/>
                <w:szCs w:val="18"/>
                <w:b w:val="1"/>
                <w:bCs w:val="1"/>
                <w:color w:val="auto"/>
              </w:rPr>
              <w:t>in CHF thousands</w:t>
            </w:r>
          </w:p>
        </w:tc>
        <w:tc>
          <w:tcPr>
            <w:tcW w:w="620" w:type="dxa"/>
            <w:vAlign w:val="bottom"/>
          </w:tcPr>
          <w:p>
            <w:pPr>
              <w:spacing w:after="0"/>
              <w:rPr>
                <w:sz w:val="20"/>
                <w:szCs w:val="20"/>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1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6760" w:type="dxa"/>
            <w:vAlign w:val="bottom"/>
          </w:tcPr>
          <w:p>
            <w:pPr>
              <w:ind w:left="580"/>
              <w:spacing w:after="0"/>
              <w:rPr>
                <w:sz w:val="20"/>
                <w:szCs w:val="20"/>
                <w:color w:val="auto"/>
              </w:rPr>
            </w:pPr>
            <w:r>
              <w:rPr>
                <w:rFonts w:ascii="Arial" w:cs="Arial" w:eastAsia="Arial" w:hAnsi="Arial"/>
                <w:sz w:val="18"/>
                <w:szCs w:val="18"/>
                <w:b w:val="1"/>
                <w:bCs w:val="1"/>
                <w:color w:val="auto"/>
              </w:rPr>
              <w:t>Accounting income before income tax</w:t>
            </w:r>
          </w:p>
        </w:tc>
        <w:tc>
          <w:tcPr>
            <w:tcW w:w="620" w:type="dxa"/>
            <w:vAlign w:val="bottom"/>
          </w:tcPr>
          <w:p>
            <w:pPr>
              <w:spacing w:after="0"/>
              <w:rPr>
                <w:sz w:val="24"/>
                <w:szCs w:val="24"/>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20'270</w:t>
            </w:r>
          </w:p>
        </w:tc>
        <w:tc>
          <w:tcPr>
            <w:tcW w:w="1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580"/>
              <w:spacing w:after="0"/>
              <w:rPr>
                <w:sz w:val="20"/>
                <w:szCs w:val="20"/>
                <w:color w:val="auto"/>
              </w:rPr>
            </w:pPr>
            <w:r>
              <w:rPr>
                <w:rFonts w:ascii="Arial" w:cs="Arial" w:eastAsia="Arial" w:hAnsi="Arial"/>
                <w:sz w:val="18"/>
                <w:szCs w:val="18"/>
                <w:color w:val="auto"/>
              </w:rPr>
              <w:t>Tax expense calculated at the statutory rate of 22.5% (2014: 22.5%)</w:t>
            </w:r>
          </w:p>
        </w:tc>
        <w:tc>
          <w:tcPr>
            <w:tcW w:w="6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4'566</w:t>
            </w: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30"/>
        </w:trPr>
        <w:tc>
          <w:tcPr>
            <w:tcW w:w="7380" w:type="dxa"/>
            <w:vAlign w:val="bottom"/>
            <w:gridSpan w:val="2"/>
          </w:tcPr>
          <w:p>
            <w:pPr>
              <w:ind w:left="580"/>
              <w:spacing w:after="0"/>
              <w:rPr>
                <w:sz w:val="20"/>
                <w:szCs w:val="20"/>
                <w:color w:val="auto"/>
              </w:rPr>
            </w:pPr>
            <w:r>
              <w:rPr>
                <w:rFonts w:ascii="Arial" w:cs="Arial" w:eastAsia="Arial" w:hAnsi="Arial"/>
                <w:sz w:val="18"/>
                <w:szCs w:val="18"/>
                <w:color w:val="auto"/>
              </w:rPr>
              <w:t>Effect of Swiss Tax Holidays</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50"/>
        </w:trPr>
        <w:tc>
          <w:tcPr>
            <w:tcW w:w="7380" w:type="dxa"/>
            <w:vAlign w:val="bottom"/>
            <w:gridSpan w:val="2"/>
          </w:tcPr>
          <w:p>
            <w:pPr>
              <w:ind w:left="580"/>
              <w:spacing w:after="0"/>
              <w:rPr>
                <w:sz w:val="20"/>
                <w:szCs w:val="20"/>
                <w:color w:val="auto"/>
              </w:rPr>
            </w:pPr>
            <w:r>
              <w:rPr>
                <w:rFonts w:ascii="Arial" w:cs="Arial" w:eastAsia="Arial" w:hAnsi="Arial"/>
                <w:sz w:val="18"/>
                <w:szCs w:val="18"/>
                <w:color w:val="auto"/>
              </w:rPr>
              <w:t>Unrecognized carry forward tax loss</w:t>
            </w: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(4'566)</w:t>
            </w:r>
          </w:p>
        </w:tc>
        <w:tc>
          <w:tcPr>
            <w:tcW w:w="1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580"/>
              <w:spacing w:after="0"/>
              <w:rPr>
                <w:sz w:val="20"/>
                <w:szCs w:val="20"/>
                <w:color w:val="auto"/>
              </w:rPr>
            </w:pPr>
            <w:r>
              <w:rPr>
                <w:rFonts w:ascii="Arial" w:cs="Arial" w:eastAsia="Arial" w:hAnsi="Arial"/>
                <w:sz w:val="18"/>
                <w:szCs w:val="18"/>
                <w:b w:val="1"/>
                <w:bCs w:val="1"/>
                <w:color w:val="auto"/>
              </w:rPr>
              <w:t>Effective income tax rate benefit / (expense)</w:t>
            </w:r>
          </w:p>
        </w:tc>
        <w:tc>
          <w:tcPr>
            <w:tcW w:w="6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59"/>
        </w:trPr>
        <w:tc>
          <w:tcPr>
            <w:tcW w:w="67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-307975</wp:posOffset>
            </wp:positionV>
            <wp:extent cx="1260475"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60475" cy="274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4" w:name="page45"/>
    <w:bookmarkEnd w:id="44"/>
    <w:p>
      <w:pPr>
        <w:jc w:val="center"/>
        <w:ind w:right="80"/>
        <w:spacing w:after="0"/>
        <w:rPr>
          <w:sz w:val="20"/>
          <w:szCs w:val="20"/>
          <w:color w:val="auto"/>
        </w:rPr>
      </w:pPr>
      <w:r>
        <w:rPr>
          <w:sz w:val="1"/>
          <w:szCs w:val="1"/>
          <w:color w:val="auto"/>
        </w:rPr>
        <w:drawing>
          <wp:inline distT="0" distB="0" distL="0" distR="0">
            <wp:extent cx="403225" cy="18034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tax rate used for the 2015 and 2014 reconciliations above is the corporate tax rate of 22.5% payable by corporate entities in the Canton of Vaud, Switzerland on taxable profits under tax law in that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2015, AC Immune was able to avail itself of tax loss carryforwards to reduce its effective tax rate to zero.</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Consequently, the effective tax rate for 2014 was zero.</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180" w:type="dxa"/>
            <w:vAlign w:val="bottom"/>
          </w:tcPr>
          <w:p>
            <w:pPr>
              <w:spacing w:after="0"/>
              <w:rPr>
                <w:sz w:val="19"/>
                <w:szCs w:val="19"/>
                <w:color w:val="auto"/>
              </w:rPr>
            </w:pPr>
          </w:p>
        </w:tc>
        <w:tc>
          <w:tcPr>
            <w:tcW w:w="466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180" w:type="dxa"/>
            <w:vAlign w:val="bottom"/>
            <w:vMerge w:val="continue"/>
          </w:tcPr>
          <w:p>
            <w:pPr>
              <w:spacing w:after="0"/>
              <w:rPr>
                <w:sz w:val="17"/>
                <w:szCs w:val="17"/>
                <w:color w:val="auto"/>
              </w:rPr>
            </w:pPr>
          </w:p>
        </w:tc>
        <w:tc>
          <w:tcPr>
            <w:tcW w:w="2500" w:type="dxa"/>
            <w:vAlign w:val="bottom"/>
            <w:gridSpan w:val="2"/>
          </w:tcPr>
          <w:p>
            <w:pPr>
              <w:jc w:val="right"/>
              <w:ind w:right="340"/>
              <w:spacing w:after="0" w:line="201" w:lineRule="exact"/>
              <w:rPr>
                <w:sz w:val="20"/>
                <w:szCs w:val="20"/>
                <w:color w:val="auto"/>
              </w:rPr>
            </w:pPr>
            <w:r>
              <w:rPr>
                <w:rFonts w:ascii="Arial" w:cs="Arial" w:eastAsia="Arial" w:hAnsi="Arial"/>
                <w:sz w:val="18"/>
                <w:szCs w:val="18"/>
                <w:b w:val="1"/>
                <w:bCs w:val="1"/>
                <w:color w:val="auto"/>
              </w:rPr>
              <w:t>2015</w:t>
            </w:r>
          </w:p>
        </w:tc>
        <w:tc>
          <w:tcPr>
            <w:tcW w:w="21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
        </w:trPr>
        <w:tc>
          <w:tcPr>
            <w:tcW w:w="618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rPr>
              <w:t>Unrecognized deductible temporary differences, unused tax losses and</w:t>
            </w: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18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180" w:type="dxa"/>
            <w:vAlign w:val="bottom"/>
          </w:tcPr>
          <w:p>
            <w:pPr>
              <w:spacing w:after="0"/>
              <w:rPr>
                <w:sz w:val="20"/>
                <w:szCs w:val="20"/>
                <w:color w:val="auto"/>
              </w:rPr>
            </w:pPr>
            <w:r>
              <w:rPr>
                <w:rFonts w:ascii="Arial" w:cs="Arial" w:eastAsia="Arial" w:hAnsi="Arial"/>
                <w:sz w:val="18"/>
                <w:szCs w:val="18"/>
                <w:b w:val="1"/>
                <w:bCs w:val="1"/>
                <w:color w:val="auto"/>
              </w:rPr>
              <w:t>unused tax credits</w:t>
            </w: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Deductible temporary differences, unused tax losses and unused tax credits</w:t>
            </w:r>
          </w:p>
        </w:tc>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for which no deferred tax assets have been recognized are attributable to the</w:t>
            </w:r>
          </w:p>
        </w:tc>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following:</w:t>
            </w: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 Tax Losses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29'079</w:t>
            </w:r>
          </w:p>
        </w:tc>
        <w:tc>
          <w:tcPr>
            <w:tcW w:w="2160" w:type="dxa"/>
            <w:vAlign w:val="bottom"/>
          </w:tcPr>
          <w:p>
            <w:pPr>
              <w:jc w:val="right"/>
              <w:spacing w:after="0"/>
              <w:rPr>
                <w:sz w:val="20"/>
                <w:szCs w:val="20"/>
                <w:color w:val="auto"/>
              </w:rPr>
            </w:pPr>
            <w:r>
              <w:rPr>
                <w:rFonts w:ascii="Arial" w:cs="Arial" w:eastAsia="Arial" w:hAnsi="Arial"/>
                <w:sz w:val="18"/>
                <w:szCs w:val="18"/>
                <w:color w:val="auto"/>
              </w:rPr>
              <w:t>49'253</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2'787</w:t>
            </w:r>
          </w:p>
        </w:tc>
        <w:tc>
          <w:tcPr>
            <w:tcW w:w="2160" w:type="dxa"/>
            <w:vAlign w:val="bottom"/>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31'866</w:t>
            </w:r>
          </w:p>
        </w:tc>
        <w:tc>
          <w:tcPr>
            <w:tcW w:w="2160" w:type="dxa"/>
            <w:vAlign w:val="bottom"/>
          </w:tcPr>
          <w:p>
            <w:pPr>
              <w:jc w:val="right"/>
              <w:spacing w:after="0"/>
              <w:rPr>
                <w:sz w:val="20"/>
                <w:szCs w:val="20"/>
                <w:color w:val="auto"/>
              </w:rPr>
            </w:pPr>
            <w:r>
              <w:rPr>
                <w:rFonts w:ascii="Arial" w:cs="Arial" w:eastAsia="Arial" w:hAnsi="Arial"/>
                <w:sz w:val="18"/>
                <w:szCs w:val="18"/>
                <w:color w:val="auto"/>
              </w:rPr>
              <w:t>51'663</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618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r>
      <w:tr>
        <w:trPr>
          <w:trHeight w:val="249"/>
        </w:trPr>
        <w:tc>
          <w:tcPr>
            <w:tcW w:w="6180" w:type="dxa"/>
            <w:vAlign w:val="bottom"/>
          </w:tcPr>
          <w:p>
            <w:pPr>
              <w:spacing w:after="0"/>
              <w:rPr>
                <w:sz w:val="20"/>
                <w:szCs w:val="20"/>
                <w:color w:val="auto"/>
              </w:rPr>
            </w:pPr>
            <w:r>
              <w:rPr>
                <w:rFonts w:ascii="Arial" w:cs="Arial" w:eastAsia="Arial" w:hAnsi="Arial"/>
                <w:sz w:val="18"/>
                <w:szCs w:val="18"/>
                <w:b w:val="1"/>
                <w:bCs w:val="1"/>
                <w:color w:val="auto"/>
              </w:rPr>
              <w:t>Tax losses split by expiry date</w:t>
            </w:r>
          </w:p>
        </w:tc>
        <w:tc>
          <w:tcPr>
            <w:tcW w:w="2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December 31, 2015</w:t>
            </w: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December 31, 2016</w:t>
            </w: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December 31, 2017</w:t>
            </w: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11'961</w:t>
            </w: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December 31, 2018</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2'175</w:t>
            </w:r>
          </w:p>
        </w:tc>
        <w:tc>
          <w:tcPr>
            <w:tcW w:w="2160" w:type="dxa"/>
            <w:vAlign w:val="bottom"/>
          </w:tcPr>
          <w:p>
            <w:pPr>
              <w:jc w:val="right"/>
              <w:spacing w:after="0"/>
              <w:rPr>
                <w:sz w:val="20"/>
                <w:szCs w:val="20"/>
                <w:color w:val="auto"/>
              </w:rPr>
            </w:pPr>
            <w:r>
              <w:rPr>
                <w:rFonts w:ascii="Arial" w:cs="Arial" w:eastAsia="Arial" w:hAnsi="Arial"/>
                <w:sz w:val="18"/>
                <w:szCs w:val="18"/>
                <w:color w:val="auto"/>
              </w:rPr>
              <w:t>10'388</w:t>
            </w: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December 31, 2019</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16'566</w:t>
            </w:r>
          </w:p>
        </w:tc>
        <w:tc>
          <w:tcPr>
            <w:tcW w:w="2160" w:type="dxa"/>
            <w:vAlign w:val="bottom"/>
          </w:tcPr>
          <w:p>
            <w:pPr>
              <w:jc w:val="right"/>
              <w:spacing w:after="0"/>
              <w:rPr>
                <w:sz w:val="20"/>
                <w:szCs w:val="20"/>
                <w:color w:val="auto"/>
              </w:rPr>
            </w:pPr>
            <w:r>
              <w:rPr>
                <w:rFonts w:ascii="Arial" w:cs="Arial" w:eastAsia="Arial" w:hAnsi="Arial"/>
                <w:sz w:val="18"/>
                <w:szCs w:val="18"/>
                <w:color w:val="auto"/>
              </w:rPr>
              <w:t>16'566</w:t>
            </w: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December 31, 2020</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10'338</w:t>
            </w:r>
          </w:p>
        </w:tc>
        <w:tc>
          <w:tcPr>
            <w:tcW w:w="2160" w:type="dxa"/>
            <w:vAlign w:val="bottom"/>
          </w:tcPr>
          <w:p>
            <w:pPr>
              <w:jc w:val="right"/>
              <w:spacing w:after="0"/>
              <w:rPr>
                <w:sz w:val="20"/>
                <w:szCs w:val="20"/>
                <w:color w:val="auto"/>
              </w:rPr>
            </w:pPr>
            <w:r>
              <w:rPr>
                <w:rFonts w:ascii="Arial" w:cs="Arial" w:eastAsia="Arial" w:hAnsi="Arial"/>
                <w:sz w:val="18"/>
                <w:szCs w:val="18"/>
                <w:color w:val="auto"/>
              </w:rPr>
              <w:t>10'338</w:t>
            </w:r>
          </w:p>
        </w:tc>
      </w:tr>
      <w:tr>
        <w:trPr>
          <w:trHeight w:val="250"/>
        </w:trPr>
        <w:tc>
          <w:tcPr>
            <w:tcW w:w="6180" w:type="dxa"/>
            <w:vAlign w:val="bottom"/>
          </w:tcPr>
          <w:p>
            <w:pPr>
              <w:spacing w:after="0"/>
              <w:rPr>
                <w:sz w:val="20"/>
                <w:szCs w:val="20"/>
                <w:color w:val="auto"/>
              </w:rPr>
            </w:pPr>
            <w:r>
              <w:rPr>
                <w:rFonts w:ascii="Arial" w:cs="Arial" w:eastAsia="Arial" w:hAnsi="Arial"/>
                <w:sz w:val="18"/>
                <w:szCs w:val="18"/>
                <w:color w:val="auto"/>
              </w:rPr>
              <w:t>December 31, 2021</w:t>
            </w:r>
          </w:p>
        </w:tc>
        <w:tc>
          <w:tcPr>
            <w:tcW w:w="2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29'079</w:t>
            </w:r>
          </w:p>
        </w:tc>
        <w:tc>
          <w:tcPr>
            <w:tcW w:w="34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49'253</w:t>
            </w:r>
          </w:p>
        </w:tc>
      </w:tr>
      <w:tr>
        <w:trPr>
          <w:trHeight w:val="20"/>
        </w:trPr>
        <w:tc>
          <w:tcPr>
            <w:tcW w:w="61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tax losses available for future offset against taxable profits have decreased by CHF 20.2 million, representing the amount of tax losses that would have been used as an offset.</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benefit plan</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29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5" w:name="page46"/>
    <w:bookmarkEnd w:id="45"/>
    <w:p>
      <w:pPr>
        <w:jc w:val="center"/>
        <w:ind w:right="80"/>
        <w:spacing w:after="0"/>
        <w:rPr>
          <w:sz w:val="20"/>
          <w:szCs w:val="20"/>
          <w:color w:val="auto"/>
        </w:rPr>
      </w:pPr>
      <w:r>
        <w:rPr>
          <w:sz w:val="1"/>
          <w:szCs w:val="1"/>
          <w:color w:val="auto"/>
        </w:rPr>
        <w:drawing>
          <wp:inline distT="0" distB="0" distL="0" distR="0">
            <wp:extent cx="403225" cy="18034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46% and 54% by employee and employer, respectively.</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in CHF thousands</w:t>
            </w:r>
          </w:p>
        </w:tc>
        <w:tc>
          <w:tcPr>
            <w:tcW w:w="39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760" w:type="dxa"/>
            <w:vAlign w:val="bottom"/>
            <w:vMerge w:val="continue"/>
          </w:tcPr>
          <w:p>
            <w:pPr>
              <w:spacing w:after="0"/>
              <w:rPr>
                <w:sz w:val="20"/>
                <w:szCs w:val="20"/>
                <w:color w:val="auto"/>
              </w:rPr>
            </w:pPr>
          </w:p>
        </w:tc>
        <w:tc>
          <w:tcPr>
            <w:tcW w:w="2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1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6760" w:type="dxa"/>
            <w:vAlign w:val="bottom"/>
          </w:tcPr>
          <w:p>
            <w:pPr>
              <w:ind w:left="580"/>
              <w:spacing w:after="0"/>
              <w:rPr>
                <w:sz w:val="20"/>
                <w:szCs w:val="20"/>
                <w:color w:val="auto"/>
              </w:rPr>
            </w:pPr>
            <w:r>
              <w:rPr>
                <w:rFonts w:ascii="Arial" w:cs="Arial" w:eastAsia="Arial" w:hAnsi="Arial"/>
                <w:sz w:val="18"/>
                <w:szCs w:val="18"/>
                <w:color w:val="auto"/>
              </w:rPr>
              <w:t>Defined benefit obligation</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(9'439)</w:t>
            </w:r>
          </w:p>
        </w:tc>
        <w:tc>
          <w:tcPr>
            <w:tcW w:w="146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50"/>
        </w:trPr>
        <w:tc>
          <w:tcPr>
            <w:tcW w:w="6760" w:type="dxa"/>
            <w:vAlign w:val="bottom"/>
          </w:tcPr>
          <w:p>
            <w:pPr>
              <w:ind w:left="580"/>
              <w:spacing w:after="0"/>
              <w:rPr>
                <w:sz w:val="20"/>
                <w:szCs w:val="20"/>
                <w:color w:val="auto"/>
              </w:rPr>
            </w:pPr>
            <w:r>
              <w:rPr>
                <w:rFonts w:ascii="Arial" w:cs="Arial" w:eastAsia="Arial" w:hAnsi="Arial"/>
                <w:sz w:val="18"/>
                <w:szCs w:val="18"/>
                <w:color w:val="auto"/>
              </w:rPr>
              <w:t>Fair value of plan assets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6'652</w:t>
            </w:r>
          </w:p>
        </w:tc>
        <w:tc>
          <w:tcPr>
            <w:tcW w:w="146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6"/>
        </w:trPr>
        <w:tc>
          <w:tcPr>
            <w:tcW w:w="6760" w:type="dxa"/>
            <w:vAlign w:val="bottom"/>
          </w:tcPr>
          <w:p>
            <w:pPr>
              <w:ind w:left="580"/>
              <w:spacing w:after="0"/>
              <w:rPr>
                <w:sz w:val="20"/>
                <w:szCs w:val="20"/>
                <w:color w:val="auto"/>
              </w:rPr>
            </w:pPr>
            <w:r>
              <w:rPr>
                <w:rFonts w:ascii="Arial" w:cs="Arial" w:eastAsia="Arial" w:hAnsi="Arial"/>
                <w:sz w:val="18"/>
                <w:szCs w:val="18"/>
                <w:b w:val="1"/>
                <w:bCs w:val="1"/>
                <w:color w:val="auto"/>
              </w:rPr>
              <w:t>Total Liability</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3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-307975</wp:posOffset>
            </wp:positionV>
            <wp:extent cx="1260475"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60475" cy="27432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6" w:name="page47"/>
    <w:bookmarkEnd w:id="46"/>
    <w:p>
      <w:pPr>
        <w:jc w:val="center"/>
        <w:ind w:right="80"/>
        <w:spacing w:after="0"/>
        <w:rPr>
          <w:sz w:val="20"/>
          <w:szCs w:val="20"/>
          <w:color w:val="auto"/>
        </w:rPr>
      </w:pPr>
      <w:r>
        <w:rPr>
          <w:sz w:val="1"/>
          <w:szCs w:val="1"/>
          <w:color w:val="auto"/>
        </w:rPr>
        <w:drawing>
          <wp:inline distT="0" distB="0" distL="0" distR="0">
            <wp:extent cx="403225" cy="18034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According to IAS 19, the following amounts have been recorded as net pension cost in the income statement:</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0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180" w:type="dxa"/>
            <w:vAlign w:val="bottom"/>
            <w:vMerge w:val="continue"/>
          </w:tcPr>
          <w:p>
            <w:pPr>
              <w:spacing w:after="0"/>
              <w:rPr>
                <w:sz w:val="20"/>
                <w:szCs w:val="20"/>
                <w:color w:val="auto"/>
              </w:rPr>
            </w:pPr>
          </w:p>
        </w:tc>
        <w:tc>
          <w:tcPr>
            <w:tcW w:w="2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1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6180" w:type="dxa"/>
            <w:vAlign w:val="bottom"/>
          </w:tcPr>
          <w:p>
            <w:pPr>
              <w:spacing w:after="0"/>
              <w:rPr>
                <w:sz w:val="20"/>
                <w:szCs w:val="20"/>
                <w:color w:val="auto"/>
              </w:rPr>
            </w:pPr>
            <w:r>
              <w:rPr>
                <w:rFonts w:ascii="Arial" w:cs="Arial" w:eastAsia="Arial" w:hAnsi="Arial"/>
                <w:sz w:val="18"/>
                <w:szCs w:val="18"/>
                <w:color w:val="auto"/>
              </w:rPr>
              <w:t>Service cost</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641</w:t>
            </w:r>
          </w:p>
        </w:tc>
        <w:tc>
          <w:tcPr>
            <w:tcW w:w="15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Interest cost</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101</w:t>
            </w:r>
          </w:p>
        </w:tc>
        <w:tc>
          <w:tcPr>
            <w:tcW w:w="15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Interest income</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(76)</w:t>
            </w:r>
          </w:p>
        </w:tc>
        <w:tc>
          <w:tcPr>
            <w:tcW w:w="15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0"/>
                <w:szCs w:val="20"/>
                <w:color w:val="auto"/>
              </w:rPr>
            </w:pPr>
            <w:r>
              <w:rPr>
                <w:rFonts w:ascii="Arial" w:cs="Arial" w:eastAsia="Arial" w:hAnsi="Arial"/>
                <w:sz w:val="18"/>
                <w:szCs w:val="18"/>
                <w:color w:val="auto"/>
              </w:rPr>
              <w:t>Impact of plan amendment</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(584)</w:t>
            </w:r>
          </w:p>
        </w:tc>
        <w:tc>
          <w:tcPr>
            <w:tcW w:w="15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Net pension cost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60" w:type="dxa"/>
            <w:vAlign w:val="bottom"/>
          </w:tcPr>
          <w:p>
            <w:pPr>
              <w:spacing w:after="0"/>
              <w:rPr>
                <w:sz w:val="20"/>
                <w:szCs w:val="20"/>
                <w:color w:val="auto"/>
              </w:rPr>
            </w:pPr>
            <w:r>
              <w:rPr>
                <w:rFonts w:ascii="Arial" w:cs="Arial" w:eastAsia="Arial" w:hAnsi="Arial"/>
                <w:sz w:val="18"/>
                <w:szCs w:val="18"/>
                <w:b w:val="1"/>
                <w:bCs w:val="1"/>
                <w:color w:val="auto"/>
              </w:rPr>
              <w:t>A. Change in defined benefit obligation</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7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in CHF thousands</w:t>
            </w:r>
          </w:p>
        </w:tc>
        <w:tc>
          <w:tcPr>
            <w:tcW w:w="2500" w:type="dxa"/>
            <w:vAlign w:val="bottom"/>
            <w:tcBorders>
              <w:bottom w:val="single" w:sz="8" w:color="auto"/>
            </w:tcBorders>
            <w:gridSpan w:val="2"/>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50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2015</w:t>
            </w: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760" w:type="dxa"/>
            <w:vAlign w:val="bottom"/>
          </w:tcPr>
          <w:p>
            <w:pPr>
              <w:ind w:left="580"/>
              <w:spacing w:after="0"/>
              <w:rPr>
                <w:sz w:val="20"/>
                <w:szCs w:val="20"/>
                <w:color w:val="auto"/>
              </w:rPr>
            </w:pPr>
            <w:r>
              <w:rPr>
                <w:rFonts w:ascii="Arial" w:cs="Arial" w:eastAsia="Arial" w:hAnsi="Arial"/>
                <w:sz w:val="18"/>
                <w:szCs w:val="18"/>
                <w:color w:val="auto"/>
              </w:rPr>
              <w:t>Defined benefit obligation as of January 1</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(8'091)</w:t>
            </w:r>
          </w:p>
        </w:tc>
        <w:tc>
          <w:tcPr>
            <w:tcW w:w="2160" w:type="dxa"/>
            <w:vAlign w:val="bottom"/>
          </w:tcPr>
          <w:p>
            <w:pPr>
              <w:jc w:val="right"/>
              <w:spacing w:after="0"/>
              <w:rPr>
                <w:sz w:val="20"/>
                <w:szCs w:val="20"/>
                <w:color w:val="auto"/>
              </w:rPr>
            </w:pPr>
            <w:r>
              <w:rPr>
                <w:rFonts w:ascii="Arial" w:cs="Arial" w:eastAsia="Arial" w:hAnsi="Arial"/>
                <w:sz w:val="18"/>
                <w:szCs w:val="18"/>
                <w:color w:val="auto"/>
              </w:rPr>
              <w:t>(6'044)</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Service cost</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(641)</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Interest cost</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(101)</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Change in demographic assumptions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Change in financial assumptions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(591)</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Other actuarial gains / (losses)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(176)</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Plan amendment</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584</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Benefit payments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(48)</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3" w:lineRule="exact"/>
              <w:rPr>
                <w:sz w:val="20"/>
                <w:szCs w:val="20"/>
                <w:color w:val="auto"/>
              </w:rPr>
            </w:pPr>
            <w:r>
              <w:rPr>
                <w:rFonts w:ascii="Arial" w:cs="Arial" w:eastAsia="Arial" w:hAnsi="Arial"/>
                <w:sz w:val="18"/>
                <w:szCs w:val="18"/>
                <w:color w:val="auto"/>
              </w:rPr>
              <w:t>Employees' contributions</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(375)</w:t>
            </w: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196"/>
        </w:trPr>
        <w:tc>
          <w:tcPr>
            <w:tcW w:w="6760" w:type="dxa"/>
            <w:vAlign w:val="bottom"/>
          </w:tcPr>
          <w:p>
            <w:pPr>
              <w:ind w:left="580"/>
              <w:spacing w:after="0" w:line="196" w:lineRule="exact"/>
              <w:rPr>
                <w:sz w:val="20"/>
                <w:szCs w:val="20"/>
                <w:color w:val="auto"/>
              </w:rPr>
            </w:pPr>
            <w:r>
              <w:rPr>
                <w:rFonts w:ascii="Arial" w:cs="Arial" w:eastAsia="Arial" w:hAnsi="Arial"/>
                <w:sz w:val="18"/>
                <w:szCs w:val="18"/>
                <w:b w:val="1"/>
                <w:bCs w:val="1"/>
                <w:color w:val="auto"/>
              </w:rPr>
              <w:t>Defined benefit obligation as of December 31</w:t>
            </w: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(9'439)</w:t>
            </w:r>
          </w:p>
        </w:tc>
        <w:tc>
          <w:tcPr>
            <w:tcW w:w="340" w:type="dxa"/>
            <w:vAlign w:val="bottom"/>
          </w:tcPr>
          <w:p>
            <w:pPr>
              <w:spacing w:after="0"/>
              <w:rPr>
                <w:sz w:val="17"/>
                <w:szCs w:val="17"/>
                <w:color w:val="auto"/>
              </w:rPr>
            </w:pP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B. Change in fair value of plan assets</w:t>
            </w: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in CHF thousands</w:t>
            </w:r>
          </w:p>
        </w:tc>
        <w:tc>
          <w:tcPr>
            <w:tcW w:w="2500" w:type="dxa"/>
            <w:vAlign w:val="bottom"/>
            <w:tcBorders>
              <w:bottom w:val="single" w:sz="8" w:color="auto"/>
            </w:tcBorders>
            <w:gridSpan w:val="2"/>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50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2015</w:t>
            </w: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760" w:type="dxa"/>
            <w:vAlign w:val="bottom"/>
          </w:tcPr>
          <w:p>
            <w:pPr>
              <w:ind w:left="580"/>
              <w:spacing w:after="0"/>
              <w:rPr>
                <w:sz w:val="20"/>
                <w:szCs w:val="20"/>
                <w:color w:val="auto"/>
              </w:rPr>
            </w:pPr>
            <w:r>
              <w:rPr>
                <w:rFonts w:ascii="Arial" w:cs="Arial" w:eastAsia="Arial" w:hAnsi="Arial"/>
                <w:sz w:val="18"/>
                <w:szCs w:val="18"/>
                <w:color w:val="auto"/>
              </w:rPr>
              <w:t>Fair value of plan assets as of January 1</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5'681</w:t>
            </w:r>
          </w:p>
        </w:tc>
        <w:tc>
          <w:tcPr>
            <w:tcW w:w="2160" w:type="dxa"/>
            <w:vAlign w:val="bottom"/>
          </w:tcPr>
          <w:p>
            <w:pPr>
              <w:jc w:val="right"/>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Interest income</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76</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Employees' contributions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375</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Employer's contributions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441</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Benefits payments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48</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3" w:lineRule="exact"/>
              <w:rPr>
                <w:sz w:val="20"/>
                <w:szCs w:val="20"/>
                <w:color w:val="auto"/>
              </w:rPr>
            </w:pPr>
            <w:r>
              <w:rPr>
                <w:rFonts w:ascii="Arial" w:cs="Arial" w:eastAsia="Arial" w:hAnsi="Arial"/>
                <w:sz w:val="18"/>
                <w:szCs w:val="18"/>
                <w:color w:val="auto"/>
              </w:rPr>
              <w:t>Plan assets Gains / (Losses)</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31</w:t>
            </w: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6760" w:type="dxa"/>
            <w:vAlign w:val="bottom"/>
          </w:tcPr>
          <w:p>
            <w:pPr>
              <w:ind w:left="580"/>
              <w:spacing w:after="0" w:line="196" w:lineRule="exact"/>
              <w:rPr>
                <w:sz w:val="20"/>
                <w:szCs w:val="20"/>
                <w:color w:val="auto"/>
              </w:rPr>
            </w:pPr>
            <w:r>
              <w:rPr>
                <w:rFonts w:ascii="Arial" w:cs="Arial" w:eastAsia="Arial" w:hAnsi="Arial"/>
                <w:sz w:val="18"/>
                <w:szCs w:val="18"/>
                <w:b w:val="1"/>
                <w:bCs w:val="1"/>
                <w:color w:val="auto"/>
              </w:rPr>
              <w:t>Fair value of plan assets as of December 31</w:t>
            </w: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6'652</w:t>
            </w:r>
          </w:p>
        </w:tc>
        <w:tc>
          <w:tcPr>
            <w:tcW w:w="340" w:type="dxa"/>
            <w:vAlign w:val="bottom"/>
          </w:tcPr>
          <w:p>
            <w:pPr>
              <w:spacing w:after="0"/>
              <w:rPr>
                <w:sz w:val="17"/>
                <w:szCs w:val="17"/>
                <w:color w:val="auto"/>
              </w:rPr>
            </w:pP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Employer’s contribution to the pension plan for the financial year 2016 are estimated to be CHF 478 thousand.</w:t>
      </w:r>
    </w:p>
    <w:p>
      <w:pPr>
        <w:spacing w:after="0" w:line="306"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7" w:name="page48"/>
    <w:bookmarkEnd w:id="47"/>
    <w:p>
      <w:pPr>
        <w:jc w:val="center"/>
        <w:ind w:right="80"/>
        <w:spacing w:after="0"/>
        <w:rPr>
          <w:sz w:val="20"/>
          <w:szCs w:val="20"/>
          <w:color w:val="auto"/>
        </w:rPr>
      </w:pPr>
      <w:r>
        <w:rPr>
          <w:sz w:val="1"/>
          <w:szCs w:val="1"/>
          <w:color w:val="auto"/>
        </w:rPr>
        <w:drawing>
          <wp:inline distT="0" distB="0" distL="0" distR="0">
            <wp:extent cx="403225" cy="18034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60" w:type="dxa"/>
            <w:vAlign w:val="bottom"/>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7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in CHF thousands</w:t>
            </w:r>
          </w:p>
        </w:tc>
        <w:tc>
          <w:tcPr>
            <w:tcW w:w="2500" w:type="dxa"/>
            <w:vAlign w:val="bottom"/>
            <w:tcBorders>
              <w:bottom w:val="single" w:sz="8" w:color="auto"/>
            </w:tcBorders>
            <w:gridSpan w:val="2"/>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50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2015</w:t>
            </w: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760" w:type="dxa"/>
            <w:vAlign w:val="bottom"/>
          </w:tcPr>
          <w:p>
            <w:pPr>
              <w:ind w:left="580"/>
              <w:spacing w:after="0"/>
              <w:rPr>
                <w:sz w:val="20"/>
                <w:szCs w:val="20"/>
                <w:color w:val="auto"/>
              </w:rPr>
            </w:pPr>
            <w:r>
              <w:rPr>
                <w:rFonts w:ascii="Arial" w:cs="Arial" w:eastAsia="Arial" w:hAnsi="Arial"/>
                <w:sz w:val="18"/>
                <w:szCs w:val="18"/>
                <w:color w:val="auto"/>
              </w:rPr>
              <w:t>Net defined benefit liabilities as of January 1</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2'410</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Net pension cost through Income Statement</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82</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Re-measurement through OCI</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736</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3" w:lineRule="exact"/>
              <w:rPr>
                <w:sz w:val="20"/>
                <w:szCs w:val="20"/>
                <w:color w:val="auto"/>
              </w:rPr>
            </w:pPr>
            <w:r>
              <w:rPr>
                <w:rFonts w:ascii="Arial" w:cs="Arial" w:eastAsia="Arial" w:hAnsi="Arial"/>
                <w:sz w:val="18"/>
                <w:szCs w:val="18"/>
                <w:color w:val="auto"/>
              </w:rPr>
              <w:t>Employer's contribution</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(441)</w:t>
            </w:r>
          </w:p>
        </w:tc>
        <w:tc>
          <w:tcPr>
            <w:tcW w:w="21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196"/>
        </w:trPr>
        <w:tc>
          <w:tcPr>
            <w:tcW w:w="6760" w:type="dxa"/>
            <w:vAlign w:val="bottom"/>
          </w:tcPr>
          <w:p>
            <w:pPr>
              <w:ind w:left="580"/>
              <w:spacing w:after="0" w:line="196" w:lineRule="exact"/>
              <w:rPr>
                <w:sz w:val="20"/>
                <w:szCs w:val="20"/>
                <w:color w:val="auto"/>
              </w:rPr>
            </w:pPr>
            <w:r>
              <w:rPr>
                <w:rFonts w:ascii="Arial" w:cs="Arial" w:eastAsia="Arial" w:hAnsi="Arial"/>
                <w:sz w:val="18"/>
                <w:szCs w:val="18"/>
                <w:b w:val="1"/>
                <w:bCs w:val="1"/>
                <w:color w:val="auto"/>
              </w:rPr>
              <w:t>Net defined benefit liabilities as of December 31</w:t>
            </w: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2'787</w:t>
            </w:r>
          </w:p>
        </w:tc>
        <w:tc>
          <w:tcPr>
            <w:tcW w:w="340" w:type="dxa"/>
            <w:vAlign w:val="bottom"/>
          </w:tcPr>
          <w:p>
            <w:pPr>
              <w:spacing w:after="0"/>
              <w:rPr>
                <w:sz w:val="17"/>
                <w:szCs w:val="17"/>
                <w:color w:val="auto"/>
              </w:rPr>
            </w:pPr>
          </w:p>
        </w:tc>
        <w:tc>
          <w:tcPr>
            <w:tcW w:w="218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fair value of the plan assets is the cash surrender value of the insurance with AXA. The investment strategy defined by the Board of trustees follows a conservative profile.</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plan assets are primarily held within instruments with quoted market prices in an active market, with the exception of real estate and mortgages.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2015 and 2014 are as follows: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6180" w:type="dxa"/>
            <w:vAlign w:val="bottom"/>
          </w:tcPr>
          <w:p>
            <w:pPr>
              <w:spacing w:after="0"/>
              <w:rPr>
                <w:sz w:val="19"/>
                <w:szCs w:val="19"/>
                <w:color w:val="auto"/>
              </w:rPr>
            </w:pPr>
          </w:p>
        </w:tc>
        <w:tc>
          <w:tcPr>
            <w:tcW w:w="46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For the Years Ended December 31,</w:t>
            </w:r>
          </w:p>
        </w:tc>
      </w:tr>
      <w:tr>
        <w:trPr>
          <w:trHeight w:val="196"/>
        </w:trPr>
        <w:tc>
          <w:tcPr>
            <w:tcW w:w="6180" w:type="dxa"/>
            <w:vAlign w:val="bottom"/>
          </w:tcPr>
          <w:p>
            <w:pPr>
              <w:spacing w:after="0"/>
              <w:rPr>
                <w:sz w:val="17"/>
                <w:szCs w:val="17"/>
                <w:color w:val="auto"/>
              </w:rPr>
            </w:pPr>
          </w:p>
        </w:tc>
        <w:tc>
          <w:tcPr>
            <w:tcW w:w="250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2015</w:t>
            </w:r>
          </w:p>
        </w:tc>
        <w:tc>
          <w:tcPr>
            <w:tcW w:w="2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2014</w:t>
            </w:r>
          </w:p>
        </w:tc>
      </w:tr>
      <w:tr>
        <w:trPr>
          <w:trHeight w:val="20"/>
        </w:trPr>
        <w:tc>
          <w:tcPr>
            <w:tcW w:w="61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398"/>
        </w:trPr>
        <w:tc>
          <w:tcPr>
            <w:tcW w:w="6180" w:type="dxa"/>
            <w:vAlign w:val="bottom"/>
          </w:tcPr>
          <w:p>
            <w:pPr>
              <w:spacing w:after="0"/>
              <w:rPr>
                <w:sz w:val="20"/>
                <w:szCs w:val="20"/>
                <w:color w:val="auto"/>
              </w:rPr>
            </w:pPr>
            <w:r>
              <w:rPr>
                <w:rFonts w:ascii="Arial" w:cs="Arial" w:eastAsia="Arial" w:hAnsi="Arial"/>
                <w:sz w:val="18"/>
                <w:szCs w:val="18"/>
                <w:color w:val="auto"/>
              </w:rPr>
              <w:t>Discount rate</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0.80%</w:t>
            </w:r>
          </w:p>
        </w:tc>
        <w:tc>
          <w:tcPr>
            <w:tcW w:w="21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Rate of future increase in compensations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1.50%</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Rate of future increase in current pensions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0.50%</w:t>
            </w:r>
          </w:p>
        </w:tc>
        <w:tc>
          <w:tcPr>
            <w:tcW w:w="21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405"/>
        </w:trPr>
        <w:tc>
          <w:tcPr>
            <w:tcW w:w="618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BVG 2010G</w:t>
            </w:r>
          </w:p>
        </w:tc>
        <w:tc>
          <w:tcPr>
            <w:tcW w:w="2160" w:type="dxa"/>
            <w:vAlign w:val="bottom"/>
          </w:tcPr>
          <w:p>
            <w:pPr>
              <w:jc w:val="right"/>
              <w:spacing w:after="0"/>
              <w:rPr>
                <w:sz w:val="20"/>
                <w:szCs w:val="20"/>
                <w:color w:val="auto"/>
              </w:rPr>
            </w:pPr>
            <w:r>
              <w:rPr>
                <w:rFonts w:ascii="Arial" w:cs="Arial" w:eastAsia="Arial" w:hAnsi="Arial"/>
                <w:sz w:val="18"/>
                <w:szCs w:val="18"/>
                <w:color w:val="auto"/>
              </w:rPr>
              <w:t>BVG 2010G</w:t>
            </w:r>
          </w:p>
        </w:tc>
      </w:tr>
    </w:tbl>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at December 31, 2015 is as shown below:</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239"/>
        </w:trPr>
        <w:tc>
          <w:tcPr>
            <w:tcW w:w="40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00" w:type="dxa"/>
            <w:vAlign w:val="bottom"/>
          </w:tcPr>
          <w:p>
            <w:pPr>
              <w:spacing w:after="0"/>
              <w:rPr>
                <w:sz w:val="20"/>
                <w:szCs w:val="20"/>
                <w:color w:val="auto"/>
              </w:rPr>
            </w:pPr>
            <w:r>
              <w:rPr>
                <w:rFonts w:ascii="Arial" w:cs="Arial" w:eastAsia="Arial" w:hAnsi="Arial"/>
                <w:sz w:val="18"/>
                <w:szCs w:val="18"/>
                <w:b w:val="1"/>
                <w:bCs w:val="1"/>
                <w:color w:val="auto"/>
              </w:rPr>
              <w:t>Assumptions</w:t>
            </w:r>
          </w:p>
        </w:tc>
        <w:tc>
          <w:tcPr>
            <w:tcW w:w="2420" w:type="dxa"/>
            <w:vAlign w:val="bottom"/>
            <w:gridSpan w:val="3"/>
          </w:tcPr>
          <w:p>
            <w:pPr>
              <w:ind w:left="560"/>
              <w:spacing w:after="0"/>
              <w:rPr>
                <w:sz w:val="20"/>
                <w:szCs w:val="20"/>
                <w:color w:val="auto"/>
              </w:rPr>
            </w:pPr>
            <w:r>
              <w:rPr>
                <w:rFonts w:ascii="Arial" w:cs="Arial" w:eastAsia="Arial" w:hAnsi="Arial"/>
                <w:sz w:val="18"/>
                <w:szCs w:val="18"/>
                <w:b w:val="1"/>
                <w:bCs w:val="1"/>
                <w:color w:val="auto"/>
              </w:rPr>
              <w:t>Discount rate</w:t>
            </w:r>
          </w:p>
        </w:tc>
        <w:tc>
          <w:tcPr>
            <w:tcW w:w="2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Future salary increase</w:t>
            </w:r>
          </w:p>
        </w:tc>
        <w:tc>
          <w:tcPr>
            <w:tcW w:w="22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Future pension cost</w:t>
            </w: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2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+0.5%</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-0.5%</w:t>
            </w:r>
          </w:p>
        </w:tc>
        <w:tc>
          <w:tcPr>
            <w:tcW w:w="12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+0.5%</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-0.5%</w:t>
            </w:r>
          </w:p>
        </w:tc>
        <w:tc>
          <w:tcPr>
            <w:tcW w:w="12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+0.5%</w:t>
            </w:r>
          </w:p>
        </w:tc>
        <w:tc>
          <w:tcPr>
            <w:tcW w:w="10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vMerge w:val="restart"/>
          </w:tcPr>
          <w:p>
            <w:pPr>
              <w:spacing w:after="0"/>
              <w:rPr>
                <w:sz w:val="20"/>
                <w:szCs w:val="20"/>
                <w:color w:val="auto"/>
              </w:rPr>
            </w:pPr>
            <w:r>
              <w:rPr>
                <w:rFonts w:ascii="Arial" w:cs="Arial" w:eastAsia="Arial" w:hAnsi="Arial"/>
                <w:sz w:val="18"/>
                <w:szCs w:val="18"/>
                <w:color w:val="auto"/>
              </w:rPr>
              <w:t>Defined benefit obligation</w:t>
            </w:r>
          </w:p>
        </w:tc>
        <w:tc>
          <w:tcPr>
            <w:tcW w:w="124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increase</w:t>
            </w:r>
          </w:p>
        </w:tc>
        <w:tc>
          <w:tcPr>
            <w:tcW w:w="118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decrease</w:t>
            </w:r>
          </w:p>
        </w:tc>
        <w:tc>
          <w:tcPr>
            <w:tcW w:w="122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increase</w:t>
            </w:r>
          </w:p>
        </w:tc>
        <w:tc>
          <w:tcPr>
            <w:tcW w:w="116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decrease</w:t>
            </w:r>
          </w:p>
        </w:tc>
        <w:tc>
          <w:tcPr>
            <w:tcW w:w="122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increase</w:t>
            </w:r>
          </w:p>
        </w:tc>
        <w:tc>
          <w:tcPr>
            <w:tcW w:w="10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12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8'502</w:t>
            </w: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10'544</w:t>
            </w:r>
          </w:p>
        </w:tc>
        <w:tc>
          <w:tcPr>
            <w:tcW w:w="120" w:type="dxa"/>
            <w:vAlign w:val="bottom"/>
          </w:tcPr>
          <w:p>
            <w:pPr>
              <w:spacing w:after="0"/>
              <w:rPr>
                <w:sz w:val="16"/>
                <w:szCs w:val="16"/>
                <w:color w:val="auto"/>
              </w:rPr>
            </w:pPr>
          </w:p>
        </w:tc>
        <w:tc>
          <w:tcPr>
            <w:tcW w:w="12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9'494</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9'384</w:t>
            </w:r>
          </w:p>
        </w:tc>
        <w:tc>
          <w:tcPr>
            <w:tcW w:w="120" w:type="dxa"/>
            <w:vAlign w:val="bottom"/>
          </w:tcPr>
          <w:p>
            <w:pPr>
              <w:spacing w:after="0"/>
              <w:rPr>
                <w:sz w:val="16"/>
                <w:szCs w:val="16"/>
                <w:color w:val="auto"/>
              </w:rPr>
            </w:pPr>
          </w:p>
        </w:tc>
        <w:tc>
          <w:tcPr>
            <w:tcW w:w="12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9'993</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8'944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Impact on the net defined benefit obligation</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(1'105)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29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8" w:name="page49"/>
    <w:bookmarkEnd w:id="48"/>
    <w:p>
      <w:pPr>
        <w:jc w:val="center"/>
        <w:ind w:right="80"/>
        <w:spacing w:after="0"/>
        <w:rPr>
          <w:sz w:val="20"/>
          <w:szCs w:val="20"/>
          <w:color w:val="auto"/>
        </w:rPr>
      </w:pPr>
      <w:r>
        <w:rPr>
          <w:sz w:val="1"/>
          <w:szCs w:val="1"/>
          <w:color w:val="auto"/>
        </w:rPr>
        <w:drawing>
          <wp:inline distT="0" distB="0" distL="0" distR="0">
            <wp:extent cx="403225" cy="18034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instruments</w:t>
            </w:r>
          </w:p>
        </w:tc>
        <w:tc>
          <w:tcPr>
            <w:tcW w:w="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Arial" w:cs="Arial" w:eastAsia="Arial" w:hAnsi="Arial"/>
                <w:sz w:val="18"/>
                <w:szCs w:val="18"/>
                <w:color w:val="auto"/>
              </w:rPr>
              <w:t>PLAN</w:t>
            </w:r>
          </w:p>
        </w:tc>
        <w:tc>
          <w:tcPr>
            <w:tcW w:w="120" w:type="dxa"/>
            <w:vAlign w:val="bottom"/>
          </w:tcPr>
          <w:p>
            <w:pPr>
              <w:spacing w:after="0"/>
              <w:rPr>
                <w:sz w:val="17"/>
                <w:szCs w:val="17"/>
                <w:color w:val="auto"/>
              </w:rPr>
            </w:pPr>
          </w:p>
        </w:tc>
        <w:tc>
          <w:tcPr>
            <w:tcW w:w="16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awarded</w:t>
            </w:r>
          </w:p>
        </w:tc>
        <w:tc>
          <w:tcPr>
            <w:tcW w:w="4380" w:type="dxa"/>
            <w:vAlign w:val="bottom"/>
            <w:gridSpan w:val="3"/>
          </w:tcPr>
          <w:p>
            <w:pPr>
              <w:ind w:left="60"/>
              <w:spacing w:after="0" w:line="203" w:lineRule="exact"/>
              <w:rPr>
                <w:sz w:val="20"/>
                <w:szCs w:val="20"/>
                <w:color w:val="auto"/>
              </w:rPr>
            </w:pPr>
            <w:r>
              <w:rPr>
                <w:rFonts w:ascii="Arial" w:cs="Arial" w:eastAsia="Arial" w:hAnsi="Arial"/>
                <w:sz w:val="18"/>
                <w:szCs w:val="18"/>
                <w:color w:val="auto"/>
              </w:rPr>
              <w:t>Vesting conditions</w:t>
            </w:r>
          </w:p>
        </w:tc>
        <w:tc>
          <w:tcPr>
            <w:tcW w:w="2160" w:type="dxa"/>
            <w:vAlign w:val="bottom"/>
          </w:tcPr>
          <w:p>
            <w:pPr>
              <w:spacing w:after="0" w:line="203" w:lineRule="exact"/>
              <w:rPr>
                <w:sz w:val="20"/>
                <w:szCs w:val="20"/>
                <w:color w:val="auto"/>
              </w:rPr>
            </w:pPr>
            <w:r>
              <w:rPr>
                <w:rFonts w:ascii="Arial" w:cs="Arial" w:eastAsia="Arial" w:hAnsi="Arial"/>
                <w:sz w:val="18"/>
                <w:szCs w:val="18"/>
                <w:color w:val="auto"/>
              </w:rPr>
              <w:t>Contractual life of options</w:t>
            </w:r>
          </w:p>
        </w:tc>
      </w:tr>
      <w:tr>
        <w:trPr>
          <w:trHeight w:val="20"/>
        </w:trPr>
        <w:tc>
          <w:tcPr>
            <w:tcW w:w="2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398"/>
        </w:trPr>
        <w:tc>
          <w:tcPr>
            <w:tcW w:w="2740" w:type="dxa"/>
            <w:vAlign w:val="bottom"/>
          </w:tcPr>
          <w:p>
            <w:pPr>
              <w:spacing w:after="0"/>
              <w:rPr>
                <w:sz w:val="20"/>
                <w:szCs w:val="20"/>
                <w:color w:val="auto"/>
              </w:rPr>
            </w:pPr>
            <w:r>
              <w:rPr>
                <w:rFonts w:ascii="Arial" w:cs="Arial" w:eastAsia="Arial" w:hAnsi="Arial"/>
                <w:sz w:val="18"/>
                <w:szCs w:val="18"/>
                <w:color w:val="auto"/>
              </w:rPr>
              <w:t>Stock option plan A</w:t>
            </w: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362'750</w:t>
            </w:r>
          </w:p>
        </w:tc>
        <w:tc>
          <w:tcPr>
            <w:tcW w:w="60" w:type="dxa"/>
            <w:vAlign w:val="bottom"/>
          </w:tcPr>
          <w:p>
            <w:pPr>
              <w:spacing w:after="0"/>
              <w:rPr>
                <w:sz w:val="24"/>
                <w:szCs w:val="24"/>
                <w:color w:val="auto"/>
              </w:rPr>
            </w:pPr>
          </w:p>
        </w:tc>
        <w:tc>
          <w:tcPr>
            <w:tcW w:w="4380" w:type="dxa"/>
            <w:vAlign w:val="bottom"/>
            <w:gridSpan w:val="3"/>
          </w:tcPr>
          <w:p>
            <w:pPr>
              <w:ind w:left="60"/>
              <w:spacing w:after="0"/>
              <w:rPr>
                <w:sz w:val="20"/>
                <w:szCs w:val="20"/>
                <w:color w:val="auto"/>
              </w:rPr>
            </w:pPr>
            <w:r>
              <w:rPr>
                <w:rFonts w:ascii="Arial" w:cs="Arial" w:eastAsia="Arial" w:hAnsi="Arial"/>
                <w:sz w:val="18"/>
                <w:szCs w:val="18"/>
                <w:color w:val="auto"/>
              </w:rPr>
              <w:t>4 years' service from grant date</w:t>
            </w:r>
          </w:p>
        </w:tc>
        <w:tc>
          <w:tcPr>
            <w:tcW w:w="2160" w:type="dxa"/>
            <w:vAlign w:val="bottom"/>
          </w:tcPr>
          <w:p>
            <w:pPr>
              <w:spacing w:after="0"/>
              <w:rPr>
                <w:sz w:val="20"/>
                <w:szCs w:val="20"/>
                <w:color w:val="auto"/>
              </w:rPr>
            </w:pPr>
            <w:r>
              <w:rPr>
                <w:rFonts w:ascii="Arial" w:cs="Arial" w:eastAsia="Arial" w:hAnsi="Arial"/>
                <w:sz w:val="18"/>
                <w:szCs w:val="18"/>
                <w:color w:val="auto"/>
              </w:rPr>
              <w:t>8 1/2 years</w:t>
            </w:r>
          </w:p>
        </w:tc>
      </w:tr>
      <w:tr>
        <w:trPr>
          <w:trHeight w:val="203"/>
        </w:trPr>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Stock option plan B</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819'000</w:t>
            </w:r>
          </w:p>
        </w:tc>
        <w:tc>
          <w:tcPr>
            <w:tcW w:w="60" w:type="dxa"/>
            <w:vAlign w:val="bottom"/>
          </w:tcPr>
          <w:p>
            <w:pPr>
              <w:spacing w:after="0"/>
              <w:rPr>
                <w:sz w:val="17"/>
                <w:szCs w:val="17"/>
                <w:color w:val="auto"/>
              </w:rPr>
            </w:pPr>
          </w:p>
        </w:tc>
        <w:tc>
          <w:tcPr>
            <w:tcW w:w="438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4 years' service from grant date</w:t>
            </w:r>
          </w:p>
        </w:tc>
        <w:tc>
          <w:tcPr>
            <w:tcW w:w="2160" w:type="dxa"/>
            <w:vAlign w:val="bottom"/>
          </w:tcPr>
          <w:p>
            <w:pPr>
              <w:spacing w:after="0" w:line="202" w:lineRule="exact"/>
              <w:rPr>
                <w:sz w:val="20"/>
                <w:szCs w:val="20"/>
                <w:color w:val="auto"/>
              </w:rPr>
            </w:pPr>
            <w:r>
              <w:rPr>
                <w:rFonts w:ascii="Arial" w:cs="Arial" w:eastAsia="Arial" w:hAnsi="Arial"/>
                <w:sz w:val="18"/>
                <w:szCs w:val="18"/>
                <w:color w:val="auto"/>
              </w:rPr>
              <w:t>6 1/2 years</w:t>
            </w:r>
          </w:p>
        </w:tc>
      </w:tr>
      <w:tr>
        <w:trPr>
          <w:trHeight w:val="217"/>
        </w:trPr>
        <w:tc>
          <w:tcPr>
            <w:tcW w:w="2860" w:type="dxa"/>
            <w:vAlign w:val="bottom"/>
            <w:gridSpan w:val="2"/>
          </w:tcPr>
          <w:p>
            <w:pPr>
              <w:spacing w:after="0"/>
              <w:rPr>
                <w:sz w:val="20"/>
                <w:szCs w:val="20"/>
                <w:color w:val="auto"/>
              </w:rPr>
            </w:pPr>
            <w:r>
              <w:rPr>
                <w:rFonts w:ascii="Arial" w:cs="Arial" w:eastAsia="Arial" w:hAnsi="Arial"/>
                <w:sz w:val="18"/>
                <w:szCs w:val="18"/>
                <w:color w:val="auto"/>
              </w:rPr>
              <w:t>Stock option plan C1</w:t>
            </w:r>
          </w:p>
        </w:tc>
        <w:tc>
          <w:tcPr>
            <w:tcW w:w="1600" w:type="dxa"/>
            <w:vAlign w:val="bottom"/>
          </w:tcPr>
          <w:p>
            <w:pPr>
              <w:jc w:val="right"/>
              <w:spacing w:after="0"/>
              <w:rPr>
                <w:sz w:val="20"/>
                <w:szCs w:val="20"/>
                <w:color w:val="auto"/>
              </w:rPr>
            </w:pPr>
            <w:r>
              <w:rPr>
                <w:rFonts w:ascii="Arial" w:cs="Arial" w:eastAsia="Arial" w:hAnsi="Arial"/>
                <w:sz w:val="18"/>
                <w:szCs w:val="18"/>
                <w:color w:val="auto"/>
              </w:rPr>
              <w:t>5'920'750</w:t>
            </w:r>
          </w:p>
        </w:tc>
        <w:tc>
          <w:tcPr>
            <w:tcW w:w="60" w:type="dxa"/>
            <w:vAlign w:val="bottom"/>
          </w:tcPr>
          <w:p>
            <w:pPr>
              <w:spacing w:after="0"/>
              <w:rPr>
                <w:sz w:val="18"/>
                <w:szCs w:val="18"/>
                <w:color w:val="auto"/>
              </w:rPr>
            </w:pPr>
          </w:p>
        </w:tc>
        <w:tc>
          <w:tcPr>
            <w:tcW w:w="4380" w:type="dxa"/>
            <w:vAlign w:val="bottom"/>
            <w:gridSpan w:val="3"/>
          </w:tcPr>
          <w:p>
            <w:pPr>
              <w:ind w:left="60"/>
              <w:spacing w:after="0"/>
              <w:rPr>
                <w:sz w:val="20"/>
                <w:szCs w:val="20"/>
                <w:color w:val="auto"/>
              </w:rPr>
            </w:pPr>
            <w:r>
              <w:rPr>
                <w:rFonts w:ascii="Arial" w:cs="Arial" w:eastAsia="Arial" w:hAnsi="Arial"/>
                <w:sz w:val="18"/>
                <w:szCs w:val="18"/>
                <w:color w:val="auto"/>
              </w:rPr>
              <w:t>4 years' service from grant date</w:t>
            </w:r>
          </w:p>
        </w:tc>
        <w:tc>
          <w:tcPr>
            <w:tcW w:w="2160" w:type="dxa"/>
            <w:vAlign w:val="bottom"/>
          </w:tcPr>
          <w:p>
            <w:pPr>
              <w:spacing w:after="0"/>
              <w:rPr>
                <w:sz w:val="20"/>
                <w:szCs w:val="20"/>
                <w:color w:val="auto"/>
              </w:rPr>
            </w:pPr>
            <w:r>
              <w:rPr>
                <w:rFonts w:ascii="Arial" w:cs="Arial" w:eastAsia="Arial" w:hAnsi="Arial"/>
                <w:sz w:val="18"/>
                <w:szCs w:val="18"/>
                <w:color w:val="auto"/>
              </w:rPr>
              <w:t>6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120"/>
              <w:spacing w:after="0" w:line="173" w:lineRule="exact"/>
              <w:rPr>
                <w:sz w:val="20"/>
                <w:szCs w:val="20"/>
                <w:color w:val="auto"/>
              </w:rPr>
            </w:pPr>
            <w:r>
              <w:rPr>
                <w:rFonts w:ascii="Arial" w:cs="Arial" w:eastAsia="Arial" w:hAnsi="Arial"/>
                <w:sz w:val="18"/>
                <w:szCs w:val="18"/>
                <w:b w:val="1"/>
                <w:bCs w:val="1"/>
                <w:color w:val="auto"/>
                <w:w w:val="98"/>
              </w:rPr>
              <w:t>Weighted</w:t>
            </w:r>
          </w:p>
        </w:tc>
        <w:tc>
          <w:tcPr>
            <w:tcW w:w="116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80"/>
              <w:spacing w:after="0" w:line="173" w:lineRule="exact"/>
              <w:rPr>
                <w:sz w:val="20"/>
                <w:szCs w:val="20"/>
                <w:color w:val="auto"/>
              </w:rPr>
            </w:pPr>
            <w:r>
              <w:rPr>
                <w:rFonts w:ascii="Arial" w:cs="Arial" w:eastAsia="Arial" w:hAnsi="Arial"/>
                <w:sz w:val="18"/>
                <w:szCs w:val="18"/>
                <w:b w:val="1"/>
                <w:bCs w:val="1"/>
                <w:color w:val="auto"/>
                <w:w w:val="98"/>
              </w:rPr>
              <w:t>Weighted</w:t>
            </w:r>
          </w:p>
        </w:tc>
        <w:tc>
          <w:tcPr>
            <w:tcW w:w="11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Average</w:t>
            </w:r>
          </w:p>
        </w:tc>
        <w:tc>
          <w:tcPr>
            <w:tcW w:w="12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rPr>
              <w:t>Average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Average</w:t>
            </w: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Exercise</w:t>
            </w: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Remaining</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Exercise</w:t>
            </w: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0" w:type="dxa"/>
            <w:vAlign w:val="bottom"/>
          </w:tcPr>
          <w:p>
            <w:pPr>
              <w:spacing w:after="0"/>
              <w:rPr>
                <w:sz w:val="1"/>
                <w:szCs w:val="1"/>
                <w:color w:val="auto"/>
              </w:rPr>
            </w:pPr>
          </w:p>
        </w:tc>
      </w:tr>
      <w:tr>
        <w:trPr>
          <w:trHeight w:val="225"/>
        </w:trPr>
        <w:tc>
          <w:tcPr>
            <w:tcW w:w="4020" w:type="dxa"/>
            <w:vAlign w:val="bottom"/>
            <w:vMerge w:val="restart"/>
          </w:tcPr>
          <w:p>
            <w:pPr>
              <w:spacing w:after="0"/>
              <w:rPr>
                <w:sz w:val="20"/>
                <w:szCs w:val="20"/>
                <w:color w:val="auto"/>
              </w:rPr>
            </w:pPr>
            <w:r>
              <w:rPr>
                <w:rFonts w:ascii="Arial" w:cs="Arial" w:eastAsia="Arial" w:hAnsi="Arial"/>
                <w:sz w:val="18"/>
                <w:szCs w:val="18"/>
                <w:color w:val="auto"/>
              </w:rPr>
              <w:t>Outstanding at January 1</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Price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Term (Y)</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8"/>
              </w:rPr>
              <w:t>Term (Y)</w:t>
            </w:r>
          </w:p>
        </w:tc>
        <w:tc>
          <w:tcPr>
            <w:tcW w:w="0" w:type="dxa"/>
            <w:vAlign w:val="bottom"/>
          </w:tcPr>
          <w:p>
            <w:pPr>
              <w:spacing w:after="0"/>
              <w:rPr>
                <w:sz w:val="1"/>
                <w:szCs w:val="1"/>
                <w:color w:val="auto"/>
              </w:rPr>
            </w:pPr>
          </w:p>
        </w:tc>
      </w:tr>
      <w:tr>
        <w:trPr>
          <w:trHeight w:val="195"/>
        </w:trPr>
        <w:tc>
          <w:tcPr>
            <w:tcW w:w="4020" w:type="dxa"/>
            <w:vAlign w:val="bottom"/>
            <w:vMerge w:val="continue"/>
          </w:tcPr>
          <w:p>
            <w:pPr>
              <w:spacing w:after="0"/>
              <w:rPr>
                <w:sz w:val="16"/>
                <w:szCs w:val="16"/>
                <w:color w:val="auto"/>
              </w:rPr>
            </w:pPr>
          </w:p>
        </w:tc>
        <w:tc>
          <w:tcPr>
            <w:tcW w:w="11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4,006,500</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0.14548</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3,768,000</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0.22119</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(23,250)</w:t>
            </w:r>
          </w:p>
        </w:tc>
        <w:tc>
          <w:tcPr>
            <w:tcW w:w="1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0.00000</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0.0</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(4,500)</w:t>
            </w: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0.00000</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Cancelled during the year</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(15,250)</w:t>
            </w:r>
          </w:p>
        </w:tc>
        <w:tc>
          <w:tcPr>
            <w:tcW w:w="1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0.00000</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0.0</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(19,000)</w:t>
            </w: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0.00000</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Exercised during the year</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(594,250)</w:t>
            </w:r>
          </w:p>
        </w:tc>
        <w:tc>
          <w:tcPr>
            <w:tcW w:w="1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0.00000</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0.0</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(21,250)</w:t>
            </w: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0.00000</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24,750</w:t>
            </w:r>
          </w:p>
        </w:tc>
        <w:tc>
          <w:tcPr>
            <w:tcW w:w="1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0.00000</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0.0</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283,250</w:t>
            </w: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0.00000</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3,398,500</w:t>
            </w:r>
          </w:p>
        </w:tc>
        <w:tc>
          <w:tcPr>
            <w:tcW w:w="1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0.14548</w:t>
            </w: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4,006,500</w:t>
            </w: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0.21668</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Exerciseable at December 31</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3,032,500</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0.14548</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3,370,000</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0.23013</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prices for all outstanding options was CHF 0.14548 as of December 31, 2015 and 2014.</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fair values of the options granted in 2015 and 2014 are CHF 1.76848 and CHF 0.77044, respectively. These fair values have been determined using the Black-Scholes model and an exercise price of CHF 0.14548 (2014: CHF 0.14548), a spot price of CHF 1.9104 (2014: CHF 0.90268), a risk-free interest rate of 0% (2014: 0.232%) and a volatility of 50% (2014: 50%) with an expected duration of 6 years (2014: 6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is set by the Board of Directors. The volatility is based on the historical trend of an</w:t>
      </w:r>
    </w:p>
    <w:p>
      <w:pPr>
        <w:spacing w:after="0" w:line="19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appropriate sample of companies operating in the biotech and pharmaceutical industry. The risk-free interest rate is based on the CHF swap rate for the expected life of the option. The weighted average fair value of exercised common share options in 2015 is CHF 1.9104 (2014: CHF 0.90268).</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expense charged against the income statement for the financial year 2015 amounts to CHF 539 thousand (2014: CHF 211 thousand). The expense assumes a departure rate based on the fact that some beneficiaries will not be able to exercise.</w:t>
      </w:r>
    </w:p>
    <w:p>
      <w:pPr>
        <w:spacing w:after="0" w:line="29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9" w:name="page50"/>
    <w:bookmarkEnd w:id="49"/>
    <w:p>
      <w:pPr>
        <w:jc w:val="center"/>
        <w:ind w:right="80"/>
        <w:spacing w:after="0"/>
        <w:rPr>
          <w:sz w:val="20"/>
          <w:szCs w:val="20"/>
          <w:color w:val="auto"/>
        </w:rPr>
      </w:pPr>
      <w:r>
        <w:rPr>
          <w:sz w:val="1"/>
          <w:szCs w:val="1"/>
          <w:color w:val="auto"/>
        </w:rPr>
        <w:drawing>
          <wp:inline distT="0" distB="0" distL="0" distR="0">
            <wp:extent cx="403225" cy="18034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60" w:type="dxa"/>
            <w:vAlign w:val="bottom"/>
          </w:tcPr>
          <w:p>
            <w:pPr>
              <w:spacing w:after="0"/>
              <w:rPr>
                <w:sz w:val="20"/>
                <w:szCs w:val="20"/>
                <w:color w:val="auto"/>
              </w:rPr>
            </w:pPr>
            <w:r>
              <w:rPr>
                <w:rFonts w:ascii="Arial" w:cs="Arial" w:eastAsia="Arial" w:hAnsi="Arial"/>
                <w:sz w:val="18"/>
                <w:szCs w:val="18"/>
                <w:b w:val="1"/>
                <w:bCs w:val="1"/>
                <w:color w:val="auto"/>
              </w:rPr>
              <w:t>17. Commitments and contingencies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in CHF thousands</w:t>
            </w:r>
          </w:p>
        </w:tc>
        <w:tc>
          <w:tcPr>
            <w:tcW w:w="40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50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2015</w:t>
            </w:r>
          </w:p>
        </w:tc>
        <w:tc>
          <w:tcPr>
            <w:tcW w:w="15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760" w:type="dxa"/>
            <w:vAlign w:val="bottom"/>
          </w:tcPr>
          <w:p>
            <w:pPr>
              <w:ind w:left="580"/>
              <w:spacing w:after="0"/>
              <w:rPr>
                <w:sz w:val="20"/>
                <w:szCs w:val="20"/>
                <w:color w:val="auto"/>
              </w:rPr>
            </w:pPr>
            <w:r>
              <w:rPr>
                <w:rFonts w:ascii="Arial" w:cs="Arial" w:eastAsia="Arial" w:hAnsi="Arial"/>
                <w:sz w:val="18"/>
                <w:szCs w:val="18"/>
                <w:color w:val="auto"/>
              </w:rPr>
              <w:t>Within one year</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5'989</w:t>
            </w:r>
          </w:p>
        </w:tc>
        <w:tc>
          <w:tcPr>
            <w:tcW w:w="15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3" w:lineRule="exact"/>
              <w:rPr>
                <w:sz w:val="20"/>
                <w:szCs w:val="20"/>
                <w:color w:val="auto"/>
              </w:rPr>
            </w:pPr>
            <w:r>
              <w:rPr>
                <w:rFonts w:ascii="Arial" w:cs="Arial" w:eastAsia="Arial" w:hAnsi="Arial"/>
                <w:sz w:val="18"/>
                <w:szCs w:val="18"/>
                <w:color w:val="auto"/>
              </w:rPr>
              <w:t>Between one and five years</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1111</w:t>
            </w:r>
          </w:p>
        </w:tc>
        <w:tc>
          <w:tcPr>
            <w:tcW w:w="1520" w:type="dxa"/>
            <w:vAlign w:val="bottom"/>
          </w:tcPr>
          <w:p>
            <w:pPr>
              <w:spacing w:after="0"/>
              <w:rPr>
                <w:sz w:val="17"/>
                <w:szCs w:val="17"/>
                <w:color w:val="auto"/>
              </w:rPr>
            </w:pPr>
          </w:p>
        </w:tc>
        <w:tc>
          <w:tcPr>
            <w:tcW w:w="6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196"/>
        </w:trPr>
        <w:tc>
          <w:tcPr>
            <w:tcW w:w="6760" w:type="dxa"/>
            <w:vAlign w:val="bottom"/>
          </w:tcPr>
          <w:p>
            <w:pPr>
              <w:ind w:left="580"/>
              <w:spacing w:after="0" w:line="196" w:lineRule="exact"/>
              <w:rPr>
                <w:sz w:val="20"/>
                <w:szCs w:val="20"/>
                <w:color w:val="auto"/>
              </w:rPr>
            </w:pPr>
            <w:r>
              <w:rPr>
                <w:rFonts w:ascii="Arial" w:cs="Arial" w:eastAsia="Arial" w:hAnsi="Arial"/>
                <w:sz w:val="18"/>
                <w:szCs w:val="18"/>
                <w:b w:val="1"/>
                <w:bCs w:val="1"/>
                <w:color w:val="auto"/>
              </w:rPr>
              <w:t>Total</w:t>
            </w: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7'100</w:t>
            </w:r>
          </w:p>
        </w:tc>
        <w:tc>
          <w:tcPr>
            <w:tcW w:w="340" w:type="dxa"/>
            <w:vAlign w:val="bottom"/>
          </w:tcPr>
          <w:p>
            <w:pPr>
              <w:spacing w:after="0"/>
              <w:rPr>
                <w:sz w:val="17"/>
                <w:szCs w:val="17"/>
                <w:color w:val="auto"/>
              </w:rPr>
            </w:pPr>
          </w:p>
        </w:tc>
        <w:tc>
          <w:tcPr>
            <w:tcW w:w="15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has research contracts with several external service providers. As of December 31, 2015, external research projects for CHF 5.82 million were committed for 2016. Rental contract for laboratory and offices space at the EPFL Innovation Park in Ecublens/Lausanne can be cancelled within a 6 month notice period. As of December 31, 2015, rental contracts for CHF 169 thousand were committed for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60" w:type="dxa"/>
            <w:vAlign w:val="bottom"/>
          </w:tcPr>
          <w:p>
            <w:pPr>
              <w:spacing w:after="0"/>
              <w:rPr>
                <w:sz w:val="20"/>
                <w:szCs w:val="20"/>
                <w:color w:val="auto"/>
              </w:rPr>
            </w:pPr>
            <w:r>
              <w:rPr>
                <w:rFonts w:ascii="Arial" w:cs="Arial" w:eastAsia="Arial" w:hAnsi="Arial"/>
                <w:sz w:val="18"/>
                <w:szCs w:val="18"/>
                <w:b w:val="1"/>
                <w:bCs w:val="1"/>
                <w:color w:val="auto"/>
              </w:rPr>
              <w:t>18. Earnings per share</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4700" w:type="dxa"/>
            <w:vAlign w:val="bottom"/>
            <w:gridSpan w:val="5"/>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195"/>
        </w:trPr>
        <w:tc>
          <w:tcPr>
            <w:tcW w:w="6760" w:type="dxa"/>
            <w:vAlign w:val="bottom"/>
            <w:vMerge w:val="continue"/>
          </w:tcPr>
          <w:p>
            <w:pPr>
              <w:spacing w:after="0"/>
              <w:rPr>
                <w:sz w:val="16"/>
                <w:szCs w:val="16"/>
                <w:color w:val="auto"/>
              </w:rPr>
            </w:pPr>
          </w:p>
        </w:tc>
        <w:tc>
          <w:tcPr>
            <w:tcW w:w="250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b w:val="1"/>
                <w:bCs w:val="1"/>
                <w:color w:val="auto"/>
              </w:rPr>
              <w:t>2015</w:t>
            </w:r>
          </w:p>
        </w:tc>
        <w:tc>
          <w:tcPr>
            <w:tcW w:w="2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60" w:type="dxa"/>
            <w:vAlign w:val="bottom"/>
          </w:tcPr>
          <w:p>
            <w:pPr>
              <w:ind w:left="580"/>
              <w:spacing w:after="0" w:line="196" w:lineRule="exact"/>
              <w:rPr>
                <w:sz w:val="20"/>
                <w:szCs w:val="20"/>
                <w:color w:val="auto"/>
              </w:rPr>
            </w:pPr>
            <w:r>
              <w:rPr>
                <w:rFonts w:ascii="Arial" w:cs="Arial" w:eastAsia="Arial" w:hAnsi="Arial"/>
                <w:sz w:val="18"/>
                <w:szCs w:val="18"/>
                <w:color w:val="auto"/>
              </w:rPr>
              <w:t>Net income attributable to owners of the Company</w:t>
            </w:r>
          </w:p>
        </w:tc>
        <w:tc>
          <w:tcPr>
            <w:tcW w:w="2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20,270</w:t>
            </w:r>
          </w:p>
        </w:tc>
        <w:tc>
          <w:tcPr>
            <w:tcW w:w="340" w:type="dxa"/>
            <w:vAlign w:val="bottom"/>
          </w:tcPr>
          <w:p>
            <w:pPr>
              <w:spacing w:after="0"/>
              <w:rPr>
                <w:sz w:val="17"/>
                <w:szCs w:val="17"/>
                <w:color w:val="auto"/>
              </w:rPr>
            </w:pPr>
          </w:p>
        </w:tc>
        <w:tc>
          <w:tcPr>
            <w:tcW w:w="218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10,744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Earnings per share (EPS):</w:t>
            </w:r>
          </w:p>
        </w:tc>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Basic, income for the period attributable to equity holders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0.47</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Diluted, income for the period attributable to equity holders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0.44</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580"/>
              <w:spacing w:after="0" w:line="202" w:lineRule="exact"/>
              <w:rPr>
                <w:sz w:val="20"/>
                <w:szCs w:val="20"/>
                <w:color w:val="auto"/>
              </w:rPr>
            </w:pPr>
            <w:r>
              <w:rPr>
                <w:rFonts w:ascii="Arial" w:cs="Arial" w:eastAsia="Arial" w:hAnsi="Arial"/>
                <w:sz w:val="18"/>
                <w:szCs w:val="18"/>
                <w:color w:val="auto"/>
              </w:rPr>
              <w:t>Weighted-average number of shares used to compute EPS basic</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43,412,250</w:t>
            </w:r>
          </w:p>
        </w:tc>
        <w:tc>
          <w:tcPr>
            <w:tcW w:w="2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42,684,750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60" w:type="dxa"/>
            <w:vAlign w:val="bottom"/>
          </w:tcPr>
          <w:p>
            <w:pPr>
              <w:ind w:left="580"/>
              <w:spacing w:after="0" w:line="197" w:lineRule="exact"/>
              <w:rPr>
                <w:sz w:val="20"/>
                <w:szCs w:val="20"/>
                <w:color w:val="auto"/>
              </w:rPr>
            </w:pPr>
            <w:r>
              <w:rPr>
                <w:rFonts w:ascii="Arial" w:cs="Arial" w:eastAsia="Arial" w:hAnsi="Arial"/>
                <w:sz w:val="18"/>
                <w:szCs w:val="18"/>
                <w:color w:val="auto"/>
              </w:rPr>
              <w:t>Weighted-average number of shares used to compute EPS fully diluted</w:t>
            </w:r>
          </w:p>
        </w:tc>
        <w:tc>
          <w:tcPr>
            <w:tcW w:w="216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46,043,198</w:t>
            </w:r>
          </w:p>
        </w:tc>
        <w:tc>
          <w:tcPr>
            <w:tcW w:w="340" w:type="dxa"/>
            <w:vAlign w:val="bottom"/>
          </w:tcPr>
          <w:p>
            <w:pPr>
              <w:spacing w:after="0"/>
              <w:rPr>
                <w:sz w:val="17"/>
                <w:szCs w:val="17"/>
                <w:color w:val="auto"/>
              </w:rPr>
            </w:pPr>
          </w:p>
        </w:tc>
        <w:tc>
          <w:tcPr>
            <w:tcW w:w="2180" w:type="dxa"/>
            <w:vAlign w:val="bottom"/>
            <w:tcBorders>
              <w:top w:val="single" w:sz="8" w:color="auto"/>
              <w:bottom w:val="single" w:sz="8" w:color="auto"/>
            </w:tcBorders>
            <w:gridSpan w:val="2"/>
          </w:tcPr>
          <w:p>
            <w:pPr>
              <w:jc w:val="right"/>
              <w:ind w:right="20"/>
              <w:spacing w:after="0" w:line="197" w:lineRule="exact"/>
              <w:rPr>
                <w:sz w:val="20"/>
                <w:szCs w:val="20"/>
                <w:color w:val="auto"/>
              </w:rPr>
            </w:pPr>
            <w:r>
              <w:rPr>
                <w:rFonts w:ascii="Arial" w:cs="Arial" w:eastAsia="Arial" w:hAnsi="Arial"/>
                <w:sz w:val="18"/>
                <w:szCs w:val="18"/>
                <w:color w:val="auto"/>
              </w:rPr>
              <w:t>45,552,500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years ended December 31, 2015 and 2014 basic and diluted earnings per share is based on the weighted average number of shares issued and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Sensitivity analysis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w:t>
      </w:r>
    </w:p>
    <w:p>
      <w:pPr>
        <w:spacing w:after="0"/>
        <w:rPr>
          <w:sz w:val="20"/>
          <w:szCs w:val="20"/>
          <w:color w:val="auto"/>
        </w:rPr>
      </w:pPr>
      <w:r>
        <w:rPr>
          <w:rFonts w:ascii="Arial" w:cs="Arial" w:eastAsia="Arial" w:hAnsi="Arial"/>
          <w:sz w:val="18"/>
          <w:szCs w:val="18"/>
          <w:color w:val="auto"/>
        </w:rPr>
        <w:t>Exchange rate exposures are managed by matching its cash holdings to the currency structure of its expenses.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2015, if the CHF had strengthened/weakened by 10% against the EUR and the USD with all other variables held constant, the net loss for the period would have been lower/higher by CHF 5’613 thousand (2014: CHF 16 thousand), mainly as a result of foreign exchange gains/losses on transaction of EUR/USD denominated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06"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50" w:name="page51"/>
    <w:bookmarkEnd w:id="50"/>
    <w:p>
      <w:pPr>
        <w:jc w:val="center"/>
        <w:ind w:right="80"/>
        <w:spacing w:after="0"/>
        <w:rPr>
          <w:sz w:val="20"/>
          <w:szCs w:val="20"/>
          <w:color w:val="auto"/>
        </w:rPr>
      </w:pPr>
      <w:r>
        <w:rPr>
          <w:sz w:val="1"/>
          <w:szCs w:val="1"/>
          <w:color w:val="auto"/>
        </w:rPr>
        <w:drawing>
          <wp:inline distT="0" distB="0" distL="0" distR="0">
            <wp:extent cx="403225" cy="18034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Financial instruments and risk management</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1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Based on the current cash position, the Company is well financed until the end of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6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39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For the Years Ended December 31,</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180" w:type="dxa"/>
            <w:vAlign w:val="bottom"/>
            <w:gridSpan w:val="3"/>
            <w:vMerge w:val="continue"/>
          </w:tcPr>
          <w:p>
            <w:pPr>
              <w:spacing w:after="0"/>
              <w:rPr>
                <w:sz w:val="17"/>
                <w:szCs w:val="17"/>
                <w:color w:val="auto"/>
              </w:rPr>
            </w:pPr>
          </w:p>
        </w:tc>
        <w:tc>
          <w:tcPr>
            <w:tcW w:w="250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2015</w:t>
            </w:r>
          </w:p>
        </w:tc>
        <w:tc>
          <w:tcPr>
            <w:tcW w:w="14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72"/>
        </w:trPr>
        <w:tc>
          <w:tcPr>
            <w:tcW w:w="58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Financial assets</w:t>
            </w:r>
          </w:p>
        </w:tc>
        <w:tc>
          <w:tcPr>
            <w:tcW w:w="4780" w:type="dxa"/>
            <w:vAlign w:val="bottom"/>
            <w:gridSpan w:val="2"/>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180" w:type="dxa"/>
            <w:vAlign w:val="bottom"/>
            <w:gridSpan w:val="3"/>
          </w:tcPr>
          <w:p>
            <w:pPr>
              <w:spacing w:after="0" w:line="202" w:lineRule="exact"/>
              <w:rPr>
                <w:sz w:val="20"/>
                <w:szCs w:val="20"/>
                <w:color w:val="auto"/>
              </w:rPr>
            </w:pPr>
            <w:r>
              <w:rPr>
                <w:rFonts w:ascii="Arial" w:cs="Arial" w:eastAsia="Arial" w:hAnsi="Arial"/>
                <w:sz w:val="18"/>
                <w:szCs w:val="18"/>
                <w:color w:val="auto"/>
              </w:rPr>
              <w:t>Cash and cash equivalents</w:t>
            </w:r>
          </w:p>
        </w:tc>
        <w:tc>
          <w:tcPr>
            <w:tcW w:w="25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76'522</w:t>
            </w:r>
          </w:p>
        </w:tc>
        <w:tc>
          <w:tcPr>
            <w:tcW w:w="14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180" w:type="dxa"/>
            <w:vAlign w:val="bottom"/>
            <w:gridSpan w:val="3"/>
          </w:tcPr>
          <w:p>
            <w:pPr>
              <w:spacing w:after="0" w:line="203" w:lineRule="exact"/>
              <w:rPr>
                <w:sz w:val="20"/>
                <w:szCs w:val="20"/>
                <w:color w:val="auto"/>
              </w:rPr>
            </w:pPr>
            <w:r>
              <w:rPr>
                <w:rFonts w:ascii="Arial" w:cs="Arial" w:eastAsia="Arial" w:hAnsi="Arial"/>
                <w:sz w:val="18"/>
                <w:szCs w:val="18"/>
                <w:color w:val="auto"/>
              </w:rPr>
              <w:t>Other receivables</w:t>
            </w:r>
          </w:p>
        </w:tc>
        <w:tc>
          <w:tcPr>
            <w:tcW w:w="2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269</w:t>
            </w:r>
          </w:p>
        </w:tc>
        <w:tc>
          <w:tcPr>
            <w:tcW w:w="14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25'863</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1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Total financial assets</w:t>
            </w: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76'791</w:t>
            </w:r>
          </w:p>
        </w:tc>
        <w:tc>
          <w:tcPr>
            <w:tcW w:w="340" w:type="dxa"/>
            <w:vAlign w:val="bottom"/>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29'169</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6180" w:type="dxa"/>
            <w:vAlign w:val="bottom"/>
            <w:gridSpan w:val="3"/>
            <w:vMerge w:val="restart"/>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 w:type="dxa"/>
            <w:vAlign w:val="bottom"/>
            <w:vMerge w:val="continue"/>
          </w:tcPr>
          <w:p>
            <w:pPr>
              <w:spacing w:after="0"/>
              <w:rPr>
                <w:sz w:val="13"/>
                <w:szCs w:val="13"/>
                <w:color w:val="auto"/>
              </w:rPr>
            </w:pPr>
          </w:p>
        </w:tc>
        <w:tc>
          <w:tcPr>
            <w:tcW w:w="6180" w:type="dxa"/>
            <w:vAlign w:val="bottom"/>
            <w:gridSpan w:val="3"/>
            <w:vMerge w:val="continue"/>
          </w:tcPr>
          <w:p>
            <w:pPr>
              <w:spacing w:after="0"/>
              <w:rPr>
                <w:sz w:val="13"/>
                <w:szCs w:val="13"/>
                <w:color w:val="auto"/>
              </w:rPr>
            </w:pPr>
          </w:p>
        </w:tc>
        <w:tc>
          <w:tcPr>
            <w:tcW w:w="2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Trade and other accounts payable</w:t>
            </w:r>
          </w:p>
        </w:tc>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1'719</w:t>
            </w:r>
          </w:p>
        </w:tc>
        <w:tc>
          <w:tcPr>
            <w:tcW w:w="1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1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Total financial liabilities</w:t>
            </w:r>
          </w:p>
        </w:tc>
        <w:tc>
          <w:tcPr>
            <w:tcW w:w="2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1'719</w:t>
            </w:r>
          </w:p>
        </w:tc>
        <w:tc>
          <w:tcPr>
            <w:tcW w:w="340" w:type="dxa"/>
            <w:vAlign w:val="bottom"/>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59"/>
        </w:trPr>
        <w:tc>
          <w:tcPr>
            <w:tcW w:w="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-307975</wp:posOffset>
            </wp:positionV>
            <wp:extent cx="1260475" cy="274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60475" cy="274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1" w:name="page52"/>
    <w:bookmarkEnd w:id="51"/>
    <w:p>
      <w:pPr>
        <w:jc w:val="center"/>
        <w:ind w:right="80"/>
        <w:spacing w:after="0"/>
        <w:rPr>
          <w:sz w:val="20"/>
          <w:szCs w:val="20"/>
          <w:color w:val="auto"/>
        </w:rPr>
      </w:pPr>
      <w:r>
        <w:rPr>
          <w:sz w:val="1"/>
          <w:szCs w:val="1"/>
          <w:color w:val="auto"/>
        </w:rPr>
        <w:drawing>
          <wp:inline distT="0" distB="0" distL="0" distR="0">
            <wp:extent cx="403225" cy="18034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3225" cy="180340"/>
                    </a:xfrm>
                    <a:prstGeom prst="rect">
                      <a:avLst/>
                    </a:prstGeom>
                    <a:noFill/>
                    <a:ln>
                      <a:noFill/>
                    </a:ln>
                  </pic:spPr>
                </pic:pic>
              </a:graphicData>
            </a:graphic>
          </wp:inline>
        </w:drawing>
      </w:r>
      <w:r>
        <w:rPr>
          <w:rFonts w:ascii="Arial" w:cs="Arial" w:eastAsia="Arial" w:hAnsi="Arial"/>
          <w:sz w:val="32"/>
          <w:szCs w:val="32"/>
          <w:b w:val="1"/>
          <w:bCs w:val="1"/>
          <w:color w:val="auto"/>
        </w:rPr>
        <w:t xml:space="preserve"> Notes to the Financial Statements (IFRS)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Capital risk management</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the AD.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Segment and geographic reporting</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Post balance sheet events</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our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 activities on the PET imaging programs. ACI will retain all intellectual property rights to any PET product developed for further commercialization.</w:t>
      </w:r>
    </w:p>
    <w:p>
      <w:pPr>
        <w:spacing w:after="0" w:line="18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285750</wp:posOffset>
            </wp:positionV>
            <wp:extent cx="3378835" cy="9436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7883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have audited the accompanying balance sheets of AC Immune SA as of December 31, 2015 and 2014, and the related income statements, statements of other comprehensive income, statements of changes in equity and statements of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8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9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2015 and 2014, and the results of its operations and its cash flows for each of the two years in the period ended December 31, 2015, in conformity with International Financial Reporting Standards as issued by the International Accounting Standards Board.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20" w:type="dxa"/>
            <w:vAlign w:val="bottom"/>
            <w:gridSpan w:val="3"/>
          </w:tcPr>
          <w:p>
            <w:pPr>
              <w:spacing w:after="0"/>
              <w:rPr>
                <w:sz w:val="20"/>
                <w:szCs w:val="20"/>
                <w:color w:val="auto"/>
              </w:rPr>
            </w:pPr>
            <w:r>
              <w:rPr>
                <w:rFonts w:ascii="Arial" w:cs="Arial" w:eastAsia="Arial" w:hAnsi="Arial"/>
                <w:sz w:val="18"/>
                <w:szCs w:val="18"/>
                <w:color w:val="auto"/>
              </w:rPr>
              <w:t>Ernst &amp; Young Ltd</w:t>
            </w:r>
          </w:p>
        </w:tc>
        <w:tc>
          <w:tcPr>
            <w:tcW w:w="3560" w:type="dxa"/>
            <w:vAlign w:val="bottom"/>
          </w:tcPr>
          <w:p>
            <w:pPr>
              <w:spacing w:after="0"/>
              <w:rPr>
                <w:sz w:val="18"/>
                <w:szCs w:val="18"/>
                <w:color w:val="auto"/>
              </w:rPr>
            </w:pPr>
          </w:p>
        </w:tc>
      </w:tr>
      <w:tr>
        <w:trPr>
          <w:trHeight w:val="392"/>
        </w:trPr>
        <w:tc>
          <w:tcPr>
            <w:tcW w:w="4420" w:type="dxa"/>
            <w:vAlign w:val="bottom"/>
            <w:gridSpan w:val="3"/>
          </w:tcPr>
          <w:p>
            <w:pPr>
              <w:spacing w:after="0"/>
              <w:rPr>
                <w:sz w:val="20"/>
                <w:szCs w:val="20"/>
                <w:color w:val="auto"/>
              </w:rPr>
            </w:pPr>
            <w:r>
              <w:rPr>
                <w:rFonts w:ascii="Arial" w:cs="Arial" w:eastAsia="Arial" w:hAnsi="Arial"/>
                <w:sz w:val="18"/>
                <w:szCs w:val="18"/>
                <w:color w:val="auto"/>
              </w:rPr>
              <w:t>/s/ Mark Hawkins</w:t>
            </w:r>
          </w:p>
        </w:tc>
        <w:tc>
          <w:tcPr>
            <w:tcW w:w="3560" w:type="dxa"/>
            <w:vAlign w:val="bottom"/>
          </w:tcPr>
          <w:p>
            <w:pPr>
              <w:spacing w:after="0"/>
              <w:rPr>
                <w:sz w:val="20"/>
                <w:szCs w:val="20"/>
                <w:color w:val="auto"/>
              </w:rPr>
            </w:pPr>
            <w:r>
              <w:rPr>
                <w:rFonts w:ascii="Arial" w:cs="Arial" w:eastAsia="Arial" w:hAnsi="Arial"/>
                <w:sz w:val="18"/>
                <w:szCs w:val="18"/>
                <w:color w:val="auto"/>
              </w:rPr>
              <w:t>/s/ Christopher Roberts</w:t>
            </w:r>
          </w:p>
        </w:tc>
      </w:tr>
      <w:tr>
        <w:trPr>
          <w:trHeight w:val="198"/>
        </w:trPr>
        <w:tc>
          <w:tcPr>
            <w:tcW w:w="20" w:type="dxa"/>
            <w:vAlign w:val="bottom"/>
          </w:tcPr>
          <w:p>
            <w:pPr>
              <w:spacing w:after="0"/>
              <w:rPr>
                <w:sz w:val="17"/>
                <w:szCs w:val="17"/>
                <w:color w:val="auto"/>
              </w:rPr>
            </w:pPr>
          </w:p>
        </w:tc>
        <w:tc>
          <w:tcPr>
            <w:tcW w:w="36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Mark Hawkins</w:t>
            </w:r>
          </w:p>
        </w:tc>
        <w:tc>
          <w:tcPr>
            <w:tcW w:w="740" w:type="dxa"/>
            <w:vAlign w:val="bottom"/>
          </w:tcPr>
          <w:p>
            <w:pPr>
              <w:spacing w:after="0"/>
              <w:rPr>
                <w:sz w:val="17"/>
                <w:szCs w:val="17"/>
                <w:color w:val="auto"/>
              </w:rPr>
            </w:pPr>
          </w:p>
        </w:tc>
        <w:tc>
          <w:tcPr>
            <w:tcW w:w="35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Christopher Roberts</w:t>
            </w:r>
          </w:p>
        </w:tc>
      </w:tr>
      <w:tr>
        <w:trPr>
          <w:trHeight w:val="189"/>
        </w:trPr>
        <w:tc>
          <w:tcPr>
            <w:tcW w:w="4420" w:type="dxa"/>
            <w:vAlign w:val="bottom"/>
            <w:gridSpan w:val="3"/>
          </w:tcPr>
          <w:p>
            <w:pPr>
              <w:spacing w:after="0"/>
              <w:rPr>
                <w:sz w:val="20"/>
                <w:szCs w:val="20"/>
                <w:color w:val="auto"/>
              </w:rPr>
            </w:pPr>
            <w:r>
              <w:rPr>
                <w:rFonts w:ascii="Arial" w:cs="Arial" w:eastAsia="Arial" w:hAnsi="Arial"/>
                <w:sz w:val="16"/>
                <w:szCs w:val="16"/>
                <w:color w:val="auto"/>
              </w:rPr>
              <w:t>Licensed audit expert</w:t>
            </w:r>
          </w:p>
        </w:tc>
        <w:tc>
          <w:tcPr>
            <w:tcW w:w="3560" w:type="dxa"/>
            <w:vAlign w:val="bottom"/>
          </w:tcPr>
          <w:p>
            <w:pPr>
              <w:spacing w:after="0"/>
              <w:rPr>
                <w:sz w:val="20"/>
                <w:szCs w:val="20"/>
                <w:color w:val="auto"/>
              </w:rPr>
            </w:pPr>
            <w:r>
              <w:rPr>
                <w:rFonts w:ascii="Arial" w:cs="Arial" w:eastAsia="Arial" w:hAnsi="Arial"/>
                <w:sz w:val="16"/>
                <w:szCs w:val="16"/>
                <w:color w:val="auto"/>
              </w:rPr>
              <w:t>Licensed audit expert</w:t>
            </w:r>
          </w:p>
        </w:tc>
      </w:tr>
      <w:tr>
        <w:trPr>
          <w:trHeight w:val="195"/>
        </w:trPr>
        <w:tc>
          <w:tcPr>
            <w:tcW w:w="4420" w:type="dxa"/>
            <w:vAlign w:val="bottom"/>
            <w:gridSpan w:val="3"/>
          </w:tcPr>
          <w:p>
            <w:pPr>
              <w:spacing w:after="0"/>
              <w:rPr>
                <w:sz w:val="20"/>
                <w:szCs w:val="20"/>
                <w:color w:val="auto"/>
              </w:rPr>
            </w:pPr>
            <w:r>
              <w:rPr>
                <w:rFonts w:ascii="Arial" w:cs="Arial" w:eastAsia="Arial" w:hAnsi="Arial"/>
                <w:sz w:val="16"/>
                <w:szCs w:val="16"/>
                <w:color w:val="auto"/>
              </w:rPr>
              <w:t>(Auditor in charge)</w:t>
            </w:r>
          </w:p>
        </w:tc>
        <w:tc>
          <w:tcPr>
            <w:tcW w:w="35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Lancy, Switzerland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3860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AC IMMUNE SA</w:t>
      </w:r>
    </w:p>
    <w:p>
      <w:pPr>
        <w:spacing w:after="0" w:line="19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2016 STOCK OPTION AND INCENTIVE PLAN</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GENERAL PURPOSE OF THE PLAN; DEFINITIONS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name of the plan is the AC Immune SA 2016 Stock Option and Incentive Plan (the “Plan”). The purpose of the Plan is to encourage and enable the officers, employees, Non-Employee Directors and Consultants of AC Immune SA (the “Company”) and its Subsidiaries upon whose judgment, initiative and efforts the Company largely depends for the successful conduct of its businesses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80"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 committee performing the functions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and which is comprised of not less than two Non-Employee Directors who are independent.</w:t>
      </w:r>
    </w:p>
    <w:p>
      <w:pPr>
        <w:spacing w:after="0" w:line="1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Stock Options, Stock Appreciation Rights, Restricted Stock Units, Restricted Stock Awards, Unrestricted Stock Awards, Performance Share Awards and Dividend Equivalent Rights.</w:t>
      </w:r>
    </w:p>
    <w:p>
      <w:pPr>
        <w:spacing w:after="0" w:line="16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“Award Certificate” </w:t>
      </w:r>
      <w:r>
        <w:rPr>
          <w:rFonts w:ascii="Arial" w:cs="Arial" w:eastAsia="Arial" w:hAnsi="Arial"/>
          <w:sz w:val="18"/>
          <w:szCs w:val="18"/>
          <w:color w:val="auto"/>
        </w:rPr>
        <w:t>means a written or electronic document setting forth the terms and provisions applicable to an Award granted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Each Award Certificate is subject to the terms and conditions of the Plan.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any natural person that provides bona fide services to the Company, and such services are not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offer or sale of securities in a capital-raising transaction and do not directly or indirectly promote or maintain a market for the Company’s securities.</w:t>
      </w:r>
    </w:p>
    <w:p>
      <w:pPr>
        <w:spacing w:after="0" w:line="16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i w:val="1"/>
          <w:iCs w:val="1"/>
          <w:color w:val="auto"/>
        </w:rPr>
        <w:t xml:space="preserve">“Covered Employee” </w:t>
      </w:r>
      <w:r>
        <w:rPr>
          <w:rFonts w:ascii="Arial" w:cs="Arial" w:eastAsia="Arial" w:hAnsi="Arial"/>
          <w:sz w:val="18"/>
          <w:szCs w:val="18"/>
          <w:color w:val="auto"/>
        </w:rPr>
        <w:t>means an employee who is a “Covered Employee” within the meaning of Section 162(m) of the US Tax Code or is</w:t>
      </w:r>
      <w:r>
        <w:rPr>
          <w:rFonts w:ascii="Arial" w:cs="Arial" w:eastAsia="Arial" w:hAnsi="Arial"/>
          <w:sz w:val="18"/>
          <w:szCs w:val="18"/>
          <w:i w:val="1"/>
          <w:iCs w:val="1"/>
          <w:color w:val="auto"/>
        </w:rPr>
        <w:t xml:space="preserve"> </w:t>
      </w:r>
      <w:r>
        <w:rPr>
          <w:rFonts w:ascii="Arial" w:cs="Arial" w:eastAsia="Arial" w:hAnsi="Arial"/>
          <w:sz w:val="18"/>
          <w:szCs w:val="18"/>
          <w:color w:val="auto"/>
        </w:rPr>
        <w:t>a member of the Board of Directors or executive committee and thus subject to approval requirement pursuant to art. 18 of the Swiss Ordinance against excessive compensation in listed stock corporations (</w:t>
      </w:r>
      <w:r>
        <w:rPr>
          <w:rFonts w:ascii="Arial" w:cs="Arial" w:eastAsia="Arial" w:hAnsi="Arial"/>
          <w:sz w:val="18"/>
          <w:szCs w:val="18"/>
          <w:i w:val="1"/>
          <w:iCs w:val="1"/>
          <w:color w:val="auto"/>
        </w:rPr>
        <w:t>Ordonnance contre les rémunérations abusives dans les sociétés</w:t>
      </w:r>
      <w:r>
        <w:rPr>
          <w:rFonts w:ascii="Arial" w:cs="Arial" w:eastAsia="Arial" w:hAnsi="Arial"/>
          <w:sz w:val="18"/>
          <w:szCs w:val="18"/>
          <w:color w:val="auto"/>
        </w:rPr>
        <w:t xml:space="preserve"> </w:t>
      </w:r>
      <w:r>
        <w:rPr>
          <w:rFonts w:ascii="Arial" w:cs="Arial" w:eastAsia="Arial" w:hAnsi="Arial"/>
          <w:sz w:val="18"/>
          <w:szCs w:val="18"/>
          <w:i w:val="1"/>
          <w:iCs w:val="1"/>
          <w:color w:val="auto"/>
        </w:rPr>
        <w:t>anonymes cotées en bourse</w:t>
      </w:r>
      <w:r>
        <w:rPr>
          <w:rFonts w:ascii="Arial" w:cs="Arial" w:eastAsia="Arial" w:hAnsi="Arial"/>
          <w:sz w:val="18"/>
          <w:szCs w:val="18"/>
          <w:color w:val="auto"/>
        </w:rPr>
        <w:t>).</w:t>
      </w:r>
    </w:p>
    <w:p>
      <w:pPr>
        <w:spacing w:after="0" w:line="1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i w:val="1"/>
          <w:iCs w:val="1"/>
          <w:color w:val="auto"/>
        </w:rPr>
        <w:t xml:space="preserve">“Dividend Equivalent Right” </w:t>
      </w:r>
      <w:r>
        <w:rPr>
          <w:rFonts w:ascii="Arial" w:cs="Arial" w:eastAsia="Arial" w:hAnsi="Arial"/>
          <w:sz w:val="18"/>
          <w:szCs w:val="18"/>
          <w:color w:val="auto"/>
        </w:rPr>
        <w:t>means an Award entitling the grantee to receive credits based on cash dividends that would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paid on the shares of Stock specified in the Dividend Equivalent Right (or other award to which it relates) if such shares had been issued to and held by the grantee.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becomes effective as set forth in Section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2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 in good faith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provided, however, that if the Stock is admitted to quotation on the National Association of Securities Dealers Automated Quotation System (“NASDAQ”), NASDAQ Global Market or another national securities exchange, the determination shall be made by reference to market quotations. If there are no market quotations for such date, the determination shall be made by reference to the last date preceding such date for which there are market quotations; provided further, however, that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7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any Stock Option designated and qualified as an “incentive stock option” as defined in Section 422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US Tax Code.</w:t>
      </w:r>
    </w:p>
    <w:p>
      <w:pPr>
        <w:spacing w:after="0" w:line="1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i w:val="1"/>
          <w:iCs w:val="1"/>
          <w:color w:val="auto"/>
        </w:rPr>
        <w:t xml:space="preserve">“Initial Public Offering” </w:t>
      </w:r>
      <w:r>
        <w:rPr>
          <w:rFonts w:ascii="Arial" w:cs="Arial" w:eastAsia="Arial" w:hAnsi="Arial"/>
          <w:sz w:val="18"/>
          <w:szCs w:val="18"/>
          <w:color w:val="auto"/>
        </w:rPr>
        <w:t>means the first underwritten, firm commitment public offering pursuant to an effective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US Securities Act covering the offer and sale by the Company of its equity securities, or the listing of the shares of the Company at a recognized stock exchange, or such other event as a result of or following which the Stock shall be publicly held.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i w:val="1"/>
          <w:iCs w:val="1"/>
          <w:color w:val="auto"/>
        </w:rPr>
        <w:t xml:space="preserve">“Performance-Based Award” </w:t>
      </w:r>
      <w:r>
        <w:rPr>
          <w:rFonts w:ascii="Arial" w:cs="Arial" w:eastAsia="Arial" w:hAnsi="Arial"/>
          <w:sz w:val="18"/>
          <w:szCs w:val="18"/>
          <w:color w:val="auto"/>
        </w:rPr>
        <w:t>means any Restricted Stock Award, Restricted Stock Units, or Performance Share Award granted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Covered Employee that is intended to qualify as “performance-based compensation” under Section 162(m) of the US Tax Code and the regulations promulgated thereunder.</w:t>
      </w:r>
    </w:p>
    <w:p>
      <w:pPr>
        <w:spacing w:after="0" w:line="1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i w:val="1"/>
          <w:iCs w:val="1"/>
          <w:color w:val="auto"/>
        </w:rPr>
        <w:t xml:space="preserve">“Performance Criteria” </w:t>
      </w:r>
      <w:r>
        <w:rPr>
          <w:rFonts w:ascii="Arial" w:cs="Arial" w:eastAsia="Arial" w:hAnsi="Arial"/>
          <w:sz w:val="18"/>
          <w:szCs w:val="18"/>
          <w:color w:val="auto"/>
        </w:rPr>
        <w:t>means the criteria that the Administrator selects for purposes of establishing the Performance Goal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for an 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are limited to the following: total shareholder return, earnings before interest, taxes, depreciation and amortization, net income (loss) (either before or after interest, taxes, depreciation and/or amortization), changes in the market price of the Stock, economic value-added, funds from operations or similar measure, sales or revenue, developmental, clinical or regulatory milestones, acquisitions or strategic transactions, including licenses, collaborations, joint ventures or promotion arrangements,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The Committee may appropriately adjust any evaluation performance under a Performance Criterion to exclude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9"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2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events that occurs during a Performance Cycle: (i) asset write-downs or impairments, (ii) litigation or claim judgments or settlements, (iii) the effect of changes in tax law, accounting principles or other such laws or provisions affecting reporting results, (iv) accruals for reorganizations and restructuring programs, and (v) any item of an unusual nature or of a type that indicates infrequency of occurrence, or both, including those described in the Financial Accounting Standards Board’s authoritative guidance and/or in management’s discussion and analysis of financial condition of operations appearing the Company’s annual report to stockholders for the applicable year.</w:t>
      </w:r>
    </w:p>
    <w:p>
      <w:pPr>
        <w:spacing w:after="0" w:line="17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i w:val="1"/>
          <w:iCs w:val="1"/>
          <w:color w:val="auto"/>
        </w:rPr>
        <w:t xml:space="preserve">“Performance Cycle” </w:t>
      </w:r>
      <w:r>
        <w:rPr>
          <w:rFonts w:ascii="Arial" w:cs="Arial" w:eastAsia="Arial" w:hAnsi="Arial"/>
          <w:sz w:val="18"/>
          <w:szCs w:val="18"/>
          <w:color w:val="auto"/>
        </w:rPr>
        <w:t>means one or more periods of time, which may be of varying and overlapping durations, as the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select, over which the attainment of one or more Performance Criteria will be measured for the purpose of determining a grantee’s right to and the payment of a Restricted Stock Award, Restricted Stock Units, or Performance Share Award, the vesting and/or payment of which is subject to the attainment of one or more Performance Goals. Each such period shall not be less than 12 months.</w:t>
      </w:r>
    </w:p>
    <w:p>
      <w:pPr>
        <w:spacing w:after="0" w:line="16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8"/>
          <w:szCs w:val="18"/>
          <w:i w:val="1"/>
          <w:iCs w:val="1"/>
          <w:color w:val="auto"/>
        </w:rPr>
        <w:t xml:space="preserve">“Performance Goals” </w:t>
      </w:r>
      <w:r>
        <w:rPr>
          <w:rFonts w:ascii="Arial" w:cs="Arial" w:eastAsia="Arial" w:hAnsi="Arial"/>
          <w:sz w:val="18"/>
          <w:szCs w:val="18"/>
          <w:color w:val="auto"/>
        </w:rPr>
        <w:t>means, for a Performance Cycle, the specific goals established in writing by the Administrator for a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Cycle based upon the Performance Criteria.</w:t>
      </w:r>
    </w:p>
    <w:p>
      <w:pPr>
        <w:spacing w:after="0" w:line="1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“Performance Share Award” </w:t>
      </w:r>
      <w:r>
        <w:rPr>
          <w:rFonts w:ascii="Arial" w:cs="Arial" w:eastAsia="Arial" w:hAnsi="Arial"/>
          <w:sz w:val="18"/>
          <w:szCs w:val="18"/>
          <w:color w:val="auto"/>
        </w:rPr>
        <w:t>means an Award entitling the recipient to acquire shares of Stock upon the attainment of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w:t>
      </w:r>
    </w:p>
    <w:p>
      <w:pPr>
        <w:spacing w:after="0" w:line="14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 a risk of forfeiture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right of repurchase.</w:t>
      </w:r>
    </w:p>
    <w:p>
      <w:pPr>
        <w:spacing w:after="0" w:line="1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 as the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at the time of grant.</w:t>
      </w:r>
    </w:p>
    <w:p>
      <w:pPr>
        <w:spacing w:after="0" w:line="1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stock units subject to such restrictions and conditions as the Administrator may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grant.</w:t>
      </w:r>
    </w:p>
    <w:p>
      <w:pPr>
        <w:spacing w:after="0" w:line="14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 xml:space="preserve">“Sale Event” </w:t>
      </w:r>
      <w:r>
        <w:rPr>
          <w:rFonts w:ascii="Arial" w:cs="Arial" w:eastAsia="Arial" w:hAnsi="Arial"/>
          <w:sz w:val="18"/>
          <w:szCs w:val="18"/>
          <w:color w:val="auto"/>
        </w:rPr>
        <w:t>shall mean (i) the sale of all or substantially all of the assets of the Company on a consolidated basis to an unrelated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7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US Tax Code and the regulations and other guidance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2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CHF 0.02 per share, of the Company, subject to adjustments pursuant to Section 3.</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means an Award entitling the recipient to receive shares of Stock having a value equal to the excess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of the Stock on the date of exercise over the exercise price of the Stock Appreciation Right multiplied by the number of shares of Stock with respect to which the Stock Appreciation Right shall have been exercised.</w:t>
      </w:r>
    </w:p>
    <w:p>
      <w:pPr>
        <w:spacing w:after="0" w:line="16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7"/>
          <w:szCs w:val="17"/>
          <w:i w:val="1"/>
          <w:iCs w:val="1"/>
          <w:color w:val="auto"/>
        </w:rPr>
        <w:t xml:space="preserve">“Ten Percent Owner” </w:t>
      </w:r>
      <w:r>
        <w:rPr>
          <w:rFonts w:ascii="Arial" w:cs="Arial" w:eastAsia="Arial" w:hAnsi="Arial"/>
          <w:sz w:val="17"/>
          <w:szCs w:val="17"/>
          <w:color w:val="auto"/>
        </w:rPr>
        <w:t>means an employee who owns or is deemed to own (by reason of the attribution rules of Section 424(d) of the US</w:t>
      </w:r>
      <w:r>
        <w:rPr>
          <w:rFonts w:ascii="Arial" w:cs="Arial" w:eastAsia="Arial" w:hAnsi="Arial"/>
          <w:sz w:val="17"/>
          <w:szCs w:val="17"/>
          <w:i w:val="1"/>
          <w:iCs w:val="1"/>
          <w:color w:val="auto"/>
        </w:rPr>
        <w:t xml:space="preserve"> </w:t>
      </w:r>
      <w:r>
        <w:rPr>
          <w:rFonts w:ascii="Arial" w:cs="Arial" w:eastAsia="Arial" w:hAnsi="Arial"/>
          <w:sz w:val="17"/>
          <w:szCs w:val="17"/>
          <w:color w:val="auto"/>
        </w:rPr>
        <w:t>Tax Code) more than 10 percent of the combined voting power of all classes of stock of the Company or any parent or subsidiary corporation.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Exchange Act</w:t>
      </w:r>
      <w:r>
        <w:rPr>
          <w:rFonts w:ascii="Arial" w:cs="Arial" w:eastAsia="Arial" w:hAnsi="Arial"/>
          <w:sz w:val="18"/>
          <w:szCs w:val="18"/>
          <w:color w:val="auto"/>
        </w:rPr>
        <w:t>” means the U.S. Securities Exchange Act of 1934, as amended, and the rules and regulations thereunder.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Securities Act</w:t>
      </w:r>
      <w:r>
        <w:rPr>
          <w:rFonts w:ascii="Arial" w:cs="Arial" w:eastAsia="Arial" w:hAnsi="Arial"/>
          <w:sz w:val="18"/>
          <w:szCs w:val="18"/>
          <w:color w:val="auto"/>
        </w:rPr>
        <w:t>” means the U.S. Securities Act of 1933, as amended, and the rules and regulations thereunder.</w:t>
      </w:r>
    </w:p>
    <w:p>
      <w:pPr>
        <w:spacing w:after="0" w:line="19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Tax Code</w:t>
      </w:r>
      <w:r>
        <w:rPr>
          <w:rFonts w:ascii="Arial" w:cs="Arial" w:eastAsia="Arial" w:hAnsi="Arial"/>
          <w:sz w:val="18"/>
          <w:szCs w:val="18"/>
          <w:color w:val="auto"/>
        </w:rPr>
        <w:t>” means the U.S. Internal Revenue Code of 1986, as amended, and any successor Code, and related rules, regulations and interpretations.</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ADMINISTRATION OF PLAN; ADMINISTRATOR AUTHORITY TO SELECT GRANTEES AND DETERMINE AWARDS</w:t>
      </w:r>
    </w:p>
    <w:p>
      <w:pPr>
        <w:spacing w:after="0" w:line="198" w:lineRule="exact"/>
        <w:rPr>
          <w:sz w:val="20"/>
          <w:szCs w:val="20"/>
          <w:color w:val="auto"/>
        </w:rPr>
      </w:pPr>
    </w:p>
    <w:p>
      <w:pPr>
        <w:ind w:left="1380" w:hanging="724"/>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98" w:lineRule="exact"/>
        <w:rPr>
          <w:rFonts w:ascii="Arial" w:cs="Arial" w:eastAsia="Arial" w:hAnsi="Arial"/>
          <w:sz w:val="18"/>
          <w:szCs w:val="18"/>
          <w:color w:val="auto"/>
        </w:rPr>
      </w:pPr>
    </w:p>
    <w:p>
      <w:pPr>
        <w:ind w:right="20" w:firstLine="656"/>
        <w:spacing w:after="0" w:line="246" w:lineRule="auto"/>
        <w:tabs>
          <w:tab w:leader="none" w:pos="146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183" w:lineRule="exact"/>
        <w:rPr>
          <w:rFonts w:ascii="Arial" w:cs="Arial" w:eastAsia="Arial" w:hAnsi="Arial"/>
          <w:sz w:val="18"/>
          <w:szCs w:val="18"/>
          <w:color w:val="auto"/>
        </w:rPr>
      </w:pPr>
    </w:p>
    <w:p>
      <w:pPr>
        <w:ind w:left="2020" w:hanging="715"/>
        <w:spacing w:after="0"/>
        <w:tabs>
          <w:tab w:leader="none" w:pos="2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98" w:lineRule="exact"/>
        <w:rPr>
          <w:rFonts w:ascii="Arial" w:cs="Arial" w:eastAsia="Arial" w:hAnsi="Arial"/>
          <w:sz w:val="18"/>
          <w:szCs w:val="18"/>
          <w:color w:val="auto"/>
        </w:rPr>
      </w:pPr>
    </w:p>
    <w:p>
      <w:pPr>
        <w:jc w:val="both"/>
        <w:ind w:firstLine="1305"/>
        <w:spacing w:after="0"/>
        <w:tabs>
          <w:tab w:leader="none" w:pos="199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or Unrestricted Stock Awards, Performance Share Awards and Dividend Equivalent Rights, or any combination of the foregoing, granted to any one or more grantees;</w:t>
      </w:r>
    </w:p>
    <w:p>
      <w:pPr>
        <w:spacing w:after="0" w:line="189" w:lineRule="exact"/>
        <w:rPr>
          <w:rFonts w:ascii="Arial" w:cs="Arial" w:eastAsia="Arial" w:hAnsi="Arial"/>
          <w:sz w:val="18"/>
          <w:szCs w:val="18"/>
          <w:color w:val="auto"/>
        </w:rPr>
      </w:pPr>
    </w:p>
    <w:p>
      <w:pPr>
        <w:ind w:left="2000" w:hanging="695"/>
        <w:spacing w:after="0"/>
        <w:tabs>
          <w:tab w:leader="none" w:pos="2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98" w:lineRule="exact"/>
        <w:rPr>
          <w:rFonts w:ascii="Arial" w:cs="Arial" w:eastAsia="Arial" w:hAnsi="Arial"/>
          <w:sz w:val="18"/>
          <w:szCs w:val="18"/>
          <w:color w:val="auto"/>
        </w:rPr>
      </w:pPr>
    </w:p>
    <w:p>
      <w:pPr>
        <w:jc w:val="both"/>
        <w:ind w:firstLine="1305"/>
        <w:spacing w:after="0"/>
        <w:tabs>
          <w:tab w:leader="none" w:pos="2109"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20" w:type="dxa"/>
            <w:vAlign w:val="bottom"/>
          </w:tcPr>
          <w:p>
            <w:pPr>
              <w:jc w:val="right"/>
              <w:spacing w:after="0"/>
              <w:rPr>
                <w:sz w:val="20"/>
                <w:szCs w:val="20"/>
                <w:color w:val="auto"/>
              </w:rPr>
            </w:pPr>
            <w:r>
              <w:rPr>
                <w:rFonts w:ascii="Arial" w:cs="Arial" w:eastAsia="Arial" w:hAnsi="Arial"/>
                <w:sz w:val="16"/>
                <w:szCs w:val="16"/>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1305"/>
        <w:spacing w:after="0" w:line="246" w:lineRule="auto"/>
        <w:tabs>
          <w:tab w:leader="none" w:pos="20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 in circumstances involving the grantee’s death, disability, retirement or termination of employment, or a change in control (including a Sale Event);</w:t>
      </w:r>
    </w:p>
    <w:p>
      <w:pPr>
        <w:spacing w:after="0" w:line="183" w:lineRule="exact"/>
        <w:rPr>
          <w:rFonts w:ascii="Arial" w:cs="Arial" w:eastAsia="Arial" w:hAnsi="Arial"/>
          <w:sz w:val="18"/>
          <w:szCs w:val="18"/>
          <w:color w:val="auto"/>
        </w:rPr>
      </w:pPr>
    </w:p>
    <w:p>
      <w:pPr>
        <w:ind w:left="2000" w:hanging="69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the provisions of Section 5(c), to extend at any time the period in which Stock Options may be exercised;</w:t>
      </w:r>
    </w:p>
    <w:p>
      <w:pPr>
        <w:spacing w:after="0" w:line="198" w:lineRule="exact"/>
        <w:rPr>
          <w:rFonts w:ascii="Arial" w:cs="Arial" w:eastAsia="Arial" w:hAnsi="Arial"/>
          <w:sz w:val="18"/>
          <w:szCs w:val="18"/>
          <w:color w:val="auto"/>
        </w:rPr>
      </w:pPr>
    </w:p>
    <w:p>
      <w:pPr>
        <w:ind w:firstLine="1305"/>
        <w:spacing w:after="0" w:line="246" w:lineRule="auto"/>
        <w:tabs>
          <w:tab w:leader="none" w:pos="19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cancel any Award provided that a fair compensation is given to the holder whereby the fairness of the compensation shall be determined by the Administrator in its reasonable judgment; and</w:t>
      </w:r>
    </w:p>
    <w:p>
      <w:pPr>
        <w:spacing w:after="0" w:line="183" w:lineRule="exact"/>
        <w:rPr>
          <w:rFonts w:ascii="Arial" w:cs="Arial" w:eastAsia="Arial" w:hAnsi="Arial"/>
          <w:sz w:val="18"/>
          <w:szCs w:val="18"/>
          <w:color w:val="auto"/>
        </w:rPr>
      </w:pPr>
    </w:p>
    <w:p>
      <w:pPr>
        <w:jc w:val="both"/>
        <w:ind w:firstLine="1305"/>
        <w:spacing w:after="0" w:line="239" w:lineRule="auto"/>
        <w:tabs>
          <w:tab w:leader="none" w:pos="19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198" w:lineRule="exact"/>
        <w:rPr>
          <w:sz w:val="20"/>
          <w:szCs w:val="20"/>
          <w:color w:val="auto"/>
        </w:rPr>
      </w:pPr>
    </w:p>
    <w:p>
      <w:pPr>
        <w:jc w:val="both"/>
        <w:ind w:firstLine="656"/>
        <w:spacing w:after="0" w:line="237" w:lineRule="auto"/>
        <w:tabs>
          <w:tab w:leader="none" w:pos="149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Delegation of Authority to Grant Awards</w:t>
      </w:r>
      <w:r>
        <w:rPr>
          <w:rFonts w:ascii="Arial" w:cs="Arial" w:eastAsia="Arial" w:hAnsi="Arial"/>
          <w:sz w:val="18"/>
          <w:szCs w:val="18"/>
          <w:color w:val="auto"/>
        </w:rPr>
        <w:t>. Subject to applicable law, the Administrator, in its discretion, may delegate to the Chief Executive Officer of the Company all or part of the Administrator’s authority and duties with respect to the granting of Awards to individuals who are (i) not subject to the reporting and other provisions of Section 16 of the US Exchange Act and (ii) not Covered Employees.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89" w:lineRule="exact"/>
        <w:rPr>
          <w:rFonts w:ascii="Arial" w:cs="Arial" w:eastAsia="Arial" w:hAnsi="Arial"/>
          <w:sz w:val="18"/>
          <w:szCs w:val="18"/>
          <w:color w:val="auto"/>
        </w:rPr>
      </w:pPr>
    </w:p>
    <w:p>
      <w:pPr>
        <w:jc w:val="both"/>
        <w:ind w:firstLine="656"/>
        <w:spacing w:after="0"/>
        <w:tabs>
          <w:tab w:leader="none" w:pos="149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Award Certificate</w:t>
      </w:r>
      <w:r>
        <w:rPr>
          <w:rFonts w:ascii="Arial" w:cs="Arial" w:eastAsia="Arial" w:hAnsi="Arial"/>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89" w:lineRule="exact"/>
        <w:rPr>
          <w:rFonts w:ascii="Arial" w:cs="Arial" w:eastAsia="Arial" w:hAnsi="Arial"/>
          <w:sz w:val="18"/>
          <w:szCs w:val="18"/>
          <w:color w:val="auto"/>
        </w:rPr>
      </w:pPr>
    </w:p>
    <w:p>
      <w:pPr>
        <w:jc w:val="both"/>
        <w:ind w:firstLine="656"/>
        <w:spacing w:after="0" w:line="237" w:lineRule="auto"/>
        <w:tabs>
          <w:tab w:leader="none" w:pos="140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2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00" w:lineRule="exact"/>
        <w:rPr>
          <w:sz w:val="20"/>
          <w:szCs w:val="20"/>
          <w:color w:val="auto"/>
        </w:rPr>
      </w:pPr>
    </w:p>
    <w:p>
      <w:pPr>
        <w:spacing w:after="0" w:line="251" w:lineRule="exact"/>
        <w:rPr>
          <w:sz w:val="20"/>
          <w:szCs w:val="20"/>
          <w:color w:val="auto"/>
        </w:rPr>
      </w:pPr>
    </w:p>
    <w:p>
      <w:pPr>
        <w:jc w:val="both"/>
        <w:ind w:firstLine="656"/>
        <w:spacing w:after="0" w:line="236" w:lineRule="auto"/>
        <w:tabs>
          <w:tab w:leader="none" w:pos="134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Compliance with Laws or Practices.</w:t>
      </w:r>
      <w:r>
        <w:rPr>
          <w:rFonts w:ascii="Arial" w:cs="Arial" w:eastAsia="Arial" w:hAnsi="Arial"/>
          <w:sz w:val="18"/>
          <w:szCs w:val="18"/>
          <w:color w:val="auto"/>
        </w:rPr>
        <w:t xml:space="preserve"> Notwithstanding any provision of the Plan to the contrary, in order to comply with the laws or practices in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are eligible to participate in the Plan; (iii) modify the terms and conditions of any Award granted to individuals;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Swiss Ordinance against excessive compensation in listed stock corporations (</w:t>
      </w:r>
      <w:r>
        <w:rPr>
          <w:rFonts w:ascii="Arial" w:cs="Arial" w:eastAsia="Arial" w:hAnsi="Arial"/>
          <w:sz w:val="18"/>
          <w:szCs w:val="18"/>
          <w:i w:val="1"/>
          <w:iCs w:val="1"/>
          <w:color w:val="auto"/>
        </w:rPr>
        <w:t>Ordonnance contre les</w:t>
      </w:r>
      <w:r>
        <w:rPr>
          <w:rFonts w:ascii="Arial" w:cs="Arial" w:eastAsia="Arial" w:hAnsi="Arial"/>
          <w:sz w:val="18"/>
          <w:szCs w:val="18"/>
          <w:color w:val="auto"/>
        </w:rPr>
        <w:t xml:space="preserve"> </w:t>
      </w:r>
      <w:r>
        <w:rPr>
          <w:rFonts w:ascii="Arial" w:cs="Arial" w:eastAsia="Arial" w:hAnsi="Arial"/>
          <w:sz w:val="18"/>
          <w:szCs w:val="18"/>
          <w:i w:val="1"/>
          <w:iCs w:val="1"/>
          <w:color w:val="auto"/>
        </w:rPr>
        <w:t>rémunérations abusives dans les sociétés anonymes cotées en bourse</w:t>
      </w:r>
      <w:r>
        <w:rPr>
          <w:rFonts w:ascii="Arial" w:cs="Arial" w:eastAsia="Arial" w:hAnsi="Arial"/>
          <w:sz w:val="18"/>
          <w:szCs w:val="18"/>
          <w:color w:val="auto"/>
        </w:rPr>
        <w:t>), the US Exchange Act or any other applicable United States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law, the US Tax Code, or any other applicable United States governing statute or law.</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STOCK ISSUABLE UNDER THE PLAN; MERGERS; SUBSTITUTION</w:t>
      </w:r>
    </w:p>
    <w:p>
      <w:pPr>
        <w:spacing w:after="0" w:line="198" w:lineRule="exact"/>
        <w:rPr>
          <w:sz w:val="20"/>
          <w:szCs w:val="20"/>
          <w:color w:val="auto"/>
        </w:rPr>
      </w:pPr>
    </w:p>
    <w:p>
      <w:pPr>
        <w:jc w:val="both"/>
        <w:ind w:firstLine="656"/>
        <w:spacing w:after="0" w:line="236" w:lineRule="auto"/>
        <w:tabs>
          <w:tab w:leader="none" w:pos="161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 Issuable.</w:t>
      </w:r>
      <w:r>
        <w:rPr>
          <w:rFonts w:ascii="Arial" w:cs="Arial" w:eastAsia="Arial" w:hAnsi="Arial"/>
          <w:sz w:val="18"/>
          <w:szCs w:val="18"/>
          <w:color w:val="auto"/>
        </w:rPr>
        <w:t xml:space="preserve"> The maximum number of shares of Stock reserved and available for issuance under the Plan shall be 2,057,740 shares, subject to adjustment as provided in Section 3. For purposes of this limitation, the shares of Stock underlying any Awards under the Plan or any shares of Stock underlying any awards under the Company’s 2015 Stock Option and Grant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Stock Options or Stock Appreciation Rights with respect to no more than 2,000,000 shares of Stock may be granted to any one individual grantee during any one calendar year period, and no more than 2,057,740 shares of the Stock may be issued in the form of Incentive Stock Options. The shares available for issuance under the Plan may be authorized but unissued shares of Stock or shares of Stock reacquired by the Company.</w:t>
      </w:r>
    </w:p>
    <w:p>
      <w:pPr>
        <w:spacing w:after="0" w:line="192" w:lineRule="exact"/>
        <w:rPr>
          <w:rFonts w:ascii="Arial" w:cs="Arial" w:eastAsia="Arial" w:hAnsi="Arial"/>
          <w:sz w:val="18"/>
          <w:szCs w:val="18"/>
          <w:color w:val="auto"/>
        </w:rPr>
      </w:pPr>
    </w:p>
    <w:p>
      <w:pPr>
        <w:jc w:val="both"/>
        <w:ind w:firstLine="656"/>
        <w:spacing w:after="0" w:line="238" w:lineRule="auto"/>
        <w:tabs>
          <w:tab w:leader="none" w:pos="146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Maximum Awards to Non-Employee Directors</w:t>
      </w:r>
      <w:r>
        <w:rPr>
          <w:rFonts w:ascii="Arial" w:cs="Arial" w:eastAsia="Arial" w:hAnsi="Arial"/>
          <w:sz w:val="18"/>
          <w:szCs w:val="18"/>
          <w:color w:val="auto"/>
        </w:rPr>
        <w:t>. Notwithstanding anything to the contrary in this Plan, the value of all Awards awarded under this Plan and all other cash compensation paid by the Company to any Non-Employee Director in any calendar year shall not exceed (i) $300,000 in total value or (ii) in the event such Non-Employee Director is first appointed or elected to the Board during such calendar year, $400,000 in total value.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189" w:lineRule="exact"/>
        <w:rPr>
          <w:rFonts w:ascii="Arial" w:cs="Arial" w:eastAsia="Arial" w:hAnsi="Arial"/>
          <w:sz w:val="18"/>
          <w:szCs w:val="18"/>
          <w:color w:val="auto"/>
        </w:rPr>
      </w:pPr>
    </w:p>
    <w:p>
      <w:pPr>
        <w:ind w:left="1360" w:hanging="704"/>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2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56"/>
        <w:spacing w:after="0" w:line="235" w:lineRule="auto"/>
        <w:tabs>
          <w:tab w:leader="none" w:pos="139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Changes in Stock</w:t>
      </w:r>
      <w:r>
        <w:rPr>
          <w:rFonts w:ascii="Arial" w:cs="Arial" w:eastAsia="Arial" w:hAnsi="Arial"/>
          <w:sz w:val="18"/>
          <w:szCs w:val="18"/>
          <w:color w:val="auto"/>
        </w:rPr>
        <w:t>. Subject to Section 3(e)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00" w:lineRule="exact"/>
        <w:rPr>
          <w:rFonts w:ascii="Arial" w:cs="Arial" w:eastAsia="Arial" w:hAnsi="Arial"/>
          <w:sz w:val="18"/>
          <w:szCs w:val="18"/>
          <w:color w:val="auto"/>
        </w:rPr>
      </w:pPr>
    </w:p>
    <w:p>
      <w:pPr>
        <w:jc w:val="both"/>
        <w:ind w:firstLine="656"/>
        <w:spacing w:after="0" w:line="235" w:lineRule="auto"/>
        <w:tabs>
          <w:tab w:leader="none" w:pos="149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Mergers and Other Transactions</w:t>
      </w:r>
      <w:r>
        <w:rPr>
          <w:rFonts w:ascii="Arial" w:cs="Arial" w:eastAsia="Arial" w:hAnsi="Arial"/>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2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u w:val="single" w:color="auto"/>
          <w:color w:val="auto"/>
        </w:rPr>
        <w:t>ELIGIBILITY</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Grantees under the Plan will be such full or part-time officers and other employees, Non-Employee Directors and Consultants of the Company and its Subsidiaries as are selected from time to time by the Administrator in its sole discretion.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STOCK OPTIONS</w:t>
      </w:r>
    </w:p>
    <w:p>
      <w:pPr>
        <w:spacing w:after="0" w:line="198" w:lineRule="exact"/>
        <w:rPr>
          <w:sz w:val="20"/>
          <w:szCs w:val="20"/>
          <w:color w:val="auto"/>
        </w:rPr>
      </w:pPr>
    </w:p>
    <w:p>
      <w:pPr>
        <w:ind w:firstLine="656"/>
        <w:spacing w:after="0" w:line="246" w:lineRule="auto"/>
        <w:tabs>
          <w:tab w:leader="none" w:pos="133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Award of Stock Options</w:t>
      </w:r>
      <w:r>
        <w:rPr>
          <w:rFonts w:ascii="Arial" w:cs="Arial" w:eastAsia="Arial" w:hAnsi="Arial"/>
          <w:sz w:val="18"/>
          <w:szCs w:val="18"/>
          <w:color w:val="auto"/>
        </w:rPr>
        <w:t>. The Administrator may grant Stock Options under the Plan. Any Stock Option granted under the Plan shall be in such form as the Administrator may from time to time approve.</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US Tax Code. To the extent that any Option does not qualify as an Incentive Stock Option, it shall be deemed a Non-Qualified Stock Option.</w:t>
      </w:r>
    </w:p>
    <w:p>
      <w:pPr>
        <w:spacing w:after="0" w:line="17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88" w:lineRule="exact"/>
        <w:rPr>
          <w:sz w:val="20"/>
          <w:szCs w:val="20"/>
          <w:color w:val="auto"/>
        </w:rPr>
      </w:pPr>
    </w:p>
    <w:p>
      <w:pPr>
        <w:jc w:val="both"/>
        <w:ind w:firstLine="656"/>
        <w:spacing w:after="0" w:line="239" w:lineRule="auto"/>
        <w:tabs>
          <w:tab w:leader="none" w:pos="1359"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w:t>
      </w:r>
    </w:p>
    <w:p>
      <w:pPr>
        <w:spacing w:after="0" w:line="188" w:lineRule="exact"/>
        <w:rPr>
          <w:rFonts w:ascii="Arial" w:cs="Arial" w:eastAsia="Arial" w:hAnsi="Arial"/>
          <w:sz w:val="18"/>
          <w:szCs w:val="18"/>
          <w:color w:val="auto"/>
        </w:rPr>
      </w:pPr>
    </w:p>
    <w:p>
      <w:pPr>
        <w:jc w:val="both"/>
        <w:ind w:firstLine="656"/>
        <w:spacing w:after="0"/>
        <w:tabs>
          <w:tab w:leader="none" w:pos="132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89" w:lineRule="exact"/>
        <w:rPr>
          <w:rFonts w:ascii="Arial" w:cs="Arial" w:eastAsia="Arial" w:hAnsi="Arial"/>
          <w:sz w:val="18"/>
          <w:szCs w:val="18"/>
          <w:color w:val="auto"/>
        </w:rPr>
      </w:pPr>
    </w:p>
    <w:p>
      <w:pPr>
        <w:jc w:val="both"/>
        <w:ind w:firstLine="656"/>
        <w:spacing w:after="0" w:line="239" w:lineRule="auto"/>
        <w:tabs>
          <w:tab w:leader="none" w:pos="152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2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56"/>
        <w:spacing w:after="0"/>
        <w:tabs>
          <w:tab w:leader="none" w:pos="131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89" w:lineRule="exact"/>
        <w:rPr>
          <w:rFonts w:ascii="Arial" w:cs="Arial" w:eastAsia="Arial" w:hAnsi="Arial"/>
          <w:sz w:val="18"/>
          <w:szCs w:val="18"/>
          <w:color w:val="auto"/>
        </w:rPr>
      </w:pPr>
    </w:p>
    <w:p>
      <w:pPr>
        <w:ind w:left="2020" w:hanging="715"/>
        <w:spacing w:after="0"/>
        <w:tabs>
          <w:tab w:leader="none" w:pos="2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198" w:lineRule="exact"/>
        <w:rPr>
          <w:rFonts w:ascii="Arial" w:cs="Arial" w:eastAsia="Arial" w:hAnsi="Arial"/>
          <w:sz w:val="18"/>
          <w:szCs w:val="18"/>
          <w:color w:val="auto"/>
        </w:rPr>
      </w:pPr>
    </w:p>
    <w:p>
      <w:pPr>
        <w:jc w:val="both"/>
        <w:ind w:firstLine="1305"/>
        <w:spacing w:after="0"/>
        <w:tabs>
          <w:tab w:leader="none" w:pos="211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89" w:lineRule="exact"/>
        <w:rPr>
          <w:rFonts w:ascii="Arial" w:cs="Arial" w:eastAsia="Arial" w:hAnsi="Arial"/>
          <w:sz w:val="18"/>
          <w:szCs w:val="18"/>
          <w:color w:val="auto"/>
        </w:rPr>
      </w:pPr>
    </w:p>
    <w:p>
      <w:pPr>
        <w:jc w:val="both"/>
        <w:ind w:firstLine="1305"/>
        <w:spacing w:after="0" w:line="239" w:lineRule="auto"/>
        <w:tabs>
          <w:tab w:leader="none" w:pos="2052" w:val="left"/>
        </w:tabs>
        <w:numPr>
          <w:ilvl w:val="1"/>
          <w:numId w:val="23"/>
        </w:numPr>
        <w:rPr>
          <w:rFonts w:ascii="Arial" w:cs="Arial" w:eastAsia="Arial" w:hAnsi="Arial"/>
          <w:sz w:val="18"/>
          <w:szCs w:val="18"/>
          <w:color w:val="auto"/>
        </w:rPr>
      </w:pPr>
      <w:r>
        <w:rPr>
          <w:rFonts w:ascii="Arial" w:cs="Arial" w:eastAsia="Arial" w:hAnsi="Arial"/>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88" w:lineRule="exact"/>
        <w:rPr>
          <w:rFonts w:ascii="Arial" w:cs="Arial" w:eastAsia="Arial" w:hAnsi="Arial"/>
          <w:sz w:val="18"/>
          <w:szCs w:val="18"/>
          <w:color w:val="auto"/>
        </w:rPr>
      </w:pPr>
    </w:p>
    <w:p>
      <w:pPr>
        <w:jc w:val="both"/>
        <w:ind w:firstLine="1305"/>
        <w:spacing w:after="0"/>
        <w:tabs>
          <w:tab w:leader="none" w:pos="2006" w:val="left"/>
        </w:tabs>
        <w:numPr>
          <w:ilvl w:val="1"/>
          <w:numId w:val="23"/>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Payment instruments will be received subject to collection. The transfer to the optionee in the share register or the register in book entry form of uncertified securities (</w:t>
      </w:r>
      <w:r>
        <w:rPr>
          <w:rFonts w:ascii="Arial" w:cs="Arial" w:eastAsia="Arial" w:hAnsi="Arial"/>
          <w:sz w:val="18"/>
          <w:szCs w:val="18"/>
          <w:i w:val="1"/>
          <w:iCs w:val="1"/>
          <w:color w:val="auto"/>
        </w:rPr>
        <w:t>titres intermédiés)</w:t>
      </w:r>
      <w:r>
        <w:rPr>
          <w:rFonts w:ascii="Arial" w:cs="Arial" w:eastAsia="Arial" w:hAnsi="Arial"/>
          <w:sz w:val="18"/>
          <w:szCs w:val="18"/>
          <w:color w:val="auto"/>
        </w:rPr>
        <w:t xml:space="preserve">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93" w:lineRule="exact"/>
        <w:rPr>
          <w:sz w:val="20"/>
          <w:szCs w:val="20"/>
          <w:color w:val="auto"/>
        </w:rPr>
      </w:pPr>
    </w:p>
    <w:p>
      <w:pPr>
        <w:jc w:val="both"/>
        <w:ind w:firstLine="656"/>
        <w:spacing w:after="0" w:line="238" w:lineRule="auto"/>
        <w:tabs>
          <w:tab w:leader="none" w:pos="134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Stock Options</w:t>
      </w:r>
      <w:r>
        <w:rPr>
          <w:rFonts w:ascii="Arial" w:cs="Arial" w:eastAsia="Arial" w:hAnsi="Arial"/>
          <w:sz w:val="18"/>
          <w:szCs w:val="18"/>
          <w:color w:val="auto"/>
        </w:rPr>
        <w:t>. To the extent required for “incentive stock option” treatment under Section 422 of the US Tax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STOCK APPRECIATION RIGHTS</w:t>
      </w:r>
    </w:p>
    <w:p>
      <w:pPr>
        <w:spacing w:after="0" w:line="198" w:lineRule="exact"/>
        <w:rPr>
          <w:sz w:val="20"/>
          <w:szCs w:val="20"/>
          <w:color w:val="auto"/>
        </w:rPr>
      </w:pPr>
    </w:p>
    <w:p>
      <w:pPr>
        <w:jc w:val="both"/>
        <w:ind w:firstLine="656"/>
        <w:spacing w:after="0" w:line="239" w:lineRule="auto"/>
        <w:tabs>
          <w:tab w:leader="none" w:pos="166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Award of Stock Appreciation Rights</w:t>
      </w:r>
      <w:r>
        <w:rPr>
          <w:rFonts w:ascii="Arial" w:cs="Arial" w:eastAsia="Arial" w:hAnsi="Arial"/>
          <w:sz w:val="18"/>
          <w:szCs w:val="18"/>
          <w:color w:val="auto"/>
        </w:rPr>
        <w:t>. The Administrator may grant Stock Appreciation Rights under the Plan. A Stock Appreciation Right is an Award entitling the recipient to receive shares of Stock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6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656"/>
        <w:spacing w:after="0" w:line="246" w:lineRule="auto"/>
        <w:tabs>
          <w:tab w:leader="none" w:pos="155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 the date of grant.</w:t>
      </w:r>
    </w:p>
    <w:p>
      <w:pPr>
        <w:spacing w:after="0" w:line="183" w:lineRule="exact"/>
        <w:rPr>
          <w:rFonts w:ascii="Arial" w:cs="Arial" w:eastAsia="Arial" w:hAnsi="Arial"/>
          <w:sz w:val="18"/>
          <w:szCs w:val="18"/>
          <w:color w:val="auto"/>
        </w:rPr>
      </w:pPr>
    </w:p>
    <w:p>
      <w:pPr>
        <w:ind w:firstLine="656"/>
        <w:spacing w:after="0" w:line="246" w:lineRule="auto"/>
        <w:tabs>
          <w:tab w:leader="none" w:pos="179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183" w:lineRule="exact"/>
        <w:rPr>
          <w:rFonts w:ascii="Arial" w:cs="Arial" w:eastAsia="Arial" w:hAnsi="Arial"/>
          <w:sz w:val="18"/>
          <w:szCs w:val="18"/>
          <w:color w:val="auto"/>
        </w:rPr>
      </w:pPr>
    </w:p>
    <w:p>
      <w:pPr>
        <w:jc w:val="both"/>
        <w:ind w:firstLine="656"/>
        <w:spacing w:after="0" w:line="239" w:lineRule="auto"/>
        <w:tabs>
          <w:tab w:leader="none" w:pos="143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Appreciation Rights</w:t>
      </w:r>
      <w:r>
        <w:rPr>
          <w:rFonts w:ascii="Arial" w:cs="Arial" w:eastAsia="Arial" w:hAnsi="Arial"/>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RESTRICTED STOCK AWARDS</w:t>
      </w:r>
    </w:p>
    <w:p>
      <w:pPr>
        <w:spacing w:after="0" w:line="198" w:lineRule="exact"/>
        <w:rPr>
          <w:sz w:val="20"/>
          <w:szCs w:val="20"/>
          <w:color w:val="auto"/>
        </w:rPr>
      </w:pPr>
    </w:p>
    <w:p>
      <w:pPr>
        <w:jc w:val="both"/>
        <w:ind w:firstLine="656"/>
        <w:spacing w:after="0" w:line="239" w:lineRule="auto"/>
        <w:tabs>
          <w:tab w:leader="none" w:pos="140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Nature of Restricted Stock Awards</w:t>
      </w:r>
      <w:r>
        <w:rPr>
          <w:rFonts w:ascii="Arial" w:cs="Arial" w:eastAsia="Arial" w:hAnsi="Arial"/>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88" w:lineRule="exact"/>
        <w:rPr>
          <w:rFonts w:ascii="Arial" w:cs="Arial" w:eastAsia="Arial" w:hAnsi="Arial"/>
          <w:sz w:val="18"/>
          <w:szCs w:val="18"/>
          <w:color w:val="auto"/>
        </w:rPr>
      </w:pPr>
    </w:p>
    <w:p>
      <w:pPr>
        <w:jc w:val="both"/>
        <w:ind w:firstLine="656"/>
        <w:spacing w:after="0" w:line="236" w:lineRule="auto"/>
        <w:tabs>
          <w:tab w:leader="none" w:pos="154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xml:space="preserve">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in the share register or the register in book entry form of uncertified securities (</w:t>
      </w:r>
      <w:r>
        <w:rPr>
          <w:rFonts w:ascii="Arial" w:cs="Arial" w:eastAsia="Arial" w:hAnsi="Arial"/>
          <w:sz w:val="18"/>
          <w:szCs w:val="18"/>
          <w:i w:val="1"/>
          <w:iCs w:val="1"/>
          <w:color w:val="auto"/>
        </w:rPr>
        <w:t>titres intermédiés</w:t>
      </w:r>
      <w:r>
        <w:rPr>
          <w:rFonts w:ascii="Arial" w:cs="Arial" w:eastAsia="Arial" w:hAnsi="Arial"/>
          <w:sz w:val="18"/>
          <w:szCs w:val="18"/>
          <w:color w:val="auto"/>
        </w:rPr>
        <w:t>)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93" w:lineRule="exact"/>
        <w:rPr>
          <w:rFonts w:ascii="Arial" w:cs="Arial" w:eastAsia="Arial" w:hAnsi="Arial"/>
          <w:sz w:val="18"/>
          <w:szCs w:val="18"/>
          <w:color w:val="auto"/>
        </w:rPr>
      </w:pPr>
    </w:p>
    <w:p>
      <w:pPr>
        <w:jc w:val="both"/>
        <w:ind w:firstLine="656"/>
        <w:spacing w:after="0" w:line="236" w:lineRule="auto"/>
        <w:tabs>
          <w:tab w:leader="none" w:pos="153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17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6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00" w:lineRule="exact"/>
        <w:rPr>
          <w:sz w:val="20"/>
          <w:szCs w:val="20"/>
          <w:color w:val="auto"/>
        </w:rPr>
      </w:pPr>
    </w:p>
    <w:p>
      <w:pPr>
        <w:spacing w:after="0" w:line="251"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Following such deemed reacquisition of Restricted Shares that are represented by physical certificates, a grantee shall surrender such certificates to the Company upon request without consideration.</w:t>
      </w:r>
    </w:p>
    <w:p>
      <w:pPr>
        <w:spacing w:after="0" w:line="183" w:lineRule="exact"/>
        <w:rPr>
          <w:sz w:val="20"/>
          <w:szCs w:val="20"/>
          <w:color w:val="auto"/>
        </w:rPr>
      </w:pPr>
    </w:p>
    <w:p>
      <w:pPr>
        <w:jc w:val="both"/>
        <w:ind w:firstLine="656"/>
        <w:spacing w:after="0" w:line="238" w:lineRule="auto"/>
        <w:tabs>
          <w:tab w:leader="none" w:pos="146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Vesting of Restricted Shares</w:t>
      </w:r>
      <w:r>
        <w:rPr>
          <w:rFonts w:ascii="Arial" w:cs="Arial" w:eastAsia="Arial" w:hAnsi="Arial"/>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8"/>
          <w:szCs w:val="18"/>
          <w:u w:val="single" w:color="auto"/>
          <w:color w:val="auto"/>
        </w:rPr>
        <w:t>RESTRICTED STOCK UNITS</w:t>
      </w:r>
    </w:p>
    <w:p>
      <w:pPr>
        <w:spacing w:after="0" w:line="198" w:lineRule="exact"/>
        <w:rPr>
          <w:sz w:val="20"/>
          <w:szCs w:val="20"/>
          <w:color w:val="auto"/>
        </w:rPr>
      </w:pPr>
    </w:p>
    <w:p>
      <w:pPr>
        <w:jc w:val="both"/>
        <w:ind w:firstLine="656"/>
        <w:spacing w:after="0" w:line="236" w:lineRule="auto"/>
        <w:tabs>
          <w:tab w:leader="none" w:pos="140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Nature of Restricted Stock Units</w:t>
      </w:r>
      <w:r>
        <w:rPr>
          <w:rFonts w:ascii="Arial" w:cs="Arial" w:eastAsia="Arial" w:hAnsi="Arial"/>
          <w:sz w:val="18"/>
          <w:szCs w:val="18"/>
          <w:color w:val="auto"/>
        </w:rPr>
        <w:t>. The Administrator may grant Restricted Stock Units under the Plan. A Restricted Stock Unit is an Award of stock units that may be settled in shares of Stock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94" w:lineRule="exact"/>
        <w:rPr>
          <w:rFonts w:ascii="Arial" w:cs="Arial" w:eastAsia="Arial" w:hAnsi="Arial"/>
          <w:sz w:val="18"/>
          <w:szCs w:val="18"/>
          <w:color w:val="auto"/>
        </w:rPr>
      </w:pPr>
    </w:p>
    <w:p>
      <w:pPr>
        <w:jc w:val="both"/>
        <w:ind w:firstLine="656"/>
        <w:spacing w:after="0" w:line="236" w:lineRule="auto"/>
        <w:tabs>
          <w:tab w:leader="none" w:pos="149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Election to Receive Restricted Stock Units in Lieu of Compensation</w:t>
      </w:r>
      <w:r>
        <w:rPr>
          <w:rFonts w:ascii="Arial" w:cs="Arial" w:eastAsia="Arial" w:hAnsi="Arial"/>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93" w:lineRule="exact"/>
        <w:rPr>
          <w:rFonts w:ascii="Arial" w:cs="Arial" w:eastAsia="Arial" w:hAnsi="Arial"/>
          <w:sz w:val="18"/>
          <w:szCs w:val="18"/>
          <w:color w:val="auto"/>
        </w:rPr>
      </w:pPr>
    </w:p>
    <w:p>
      <w:pPr>
        <w:jc w:val="both"/>
        <w:ind w:firstLine="656"/>
        <w:spacing w:after="0" w:line="239" w:lineRule="auto"/>
        <w:tabs>
          <w:tab w:leader="none" w:pos="141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10 and such terms and conditions as the Administrator may determine.</w:t>
      </w:r>
    </w:p>
    <w:p>
      <w:pPr>
        <w:spacing w:after="0" w:line="188" w:lineRule="exact"/>
        <w:rPr>
          <w:rFonts w:ascii="Arial" w:cs="Arial" w:eastAsia="Arial" w:hAnsi="Arial"/>
          <w:sz w:val="18"/>
          <w:szCs w:val="18"/>
          <w:color w:val="auto"/>
        </w:rPr>
      </w:pPr>
    </w:p>
    <w:p>
      <w:pPr>
        <w:jc w:val="both"/>
        <w:ind w:firstLine="656"/>
        <w:spacing w:after="0" w:line="239" w:lineRule="auto"/>
        <w:tabs>
          <w:tab w:leader="none" w:pos="169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17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6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u w:val="single" w:color="auto"/>
          <w:color w:val="auto"/>
        </w:rPr>
        <w:t>UNRESTRICTED STOCK AWARDS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u w:val="single" w:color="auto"/>
          <w:color w:val="auto"/>
        </w:rPr>
        <w:t>PERFORMANCE SHARE AWARDS</w:t>
      </w:r>
    </w:p>
    <w:p>
      <w:pPr>
        <w:spacing w:after="0" w:line="198" w:lineRule="exact"/>
        <w:rPr>
          <w:sz w:val="20"/>
          <w:szCs w:val="20"/>
          <w:color w:val="auto"/>
        </w:rPr>
      </w:pPr>
    </w:p>
    <w:p>
      <w:pPr>
        <w:jc w:val="both"/>
        <w:ind w:firstLine="656"/>
        <w:spacing w:after="0" w:line="238" w:lineRule="auto"/>
        <w:tabs>
          <w:tab w:leader="none" w:pos="17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Nature of Performance Share Awards</w:t>
      </w:r>
      <w:r>
        <w:rPr>
          <w:rFonts w:ascii="Arial" w:cs="Arial" w:eastAsia="Arial" w:hAnsi="Arial"/>
          <w:sz w:val="18"/>
          <w:szCs w:val="18"/>
          <w:color w:val="auto"/>
        </w:rPr>
        <w:t>. The Administrator may grant Performance Share Awards under the Plan. A Performance Share Award is an Award entitling the grantee to receive shares of Stock upon the attainment of performance goals. The Administrator shall determine whether and to whom Performance Share Awards shall be granted, the performance goals, the periods during which performance is to be measured, which may not be less than one year except in the case of a Sale Event, and such other limitations and conditions as the Administrator shall determine.</w:t>
      </w:r>
    </w:p>
    <w:p>
      <w:pPr>
        <w:spacing w:after="0" w:line="189" w:lineRule="exact"/>
        <w:rPr>
          <w:rFonts w:ascii="Arial" w:cs="Arial" w:eastAsia="Arial" w:hAnsi="Arial"/>
          <w:sz w:val="18"/>
          <w:szCs w:val="18"/>
          <w:color w:val="auto"/>
        </w:rPr>
      </w:pPr>
    </w:p>
    <w:p>
      <w:pPr>
        <w:jc w:val="both"/>
        <w:ind w:firstLine="656"/>
        <w:spacing w:after="0" w:line="239" w:lineRule="auto"/>
        <w:tabs>
          <w:tab w:leader="none" w:pos="149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receiving a Performance Share Award shall have the rights of a stockholder only as to shares of Stock actually 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spacing w:after="0" w:line="188" w:lineRule="exact"/>
        <w:rPr>
          <w:rFonts w:ascii="Arial" w:cs="Arial" w:eastAsia="Arial" w:hAnsi="Arial"/>
          <w:sz w:val="18"/>
          <w:szCs w:val="18"/>
          <w:color w:val="auto"/>
        </w:rPr>
      </w:pPr>
    </w:p>
    <w:p>
      <w:pPr>
        <w:jc w:val="both"/>
        <w:ind w:firstLine="656"/>
        <w:spacing w:after="0"/>
        <w:tabs>
          <w:tab w:leader="none" w:pos="166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agreement or, subject to Section 17 below, in writing after the Award is issued, a grantee’s rights in all Performance Share Awards shall automatically terminate upon the grantee’s termination of employment (or cessation of service relationship) with the Company and its Subsidiaries for any reason.</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PERFORMANCE-BASED AWARDS TO COVERED EMPLOYEES</w:t>
      </w:r>
    </w:p>
    <w:p>
      <w:pPr>
        <w:spacing w:after="0" w:line="198" w:lineRule="exact"/>
        <w:rPr>
          <w:sz w:val="20"/>
          <w:szCs w:val="20"/>
          <w:color w:val="auto"/>
        </w:rPr>
      </w:pPr>
    </w:p>
    <w:p>
      <w:pPr>
        <w:jc w:val="both"/>
        <w:ind w:firstLine="656"/>
        <w:spacing w:after="0" w:line="237" w:lineRule="auto"/>
        <w:tabs>
          <w:tab w:leader="none" w:pos="170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Performance-Based Awards</w:t>
      </w:r>
      <w:r>
        <w:rPr>
          <w:rFonts w:ascii="Arial" w:cs="Arial" w:eastAsia="Arial" w:hAnsi="Arial"/>
          <w:sz w:val="18"/>
          <w:szCs w:val="18"/>
          <w:color w:val="auto"/>
        </w:rPr>
        <w:t>. The Administrator may grant one or more Performance-Based Awards in the form of a Restricted Stock Award, Restricted Stock Units, or Performance Share Awards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Cycle. Depending on the Performance Criteria used to establish such Performance Goals, the Performance Goals may be expressed in terms of overall Company performance or the performance of a division, business unit, or an individual. Each Performance-Based Award shall comply with the provisions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6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56"/>
        <w:spacing w:after="0" w:line="234" w:lineRule="auto"/>
        <w:tabs>
          <w:tab w:leader="none" w:pos="1449"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Grant of Performance-Based Awards</w:t>
      </w:r>
      <w:r>
        <w:rPr>
          <w:rFonts w:ascii="Arial" w:cs="Arial" w:eastAsia="Arial" w:hAnsi="Arial"/>
          <w:sz w:val="18"/>
          <w:szCs w:val="18"/>
          <w:color w:val="auto"/>
        </w:rPr>
        <w:t>. With respect to each Performance-Based Award granted to a Covered Employee, the Administrator shall select, within the first 90 days of a Performance Cycle (or, if shorter, within the maximum period allowed under Section 162(m) of the US Tax Code) the Performance Criteria for such grant, and the</w:t>
      </w:r>
    </w:p>
    <w:p>
      <w:pPr>
        <w:spacing w:after="0" w:line="2" w:lineRule="exact"/>
        <w:rPr>
          <w:rFonts w:ascii="Arial" w:cs="Arial" w:eastAsia="Arial" w:hAnsi="Arial"/>
          <w:sz w:val="18"/>
          <w:szCs w:val="18"/>
          <w:color w:val="auto"/>
        </w:rPr>
      </w:pPr>
    </w:p>
    <w:p>
      <w:pPr>
        <w:jc w:val="both"/>
        <w:spacing w:after="0" w:line="238" w:lineRule="auto"/>
        <w:rPr>
          <w:rFonts w:ascii="Arial" w:cs="Arial" w:eastAsia="Arial" w:hAnsi="Arial"/>
          <w:sz w:val="18"/>
          <w:szCs w:val="18"/>
          <w:color w:val="auto"/>
        </w:rPr>
      </w:pPr>
      <w:r>
        <w:rPr>
          <w:rFonts w:ascii="Arial" w:cs="Arial" w:eastAsia="Arial" w:hAnsi="Arial"/>
          <w:sz w:val="18"/>
          <w:szCs w:val="18"/>
          <w:color w:val="auto"/>
        </w:rPr>
        <w:t>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spacing w:after="0" w:line="189" w:lineRule="exact"/>
        <w:rPr>
          <w:rFonts w:ascii="Arial" w:cs="Arial" w:eastAsia="Arial" w:hAnsi="Arial"/>
          <w:sz w:val="18"/>
          <w:szCs w:val="18"/>
          <w:color w:val="auto"/>
        </w:rPr>
      </w:pPr>
    </w:p>
    <w:p>
      <w:pPr>
        <w:jc w:val="both"/>
        <w:ind w:firstLine="656"/>
        <w:spacing w:after="0" w:line="239" w:lineRule="auto"/>
        <w:tabs>
          <w:tab w:leader="none" w:pos="146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Following the completion of a Performance Cycle, the 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w:t>
      </w:r>
    </w:p>
    <w:p>
      <w:pPr>
        <w:spacing w:after="0" w:line="188" w:lineRule="exact"/>
        <w:rPr>
          <w:rFonts w:ascii="Arial" w:cs="Arial" w:eastAsia="Arial" w:hAnsi="Arial"/>
          <w:sz w:val="18"/>
          <w:szCs w:val="18"/>
          <w:color w:val="auto"/>
        </w:rPr>
      </w:pPr>
    </w:p>
    <w:p>
      <w:pPr>
        <w:ind w:firstLine="656"/>
        <w:spacing w:after="0" w:line="246" w:lineRule="auto"/>
        <w:tabs>
          <w:tab w:leader="none" w:pos="143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Maximum Award Payable</w:t>
      </w:r>
      <w:r>
        <w:rPr>
          <w:rFonts w:ascii="Arial" w:cs="Arial" w:eastAsia="Arial" w:hAnsi="Arial"/>
          <w:sz w:val="18"/>
          <w:szCs w:val="18"/>
          <w:color w:val="auto"/>
        </w:rPr>
        <w:t>. The maximum Performance-Based Award payable to any one Covered Employee under the Plan for a Performance Cycle is 2,000,000 shares of Stock (subject to adjustment as provided in Section 3(d) hereof).</w:t>
      </w:r>
    </w:p>
    <w:p>
      <w:pPr>
        <w:spacing w:after="0" w:line="183" w:lineRule="exact"/>
        <w:rPr>
          <w:rFonts w:ascii="Arial" w:cs="Arial" w:eastAsia="Arial" w:hAnsi="Arial"/>
          <w:sz w:val="18"/>
          <w:szCs w:val="18"/>
          <w:color w:val="auto"/>
        </w:rPr>
      </w:pPr>
    </w:p>
    <w:p>
      <w:pPr>
        <w:ind w:right="100" w:firstLine="656"/>
        <w:spacing w:after="0"/>
        <w:tabs>
          <w:tab w:leader="none" w:pos="136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Compliance with Swiss Law.</w:t>
      </w:r>
      <w:r>
        <w:rPr>
          <w:rFonts w:ascii="Arial" w:cs="Arial" w:eastAsia="Arial" w:hAnsi="Arial"/>
          <w:sz w:val="18"/>
          <w:szCs w:val="18"/>
          <w:color w:val="auto"/>
        </w:rPr>
        <w:t xml:space="preserve"> Any grant to a Covered Employee must be within the limits approved by the Shareholders’ Meeting and thus be in compliance with the Swiss Ordinance against excessive compensation in listed stock corporations (</w:t>
      </w:r>
      <w:r>
        <w:rPr>
          <w:rFonts w:ascii="Arial" w:cs="Arial" w:eastAsia="Arial" w:hAnsi="Arial"/>
          <w:sz w:val="18"/>
          <w:szCs w:val="18"/>
          <w:i w:val="1"/>
          <w:iCs w:val="1"/>
          <w:color w:val="auto"/>
        </w:rPr>
        <w:t>Ordonnance contre</w:t>
      </w:r>
      <w:r>
        <w:rPr>
          <w:rFonts w:ascii="Arial" w:cs="Arial" w:eastAsia="Arial" w:hAnsi="Arial"/>
          <w:sz w:val="18"/>
          <w:szCs w:val="18"/>
          <w:color w:val="auto"/>
        </w:rPr>
        <w:t xml:space="preserve"> </w:t>
      </w:r>
      <w:r>
        <w:rPr>
          <w:rFonts w:ascii="Arial" w:cs="Arial" w:eastAsia="Arial" w:hAnsi="Arial"/>
          <w:sz w:val="18"/>
          <w:szCs w:val="18"/>
          <w:i w:val="1"/>
          <w:iCs w:val="1"/>
          <w:color w:val="auto"/>
        </w:rPr>
        <w:t>les rémunérations abusives dans les sociétés anonymes cotées en bourse</w:t>
      </w:r>
      <w:r>
        <w:rPr>
          <w:rFonts w:ascii="Arial" w:cs="Arial" w:eastAsia="Arial" w:hAnsi="Arial"/>
          <w:sz w:val="18"/>
          <w:szCs w:val="18"/>
          <w:color w:val="auto"/>
        </w:rPr>
        <w:t>).</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u w:val="single" w:color="auto"/>
          <w:color w:val="auto"/>
        </w:rPr>
        <w:t>DIVIDEND EQUIVALENT RIGHTS</w:t>
      </w:r>
    </w:p>
    <w:p>
      <w:pPr>
        <w:spacing w:after="0" w:line="198" w:lineRule="exact"/>
        <w:rPr>
          <w:sz w:val="20"/>
          <w:szCs w:val="20"/>
          <w:color w:val="auto"/>
        </w:rPr>
      </w:pPr>
    </w:p>
    <w:p>
      <w:pPr>
        <w:jc w:val="both"/>
        <w:ind w:firstLine="656"/>
        <w:spacing w:after="0" w:line="236" w:lineRule="auto"/>
        <w:tabs>
          <w:tab w:leader="none" w:pos="146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Performance Share 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91" w:lineRule="exact"/>
        <w:rPr>
          <w:rFonts w:ascii="Arial" w:cs="Arial" w:eastAsia="Arial" w:hAnsi="Arial"/>
          <w:sz w:val="18"/>
          <w:szCs w:val="18"/>
          <w:color w:val="auto"/>
        </w:rPr>
      </w:pPr>
    </w:p>
    <w:p>
      <w:pPr>
        <w:jc w:val="both"/>
        <w:ind w:firstLine="656"/>
        <w:spacing w:after="0"/>
        <w:tabs>
          <w:tab w:leader="none" w:pos="169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17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60" w:type="dxa"/>
            <w:vAlign w:val="bottom"/>
          </w:tcPr>
          <w:p>
            <w:pPr>
              <w:jc w:val="right"/>
              <w:spacing w:after="0"/>
              <w:rPr>
                <w:sz w:val="20"/>
                <w:szCs w:val="20"/>
                <w:color w:val="auto"/>
              </w:rPr>
            </w:pPr>
            <w:r>
              <w:rPr>
                <w:rFonts w:ascii="Arial" w:cs="Arial" w:eastAsia="Arial" w:hAnsi="Arial"/>
                <w:sz w:val="16"/>
                <w:szCs w:val="16"/>
                <w:color w:val="auto"/>
              </w:rPr>
              <w:t>14</w:t>
            </w:r>
          </w:p>
        </w:tc>
      </w:tr>
    </w:tbl>
    <w:p>
      <w:pPr>
        <w:spacing w:after="0" w:line="200" w:lineRule="exact"/>
        <w:rPr>
          <w:sz w:val="20"/>
          <w:szCs w:val="20"/>
          <w:color w:val="auto"/>
        </w:rPr>
      </w:pPr>
    </w:p>
    <w:p>
      <w:pPr>
        <w:spacing w:after="0" w:line="2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u w:val="single" w:color="auto"/>
          <w:color w:val="auto"/>
        </w:rPr>
        <w:t>Transferability of Awards</w:t>
      </w:r>
    </w:p>
    <w:p>
      <w:pPr>
        <w:spacing w:after="0" w:line="198" w:lineRule="exact"/>
        <w:rPr>
          <w:sz w:val="20"/>
          <w:szCs w:val="20"/>
          <w:color w:val="auto"/>
        </w:rPr>
      </w:pPr>
    </w:p>
    <w:p>
      <w:pPr>
        <w:jc w:val="both"/>
        <w:ind w:firstLine="656"/>
        <w:spacing w:after="0" w:line="238" w:lineRule="auto"/>
        <w:tabs>
          <w:tab w:leader="none" w:pos="142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Section 17(b)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9" w:lineRule="exact"/>
        <w:rPr>
          <w:rFonts w:ascii="Arial" w:cs="Arial" w:eastAsia="Arial" w:hAnsi="Arial"/>
          <w:sz w:val="18"/>
          <w:szCs w:val="18"/>
          <w:color w:val="auto"/>
        </w:rPr>
      </w:pPr>
    </w:p>
    <w:p>
      <w:pPr>
        <w:jc w:val="both"/>
        <w:ind w:firstLine="656"/>
        <w:spacing w:after="0" w:line="238" w:lineRule="auto"/>
        <w:tabs>
          <w:tab w:leader="none" w:pos="158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13(a),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9" w:lineRule="exact"/>
        <w:rPr>
          <w:rFonts w:ascii="Arial" w:cs="Arial" w:eastAsia="Arial" w:hAnsi="Arial"/>
          <w:sz w:val="18"/>
          <w:szCs w:val="18"/>
          <w:color w:val="auto"/>
        </w:rPr>
      </w:pPr>
    </w:p>
    <w:p>
      <w:pPr>
        <w:jc w:val="both"/>
        <w:ind w:firstLine="656"/>
        <w:spacing w:after="0" w:line="237" w:lineRule="auto"/>
        <w:tabs>
          <w:tab w:leader="none" w:pos="145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Family Member</w:t>
      </w:r>
      <w:r>
        <w:rPr>
          <w:rFonts w:ascii="Arial" w:cs="Arial" w:eastAsia="Arial" w:hAnsi="Arial"/>
          <w:sz w:val="18"/>
          <w:szCs w:val="18"/>
          <w:color w:val="auto"/>
        </w:rPr>
        <w:t>. For purposes of Section 13(b),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91" w:lineRule="exact"/>
        <w:rPr>
          <w:rFonts w:ascii="Arial" w:cs="Arial" w:eastAsia="Arial" w:hAnsi="Arial"/>
          <w:sz w:val="18"/>
          <w:szCs w:val="18"/>
          <w:color w:val="auto"/>
        </w:rPr>
      </w:pPr>
    </w:p>
    <w:p>
      <w:pPr>
        <w:jc w:val="both"/>
        <w:ind w:firstLine="656"/>
        <w:spacing w:after="0" w:line="238" w:lineRule="auto"/>
        <w:tabs>
          <w:tab w:leader="none" w:pos="142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u w:val="single" w:color="auto"/>
          <w:color w:val="auto"/>
        </w:rPr>
        <w:t>TAX and social security WITHHOLDING</w:t>
      </w:r>
    </w:p>
    <w:p>
      <w:pPr>
        <w:spacing w:after="0" w:line="198" w:lineRule="exact"/>
        <w:rPr>
          <w:sz w:val="20"/>
          <w:szCs w:val="20"/>
          <w:color w:val="auto"/>
        </w:rPr>
      </w:pPr>
    </w:p>
    <w:p>
      <w:pPr>
        <w:jc w:val="both"/>
        <w:ind w:firstLine="656"/>
        <w:spacing w:after="0" w:line="237" w:lineRule="auto"/>
        <w:tabs>
          <w:tab w:leader="none" w:pos="146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Payment by Grantee</w:t>
      </w:r>
      <w:r>
        <w:rPr>
          <w:rFonts w:ascii="Arial" w:cs="Arial" w:eastAsia="Arial" w:hAnsi="Arial"/>
          <w:sz w:val="18"/>
          <w:szCs w:val="18"/>
          <w:color w:val="auto"/>
        </w:rPr>
        <w:t>. Each grantee shall, no later than the date as of which the value of an Award or of any Stock or other amounts received thereunder first becomes includable in the gross income of the grantee for income tax and, if applicable, social security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6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56"/>
        <w:spacing w:after="0" w:line="237" w:lineRule="auto"/>
        <w:tabs>
          <w:tab w:leader="none" w:pos="136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Payment in Stock</w:t>
      </w:r>
      <w:r>
        <w:rPr>
          <w:rFonts w:ascii="Arial" w:cs="Arial" w:eastAsia="Arial" w:hAnsi="Arial"/>
          <w:sz w:val="18"/>
          <w:szCs w:val="18"/>
          <w:color w:val="auto"/>
        </w:rPr>
        <w:t>. Subject to approval by the Administrator, a grantee may elect to have the Company’s minimum required tax and, if applicable, social security withholding obligation satisfied, in whole or in part, by authorizing the Company to withhold from shares of Stock to be issued pursuant to any Award a number of shares with an aggregate Fair Market Value (as of the date the withholding is effected) that would satisfy the withholding amount due.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Participants.</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7"/>
          <w:szCs w:val="17"/>
          <w:u w:val="single" w:color="auto"/>
          <w:color w:val="auto"/>
        </w:rPr>
        <w:t>Section 409A awards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7"/>
          <w:szCs w:val="17"/>
          <w:u w:val="single" w:color="auto"/>
          <w:color w:val="auto"/>
        </w:rPr>
        <w:t>TERMINATION OF EMPLOYMENT, TRANSFER, LEAVE OF ABSENCE, ETC.</w:t>
      </w:r>
    </w:p>
    <w:p>
      <w:pPr>
        <w:spacing w:after="0" w:line="198" w:lineRule="exact"/>
        <w:rPr>
          <w:sz w:val="20"/>
          <w:szCs w:val="20"/>
          <w:color w:val="auto"/>
        </w:rPr>
      </w:pPr>
    </w:p>
    <w:p>
      <w:pPr>
        <w:ind w:firstLine="656"/>
        <w:spacing w:after="0" w:line="246" w:lineRule="auto"/>
        <w:tabs>
          <w:tab w:leader="none" w:pos="159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grantee’s employer ceases to be a Subsidiary, the grantee shall be deemed to have terminated employment for purposes of the Plan.</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employment:</w:t>
      </w:r>
    </w:p>
    <w:p>
      <w:pPr>
        <w:spacing w:after="0" w:line="193" w:lineRule="exact"/>
        <w:rPr>
          <w:rFonts w:ascii="Arial" w:cs="Arial" w:eastAsia="Arial" w:hAnsi="Arial"/>
          <w:sz w:val="18"/>
          <w:szCs w:val="18"/>
          <w:color w:val="auto"/>
        </w:rPr>
      </w:pPr>
    </w:p>
    <w:p>
      <w:pPr>
        <w:ind w:left="2140" w:hanging="835"/>
        <w:spacing w:after="0"/>
        <w:tabs>
          <w:tab w:leader="none" w:pos="2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 Subsidiary or from the Company to a Subsidiary, or from one</w:t>
      </w:r>
    </w:p>
    <w:p>
      <w:pPr>
        <w:spacing w:after="0"/>
        <w:rPr>
          <w:rFonts w:ascii="Arial" w:cs="Arial" w:eastAsia="Arial" w:hAnsi="Arial"/>
          <w:sz w:val="18"/>
          <w:szCs w:val="18"/>
          <w:color w:val="auto"/>
        </w:rPr>
      </w:pPr>
      <w:r>
        <w:rPr>
          <w:rFonts w:ascii="Arial" w:cs="Arial" w:eastAsia="Arial" w:hAnsi="Arial"/>
          <w:sz w:val="18"/>
          <w:szCs w:val="18"/>
          <w:color w:val="auto"/>
        </w:rPr>
        <w:t>Subsidiary to another; or</w:t>
      </w:r>
    </w:p>
    <w:p>
      <w:pPr>
        <w:spacing w:after="0" w:line="198" w:lineRule="exact"/>
        <w:rPr>
          <w:rFonts w:ascii="Arial" w:cs="Arial" w:eastAsia="Arial" w:hAnsi="Arial"/>
          <w:sz w:val="18"/>
          <w:szCs w:val="18"/>
          <w:color w:val="auto"/>
        </w:rPr>
      </w:pPr>
    </w:p>
    <w:p>
      <w:pPr>
        <w:jc w:val="both"/>
        <w:ind w:firstLine="1305"/>
        <w:spacing w:after="0"/>
        <w:tabs>
          <w:tab w:leader="none" w:pos="206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7"/>
          <w:szCs w:val="17"/>
          <w:u w:val="single" w:color="auto"/>
          <w:color w:val="auto"/>
        </w:rPr>
        <w:t>AMENDMENTS AND TERMINATION</w:t>
      </w:r>
    </w:p>
    <w:p>
      <w:pPr>
        <w:spacing w:after="0" w:line="19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3(d) or 3(e),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US Tax Code to ensure that Incentive Stock Options granted under the Plan are qualified under Section 422 of the US Tax Code, or to ensure that compensation earned under Awards qualifies as performance-based compensation under Section 162(m) of the US Tax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6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Plan amendments shall be subject to approval by the Company stockholders entitled to vote at a meeting of stockholders. Nothing in this Section 18 shall limit the Administrator’s authority to take any action permitted pursuant to Section 3(d) or 3(e).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7"/>
          <w:szCs w:val="17"/>
          <w:u w:val="single" w:color="auto"/>
          <w:color w:val="auto"/>
        </w:rPr>
        <w:t>STATUS OF PLAN</w:t>
      </w:r>
    </w:p>
    <w:p>
      <w:pPr>
        <w:spacing w:after="0" w:line="19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8"/>
          <w:szCs w:val="18"/>
          <w:u w:val="single" w:color="auto"/>
          <w:color w:val="auto"/>
        </w:rPr>
        <w:t>GENERAL PROVISIONS</w:t>
      </w:r>
    </w:p>
    <w:p>
      <w:pPr>
        <w:spacing w:after="0" w:line="198" w:lineRule="exact"/>
        <w:rPr>
          <w:sz w:val="20"/>
          <w:szCs w:val="20"/>
          <w:color w:val="auto"/>
        </w:rPr>
      </w:pPr>
    </w:p>
    <w:p>
      <w:pPr>
        <w:ind w:firstLine="656"/>
        <w:spacing w:after="0" w:line="246" w:lineRule="auto"/>
        <w:tabs>
          <w:tab w:leader="none" w:pos="143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83" w:lineRule="exact"/>
        <w:rPr>
          <w:rFonts w:ascii="Arial" w:cs="Arial" w:eastAsia="Arial" w:hAnsi="Arial"/>
          <w:sz w:val="18"/>
          <w:szCs w:val="18"/>
          <w:color w:val="auto"/>
        </w:rPr>
      </w:pPr>
    </w:p>
    <w:p>
      <w:pPr>
        <w:ind w:firstLine="656"/>
        <w:spacing w:after="0" w:line="246" w:lineRule="auto"/>
        <w:tabs>
          <w:tab w:leader="none" w:pos="159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Delivery of Stock Certificates.</w:t>
      </w:r>
      <w:r>
        <w:rPr>
          <w:rFonts w:ascii="Arial" w:cs="Arial" w:eastAsia="Arial" w:hAnsi="Arial"/>
          <w:sz w:val="18"/>
          <w:szCs w:val="18"/>
          <w:color w:val="auto"/>
        </w:rPr>
        <w:t xml:space="preserve"> No Stock certificates to grantees under the Plan shall be delivered, as all shares are recorded in the Company's share register or in book entry form as uncertified securities (</w:t>
      </w:r>
      <w:r>
        <w:rPr>
          <w:rFonts w:ascii="Arial" w:cs="Arial" w:eastAsia="Arial" w:hAnsi="Arial"/>
          <w:sz w:val="18"/>
          <w:szCs w:val="18"/>
          <w:i w:val="1"/>
          <w:iCs w:val="1"/>
          <w:color w:val="auto"/>
        </w:rPr>
        <w:t>titres intermédiés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tabs>
          <w:tab w:leader="none" w:pos="142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a grantee has been recorded in the Company's share register,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89" w:lineRule="exact"/>
        <w:rPr>
          <w:rFonts w:ascii="Arial" w:cs="Arial" w:eastAsia="Arial" w:hAnsi="Arial"/>
          <w:sz w:val="18"/>
          <w:szCs w:val="18"/>
          <w:color w:val="auto"/>
        </w:rPr>
      </w:pPr>
    </w:p>
    <w:p>
      <w:pPr>
        <w:jc w:val="both"/>
        <w:ind w:firstLine="656"/>
        <w:spacing w:after="0" w:line="239" w:lineRule="auto"/>
        <w:tabs>
          <w:tab w:leader="none" w:pos="154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88" w:lineRule="exact"/>
        <w:rPr>
          <w:rFonts w:ascii="Arial" w:cs="Arial" w:eastAsia="Arial" w:hAnsi="Arial"/>
          <w:sz w:val="18"/>
          <w:szCs w:val="18"/>
          <w:color w:val="auto"/>
        </w:rPr>
      </w:pPr>
    </w:p>
    <w:p>
      <w:pPr>
        <w:ind w:firstLine="656"/>
        <w:spacing w:after="0" w:line="246" w:lineRule="auto"/>
        <w:tabs>
          <w:tab w:leader="none" w:pos="154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Awards under the Plan shall be subject to the Company’s clawback policy, as in effect from time to time.</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EFFECTIVE DATE OF PLAN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This Plan shall become effective upon the date immediately preceding the date of the Company’s Initial Public Offering.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20"/>
                <w:szCs w:val="20"/>
                <w:color w:val="auto"/>
              </w:rPr>
            </w:pPr>
            <w:r>
              <w:rPr>
                <w:rFonts w:ascii="Arial" w:cs="Arial" w:eastAsia="Arial" w:hAnsi="Arial"/>
                <w:sz w:val="16"/>
                <w:szCs w:val="16"/>
                <w:color w:val="auto"/>
              </w:rPr>
              <w:t>AC Immune SA 2016 Stock Option and Incentive Plan</w:t>
            </w:r>
          </w:p>
        </w:tc>
        <w:tc>
          <w:tcPr>
            <w:tcW w:w="386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200" w:lineRule="exact"/>
        <w:rPr>
          <w:sz w:val="20"/>
          <w:szCs w:val="20"/>
          <w:color w:val="auto"/>
        </w:rPr>
      </w:pPr>
    </w:p>
    <w:p>
      <w:pPr>
        <w:spacing w:after="0" w:line="2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7"/>
          <w:szCs w:val="17"/>
          <w:u w:val="single" w:color="auto"/>
          <w:color w:val="auto"/>
        </w:rPr>
        <w:t>GOVERNING LAW AND JURISDICTION</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internal laws of Switzerland, and exclusive place of jurisdiction shall be Lausanne, Switzerland.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7 October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5"/>
    </w:lvl>
  </w:abstractNum>
  <w:abstractNum w:abstractNumId="2">
    <w:nsid w:val="436C6125"/>
    <w:multiLevelType w:val="hybridMultilevel"/>
    <w:lvl w:ilvl="0">
      <w:lvlJc w:val="left"/>
      <w:lvlText w:val="%1."/>
      <w:numFmt w:val="decimal"/>
      <w:start w:val="7"/>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Roman"/>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decimal"/>
      <w:start w:val="5"/>
    </w:lvl>
  </w:abstractNum>
  <w:abstractNum w:abstractNumId="9">
    <w:nsid w:val="75A2A8D4"/>
    <w:multiLevelType w:val="hybridMultilevel"/>
    <w:lvl w:ilvl="0">
      <w:lvlJc w:val="left"/>
      <w:lvlText w:val="%1."/>
      <w:numFmt w:val="decimal"/>
      <w:start w:val="8"/>
    </w:lvl>
  </w:abstractNum>
  <w:abstractNum w:abstractNumId="10">
    <w:nsid w:val="8EDBDAB"/>
    <w:multiLevelType w:val="hybridMultilevel"/>
    <w:lvl w:ilvl="0">
      <w:lvlJc w:val="left"/>
      <w:lvlText w:val="%1."/>
      <w:numFmt w:val="decimal"/>
      <w:start w:val="9"/>
    </w:lvl>
  </w:abstractNum>
  <w:abstractNum w:abstractNumId="11">
    <w:nsid w:val="79838CB2"/>
    <w:multiLevelType w:val="hybridMultilevel"/>
    <w:lvl w:ilvl="0">
      <w:lvlJc w:val="left"/>
      <w:lvlText w:val="%1."/>
      <w:numFmt w:val="decimal"/>
      <w:start w:val="11"/>
    </w:lvl>
  </w:abstractNum>
  <w:abstractNum w:abstractNumId="12">
    <w:nsid w:val="4353D0CD"/>
    <w:multiLevelType w:val="hybridMultilevel"/>
    <w:lvl w:ilvl="0">
      <w:lvlJc w:val="left"/>
      <w:lvlText w:val="%1."/>
      <w:numFmt w:val="decimal"/>
      <w:start w:val="12"/>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lowerLetter"/>
      <w:start w:val="1"/>
    </w:lvl>
    <w:lvl w:ilvl="1">
      <w:lvlJc w:val="left"/>
      <w:lvlText w:val="(%2)"/>
      <w:numFmt w:val="lowerRoman"/>
      <w:start w:val="1"/>
    </w:lvl>
  </w:abstractNum>
  <w:abstractNum w:abstractNumId="15">
    <w:nsid w:val="54E49EB4"/>
    <w:multiLevelType w:val="hybridMultilevel"/>
    <w:lvl w:ilvl="0">
      <w:lvlJc w:val="left"/>
      <w:lvlText w:val="(%1)"/>
      <w:numFmt w:val="lowerRoman"/>
      <w:start w:val="5"/>
    </w:lvl>
  </w:abstractNum>
  <w:abstractNum w:abstractNumId="16">
    <w:nsid w:val="71F32454"/>
    <w:multiLevelType w:val="hybridMultilevel"/>
    <w:lvl w:ilvl="0">
      <w:lvlJc w:val="left"/>
      <w:lvlText w:val="(%1)"/>
      <w:numFmt w:val="lowerLetter"/>
      <w:start w:val="3"/>
    </w:lvl>
  </w:abstractNum>
  <w:abstractNum w:abstractNumId="17">
    <w:nsid w:val="2CA88611"/>
    <w:multiLevelType w:val="hybridMultilevel"/>
    <w:lvl w:ilvl="0">
      <w:lvlJc w:val="left"/>
      <w:lvlText w:val="(%1)"/>
      <w:numFmt w:val="lowerLetter"/>
      <w:start w:val="6"/>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4"/>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2"/>
    </w:lvl>
  </w:abstractNum>
  <w:abstractNum w:abstractNumId="22">
    <w:nsid w:val="1E7FF521"/>
    <w:multiLevelType w:val="hybridMultilevel"/>
    <w:lvl w:ilvl="0">
      <w:lvlJc w:val="left"/>
      <w:lvlText w:val="(%1)"/>
      <w:numFmt w:val="lowerLetter"/>
      <w:start w:val="5"/>
    </w:lvl>
    <w:lvl w:ilvl="1">
      <w:lvlJc w:val="left"/>
      <w:lvlText w:val="(%2)"/>
      <w:numFmt w:val="lowerRoman"/>
      <w:start w:val="1"/>
    </w:lvl>
  </w:abstractNum>
  <w:abstractNum w:abstractNumId="23">
    <w:nsid w:val="7C3DBD3D"/>
    <w:multiLevelType w:val="hybridMultilevel"/>
    <w:lvl w:ilvl="0">
      <w:lvlJc w:val="left"/>
      <w:lvlText w:val="(%1)"/>
      <w:numFmt w:val="lowerLetter"/>
      <w:start w:val="6"/>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2"/>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4"/>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2"/>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2"/>
    </w:lvl>
  </w:abstractNum>
  <w:abstractNum w:abstractNumId="36">
    <w:nsid w:val="7724C67E"/>
    <w:multiLevelType w:val="hybridMultilevel"/>
    <w:lvl w:ilvl="0">
      <w:lvlJc w:val="left"/>
      <w:lvlText w:val="(%1)"/>
      <w:numFmt w:val="lowerLetter"/>
      <w:start w:val="1"/>
    </w:lvl>
    <w:lvl w:ilvl="1">
      <w:lvlJc w:val="left"/>
      <w:lvlText w:val="(%2)"/>
      <w:numFmt w:val="lowerRoman"/>
      <w:start w:val="1"/>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2019-12-09T03:34:53Z</dcterms:created>
  <dcterms:modified xsi:type="dcterms:W3CDTF">2019-12-09T03:34:53Z</dcterms:modified>
</cp:coreProperties>
</file>