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399" w:hanging="462"/>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August,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00"/>
        <w:spacing w:after="0"/>
        <w:tabs>
          <w:tab w:leader="none" w:pos="3620" w:val="left"/>
          <w:tab w:leader="none" w:pos="5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14605</wp:posOffset>
            </wp:positionV>
            <wp:extent cx="5060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23495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60"/>
        <w:spacing w:after="0"/>
        <w:tabs>
          <w:tab w:leader="none" w:pos="5640" w:val="left"/>
          <w:tab w:leader="none" w:pos="6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478155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495300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This report on Form 6-K and exhibits 99.1 and 99.2 hereto shall be deemed to be incorporated by reference into the registration statement on Form F-3 (Registration Number: 333-224694)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58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4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75"/>
        </w:trPr>
        <w:tc>
          <w:tcPr>
            <w:tcW w:w="460" w:type="dxa"/>
            <w:vAlign w:val="bottom"/>
          </w:tcPr>
          <w:p>
            <w:pPr>
              <w:ind w:left="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4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2109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c>
          <w:tcPr>
            <w:tcW w:w="60" w:type="dxa"/>
            <w:vAlign w:val="bottom"/>
          </w:tcPr>
          <w:p>
            <w:pPr>
              <w:spacing w:after="0"/>
              <w:rPr>
                <w:sz w:val="20"/>
                <w:szCs w:val="20"/>
                <w:color w:val="auto"/>
              </w:rPr>
            </w:pPr>
          </w:p>
        </w:tc>
      </w:tr>
      <w:tr>
        <w:trPr>
          <w:trHeight w:val="481"/>
        </w:trPr>
        <w:tc>
          <w:tcPr>
            <w:tcW w:w="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480" w:type="dxa"/>
            <w:vAlign w:val="bottom"/>
            <w:tcBorders>
              <w:bottom w:val="single" w:sz="8" w:color="auto"/>
            </w:tcBorders>
          </w:tcPr>
          <w:p>
            <w:pPr>
              <w:ind w:left="4800"/>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0"/>
                <w:szCs w:val="20"/>
                <w:color w:val="auto"/>
              </w:rPr>
            </w:pPr>
          </w:p>
        </w:tc>
      </w:tr>
      <w:tr>
        <w:trPr>
          <w:trHeight w:val="345"/>
        </w:trPr>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600" w:type="dxa"/>
            <w:vAlign w:val="bottom"/>
            <w:gridSpan w:val="2"/>
          </w:tcPr>
          <w:p>
            <w:pPr>
              <w:ind w:left="120"/>
              <w:spacing w:after="0"/>
              <w:rPr>
                <w:sz w:val="20"/>
                <w:szCs w:val="20"/>
                <w:color w:val="auto"/>
              </w:rPr>
            </w:pPr>
            <w:r>
              <w:rPr>
                <w:rFonts w:ascii="Arial" w:cs="Arial" w:eastAsia="Arial" w:hAnsi="Arial"/>
                <w:sz w:val="18"/>
                <w:szCs w:val="18"/>
                <w:color w:val="auto"/>
              </w:rPr>
              <w:t>Articles of Association dated July 30, 2018</w:t>
            </w:r>
          </w:p>
        </w:tc>
        <w:tc>
          <w:tcPr>
            <w:tcW w:w="6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gridSpan w:val="2"/>
          </w:tcPr>
          <w:p>
            <w:pPr>
              <w:ind w:left="120"/>
              <w:spacing w:after="0"/>
              <w:rPr>
                <w:sz w:val="20"/>
                <w:szCs w:val="20"/>
                <w:color w:val="auto"/>
              </w:rPr>
            </w:pPr>
            <w:r>
              <w:rPr>
                <w:rFonts w:ascii="Arial" w:cs="Arial" w:eastAsia="Arial" w:hAnsi="Arial"/>
                <w:sz w:val="18"/>
                <w:szCs w:val="18"/>
                <w:color w:val="auto"/>
              </w:rPr>
              <w:t>Interim Condensed Financial Statements (Unaudited) (IFRS) as of and for the Three and Six Months Ended June 30, 2018</w:t>
            </w:r>
          </w:p>
        </w:tc>
        <w:tc>
          <w:tcPr>
            <w:tcW w:w="6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10600" w:type="dxa"/>
            <w:vAlign w:val="bottom"/>
            <w:gridSpan w:val="2"/>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99.3</w:t>
            </w:r>
          </w:p>
        </w:tc>
        <w:tc>
          <w:tcPr>
            <w:tcW w:w="10600" w:type="dxa"/>
            <w:vAlign w:val="bottom"/>
            <w:gridSpan w:val="2"/>
          </w:tcPr>
          <w:p>
            <w:pPr>
              <w:ind w:left="120"/>
              <w:spacing w:after="0"/>
              <w:rPr>
                <w:sz w:val="20"/>
                <w:szCs w:val="20"/>
                <w:color w:val="auto"/>
              </w:rPr>
            </w:pPr>
            <w:r>
              <w:rPr>
                <w:rFonts w:ascii="Arial" w:cs="Arial" w:eastAsia="Arial" w:hAnsi="Arial"/>
                <w:sz w:val="18"/>
                <w:szCs w:val="18"/>
                <w:color w:val="auto"/>
              </w:rPr>
              <w:t>Press Release dated August 8, 2018</w:t>
            </w:r>
          </w:p>
        </w:tc>
        <w:tc>
          <w:tcPr>
            <w:tcW w:w="60" w:type="dxa"/>
            <w:vAlign w:val="bottom"/>
          </w:tcPr>
          <w:p>
            <w:pPr>
              <w:spacing w:after="0"/>
              <w:rPr>
                <w:sz w:val="24"/>
                <w:szCs w:val="24"/>
                <w:color w:val="auto"/>
              </w:rPr>
            </w:pPr>
          </w:p>
        </w:tc>
      </w:tr>
      <w:tr>
        <w:trPr>
          <w:trHeight w:val="1202"/>
        </w:trPr>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80" w:type="dxa"/>
            <w:vAlign w:val="bottom"/>
            <w:tcBorders>
              <w:top w:val="single" w:sz="8" w:color="auto"/>
              <w:left w:val="single" w:sz="8" w:color="auto"/>
            </w:tcBorders>
          </w:tcPr>
          <w:p>
            <w:pPr>
              <w:spacing w:after="0"/>
              <w:rPr>
                <w:sz w:val="23"/>
                <w:szCs w:val="23"/>
                <w:color w:val="auto"/>
              </w:rPr>
            </w:pPr>
          </w:p>
        </w:tc>
        <w:tc>
          <w:tcPr>
            <w:tcW w:w="5040" w:type="dxa"/>
            <w:vAlign w:val="bottom"/>
            <w:tcBorders>
              <w:top w:val="single" w:sz="8" w:color="auto"/>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ARTICLES OF ASSOCIATION</w:t>
            </w:r>
          </w:p>
        </w:tc>
        <w:tc>
          <w:tcPr>
            <w:tcW w:w="22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5000" w:type="dxa"/>
            <w:vAlign w:val="bottom"/>
            <w:tcBorders>
              <w:top w:val="single" w:sz="8" w:color="auto"/>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6"/>
              </w:rPr>
              <w:t>STATUTS</w:t>
            </w:r>
          </w:p>
        </w:tc>
      </w:tr>
      <w:tr>
        <w:trPr>
          <w:trHeight w:val="405"/>
        </w:trPr>
        <w:tc>
          <w:tcPr>
            <w:tcW w:w="58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rPr>
              <w:t>of</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4"/>
              </w:rPr>
              <w:t>de</w:t>
            </w:r>
          </w:p>
        </w:tc>
      </w:tr>
      <w:tr>
        <w:trPr>
          <w:trHeight w:val="369"/>
        </w:trPr>
        <w:tc>
          <w:tcPr>
            <w:tcW w:w="58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AC Immune SA</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AC Immune SA</w:t>
            </w:r>
          </w:p>
        </w:tc>
      </w:tr>
      <w:tr>
        <w:trPr>
          <w:trHeight w:val="203"/>
        </w:trPr>
        <w:tc>
          <w:tcPr>
            <w:tcW w:w="580" w:type="dxa"/>
            <w:vAlign w:val="bottom"/>
            <w:tcBorders>
              <w:left w:val="single" w:sz="8" w:color="auto"/>
            </w:tcBorders>
          </w:tcPr>
          <w:p>
            <w:pPr>
              <w:spacing w:after="0"/>
              <w:rPr>
                <w:sz w:val="17"/>
                <w:szCs w:val="17"/>
                <w:color w:val="auto"/>
              </w:rPr>
            </w:pPr>
          </w:p>
        </w:tc>
        <w:tc>
          <w:tcPr>
            <w:tcW w:w="5040" w:type="dxa"/>
            <w:vAlign w:val="bottom"/>
            <w:tcBorders>
              <w:right w:val="single" w:sz="8" w:color="auto"/>
            </w:tcBorders>
          </w:tcPr>
          <w:p>
            <w:pPr>
              <w:jc w:val="center"/>
              <w:ind w:right="470"/>
              <w:spacing w:after="0" w:line="202" w:lineRule="exact"/>
              <w:rPr>
                <w:sz w:val="20"/>
                <w:szCs w:val="20"/>
                <w:color w:val="auto"/>
              </w:rPr>
            </w:pPr>
            <w:r>
              <w:rPr>
                <w:rFonts w:ascii="Arial" w:cs="Arial" w:eastAsia="Arial" w:hAnsi="Arial"/>
                <w:sz w:val="18"/>
                <w:szCs w:val="18"/>
                <w:b w:val="1"/>
                <w:bCs w:val="1"/>
                <w:color w:val="auto"/>
                <w:w w:val="99"/>
              </w:rPr>
              <w:t>(AC Immune AG)</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5000" w:type="dxa"/>
            <w:vAlign w:val="bottom"/>
            <w:tcBorders>
              <w:right w:val="single" w:sz="8" w:color="auto"/>
            </w:tcBorders>
          </w:tcPr>
          <w:p>
            <w:pPr>
              <w:jc w:val="center"/>
              <w:ind w:right="510"/>
              <w:spacing w:after="0" w:line="202" w:lineRule="exact"/>
              <w:rPr>
                <w:sz w:val="20"/>
                <w:szCs w:val="20"/>
                <w:color w:val="auto"/>
              </w:rPr>
            </w:pPr>
            <w:r>
              <w:rPr>
                <w:rFonts w:ascii="Arial" w:cs="Arial" w:eastAsia="Arial" w:hAnsi="Arial"/>
                <w:sz w:val="18"/>
                <w:szCs w:val="18"/>
                <w:b w:val="1"/>
                <w:bCs w:val="1"/>
                <w:color w:val="auto"/>
                <w:w w:val="99"/>
              </w:rPr>
              <w:t>(AC Immune AG)</w:t>
            </w:r>
          </w:p>
        </w:tc>
      </w:tr>
      <w:tr>
        <w:trPr>
          <w:trHeight w:val="239"/>
        </w:trPr>
        <w:tc>
          <w:tcPr>
            <w:tcW w:w="580" w:type="dxa"/>
            <w:vAlign w:val="bottom"/>
            <w:tcBorders>
              <w:left w:val="single" w:sz="8" w:color="auto"/>
            </w:tcBorders>
          </w:tcPr>
          <w:p>
            <w:pPr>
              <w:spacing w:after="0"/>
              <w:rPr>
                <w:sz w:val="20"/>
                <w:szCs w:val="20"/>
                <w:color w:val="auto"/>
              </w:rPr>
            </w:pPr>
          </w:p>
        </w:tc>
        <w:tc>
          <w:tcPr>
            <w:tcW w:w="50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rPr>
              <w:t>(AC Immune Ltd)</w:t>
            </w:r>
          </w:p>
        </w:tc>
        <w:tc>
          <w:tcPr>
            <w:tcW w:w="2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9"/>
              </w:rPr>
              <w:t>(AC Immune Ltd)</w:t>
            </w:r>
          </w:p>
        </w:tc>
      </w:tr>
      <w:tr>
        <w:trPr>
          <w:trHeight w:val="405"/>
        </w:trPr>
        <w:tc>
          <w:tcPr>
            <w:tcW w:w="58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with registered office in</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avec siège à</w:t>
            </w:r>
          </w:p>
        </w:tc>
      </w:tr>
      <w:tr>
        <w:trPr>
          <w:trHeight w:val="405"/>
        </w:trPr>
        <w:tc>
          <w:tcPr>
            <w:tcW w:w="58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Ecublens (VD)</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Ecublens (VD)</w:t>
            </w:r>
          </w:p>
        </w:tc>
      </w:tr>
      <w:tr>
        <w:trPr>
          <w:trHeight w:val="405"/>
        </w:trPr>
        <w:tc>
          <w:tcPr>
            <w:tcW w:w="5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La version française de ces statuts fait foi.</w:t>
            </w:r>
          </w:p>
        </w:tc>
      </w:tr>
      <w:tr>
        <w:trPr>
          <w:trHeight w:val="230"/>
        </w:trPr>
        <w:tc>
          <w:tcPr>
            <w:tcW w:w="580" w:type="dxa"/>
            <w:vAlign w:val="bottom"/>
            <w:tcBorders>
              <w:left w:val="single" w:sz="8" w:color="auto"/>
              <w:bottom w:val="single" w:sz="8" w:color="auto"/>
            </w:tcBorders>
          </w:tcPr>
          <w:p>
            <w:pPr>
              <w:spacing w:after="0"/>
              <w:rPr>
                <w:sz w:val="19"/>
                <w:szCs w:val="19"/>
                <w:color w:val="auto"/>
              </w:rPr>
            </w:pPr>
          </w:p>
        </w:tc>
        <w:tc>
          <w:tcPr>
            <w:tcW w:w="50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0" w:type="dxa"/>
            <w:vAlign w:val="bottom"/>
            <w:tcBorders>
              <w:bottom w:val="single" w:sz="8" w:color="auto"/>
              <w:right w:val="single" w:sz="8" w:color="auto"/>
            </w:tcBorders>
          </w:tcPr>
          <w:p>
            <w:pPr>
              <w:spacing w:after="0"/>
              <w:rPr>
                <w:sz w:val="19"/>
                <w:szCs w:val="19"/>
                <w:color w:val="auto"/>
              </w:rPr>
            </w:pPr>
          </w:p>
        </w:tc>
      </w:tr>
      <w:tr>
        <w:trPr>
          <w:trHeight w:val="214"/>
        </w:trPr>
        <w:tc>
          <w:tcPr>
            <w:tcW w:w="5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w:t>
            </w:r>
          </w:p>
        </w:tc>
        <w:tc>
          <w:tcPr>
            <w:tcW w:w="50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CORPORATE NAME, PRINCIPAL OFFICE, DURATION</w:t>
            </w:r>
          </w:p>
        </w:tc>
        <w:tc>
          <w:tcPr>
            <w:tcW w:w="220" w:type="dxa"/>
            <w:vAlign w:val="bottom"/>
            <w:tcBorders>
              <w:right w:val="single" w:sz="8" w:color="auto"/>
            </w:tcBorders>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I.</w:t>
            </w:r>
          </w:p>
        </w:tc>
        <w:tc>
          <w:tcPr>
            <w:tcW w:w="50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RAISON SOCIALE, SIÈGE,</w:t>
            </w:r>
          </w:p>
        </w:tc>
      </w:tr>
      <w:tr>
        <w:trPr>
          <w:trHeight w:val="239"/>
        </w:trPr>
        <w:tc>
          <w:tcPr>
            <w:tcW w:w="580" w:type="dxa"/>
            <w:vAlign w:val="bottom"/>
            <w:tcBorders>
              <w:left w:val="single" w:sz="8" w:color="auto"/>
            </w:tcBorders>
          </w:tcPr>
          <w:p>
            <w:pPr>
              <w:spacing w:after="0"/>
              <w:rPr>
                <w:sz w:val="20"/>
                <w:szCs w:val="20"/>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AND PURPOSE OF THE COMPANY</w:t>
            </w:r>
          </w:p>
        </w:tc>
        <w:tc>
          <w:tcPr>
            <w:tcW w:w="2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DURÉE ET BUT DE LA SOCIÉTÉ</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  Corporate Name and Duration</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1  Raison sociale et durée</w:t>
            </w:r>
          </w:p>
        </w:tc>
      </w:tr>
      <w:tr>
        <w:trPr>
          <w:trHeight w:val="405"/>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la raison sociale</w:t>
            </w:r>
          </w:p>
        </w:tc>
      </w:tr>
      <w:tr>
        <w:trPr>
          <w:trHeight w:val="391"/>
        </w:trPr>
        <w:tc>
          <w:tcPr>
            <w:tcW w:w="58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9"/>
              </w:rPr>
              <w:t>AC Immune SA</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AC Immune SA</w:t>
            </w:r>
          </w:p>
        </w:tc>
      </w:tr>
      <w:tr>
        <w:trPr>
          <w:trHeight w:val="203"/>
        </w:trPr>
        <w:tc>
          <w:tcPr>
            <w:tcW w:w="580" w:type="dxa"/>
            <w:vAlign w:val="bottom"/>
            <w:tcBorders>
              <w:left w:val="single" w:sz="8" w:color="auto"/>
            </w:tcBorders>
          </w:tcPr>
          <w:p>
            <w:pPr>
              <w:spacing w:after="0"/>
              <w:rPr>
                <w:sz w:val="17"/>
                <w:szCs w:val="17"/>
                <w:color w:val="auto"/>
              </w:rPr>
            </w:pPr>
          </w:p>
        </w:tc>
        <w:tc>
          <w:tcPr>
            <w:tcW w:w="5040" w:type="dxa"/>
            <w:vAlign w:val="bottom"/>
            <w:tcBorders>
              <w:right w:val="single" w:sz="8" w:color="auto"/>
            </w:tcBorders>
          </w:tcPr>
          <w:p>
            <w:pPr>
              <w:jc w:val="center"/>
              <w:ind w:right="490"/>
              <w:spacing w:after="0" w:line="202" w:lineRule="exact"/>
              <w:rPr>
                <w:sz w:val="20"/>
                <w:szCs w:val="20"/>
                <w:color w:val="auto"/>
              </w:rPr>
            </w:pPr>
            <w:r>
              <w:rPr>
                <w:rFonts w:ascii="Arial" w:cs="Arial" w:eastAsia="Arial" w:hAnsi="Arial"/>
                <w:sz w:val="18"/>
                <w:szCs w:val="18"/>
                <w:color w:val="auto"/>
                <w:w w:val="99"/>
              </w:rPr>
              <w:t>(AC Immune AG)</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5000" w:type="dxa"/>
            <w:vAlign w:val="bottom"/>
            <w:tcBorders>
              <w:right w:val="single" w:sz="8" w:color="auto"/>
            </w:tcBorders>
          </w:tcPr>
          <w:p>
            <w:pPr>
              <w:jc w:val="center"/>
              <w:ind w:right="490"/>
              <w:spacing w:after="0" w:line="202" w:lineRule="exact"/>
              <w:rPr>
                <w:sz w:val="20"/>
                <w:szCs w:val="20"/>
                <w:color w:val="auto"/>
              </w:rPr>
            </w:pPr>
            <w:r>
              <w:rPr>
                <w:rFonts w:ascii="Arial" w:cs="Arial" w:eastAsia="Arial" w:hAnsi="Arial"/>
                <w:sz w:val="18"/>
                <w:szCs w:val="18"/>
                <w:color w:val="auto"/>
                <w:w w:val="99"/>
              </w:rPr>
              <w:t>(AC Immune AG)</w:t>
            </w:r>
          </w:p>
        </w:tc>
      </w:tr>
      <w:tr>
        <w:trPr>
          <w:trHeight w:val="217"/>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rPr>
              <w:t>(AC Immune Ltd)</w:t>
            </w: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(AC Immune Ltd)</w:t>
            </w:r>
          </w:p>
        </w:tc>
      </w:tr>
      <w:tr>
        <w:trPr>
          <w:trHeight w:val="373"/>
        </w:trPr>
        <w:tc>
          <w:tcPr>
            <w:tcW w:w="5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 xml:space="preserve">there exists a Company pursuant to the provisions of Articles 620 </w:t>
            </w:r>
            <w:r>
              <w:rPr>
                <w:rFonts w:ascii="Arial" w:cs="Arial" w:eastAsia="Arial" w:hAnsi="Arial"/>
                <w:sz w:val="18"/>
                <w:szCs w:val="18"/>
                <w:i w:val="1"/>
                <w:iCs w:val="1"/>
                <w:color w:val="auto"/>
              </w:rPr>
              <w:t>et</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il existe une société conformément aux articles 620 ss. du Code des</w:t>
            </w:r>
          </w:p>
        </w:tc>
      </w:tr>
      <w:tr>
        <w:trPr>
          <w:trHeight w:val="221"/>
        </w:trPr>
        <w:tc>
          <w:tcPr>
            <w:tcW w:w="5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rPr>
              <w:t xml:space="preserve">seq. </w:t>
            </w:r>
            <w:r>
              <w:rPr>
                <w:rFonts w:ascii="Arial" w:cs="Arial" w:eastAsia="Arial" w:hAnsi="Arial"/>
                <w:sz w:val="18"/>
                <w:szCs w:val="18"/>
                <w:color w:val="auto"/>
              </w:rPr>
              <w:t>of the Swiss Code of Obligations (CO) with registered office in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Obligations suisse (CO) ayant son siège à Ecublens (VD). La durée</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Ecublens (VD). The duration of the Company is unlimited.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 la société est illimitée.</w:t>
            </w:r>
          </w:p>
        </w:tc>
      </w:tr>
      <w:tr>
        <w:trPr>
          <w:trHeight w:val="230"/>
        </w:trPr>
        <w:tc>
          <w:tcPr>
            <w:tcW w:w="580" w:type="dxa"/>
            <w:vAlign w:val="bottom"/>
            <w:tcBorders>
              <w:left w:val="single" w:sz="8" w:color="auto"/>
              <w:bottom w:val="single" w:sz="8" w:color="auto"/>
            </w:tcBorders>
          </w:tcPr>
          <w:p>
            <w:pPr>
              <w:spacing w:after="0"/>
              <w:rPr>
                <w:sz w:val="19"/>
                <w:szCs w:val="19"/>
                <w:color w:val="auto"/>
              </w:rPr>
            </w:pPr>
          </w:p>
        </w:tc>
        <w:tc>
          <w:tcPr>
            <w:tcW w:w="50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0" w:type="dxa"/>
            <w:vAlign w:val="bottom"/>
            <w:tcBorders>
              <w:bottom w:val="single" w:sz="8" w:color="auto"/>
              <w:right w:val="single" w:sz="8" w:color="auto"/>
            </w:tcBorders>
          </w:tcPr>
          <w:p>
            <w:pPr>
              <w:spacing w:after="0"/>
              <w:rPr>
                <w:sz w:val="19"/>
                <w:szCs w:val="19"/>
                <w:color w:val="auto"/>
              </w:rPr>
            </w:pPr>
          </w:p>
        </w:tc>
      </w:tr>
      <w:tr>
        <w:trPr>
          <w:trHeight w:val="250"/>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w:t>
            </w:r>
          </w:p>
        </w:tc>
        <w:tc>
          <w:tcPr>
            <w:tcW w:w="50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Purpose</w:t>
            </w:r>
          </w:p>
        </w:tc>
        <w:tc>
          <w:tcPr>
            <w:tcW w:w="220" w:type="dxa"/>
            <w:vAlign w:val="bottom"/>
            <w:tcBorders>
              <w:right w:val="single" w:sz="8" w:color="auto"/>
            </w:tcBorders>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Art. 2</w:t>
            </w:r>
          </w:p>
        </w:tc>
        <w:tc>
          <w:tcPr>
            <w:tcW w:w="50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But</w:t>
            </w:r>
          </w:p>
        </w:tc>
      </w:tr>
      <w:tr>
        <w:trPr>
          <w:trHeight w:val="391"/>
        </w:trPr>
        <w:tc>
          <w:tcPr>
            <w:tcW w:w="5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The purpose of the Company is the research, study, development,</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but de la société est la recherche, les études, le développement,</w:t>
            </w:r>
          </w:p>
        </w:tc>
      </w:tr>
      <w:tr>
        <w:trPr>
          <w:trHeight w:val="203"/>
        </w:trPr>
        <w:tc>
          <w:tcPr>
            <w:tcW w:w="5620" w:type="dxa"/>
            <w:vAlign w:val="bottom"/>
            <w:tcBorders>
              <w:left w:val="single" w:sz="8" w:color="auto"/>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manufacture,  promotion,  sale  and  marketing  of  products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 fabrication, la promotion, la vente et le marketing des produits et</w:t>
            </w:r>
          </w:p>
        </w:tc>
      </w:tr>
      <w:tr>
        <w:trPr>
          <w:trHeight w:val="203"/>
        </w:trPr>
        <w:tc>
          <w:tcPr>
            <w:tcW w:w="5620" w:type="dxa"/>
            <w:vAlign w:val="bottom"/>
            <w:tcBorders>
              <w:left w:val="single" w:sz="8" w:color="auto"/>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substances within the pharmaceutical and nutrition industry as well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 substances au sein de l'industrie pharmaceutique et de la</w:t>
            </w:r>
          </w:p>
        </w:tc>
      </w:tr>
      <w:tr>
        <w:trPr>
          <w:trHeight w:val="203"/>
        </w:trPr>
        <w:tc>
          <w:tcPr>
            <w:tcW w:w="5620" w:type="dxa"/>
            <w:vAlign w:val="bottom"/>
            <w:tcBorders>
              <w:left w:val="single" w:sz="8" w:color="auto"/>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as the purchase, sale and exploitation of patents and licenses in this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nutrition ainsi que l'achat, la vente et l'exploitation de brevets et de</w:t>
            </w:r>
          </w:p>
        </w:tc>
      </w:tr>
      <w:tr>
        <w:trPr>
          <w:trHeight w:val="217"/>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field.</w:t>
            </w:r>
          </w:p>
        </w:tc>
        <w:tc>
          <w:tcPr>
            <w:tcW w:w="50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licences dans ce domaine.</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The Company may engage in any activities which are apt to favor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peut se livrer à des activités qui sont de nature à favoriser</w:t>
            </w:r>
          </w:p>
        </w:tc>
      </w:tr>
      <w:tr>
        <w:trPr>
          <w:trHeight w:val="203"/>
        </w:trPr>
        <w:tc>
          <w:tcPr>
            <w:tcW w:w="5620" w:type="dxa"/>
            <w:vAlign w:val="bottom"/>
            <w:tcBorders>
              <w:left w:val="single" w:sz="8" w:color="auto"/>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the purpose of the Company directly or indirectly. The Company may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directement ou indirectement le but de la société. La société peut</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also acquire and sell real estate.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également acquérir et vendre des biens immobiliers.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The Company may open branch offices in Switzerland and abroad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peut ouvrir des succursales en Suisse et à l'étranger et</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and may also acquire participations in other companies.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peut également acquérir des participations dans d'autres sociétés.</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588"/>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6"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may provide securities to its subsidiaries and supply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peut fournir des titres à ses filiales et des garanties</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guarantees.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d'approvisionnement.</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50"/>
        </w:trPr>
        <w:tc>
          <w:tcPr>
            <w:tcW w:w="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II.</w:t>
            </w:r>
          </w:p>
        </w:tc>
        <w:tc>
          <w:tcPr>
            <w:tcW w:w="522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SHARE CAPITAL AND SHARES</w:t>
            </w:r>
          </w:p>
        </w:tc>
        <w:tc>
          <w:tcPr>
            <w:tcW w:w="220" w:type="dxa"/>
            <w:vAlign w:val="bottom"/>
            <w:tcBorders>
              <w:right w:val="single" w:sz="8" w:color="auto"/>
            </w:tcBorders>
          </w:tcPr>
          <w:p>
            <w:pPr>
              <w:spacing w:after="0"/>
              <w:rPr>
                <w:sz w:val="21"/>
                <w:szCs w:val="21"/>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rPr>
              <w:t>II.</w:t>
            </w:r>
          </w:p>
        </w:tc>
        <w:tc>
          <w:tcPr>
            <w:tcW w:w="4920" w:type="dxa"/>
            <w:vAlign w:val="bottom"/>
            <w:tcBorders>
              <w:right w:val="single" w:sz="8" w:color="auto"/>
            </w:tcBorders>
          </w:tcPr>
          <w:p>
            <w:pPr>
              <w:jc w:val="right"/>
              <w:ind w:right="2010"/>
              <w:spacing w:after="0"/>
              <w:rPr>
                <w:sz w:val="20"/>
                <w:szCs w:val="20"/>
                <w:color w:val="auto"/>
              </w:rPr>
            </w:pPr>
            <w:r>
              <w:rPr>
                <w:rFonts w:ascii="Arial" w:cs="Arial" w:eastAsia="Arial" w:hAnsi="Arial"/>
                <w:sz w:val="18"/>
                <w:szCs w:val="18"/>
                <w:b w:val="1"/>
                <w:bCs w:val="1"/>
                <w:color w:val="auto"/>
              </w:rPr>
              <w:t>CAPITAL-ACTIONS ET ACTIONS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  Share Capital and Shares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   Capital-actions et actions</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Share Capital of the Company is CHF 1'347'253.80. It is divided</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capital-actions de la société se monte à CHF 1'347'253.80. Il est</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into 67'362'690 registered shares with a nominal value of CHF 0.02</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divisé en 67'362'690 actions nominatives d'une valeur nominale de</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each, fully paid-in.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CHF 0.02 chacune, entièrement libérées.</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77"/>
        </w:trPr>
        <w:tc>
          <w:tcPr>
            <w:tcW w:w="400" w:type="dxa"/>
            <w:vAlign w:val="bottom"/>
            <w:tcBorders>
              <w:left w:val="single" w:sz="8" w:color="auto"/>
              <w:bottom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920" w:type="dxa"/>
            <w:vAlign w:val="bottom"/>
            <w:tcBorders>
              <w:bottom w:val="single" w:sz="8" w:color="auto"/>
              <w:right w:val="single" w:sz="8" w:color="auto"/>
            </w:tcBorders>
          </w:tcPr>
          <w:p>
            <w:pPr>
              <w:spacing w:after="0"/>
              <w:rPr>
                <w:sz w:val="24"/>
                <w:szCs w:val="24"/>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3a   Augmentation autorisée du capital-actions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is authorized to increase the share capital, in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est autorisé à augmenter le capital-</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one or several steps until 20 October 2017, by a maximum amount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actions, en une ou plusieurs étapes jusqu'au 20 octobre 2017, d'un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of CHF 288'950 by issuing a maximum of 14'447'500 registered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montant maximum de CHF 288'950 par l'émission d'un montant</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shares with a par value of CHF 0.02 each, to be fully paid up. 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maximum de 14'447'500 actions nominatives d'une valeur nominale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increase of the share capital (i) by means of an offering underwritten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 CHF 0.02 chacune, à libérer entièrement. Une augmentation de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by a financial institution, a syndicate or another third party or third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capital (i) par souscription d'actions par une institution financière, un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parties, followed by an offer to the then-existing shareholders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syndicat  ou  un  tiers  ou  des  tiers,  suivie  par  une  souscription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Company and (ii) in partial amounts shall also be permissible.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d'actions par les actionnaires de la société alors existants et (ii) par</w:t>
            </w:r>
          </w:p>
        </w:tc>
      </w:tr>
      <w:tr>
        <w:trPr>
          <w:trHeight w:val="217"/>
        </w:trPr>
        <w:tc>
          <w:tcPr>
            <w:tcW w:w="400" w:type="dxa"/>
            <w:vAlign w:val="bottom"/>
            <w:tcBorders>
              <w:left w:val="single" w:sz="8" w:color="auto"/>
            </w:tcBorders>
          </w:tcPr>
          <w:p>
            <w:pPr>
              <w:spacing w:after="0"/>
              <w:rPr>
                <w:sz w:val="18"/>
                <w:szCs w:val="18"/>
                <w:color w:val="auto"/>
              </w:rPr>
            </w:pPr>
          </w:p>
        </w:tc>
        <w:tc>
          <w:tcPr>
            <w:tcW w:w="52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montants partiels, est également autorisée.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Board of Directors shall determine the time of the issuance,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 conseil d'administration fixe la date d'émission, le prix d'émission,</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issue price, the manner in which the new registered shares have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 manière de libérer les nouvelles actions nominatives, la date à</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be paid up, the date from which the registered shares carry the right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partir  de  laquelle  les  actions  nominatives  donnent  droit  à  un</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to dividends, the conditions for the exercise of the preemptive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dividende, les conditions pour l'exercice des droits de souscription</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and the allotment of preemptive rights that have not been exercised.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préférentiels et l'attribution des droits de souscription préférentiels</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The Board of Directors may allow the preemptive rights that have not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qui n'ont pas été exercés. Le conseil d'administration peut autoriser</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been exercised to expire, or it may place with third parties such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que des droits de souscription préférentiels qui n'ont pas été exercés</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or registered shares, the preemptive rights of which have not been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expirent ou attribuer à des tiers ces droits ou actions nominatives,</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exercised, at market conditions or use them otherwise in the interest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dont les droits de souscription préférentiels n'ont pas été exercés,</w:t>
            </w:r>
          </w:p>
        </w:tc>
      </w:tr>
      <w:tr>
        <w:trPr>
          <w:trHeight w:val="203"/>
        </w:trPr>
        <w:tc>
          <w:tcPr>
            <w:tcW w:w="56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of the Company.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aux conditions du marché ou les utiliser autrement dans l'intérêt de la</w:t>
            </w:r>
          </w:p>
        </w:tc>
      </w:tr>
      <w:tr>
        <w:trPr>
          <w:trHeight w:val="217"/>
        </w:trPr>
        <w:tc>
          <w:tcPr>
            <w:tcW w:w="400" w:type="dxa"/>
            <w:vAlign w:val="bottom"/>
            <w:tcBorders>
              <w:left w:val="single" w:sz="8" w:color="auto"/>
            </w:tcBorders>
          </w:tcPr>
          <w:p>
            <w:pPr>
              <w:spacing w:after="0"/>
              <w:rPr>
                <w:sz w:val="18"/>
                <w:szCs w:val="18"/>
                <w:color w:val="auto"/>
              </w:rPr>
            </w:pPr>
          </w:p>
        </w:tc>
        <w:tc>
          <w:tcPr>
            <w:tcW w:w="52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société.</w:t>
            </w:r>
          </w:p>
        </w:tc>
        <w:tc>
          <w:tcPr>
            <w:tcW w:w="4920" w:type="dxa"/>
            <w:vAlign w:val="bottom"/>
            <w:tcBorders>
              <w:right w:val="single" w:sz="8" w:color="auto"/>
            </w:tcBorders>
          </w:tcPr>
          <w:p>
            <w:pPr>
              <w:spacing w:after="0"/>
              <w:rPr>
                <w:sz w:val="18"/>
                <w:szCs w:val="18"/>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588"/>
        </w:trPr>
        <w:tc>
          <w:tcPr>
            <w:tcW w:w="4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6" w:name="page7"/>
    <w:bookmarkEnd w:id="6"/>
    <w:p>
      <w:pPr>
        <w:ind w:left="112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227965</wp:posOffset>
            </wp:positionV>
            <wp:extent cx="7246620" cy="512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128260"/>
                    </a:xfrm>
                    <a:prstGeom prst="rect">
                      <a:avLst/>
                    </a:prstGeom>
                    <a:noFill/>
                  </pic:spPr>
                </pic:pic>
              </a:graphicData>
            </a:graphic>
          </wp:anchor>
        </w:drawing>
      </w:r>
    </w:p>
    <w:p>
      <w:pPr>
        <w:sectPr>
          <w:pgSz w:w="11900" w:h="16838" w:orient="portrait"/>
          <w:cols w:equalWidth="0" w:num="1">
            <w:col w:w="11320"/>
          </w:cols>
          <w:pgMar w:left="300" w:top="247" w:right="27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is authorized to withdraw or limit the preemptive rights of the shareholders and to allot them to third parties:</w:t>
      </w:r>
    </w:p>
    <w:p>
      <w:pPr>
        <w:spacing w:after="0" w:line="189" w:lineRule="exact"/>
        <w:rPr>
          <w:sz w:val="20"/>
          <w:szCs w:val="20"/>
          <w:color w:val="auto"/>
        </w:rPr>
      </w:pPr>
    </w:p>
    <w:p>
      <w:pPr>
        <w:ind w:left="380" w:right="20" w:hanging="378"/>
        <w:spacing w:after="0" w:line="246" w:lineRule="auto"/>
        <w:tabs>
          <w:tab w:leader="none" w:pos="39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 or</w:t>
      </w:r>
    </w:p>
    <w:p>
      <w:pPr>
        <w:spacing w:after="0" w:line="385" w:lineRule="exact"/>
        <w:rPr>
          <w:rFonts w:ascii="Arial" w:cs="Arial" w:eastAsia="Arial" w:hAnsi="Arial"/>
          <w:sz w:val="18"/>
          <w:szCs w:val="18"/>
          <w:color w:val="auto"/>
        </w:rPr>
      </w:pPr>
    </w:p>
    <w:p>
      <w:pPr>
        <w:jc w:val="both"/>
        <w:ind w:left="380" w:hanging="378"/>
        <w:spacing w:after="0" w:line="23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188" w:lineRule="exact"/>
        <w:rPr>
          <w:rFonts w:ascii="Arial" w:cs="Arial" w:eastAsia="Arial" w:hAnsi="Arial"/>
          <w:sz w:val="18"/>
          <w:szCs w:val="18"/>
          <w:color w:val="auto"/>
        </w:rPr>
      </w:pPr>
    </w:p>
    <w:p>
      <w:pPr>
        <w:jc w:val="both"/>
        <w:ind w:left="380" w:hanging="378"/>
        <w:spacing w:after="0" w:line="238" w:lineRule="auto"/>
        <w:tabs>
          <w:tab w:leader="none" w:pos="391"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391" w:lineRule="exact"/>
        <w:rPr>
          <w:rFonts w:ascii="Arial" w:cs="Arial" w:eastAsia="Arial" w:hAnsi="Arial"/>
          <w:sz w:val="18"/>
          <w:szCs w:val="18"/>
          <w:color w:val="auto"/>
        </w:rPr>
      </w:pPr>
    </w:p>
    <w:p>
      <w:pPr>
        <w:jc w:val="both"/>
        <w:ind w:left="380" w:hanging="378"/>
        <w:spacing w:after="0" w:line="239" w:lineRule="auto"/>
        <w:tabs>
          <w:tab w:leader="none" w:pos="426"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 or</w:t>
      </w:r>
    </w:p>
    <w:p>
      <w:pPr>
        <w:spacing w:after="0" w:line="188" w:lineRule="exact"/>
        <w:rPr>
          <w:rFonts w:ascii="Arial" w:cs="Arial" w:eastAsia="Arial" w:hAnsi="Arial"/>
          <w:sz w:val="18"/>
          <w:szCs w:val="18"/>
          <w:color w:val="auto"/>
        </w:rPr>
      </w:pPr>
    </w:p>
    <w:p>
      <w:pPr>
        <w:jc w:val="both"/>
        <w:ind w:left="380" w:hanging="378"/>
        <w:spacing w:after="0" w:line="239"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which probably could not be reached without the exclusion of the statutory pre-emptive right of the existing shareholders; or</w:t>
      </w:r>
    </w:p>
    <w:p>
      <w:pPr>
        <w:spacing w:after="0" w:line="188" w:lineRule="exact"/>
        <w:rPr>
          <w:rFonts w:ascii="Arial" w:cs="Arial" w:eastAsia="Arial" w:hAnsi="Arial"/>
          <w:sz w:val="18"/>
          <w:szCs w:val="18"/>
          <w:color w:val="auto"/>
        </w:rPr>
      </w:pPr>
    </w:p>
    <w:p>
      <w:pPr>
        <w:ind w:left="380" w:right="20" w:hanging="378"/>
        <w:spacing w:after="0" w:line="246" w:lineRule="auto"/>
        <w:tabs>
          <w:tab w:leader="none" w:pos="391"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CO; or</w:t>
      </w:r>
    </w:p>
    <w:p>
      <w:pPr>
        <w:spacing w:after="0" w:line="183" w:lineRule="exact"/>
        <w:rPr>
          <w:rFonts w:ascii="Arial" w:cs="Arial" w:eastAsia="Arial" w:hAnsi="Arial"/>
          <w:sz w:val="18"/>
          <w:szCs w:val="18"/>
          <w:color w:val="auto"/>
        </w:rPr>
      </w:pPr>
    </w:p>
    <w:p>
      <w:pPr>
        <w:jc w:val="both"/>
        <w:ind w:left="380" w:hanging="378"/>
        <w:spacing w:after="0" w:line="224" w:lineRule="auto"/>
        <w:tabs>
          <w:tab w:leader="none" w:pos="47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following a shareholder or a group of shareholders acting in concert having accumulated shareholdings in excess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of the share capital registered in the commercial register without having submitted to the other shareholders a takeover offer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531495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Le conseil d'administration est autorisé à retirer ou de limiter les droits de souscription préférentiels des actionnaires et de les attribuer à des tiers:</w:t>
      </w:r>
    </w:p>
    <w:p>
      <w:pPr>
        <w:spacing w:after="0" w:line="189" w:lineRule="exact"/>
        <w:rPr>
          <w:sz w:val="20"/>
          <w:szCs w:val="20"/>
          <w:color w:val="auto"/>
        </w:rPr>
      </w:pPr>
    </w:p>
    <w:p>
      <w:pPr>
        <w:ind w:left="380" w:right="20" w:hanging="377"/>
        <w:spacing w:after="0" w:line="246"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 le prix d'émission des nouvelles actions nominatives est déterminé avec une référence au prix de marché; ou</w:t>
      </w:r>
    </w:p>
    <w:p>
      <w:pPr>
        <w:spacing w:after="0" w:line="183" w:lineRule="exact"/>
        <w:rPr>
          <w:rFonts w:ascii="Arial" w:cs="Arial" w:eastAsia="Arial" w:hAnsi="Arial"/>
          <w:sz w:val="18"/>
          <w:szCs w:val="18"/>
          <w:color w:val="auto"/>
        </w:rPr>
      </w:pPr>
    </w:p>
    <w:p>
      <w:pPr>
        <w:jc w:val="both"/>
        <w:ind w:left="380" w:right="20" w:hanging="377"/>
        <w:spacing w:after="0" w:line="239" w:lineRule="auto"/>
        <w:tabs>
          <w:tab w:leader="none" w:pos="671" w:val="left"/>
        </w:tabs>
        <w:numPr>
          <w:ilvl w:val="0"/>
          <w:numId w:val="2"/>
        </w:numPr>
        <w:rPr>
          <w:rFonts w:ascii="Arial" w:cs="Arial" w:eastAsia="Arial" w:hAnsi="Arial"/>
          <w:sz w:val="18"/>
          <w:szCs w:val="18"/>
          <w:color w:val="auto"/>
        </w:rPr>
      </w:pPr>
      <w:r>
        <w:rPr>
          <w:rFonts w:ascii="Arial" w:cs="Arial" w:eastAsia="Arial" w:hAnsi="Arial"/>
          <w:sz w:val="18"/>
          <w:szCs w:val="18"/>
          <w:color w:val="auto"/>
        </w:rPr>
        <w:t>pour l'acquisition d'une entreprise, part d'entreprise ou participation, ou pour le financement ou le refinancement de ladite acquisition, ou en cas de placement d'actions pour le financement ou le refinancement dudit placement; ou</w:t>
      </w:r>
    </w:p>
    <w:p>
      <w:pPr>
        <w:spacing w:after="0" w:line="188" w:lineRule="exact"/>
        <w:rPr>
          <w:rFonts w:ascii="Arial" w:cs="Arial" w:eastAsia="Arial" w:hAnsi="Arial"/>
          <w:sz w:val="18"/>
          <w:szCs w:val="18"/>
          <w:color w:val="auto"/>
        </w:rPr>
      </w:pPr>
    </w:p>
    <w:p>
      <w:pPr>
        <w:jc w:val="both"/>
        <w:ind w:left="380" w:right="20" w:hanging="377"/>
        <w:spacing w:after="0" w:line="238" w:lineRule="auto"/>
        <w:tabs>
          <w:tab w:leader="none" w:pos="412" w:val="left"/>
        </w:tabs>
        <w:numPr>
          <w:ilvl w:val="0"/>
          <w:numId w:val="2"/>
        </w:numPr>
        <w:rPr>
          <w:rFonts w:ascii="Arial" w:cs="Arial" w:eastAsia="Arial" w:hAnsi="Arial"/>
          <w:sz w:val="18"/>
          <w:szCs w:val="18"/>
          <w:color w:val="auto"/>
        </w:rPr>
      </w:pPr>
      <w:r>
        <w:rPr>
          <w:rFonts w:ascii="Arial" w:cs="Arial" w:eastAsia="Arial" w:hAnsi="Arial"/>
          <w:sz w:val="18"/>
          <w:szCs w:val="18"/>
          <w:color w:val="auto"/>
        </w:rPr>
        <w:t>pour l'élargissement de la base des actionnaires de la société dans certains marchés financiers ou d'investissement, afin de permettre une participation de partenaires stratégiques, ou dans le cas de cotation ou d'enregistrement de nouvelles actions nominatives aux bourses nationales ou étrangères; ou</w:t>
      </w:r>
    </w:p>
    <w:p>
      <w:pPr>
        <w:spacing w:after="0" w:line="189" w:lineRule="exact"/>
        <w:rPr>
          <w:rFonts w:ascii="Arial" w:cs="Arial" w:eastAsia="Arial" w:hAnsi="Arial"/>
          <w:sz w:val="18"/>
          <w:szCs w:val="18"/>
          <w:color w:val="auto"/>
        </w:rPr>
      </w:pPr>
    </w:p>
    <w:p>
      <w:pPr>
        <w:jc w:val="both"/>
        <w:ind w:left="380" w:right="20" w:hanging="377"/>
        <w:spacing w:after="0" w:line="239" w:lineRule="auto"/>
        <w:tabs>
          <w:tab w:leader="none" w:pos="509" w:val="left"/>
        </w:tabs>
        <w:numPr>
          <w:ilvl w:val="0"/>
          <w:numId w:val="2"/>
        </w:numPr>
        <w:rPr>
          <w:rFonts w:ascii="Arial" w:cs="Arial" w:eastAsia="Arial" w:hAnsi="Arial"/>
          <w:sz w:val="18"/>
          <w:szCs w:val="18"/>
          <w:color w:val="auto"/>
        </w:rPr>
      </w:pPr>
      <w:r>
        <w:rPr>
          <w:rFonts w:ascii="Arial" w:cs="Arial" w:eastAsia="Arial" w:hAnsi="Arial"/>
          <w:sz w:val="18"/>
          <w:szCs w:val="18"/>
          <w:color w:val="auto"/>
        </w:rPr>
        <w:t>pour octroyer une option de surallocation (Greenshoe) d'un maximum de 20% du nombre total d'actions nominatives dans un placement ou une vente d'actions nominatives à l'/des acheteur(s) initial(s) ou du/des souscripteur(s) respectif(s); ou</w:t>
      </w:r>
    </w:p>
    <w:p>
      <w:pPr>
        <w:spacing w:after="0" w:line="188" w:lineRule="exact"/>
        <w:rPr>
          <w:rFonts w:ascii="Arial" w:cs="Arial" w:eastAsia="Arial" w:hAnsi="Arial"/>
          <w:sz w:val="18"/>
          <w:szCs w:val="18"/>
          <w:color w:val="auto"/>
        </w:rPr>
      </w:pPr>
    </w:p>
    <w:p>
      <w:pPr>
        <w:jc w:val="both"/>
        <w:ind w:left="380" w:right="20" w:hanging="377"/>
        <w:spacing w:after="0" w:line="239"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pour lever des capitaux (y compris des placements privés) dans un délai rapide et flexible, ce qui ne pourrait probablement pas être réalisé sans l'exclusion du droit préférentiel de souscription statuaire des actionnaires existants; ou</w:t>
      </w:r>
    </w:p>
    <w:p>
      <w:pPr>
        <w:spacing w:after="0" w:line="188" w:lineRule="exact"/>
        <w:rPr>
          <w:rFonts w:ascii="Arial" w:cs="Arial" w:eastAsia="Arial" w:hAnsi="Arial"/>
          <w:sz w:val="18"/>
          <w:szCs w:val="18"/>
          <w:color w:val="auto"/>
        </w:rPr>
      </w:pPr>
    </w:p>
    <w:p>
      <w:pPr>
        <w:ind w:left="380" w:right="20" w:hanging="377"/>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pour d'autres motifs valables au sens de l'article 652b al. 2 CO; ou</w:t>
      </w:r>
    </w:p>
    <w:p>
      <w:pPr>
        <w:spacing w:after="0" w:line="183" w:lineRule="exact"/>
        <w:rPr>
          <w:rFonts w:ascii="Arial" w:cs="Arial" w:eastAsia="Arial" w:hAnsi="Arial"/>
          <w:sz w:val="18"/>
          <w:szCs w:val="18"/>
          <w:color w:val="auto"/>
        </w:rPr>
      </w:pPr>
    </w:p>
    <w:p>
      <w:pPr>
        <w:jc w:val="both"/>
        <w:ind w:left="380" w:right="20" w:hanging="377"/>
        <w:spacing w:after="0" w:line="224" w:lineRule="auto"/>
        <w:tabs>
          <w:tab w:leader="none" w:pos="617"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suite à l'accumulation par un actionnaire ou un groupe d'actionnaires agissant de concert de participations supérieures à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du capital-actions inscrit au registre du commerce sans avoir soumis aux autres actionnaires une offre publique d'achat recommandée par le conseil d'administration, ou pour la</w:t>
      </w:r>
    </w:p>
    <w:p>
      <w:pPr>
        <w:sectPr>
          <w:pgSz w:w="11900" w:h="16838" w:orient="portrait"/>
          <w:cols w:equalWidth="0" w:num="2">
            <w:col w:w="5500" w:space="320"/>
            <w:col w:w="5500"/>
          </w:cols>
          <w:pgMar w:left="300" w:top="247" w:right="27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or for the defense of an actual, threatened or potential takeover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défense d'une offre publique d'achat réelle, imminente ou</w:t>
            </w:r>
          </w:p>
        </w:tc>
      </w:tr>
      <w:tr>
        <w:trPr>
          <w:trHeight w:val="203"/>
        </w:trPr>
        <w:tc>
          <w:tcPr>
            <w:tcW w:w="5620" w:type="dxa"/>
            <w:vAlign w:val="bottom"/>
            <w:tcBorders>
              <w:left w:val="single" w:sz="8" w:color="auto"/>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bid,  in  relation  to  which  the  Board  of  Directors,  upon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potentielle, pour laquelle le conseil d'administration, après</w:t>
            </w:r>
          </w:p>
        </w:tc>
      </w:tr>
      <w:tr>
        <w:trPr>
          <w:trHeight w:val="203"/>
        </w:trPr>
        <w:tc>
          <w:tcPr>
            <w:tcW w:w="5620" w:type="dxa"/>
            <w:vAlign w:val="bottom"/>
            <w:tcBorders>
              <w:left w:val="single" w:sz="8" w:color="auto"/>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consultation with an independent financial adviser retained by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consultation avec un conseiller financier indépendant retenu</w:t>
            </w:r>
          </w:p>
        </w:tc>
      </w:tr>
      <w:tr>
        <w:trPr>
          <w:trHeight w:val="203"/>
        </w:trPr>
        <w:tc>
          <w:tcPr>
            <w:tcW w:w="5620" w:type="dxa"/>
            <w:vAlign w:val="bottom"/>
            <w:tcBorders>
              <w:left w:val="single" w:sz="8" w:color="auto"/>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it, has not recommended to the shareholders acceptance 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par lui, n'a pas recommandé l'acceptation aux actionnaires car</w:t>
            </w:r>
          </w:p>
        </w:tc>
      </w:tr>
      <w:tr>
        <w:trPr>
          <w:trHeight w:val="203"/>
        </w:trPr>
        <w:tc>
          <w:tcPr>
            <w:tcW w:w="5620" w:type="dxa"/>
            <w:vAlign w:val="bottom"/>
            <w:tcBorders>
              <w:left w:val="single" w:sz="8" w:color="auto"/>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the  basis  that  the  Board  of  Directors  has  not  found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il  a  estimé  que  l'offre  publique  d'achat  n'était  pas</w:t>
            </w:r>
          </w:p>
        </w:tc>
      </w:tr>
      <w:tr>
        <w:trPr>
          <w:trHeight w:val="217"/>
        </w:trPr>
        <w:tc>
          <w:tcPr>
            <w:tcW w:w="562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takeover bid to be financially fair to the shareholders.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jc w:val="right"/>
              <w:ind w:right="1270"/>
              <w:spacing w:after="0"/>
              <w:rPr>
                <w:sz w:val="20"/>
                <w:szCs w:val="20"/>
                <w:color w:val="auto"/>
              </w:rPr>
            </w:pPr>
            <w:r>
              <w:rPr>
                <w:rFonts w:ascii="Arial" w:cs="Arial" w:eastAsia="Arial" w:hAnsi="Arial"/>
                <w:sz w:val="18"/>
                <w:szCs w:val="18"/>
                <w:color w:val="auto"/>
              </w:rPr>
              <w:t>financièrement équitable pour les actionnaires.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acquisition  of  registered  shares  out  of  authorized  capital</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L'acquisition   d'actions   nominatives   dans   le   cadre   d'une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increase of share capital for general purposes and any transfers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augmentation autorisée du capital-actions à des fins générales et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registered shares shall be subject to the restrictions specified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transferts d'actions nominatives sont soumis aux restrictions prévues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Article 4 of the Articles of Association.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à l'article 4 des statuts.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1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3b   Conditional Capital Increase for Bonds and Similar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Art. 3b Augmentation conditionnelle du capital-actions pour les</w:t>
            </w:r>
          </w:p>
        </w:tc>
      </w:tr>
      <w:tr>
        <w:trPr>
          <w:trHeight w:val="239"/>
        </w:trPr>
        <w:tc>
          <w:tcPr>
            <w:tcW w:w="5620" w:type="dxa"/>
            <w:vAlign w:val="bottom"/>
            <w:tcBorders>
              <w:left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Debt Instruments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obligations et instruments de dettes similaire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share capital of the Company shall be increased by a maximum</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Le capital-actions de la société peut être augmenté d'un montant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amount of CHF 91'867.50 through the issue of a maximum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maximum  de  CHF  91'867.50  par  l'émission  d'un  maximum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4'593'375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4'593'375 actions nominatives, d'une valeur nominale de CHF 0.02</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value of CHF 0.02 through the exercise of conversion and/or option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chacune, à libérer entièrement, suite à l'exercice de droits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  warrant  rights  granted  in  connection  with  bonds  or  similar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conversion et/ou d'option ou de bons de souscription accordés en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instruments,  issued  or  to  be  issued  by  the  Company  or  by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relation avec des obligations ou d'instruments similaires, émis ou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subsidiaries of the Company, including convertible debt instruments.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devant être émis par la société ou par des filiales de la société, y</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compris les instruments d'emprunt convertibles.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Shareholders'  subscription  rights  are  excluded.  Shareholders'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Le droit de souscription préférentiel des actionnaires est exclu.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advance subscription rights with regard to the new bonds or similar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droits de souscription préférentiels préalables des actionnaires à</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instruments may be restricted or excluded by decision of the Board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l'égard des nouvelles obligations ou instruments similaires peuvent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 Directors in order to finance or re-finance the acquisition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être limités ou exclus par décision du conseil d'administration afin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companies, parts of companies or holdings, or new investments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financer  ou  de  refinancer  l'acquisition  d'entreprises,  parts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planned by the Company, or in order to issue convertible bonds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d'entreprises  ou  de  holdings,  ou  de  nouveaux  investissements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warrants on the international capital markets or through private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prévus  par  la  société,  ou  en  vue  d'émettre  des  obligations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placement. If advance subscription rights are excluded, then (1)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convertibles  et  des  bons  de  souscription  sur  les  marchés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instruments are to be placed at market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internationaux de capitaux ou par placement privé. Si les droits de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440"/>
              <w:spacing w:after="0"/>
              <w:rPr>
                <w:sz w:val="20"/>
                <w:szCs w:val="20"/>
                <w:color w:val="auto"/>
              </w:rPr>
            </w:pPr>
            <w:r>
              <w:rPr>
                <w:rFonts w:ascii="Arial" w:cs="Arial" w:eastAsia="Arial" w:hAnsi="Arial"/>
                <w:sz w:val="18"/>
                <w:szCs w:val="18"/>
                <w:color w:val="auto"/>
                <w:w w:val="99"/>
              </w:rPr>
              <w:t>5</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conditions, (2) the exercise period is not to exceed ten years from</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souscription préférentiels préalables sont exclus, (1) les instruments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date of issue for warrants and twenty years for conversion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doivent être attribués aux conditions du marché, (2) la période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and (3) the conversion or exercise price for the new shares is to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d'exercice  ne  doit  pas  dépasser  dix  ans  à  partir  de  la  date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set at least in line with the market conditions prevailing at the date 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d'émission des bons de souscription et vingt ans pour les droits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which  the  instruments  are  issued.  The  respective  holders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conversion et (3) le prix de conversion ou d'exercice des actions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conversion and/or option or warrant rights are entitled to subscribe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nouvelles doit être fixé au moins aux conditions du marché prévalant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new shares.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à la date à laquelle les instruments sont émis. Les détenteurs</w:t>
            </w: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respectifs de droits de conversion et/ou option ou de bons de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souscription ont le droit de souscrire les nouvelles actions.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acquisition  of  registered  shares  through  the  exercise  of</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L'acquisition d'actions nominatives par l'exercice de droits ou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conversion rights or warrants and any transfers of registered shares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bons de conversion et les transferts d'actions nominatives sont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shall be subject to the restrictions specified in Article 4 of the Articles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assujetties aux restrictions prévues par l'article 4 des statuts.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 Association.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1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3c Conditional Share Capital Increase for Employee Benefit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3c Augmentation conditionnelle du capital-actions pour les</w:t>
            </w:r>
          </w:p>
        </w:tc>
      </w:tr>
      <w:tr>
        <w:trPr>
          <w:trHeight w:val="239"/>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Plans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660"/>
              <w:spacing w:after="0"/>
              <w:rPr>
                <w:sz w:val="20"/>
                <w:szCs w:val="20"/>
                <w:color w:val="auto"/>
              </w:rPr>
            </w:pPr>
            <w:r>
              <w:rPr>
                <w:rFonts w:ascii="Arial" w:cs="Arial" w:eastAsia="Arial" w:hAnsi="Arial"/>
                <w:sz w:val="18"/>
                <w:szCs w:val="18"/>
                <w:b w:val="1"/>
                <w:bCs w:val="1"/>
                <w:color w:val="auto"/>
              </w:rPr>
              <w:t>plans d'avantages sociaux</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share capital of the Company shall be increased by an amount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capital social de la société sera augmenté d'un montant 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not exceeding CHF 57'073.04 through the issue of a maximum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dépassant pas CHF 57'073.04 par l'émission d'un maximum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2'853'652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2'853'652 actions nominatives, entièrement libérées, chacune avec</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value of CHF 0.02, in connection with the exercise of option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une valeur nominale de CHF 0.02, dans le cadre de l'exercice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granted to any employee of the Company or a subsidiary, and 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droits d'option accordés à tout employé de la Société ou d'une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consultant, members of the Board of Directors, or other person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succursale,  et  à  tout  consultant,  aux  membres  du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providing services to the Company or a subsidiary.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ou à autres personnes fournissant des services en</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faveur de la société ou d'une filiale.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Shareholders' subscription rights shall be excluded with regard to</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droit de souscription préférentiel des actionnaires est exclu à</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these shares. These new registered shares may be issued at a price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l'égard de ces actions. Ces nouvelles actions nominatives peuvent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below the current market price. The Board of Directors shall specify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être émises à un prix inférieur au prix du marché actuel. Le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precise conditions of issue including the issue price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doit préciser les conditions précises d'émission, y</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compris le prix d'émission des actions.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acquisition of registered shares in connection with employee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L'acquisition d'actions nominatives dans le cadre de la participation</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participation and 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des employés et</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440"/>
              <w:spacing w:after="0"/>
              <w:rPr>
                <w:sz w:val="20"/>
                <w:szCs w:val="20"/>
                <w:color w:val="auto"/>
              </w:rPr>
            </w:pPr>
            <w:r>
              <w:rPr>
                <w:rFonts w:ascii="Arial" w:cs="Arial" w:eastAsia="Arial" w:hAnsi="Arial"/>
                <w:sz w:val="18"/>
                <w:szCs w:val="18"/>
                <w:color w:val="auto"/>
                <w:w w:val="99"/>
              </w:rPr>
              <w:t>6</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further  transfers  of  registered  shares  shall  be  subject  to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d'autres transferts d'actions nominatives sont soumis aux restrictions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restrictions specified in Article 4 of the Articles of Association.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prévues à l'article 4 des statuts.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  Share Register</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4  Registre des actions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shall maintain a share register in which it shall register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société tient un registre des actions nominatives, dans lequel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name, first name and place of residence (in case of legal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sont inscrits le nom, le prénom et l'adresse (dans le cas d'une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persons the place of incorporation) of the owners and usufructuaries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personne morale, le siège) des propriétaires et des usufruitiers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 its registered shares. Natural and legal persons as well as legal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actions.  Les  personnes  physiques  et  morales  ainsi  que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representatives of minors etc. entitled by law to the voting rights of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représentants légaux des mineurs etc. autorisés par la loi à voter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 which they do not own will be noted in the share register upon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alors  qu'ils  ne  sont  pas  propriétaires  des  actions  seront,  sur</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request.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demande, inscrits dans le registre des actions.</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Upon request, acquirers of shares will be registered in the share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Sur demande, les acquéreurs d'actions seront inscrits dans 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register without limitation as shareholders if they expressly certify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registre  des  actions  sans  limitation  comme  actionnaires  s'ils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that they acquired the shares in their own name and for their own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attestent expressément qu'ils ont acquis les actions en leur propre</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nom et pour leur propre compte.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Persons who do not expressly declare in the registration application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 personnes qui ne déclarent pas expressément dans la demande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that they are holding the shares on their own account (thereafter: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d'inscription qu'ils détiennent les actions pour leur propre compte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nominees)  shall  forthwith  be  entered  on  the  share  register  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(par la suite: les candidats) doivent immédiatement être inscrits dans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with voting rights up to a maximum of 3 percent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le registre des actions comme actionnaires avec droit de vote pour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 capital. Beyond that limit, registered shares of nominees shall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un maximum de 3 pour cent du capital-actions. Au-delà de cette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only be entered as voting if the nominees in question confirm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limite, les actions nominatives des candidats ne sont inscrites avec</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writing that they are willing to disclose the names, addresses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droit de vote que si les candidats en question confirment par écrit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shareholdings of the persons on whose account they hold 0.5</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qu'ils sont prêts à divulguer les noms, adresses et participations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percent  or  more  of  the  share  capital.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personnes pour le compte desquelles ils détiennent 0,5 pour cent ou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concludes  agreements  with  nominees  that  among  other  things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plus  du  capital-actions.  Le  conseil  d'administration  conclut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govern the representation of shareholders and the voting rights.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accords avec les candidats qui, entre autres choses, régissent la</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représentation des actionnaires et des droits de vote.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After hearing the registered shareholder or nominee, the Board of</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Après  avoir  entendu  l'actionnaire  enregistré  ou  le  candidat,  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Directors may remove entries in the share register with retroactive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conseil d'administration peut supprimer des inscriptions dans 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effect as per the date of entry, if such entry was based on false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registre des actions avec effet rétroactif à la date d'inscription, si</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information. The party affected must be informed of such removal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cette inscription était basée sur de fausses informations. La partie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immediately.</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touchée doit être immédiatement informée de cette suppression.</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individual or legal entity may, directly or indirectly, formally,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Aucune personne physique ou morale ne peut, directement ou</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constructively or beneficially own (as defined in the next paragraph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indirectement, formellement ou implicitement détenir à son profit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below) or otherwise control voting rights ("Controlled Shares") with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(comme défini dans le paragraphe ci-dessous) ou, d'une autre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3" w:lineRule="exact"/>
              <w:rPr>
                <w:sz w:val="20"/>
                <w:szCs w:val="20"/>
                <w:color w:val="auto"/>
              </w:rPr>
            </w:pPr>
            <w:r>
              <w:rPr>
                <w:rFonts w:ascii="Arial" w:cs="Arial" w:eastAsia="Arial" w:hAnsi="Arial"/>
                <w:sz w:val="15"/>
                <w:szCs w:val="15"/>
                <w:color w:val="auto"/>
              </w:rPr>
              <w:t xml:space="preserve">respect to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or more of the registered share capital recorded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3" w:lineRule="exact"/>
              <w:rPr>
                <w:sz w:val="20"/>
                <w:szCs w:val="20"/>
                <w:color w:val="auto"/>
              </w:rPr>
            </w:pPr>
            <w:r>
              <w:rPr>
                <w:rFonts w:ascii="Arial" w:cs="Arial" w:eastAsia="Arial" w:hAnsi="Arial"/>
                <w:sz w:val="18"/>
                <w:szCs w:val="18"/>
                <w:color w:val="auto"/>
              </w:rPr>
              <w:t>manière, contrôler le droit de vote (les "Actions Contrôlées") de 33</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in the Commercial Register except if such individual or legal entity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5"/>
                <w:szCs w:val="15"/>
                <w:color w:val="auto"/>
              </w:rPr>
              <w:t>/  % ou plus du capital-actions nominatif tel qu'inscrit au registre du</w:t>
            </w:r>
          </w:p>
        </w:tc>
        <w:tc>
          <w:tcPr>
            <w:tcW w:w="0" w:type="dxa"/>
            <w:vAlign w:val="bottom"/>
          </w:tcPr>
          <w:p>
            <w:pPr>
              <w:spacing w:after="0"/>
              <w:rPr>
                <w:sz w:val="1"/>
                <w:szCs w:val="1"/>
                <w:color w:val="auto"/>
              </w:rPr>
            </w:pPr>
          </w:p>
        </w:tc>
      </w:tr>
      <w:tr>
        <w:trPr>
          <w:trHeight w:val="67"/>
        </w:trPr>
        <w:tc>
          <w:tcPr>
            <w:tcW w:w="562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ind w:left="180"/>
              <w:spacing w:after="0" w:line="67" w:lineRule="exact"/>
              <w:rPr>
                <w:sz w:val="20"/>
                <w:szCs w:val="20"/>
                <w:color w:val="auto"/>
              </w:rPr>
            </w:pPr>
            <w:r>
              <w:rPr>
                <w:rFonts w:ascii="Arial" w:cs="Arial" w:eastAsia="Arial" w:hAnsi="Arial"/>
                <w:sz w:val="6"/>
                <w:szCs w:val="6"/>
                <w:color w:val="auto"/>
              </w:rPr>
              <w:t>3</w:t>
            </w:r>
          </w:p>
        </w:tc>
        <w:tc>
          <w:tcPr>
            <w:tcW w:w="5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has submitted prior to the acquisition of such Controlled Shares 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commerce sauf si cette personne physique ou morale a présenté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orderly tender offer to all shareholders with a minimum price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avant l'acquisition de ces Actions Contrôlée une offre publique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higher of (i) the volume weighted average price of the last 60 trading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d'achat en bonne et due forme à tous les actionnaires à un prix</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days prior to the publication of the tender offer or (ii) the highest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minimum équivalent au montant le plus élevé entre (i) le cours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price paid by such individual or legal entity in the 12 months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moyen pondéré en fonction du volume des 60 derniers jours de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preceding to the publication of the tender offer. Those associated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bourse précédant la publication de l'offre publique d'achat et (ii) le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through capital, voting power, joint management or in any other way,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plus haut prix payé par cette personne physique ou morale dans les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 joining for the acquisition of shares, shall be regarded as one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12 mois précédant la publication de l'offre publique d'achat. Les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3" w:lineRule="exact"/>
              <w:rPr>
                <w:sz w:val="20"/>
                <w:szCs w:val="20"/>
                <w:color w:val="auto"/>
              </w:rPr>
            </w:pPr>
            <w:r>
              <w:rPr>
                <w:rFonts w:ascii="Arial" w:cs="Arial" w:eastAsia="Arial" w:hAnsi="Arial"/>
                <w:sz w:val="15"/>
                <w:szCs w:val="15"/>
                <w:color w:val="auto"/>
              </w:rPr>
              <w:t xml:space="preserve">person. The registered shares exceeding the limit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3" w:lineRule="exact"/>
              <w:rPr>
                <w:sz w:val="20"/>
                <w:szCs w:val="20"/>
                <w:color w:val="auto"/>
              </w:rPr>
            </w:pPr>
            <w:r>
              <w:rPr>
                <w:rFonts w:ascii="Arial" w:cs="Arial" w:eastAsia="Arial" w:hAnsi="Arial"/>
                <w:sz w:val="18"/>
                <w:szCs w:val="18"/>
                <w:color w:val="auto"/>
              </w:rPr>
              <w:t>personnes associées par le capital, les droits de vote, une gestion</w:t>
            </w:r>
          </w:p>
        </w:tc>
        <w:tc>
          <w:tcPr>
            <w:tcW w:w="0" w:type="dxa"/>
            <w:vAlign w:val="bottom"/>
          </w:tcPr>
          <w:p>
            <w:pPr>
              <w:spacing w:after="0"/>
              <w:rPr>
                <w:sz w:val="1"/>
                <w:szCs w:val="1"/>
                <w:color w:val="auto"/>
              </w:rPr>
            </w:pPr>
          </w:p>
        </w:tc>
      </w:tr>
      <w:tr>
        <w:trPr>
          <w:trHeight w:val="202"/>
        </w:trPr>
        <w:tc>
          <w:tcPr>
            <w:tcW w:w="5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not benefiting from the exemption regarding a tender offer shall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commune ou de toute autre manière, ou qui se joignent pour une</w:t>
            </w:r>
          </w:p>
        </w:tc>
        <w:tc>
          <w:tcPr>
            <w:tcW w:w="0" w:type="dxa"/>
            <w:vAlign w:val="bottom"/>
          </w:tcPr>
          <w:p>
            <w:pPr>
              <w:spacing w:after="0"/>
              <w:rPr>
                <w:sz w:val="1"/>
                <w:szCs w:val="1"/>
                <w:color w:val="auto"/>
              </w:rPr>
            </w:pPr>
          </w:p>
        </w:tc>
      </w:tr>
      <w:tr>
        <w:trPr>
          <w:trHeight w:val="68"/>
        </w:trPr>
        <w:tc>
          <w:tcPr>
            <w:tcW w:w="562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580" w:type="dxa"/>
            <w:vAlign w:val="bottom"/>
            <w:tcBorders>
              <w:right w:val="single" w:sz="8" w:color="auto"/>
            </w:tcBorders>
            <w:gridSpan w:val="2"/>
            <w:vMerge w:val="restart"/>
          </w:tcPr>
          <w:p>
            <w:pPr>
              <w:ind w:left="40"/>
              <w:spacing w:after="0" w:line="203" w:lineRule="exact"/>
              <w:rPr>
                <w:sz w:val="20"/>
                <w:szCs w:val="20"/>
                <w:color w:val="auto"/>
              </w:rPr>
            </w:pPr>
            <w:r>
              <w:rPr>
                <w:rFonts w:ascii="Arial" w:cs="Arial" w:eastAsia="Arial" w:hAnsi="Arial"/>
                <w:sz w:val="18"/>
                <w:szCs w:val="18"/>
                <w:color w:val="auto"/>
              </w:rPr>
              <w:t>acquisition d'actions, sont considérées comme une personne. Les</w:t>
            </w:r>
          </w:p>
        </w:tc>
        <w:tc>
          <w:tcPr>
            <w:tcW w:w="0" w:type="dxa"/>
            <w:vAlign w:val="bottom"/>
          </w:tcPr>
          <w:p>
            <w:pPr>
              <w:spacing w:after="0"/>
              <w:rPr>
                <w:sz w:val="1"/>
                <w:szCs w:val="1"/>
                <w:color w:val="auto"/>
              </w:rPr>
            </w:pPr>
          </w:p>
        </w:tc>
      </w:tr>
      <w:tr>
        <w:trPr>
          <w:trHeight w:val="135"/>
        </w:trPr>
        <w:tc>
          <w:tcPr>
            <w:tcW w:w="5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entered in the share register as shares without voting rights.</w:t>
            </w:r>
          </w:p>
        </w:tc>
        <w:tc>
          <w:tcPr>
            <w:tcW w:w="220" w:type="dxa"/>
            <w:vAlign w:val="bottom"/>
            <w:tcBorders>
              <w:right w:val="single" w:sz="8" w:color="auto"/>
            </w:tcBorders>
          </w:tcPr>
          <w:p>
            <w:pPr>
              <w:spacing w:after="0"/>
              <w:rPr>
                <w:sz w:val="11"/>
                <w:szCs w:val="11"/>
                <w:color w:val="auto"/>
              </w:rPr>
            </w:pPr>
          </w:p>
        </w:tc>
        <w:tc>
          <w:tcPr>
            <w:tcW w:w="55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620" w:type="dxa"/>
            <w:vAlign w:val="bottom"/>
            <w:tcBorders>
              <w:left w:val="single" w:sz="8" w:color="auto"/>
              <w:right w:val="single" w:sz="8" w:color="auto"/>
            </w:tcBorders>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580" w:type="dxa"/>
            <w:vAlign w:val="bottom"/>
            <w:tcBorders>
              <w:right w:val="single" w:sz="8" w:color="auto"/>
            </w:tcBorders>
            <w:gridSpan w:val="2"/>
            <w:vMerge w:val="restart"/>
          </w:tcPr>
          <w:p>
            <w:pPr>
              <w:ind w:left="40"/>
              <w:spacing w:after="0" w:line="203" w:lineRule="exact"/>
              <w:rPr>
                <w:sz w:val="20"/>
                <w:szCs w:val="20"/>
                <w:color w:val="auto"/>
              </w:rPr>
            </w:pPr>
            <w:r>
              <w:rPr>
                <w:rFonts w:ascii="Arial" w:cs="Arial" w:eastAsia="Arial" w:hAnsi="Arial"/>
                <w:sz w:val="15"/>
                <w:szCs w:val="15"/>
                <w:color w:val="auto"/>
              </w:rPr>
              <w:t xml:space="preserve">actions nominatives dépassant la limite de 33 </w:t>
            </w:r>
            <w:r>
              <w:rPr>
                <w:rFonts w:ascii="Arial" w:cs="Arial" w:eastAsia="Arial" w:hAnsi="Arial"/>
                <w:sz w:val="23"/>
                <w:szCs w:val="23"/>
                <w:color w:val="auto"/>
                <w:vertAlign w:val="superscript"/>
              </w:rPr>
              <w:t>1</w:t>
            </w:r>
            <w:r>
              <w:rPr>
                <w:rFonts w:ascii="Arial" w:cs="Arial" w:eastAsia="Arial" w:hAnsi="Arial"/>
                <w:sz w:val="15"/>
                <w:szCs w:val="15"/>
                <w:color w:val="auto"/>
              </w:rPr>
              <w:t>/  % et ne bénéficiant</w:t>
            </w:r>
          </w:p>
        </w:tc>
        <w:tc>
          <w:tcPr>
            <w:tcW w:w="0" w:type="dxa"/>
            <w:vAlign w:val="bottom"/>
          </w:tcPr>
          <w:p>
            <w:pPr>
              <w:spacing w:after="0"/>
              <w:rPr>
                <w:sz w:val="1"/>
                <w:szCs w:val="1"/>
                <w:color w:val="auto"/>
              </w:rPr>
            </w:pPr>
          </w:p>
        </w:tc>
      </w:tr>
      <w:tr>
        <w:trPr>
          <w:trHeight w:val="122"/>
        </w:trPr>
        <w:tc>
          <w:tcPr>
            <w:tcW w:w="5620" w:type="dxa"/>
            <w:vAlign w:val="bottom"/>
            <w:tcBorders>
              <w:left w:val="single" w:sz="8" w:color="auto"/>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5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5620" w:type="dxa"/>
            <w:vAlign w:val="bottom"/>
            <w:tcBorders>
              <w:left w:val="single" w:sz="8" w:color="auto"/>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240" w:type="dxa"/>
            <w:vAlign w:val="bottom"/>
            <w:tcBorders>
              <w:right w:val="single" w:sz="8" w:color="auto"/>
            </w:tcBorders>
          </w:tcPr>
          <w:p>
            <w:pPr>
              <w:jc w:val="right"/>
              <w:ind w:right="1555"/>
              <w:spacing w:after="0" w:line="67" w:lineRule="exact"/>
              <w:rPr>
                <w:sz w:val="20"/>
                <w:szCs w:val="20"/>
                <w:color w:val="auto"/>
              </w:rPr>
            </w:pPr>
            <w:r>
              <w:rPr>
                <w:rFonts w:ascii="Arial" w:cs="Arial" w:eastAsia="Arial" w:hAnsi="Arial"/>
                <w:sz w:val="6"/>
                <w:szCs w:val="6"/>
                <w:color w:val="auto"/>
              </w:rPr>
              <w:t>3</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pas  de  l'exemption  relative  à  une  offre  publique  d'achat  sont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inscrites dans le registre des actions comme des actions sans droit</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 vote.</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 the purposes of this Article 4, "Controlled Shares" in reference to</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Aux  fins  du  présent  article  4,  Actions  Contrôlées  signifie  en</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individual or entity means: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référence à toute personne physique ou morale:</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toutes actions directement, indirectement ou implicitement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   all shares of the Company directly, indirectly or constructively</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détenues par cette personne physique ou morale, à condition</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owned by such individual or entity; provided that</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que</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(i)  shares owned, directly or indirectly, by or for a partnership,</w:t>
            </w:r>
          </w:p>
        </w:tc>
        <w:tc>
          <w:tcPr>
            <w:tcW w:w="2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  les actions détenues, directement ou indirectement, par ou</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820"/>
              <w:spacing w:after="0" w:line="202" w:lineRule="exact"/>
              <w:rPr>
                <w:sz w:val="20"/>
                <w:szCs w:val="20"/>
                <w:color w:val="auto"/>
              </w:rPr>
            </w:pPr>
            <w:r>
              <w:rPr>
                <w:rFonts w:ascii="Arial" w:cs="Arial" w:eastAsia="Arial" w:hAnsi="Arial"/>
                <w:sz w:val="18"/>
                <w:szCs w:val="18"/>
                <w:color w:val="auto"/>
              </w:rPr>
              <w:t>or trust or estate will be considered as being owned</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pour  un  partenariat,  une  fiducie  ou  une  communauté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820"/>
              <w:spacing w:after="0" w:line="202" w:lineRule="exact"/>
              <w:rPr>
                <w:sz w:val="20"/>
                <w:szCs w:val="20"/>
                <w:color w:val="auto"/>
              </w:rPr>
            </w:pPr>
            <w:r>
              <w:rPr>
                <w:rFonts w:ascii="Arial" w:cs="Arial" w:eastAsia="Arial" w:hAnsi="Arial"/>
                <w:sz w:val="18"/>
                <w:szCs w:val="18"/>
                <w:color w:val="auto"/>
              </w:rPr>
              <w:t>proportionately by its partners, or beneficiaries; and</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d'héritiers  sont  considérées  comme  étant  détenues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proportionnellement par leurs partenaires ou bénéficiaires;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(ii)  shares owned, directly or indirectly,</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tcPr>
          <w:p>
            <w:pPr>
              <w:jc w:val="right"/>
              <w:ind w:right="4535"/>
              <w:spacing w:after="0"/>
              <w:rPr>
                <w:sz w:val="20"/>
                <w:szCs w:val="20"/>
                <w:color w:val="auto"/>
              </w:rPr>
            </w:pPr>
            <w:r>
              <w:rPr>
                <w:rFonts w:ascii="Arial" w:cs="Arial" w:eastAsia="Arial" w:hAnsi="Arial"/>
                <w:sz w:val="18"/>
                <w:szCs w:val="18"/>
                <w:color w:val="auto"/>
              </w:rPr>
              <w:t>et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(ii)  les actions détenues, directement ou</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11" w:name="page12"/>
    <w:bookmarkEnd w:id="11"/>
    <w:p>
      <w:pPr>
        <w:ind w:left="11218"/>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7246620" cy="4827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0" w:num="1">
            <w:col w:w="11318"/>
          </w:cols>
          <w:pgMar w:left="302" w:top="247" w:right="27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778" w:right="40"/>
        <w:spacing w:after="0"/>
        <w:rPr>
          <w:sz w:val="20"/>
          <w:szCs w:val="20"/>
          <w:color w:val="auto"/>
        </w:rPr>
      </w:pPr>
      <w:r>
        <w:rPr>
          <w:rFonts w:ascii="Arial" w:cs="Arial" w:eastAsia="Arial" w:hAnsi="Arial"/>
          <w:sz w:val="18"/>
          <w:szCs w:val="18"/>
          <w:color w:val="auto"/>
        </w:rPr>
        <w:t>by or for a corporation will be considered as being owned proportionately by any shareholder owning 50% or more of the outstanding voting shares of such corporation; and</w:t>
      </w:r>
    </w:p>
    <w:p>
      <w:pPr>
        <w:spacing w:after="0" w:line="392" w:lineRule="exact"/>
        <w:rPr>
          <w:sz w:val="20"/>
          <w:szCs w:val="20"/>
          <w:color w:val="auto"/>
        </w:rPr>
      </w:pPr>
    </w:p>
    <w:p>
      <w:pPr>
        <w:ind w:left="758" w:right="20" w:hanging="375"/>
        <w:spacing w:after="0" w:line="246" w:lineRule="auto"/>
        <w:tabs>
          <w:tab w:leader="none" w:pos="816"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385" w:lineRule="exact"/>
        <w:rPr>
          <w:rFonts w:ascii="Arial" w:cs="Arial" w:eastAsia="Arial" w:hAnsi="Arial"/>
          <w:sz w:val="18"/>
          <w:szCs w:val="18"/>
          <w:color w:val="auto"/>
        </w:rPr>
      </w:pPr>
    </w:p>
    <w:p>
      <w:pPr>
        <w:ind w:left="378" w:hanging="378"/>
        <w:spacing w:after="0" w:line="246" w:lineRule="auto"/>
        <w:tabs>
          <w:tab w:leader="none" w:pos="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shares of the Company directly, indirectly beneficially owned by such individual or entity; provided that</w:t>
      </w:r>
    </w:p>
    <w:p>
      <w:pPr>
        <w:spacing w:after="0" w:line="183" w:lineRule="exact"/>
        <w:rPr>
          <w:rFonts w:ascii="Arial" w:cs="Arial" w:eastAsia="Arial" w:hAnsi="Arial"/>
          <w:sz w:val="18"/>
          <w:szCs w:val="18"/>
          <w:color w:val="auto"/>
        </w:rPr>
      </w:pPr>
    </w:p>
    <w:p>
      <w:pPr>
        <w:jc w:val="both"/>
        <w:ind w:left="758" w:right="20" w:hanging="375"/>
        <w:spacing w:after="0" w:line="239" w:lineRule="auto"/>
        <w:tabs>
          <w:tab w:leader="none" w:pos="789" w:val="left"/>
        </w:tabs>
        <w:numPr>
          <w:ilvl w:val="1"/>
          <w:numId w:val="4"/>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188" w:lineRule="exact"/>
        <w:rPr>
          <w:rFonts w:ascii="Arial" w:cs="Arial" w:eastAsia="Arial" w:hAnsi="Arial"/>
          <w:sz w:val="18"/>
          <w:szCs w:val="18"/>
          <w:color w:val="auto"/>
        </w:rPr>
      </w:pPr>
    </w:p>
    <w:p>
      <w:pPr>
        <w:ind w:left="1158" w:right="20" w:hanging="392"/>
        <w:spacing w:after="0" w:line="246" w:lineRule="auto"/>
        <w:tabs>
          <w:tab w:leader="none" w:pos="1196" w:val="left"/>
        </w:tabs>
        <w:numPr>
          <w:ilvl w:val="2"/>
          <w:numId w:val="4"/>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83" w:lineRule="exact"/>
        <w:rPr>
          <w:rFonts w:ascii="Arial" w:cs="Arial" w:eastAsia="Arial" w:hAnsi="Arial"/>
          <w:sz w:val="18"/>
          <w:szCs w:val="18"/>
          <w:color w:val="auto"/>
        </w:rPr>
      </w:pPr>
    </w:p>
    <w:p>
      <w:pPr>
        <w:ind w:left="1158" w:right="20" w:hanging="392"/>
        <w:spacing w:after="0" w:line="246" w:lineRule="auto"/>
        <w:tabs>
          <w:tab w:leader="none" w:pos="1368" w:val="left"/>
        </w:tabs>
        <w:numPr>
          <w:ilvl w:val="2"/>
          <w:numId w:val="4"/>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83" w:lineRule="exact"/>
        <w:rPr>
          <w:sz w:val="20"/>
          <w:szCs w:val="20"/>
          <w:color w:val="auto"/>
        </w:rPr>
      </w:pPr>
    </w:p>
    <w:p>
      <w:pPr>
        <w:jc w:val="both"/>
        <w:ind w:left="758" w:hanging="375"/>
        <w:spacing w:after="0" w:line="236" w:lineRule="auto"/>
        <w:tabs>
          <w:tab w:leader="none" w:pos="86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94" w:lineRule="exact"/>
        <w:rPr>
          <w:rFonts w:ascii="Arial" w:cs="Arial" w:eastAsia="Arial" w:hAnsi="Arial"/>
          <w:sz w:val="18"/>
          <w:szCs w:val="18"/>
          <w:color w:val="auto"/>
        </w:rPr>
      </w:pPr>
    </w:p>
    <w:p>
      <w:pPr>
        <w:ind w:left="758" w:hanging="375"/>
        <w:spacing w:after="0" w:line="246" w:lineRule="auto"/>
        <w:tabs>
          <w:tab w:leader="none" w:pos="826"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786130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777" w:right="80"/>
        <w:spacing w:after="0" w:line="239" w:lineRule="auto"/>
        <w:rPr>
          <w:sz w:val="20"/>
          <w:szCs w:val="20"/>
          <w:color w:val="auto"/>
        </w:rPr>
      </w:pPr>
      <w:r>
        <w:rPr>
          <w:rFonts w:ascii="Arial" w:cs="Arial" w:eastAsia="Arial" w:hAnsi="Arial"/>
          <w:sz w:val="18"/>
          <w:szCs w:val="18"/>
          <w:color w:val="auto"/>
        </w:rPr>
        <w:t>indirectement, par ou pour une société seront considérées comme étant détenues proportionnellement par tout actionnaire détenant 50% ou plus des actions avec droit de vote en circulation de cette société; et</w:t>
      </w:r>
    </w:p>
    <w:p>
      <w:pPr>
        <w:spacing w:after="0" w:line="188" w:lineRule="exact"/>
        <w:rPr>
          <w:sz w:val="20"/>
          <w:szCs w:val="20"/>
          <w:color w:val="auto"/>
        </w:rPr>
      </w:pPr>
    </w:p>
    <w:p>
      <w:pPr>
        <w:jc w:val="both"/>
        <w:ind w:left="757" w:right="20" w:hanging="375"/>
        <w:spacing w:after="0"/>
        <w:tabs>
          <w:tab w:leader="none" w:pos="1028" w:val="left"/>
        </w:tabs>
        <w:numPr>
          <w:ilvl w:val="1"/>
          <w:numId w:val="6"/>
        </w:numPr>
        <w:rPr>
          <w:rFonts w:ascii="Arial" w:cs="Arial" w:eastAsia="Arial" w:hAnsi="Arial"/>
          <w:sz w:val="18"/>
          <w:szCs w:val="18"/>
          <w:color w:val="auto"/>
        </w:rPr>
      </w:pPr>
      <w:r>
        <w:rPr>
          <w:rFonts w:ascii="Arial" w:cs="Arial" w:eastAsia="Arial" w:hAnsi="Arial"/>
          <w:sz w:val="18"/>
          <w:szCs w:val="18"/>
          <w:color w:val="auto"/>
        </w:rPr>
        <w:t>les actions sujettes à des options, des bons de souscription ou autres droits semblables sont réputées être détenues; et</w:t>
      </w:r>
    </w:p>
    <w:p>
      <w:pPr>
        <w:spacing w:after="0" w:line="189" w:lineRule="exact"/>
        <w:rPr>
          <w:rFonts w:ascii="Arial" w:cs="Arial" w:eastAsia="Arial" w:hAnsi="Arial"/>
          <w:sz w:val="18"/>
          <w:szCs w:val="18"/>
          <w:color w:val="auto"/>
        </w:rPr>
      </w:pPr>
    </w:p>
    <w:p>
      <w:pPr>
        <w:jc w:val="both"/>
        <w:ind w:left="377" w:right="20" w:hanging="377"/>
        <w:spacing w:after="0"/>
        <w:tabs>
          <w:tab w:leader="none" w:pos="72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toutes actions de la société détenues directement, indirectement ou à son profit par cette personne physique ou morale, à condition que</w:t>
      </w:r>
    </w:p>
    <w:p>
      <w:pPr>
        <w:spacing w:after="0" w:line="189" w:lineRule="exact"/>
        <w:rPr>
          <w:rFonts w:ascii="Arial" w:cs="Arial" w:eastAsia="Arial" w:hAnsi="Arial"/>
          <w:sz w:val="18"/>
          <w:szCs w:val="18"/>
          <w:color w:val="auto"/>
        </w:rPr>
      </w:pPr>
    </w:p>
    <w:p>
      <w:pPr>
        <w:jc w:val="both"/>
        <w:ind w:left="757" w:right="20" w:hanging="375"/>
        <w:spacing w:after="0" w:line="239" w:lineRule="auto"/>
        <w:tabs>
          <w:tab w:leader="none" w:pos="789" w:val="left"/>
        </w:tabs>
        <w:numPr>
          <w:ilvl w:val="1"/>
          <w:numId w:val="7"/>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188" w:lineRule="exact"/>
        <w:rPr>
          <w:rFonts w:ascii="Arial" w:cs="Arial" w:eastAsia="Arial" w:hAnsi="Arial"/>
          <w:sz w:val="18"/>
          <w:szCs w:val="18"/>
          <w:color w:val="auto"/>
        </w:rPr>
      </w:pPr>
    </w:p>
    <w:p>
      <w:pPr>
        <w:ind w:left="1157" w:right="20" w:hanging="391"/>
        <w:spacing w:after="0" w:line="246" w:lineRule="auto"/>
        <w:tabs>
          <w:tab w:leader="none" w:pos="1195" w:val="left"/>
        </w:tabs>
        <w:numPr>
          <w:ilvl w:val="2"/>
          <w:numId w:val="7"/>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385" w:lineRule="exact"/>
        <w:rPr>
          <w:rFonts w:ascii="Arial" w:cs="Arial" w:eastAsia="Arial" w:hAnsi="Arial"/>
          <w:sz w:val="18"/>
          <w:szCs w:val="18"/>
          <w:color w:val="auto"/>
        </w:rPr>
      </w:pPr>
    </w:p>
    <w:p>
      <w:pPr>
        <w:ind w:left="1157" w:right="20" w:hanging="391"/>
        <w:spacing w:after="0" w:line="246" w:lineRule="auto"/>
        <w:tabs>
          <w:tab w:leader="none" w:pos="1175" w:val="left"/>
        </w:tabs>
        <w:numPr>
          <w:ilvl w:val="2"/>
          <w:numId w:val="7"/>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83" w:lineRule="exact"/>
        <w:rPr>
          <w:sz w:val="20"/>
          <w:szCs w:val="20"/>
          <w:color w:val="auto"/>
        </w:rPr>
      </w:pPr>
    </w:p>
    <w:p>
      <w:pPr>
        <w:jc w:val="both"/>
        <w:ind w:left="757" w:right="20" w:hanging="375"/>
        <w:spacing w:after="0" w:line="236"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94" w:lineRule="exact"/>
        <w:rPr>
          <w:rFonts w:ascii="Arial" w:cs="Arial" w:eastAsia="Arial" w:hAnsi="Arial"/>
          <w:sz w:val="18"/>
          <w:szCs w:val="18"/>
          <w:color w:val="auto"/>
        </w:rPr>
      </w:pPr>
    </w:p>
    <w:p>
      <w:pPr>
        <w:ind w:left="757" w:right="20" w:hanging="375"/>
        <w:spacing w:after="0" w:line="246" w:lineRule="auto"/>
        <w:tabs>
          <w:tab w:leader="none" w:pos="957"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w:t>
      </w:r>
    </w:p>
    <w:p>
      <w:pPr>
        <w:sectPr>
          <w:pgSz w:w="11900" w:h="16838" w:orient="portrait"/>
          <w:cols w:equalWidth="0" w:num="2">
            <w:col w:w="5498" w:space="323"/>
            <w:col w:w="5497"/>
          </w:cols>
          <w:pgMar w:left="302" w:top="247" w:right="27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780" w:type="dxa"/>
            <w:vAlign w:val="bottom"/>
          </w:tcPr>
          <w:p>
            <w:pPr>
              <w:ind w:left="464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338"/>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80" w:type="dxa"/>
            <w:vAlign w:val="bottom"/>
            <w:tcBorders>
              <w:left w:val="single" w:sz="8" w:color="auto"/>
            </w:tcBorders>
          </w:tcPr>
          <w:p>
            <w:pPr>
              <w:spacing w:after="0"/>
              <w:rPr>
                <w:sz w:val="20"/>
                <w:szCs w:val="20"/>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beneficial  ownership  of  such  shares  within  60  days,</w:t>
            </w:r>
          </w:p>
        </w:tc>
        <w:tc>
          <w:tcPr>
            <w:tcW w:w="2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 propriété effective de ces actions dans les 60 jours, y</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including but not limited to any right acquired: (A) through</w:t>
            </w:r>
          </w:p>
        </w:tc>
        <w:tc>
          <w:tcPr>
            <w:tcW w:w="2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compris, mais pas limité à un droit acquis: (A) au moyen</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the exercise of any option, warrant or right; (B) through the</w:t>
            </w:r>
          </w:p>
        </w:tc>
        <w:tc>
          <w:tcPr>
            <w:tcW w:w="2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 l'exercice d'une option, d'un bon ou d'un droit de</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conversion of a security; (C) pursuant to the power to</w:t>
            </w:r>
          </w:p>
        </w:tc>
        <w:tc>
          <w:tcPr>
            <w:tcW w:w="2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souscription; (B) par la conversion d'un titre; (C) en vertu</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revoke  a  trust,  discretionary  account,  or  similar</w:t>
            </w:r>
          </w:p>
        </w:tc>
        <w:tc>
          <w:tcPr>
            <w:tcW w:w="2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du pouvoir de révoquer une fiducie, compte discrétionnaire</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arrangement; or (D) pursuant to the automatic termination</w:t>
            </w:r>
          </w:p>
        </w:tc>
        <w:tc>
          <w:tcPr>
            <w:tcW w:w="2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ou accord semblable; ou (D) conformément à la résiliation</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of a trust, discretionary account or similar arrangement.</w:t>
            </w:r>
          </w:p>
        </w:tc>
        <w:tc>
          <w:tcPr>
            <w:tcW w:w="2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automatique  d'une  fiducie,  compte  discrétionnaire  ou</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 xml:space="preserve">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of the registered share capital also applies to</w:t>
            </w:r>
          </w:p>
        </w:tc>
        <w:tc>
          <w:tcPr>
            <w:tcW w:w="2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accord semblable.</w:t>
            </w:r>
          </w:p>
        </w:tc>
        <w:tc>
          <w:tcPr>
            <w:tcW w:w="0" w:type="dxa"/>
            <w:vAlign w:val="bottom"/>
          </w:tcPr>
          <w:p>
            <w:pPr>
              <w:spacing w:after="0"/>
              <w:rPr>
                <w:sz w:val="1"/>
                <w:szCs w:val="1"/>
                <w:color w:val="auto"/>
              </w:rPr>
            </w:pPr>
          </w:p>
        </w:tc>
      </w:tr>
      <w:tr>
        <w:trPr>
          <w:trHeight w:val="256"/>
        </w:trPr>
        <w:tc>
          <w:tcPr>
            <w:tcW w:w="5620" w:type="dxa"/>
            <w:vAlign w:val="bottom"/>
            <w:tcBorders>
              <w:left w:val="single" w:sz="8" w:color="auto"/>
              <w:right w:val="single" w:sz="8" w:color="auto"/>
            </w:tcBorders>
            <w:gridSpan w:val="2"/>
            <w:vMerge w:val="continue"/>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La  limite</w:t>
            </w:r>
          </w:p>
        </w:tc>
        <w:tc>
          <w:tcPr>
            <w:tcW w:w="4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xml:space="preserve">de  33  </w:t>
            </w:r>
            <w:r>
              <w:rPr>
                <w:rFonts w:ascii="Arial" w:cs="Arial" w:eastAsia="Arial" w:hAnsi="Arial"/>
                <w:sz w:val="30"/>
                <w:szCs w:val="30"/>
                <w:color w:val="auto"/>
                <w:vertAlign w:val="superscript"/>
              </w:rPr>
              <w:t>1</w:t>
            </w:r>
            <w:r>
              <w:rPr>
                <w:rFonts w:ascii="Arial" w:cs="Arial" w:eastAsia="Arial" w:hAnsi="Arial"/>
                <w:sz w:val="18"/>
                <w:szCs w:val="18"/>
                <w:color w:val="auto"/>
              </w:rPr>
              <w:t>/  %  du  capital-actions  nominatif  s'applique</w:t>
            </w:r>
          </w:p>
        </w:tc>
        <w:tc>
          <w:tcPr>
            <w:tcW w:w="0" w:type="dxa"/>
            <w:vAlign w:val="bottom"/>
          </w:tcPr>
          <w:p>
            <w:pPr>
              <w:spacing w:after="0"/>
              <w:rPr>
                <w:sz w:val="1"/>
                <w:szCs w:val="1"/>
                <w:color w:val="auto"/>
              </w:rPr>
            </w:pPr>
          </w:p>
        </w:tc>
      </w:tr>
      <w:tr>
        <w:trPr>
          <w:trHeight w:val="136"/>
        </w:trPr>
        <w:tc>
          <w:tcPr>
            <w:tcW w:w="5620" w:type="dxa"/>
            <w:vAlign w:val="bottom"/>
            <w:tcBorders>
              <w:left w:val="single" w:sz="8" w:color="auto"/>
              <w:right w:val="single" w:sz="8" w:color="auto"/>
            </w:tcBorders>
            <w:gridSpan w:val="2"/>
            <w:vMerge w:val="restart"/>
          </w:tcPr>
          <w:p>
            <w:pPr>
              <w:ind w:left="60"/>
              <w:spacing w:after="0" w:line="202" w:lineRule="exact"/>
              <w:rPr>
                <w:sz w:val="20"/>
                <w:szCs w:val="20"/>
                <w:color w:val="auto"/>
              </w:rPr>
            </w:pPr>
            <w:r>
              <w:rPr>
                <w:rFonts w:ascii="Arial" w:cs="Arial" w:eastAsia="Arial" w:hAnsi="Arial"/>
                <w:sz w:val="18"/>
                <w:szCs w:val="18"/>
                <w:color w:val="auto"/>
              </w:rPr>
              <w:t>the subscription for, or acquisition of, registered shares by exercising</w:t>
            </w:r>
          </w:p>
        </w:tc>
        <w:tc>
          <w:tcPr>
            <w:tcW w:w="220" w:type="dxa"/>
            <w:vAlign w:val="bottom"/>
            <w:tcBorders>
              <w:right w:val="single" w:sz="8" w:color="auto"/>
            </w:tcBorders>
          </w:tcPr>
          <w:p>
            <w:pPr>
              <w:spacing w:after="0"/>
              <w:rPr>
                <w:sz w:val="11"/>
                <w:szCs w:val="11"/>
                <w:color w:val="auto"/>
              </w:rPr>
            </w:pPr>
          </w:p>
        </w:tc>
        <w:tc>
          <w:tcPr>
            <w:tcW w:w="800" w:type="dxa"/>
            <w:vAlign w:val="bottom"/>
            <w:vMerge w:val="continue"/>
          </w:tcPr>
          <w:p>
            <w:pPr>
              <w:spacing w:after="0"/>
              <w:rPr>
                <w:sz w:val="11"/>
                <w:szCs w:val="11"/>
                <w:color w:val="auto"/>
              </w:rPr>
            </w:pPr>
          </w:p>
        </w:tc>
        <w:tc>
          <w:tcPr>
            <w:tcW w:w="4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562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4780" w:type="dxa"/>
            <w:vAlign w:val="bottom"/>
            <w:tcBorders>
              <w:right w:val="single" w:sz="8" w:color="auto"/>
            </w:tcBorders>
          </w:tcPr>
          <w:p>
            <w:pPr>
              <w:ind w:left="920"/>
              <w:spacing w:after="0" w:line="67" w:lineRule="exact"/>
              <w:rPr>
                <w:sz w:val="20"/>
                <w:szCs w:val="20"/>
                <w:color w:val="auto"/>
              </w:rPr>
            </w:pPr>
            <w:r>
              <w:rPr>
                <w:rFonts w:ascii="Arial" w:cs="Arial" w:eastAsia="Arial" w:hAnsi="Arial"/>
                <w:sz w:val="6"/>
                <w:szCs w:val="6"/>
                <w:color w:val="auto"/>
              </w:rPr>
              <w:t>3</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option  or  convertible  rights  arising  from  registered  or  bearer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également à la souscription ou l'acquisition d'actions nominatives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securities or any other securities issued by the Company or third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par l'exercice d'options ou de droits convertibles découlant de titres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parties, as well as by means of exercising purchased preemptive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nominatifs ou au porteur ou d'autres titres émis par la société ou par</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rights arising from either registered or bearer shares. The registered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 tiers, ainsi que par le biais de l'exercice de droits de souscription</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3" w:lineRule="exact"/>
              <w:rPr>
                <w:sz w:val="20"/>
                <w:szCs w:val="20"/>
                <w:color w:val="auto"/>
              </w:rPr>
            </w:pPr>
            <w:r>
              <w:rPr>
                <w:rFonts w:ascii="Arial" w:cs="Arial" w:eastAsia="Arial" w:hAnsi="Arial"/>
                <w:sz w:val="15"/>
                <w:szCs w:val="15"/>
                <w:color w:val="auto"/>
              </w:rPr>
              <w:t xml:space="preserve">shares exceeding the limit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shall be entered in the share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3" w:lineRule="exact"/>
              <w:rPr>
                <w:sz w:val="20"/>
                <w:szCs w:val="20"/>
                <w:color w:val="auto"/>
              </w:rPr>
            </w:pPr>
            <w:r>
              <w:rPr>
                <w:rFonts w:ascii="Arial" w:cs="Arial" w:eastAsia="Arial" w:hAnsi="Arial"/>
                <w:sz w:val="18"/>
                <w:szCs w:val="18"/>
                <w:color w:val="auto"/>
              </w:rPr>
              <w:t>préférentiels achetés découlant d'actions nominatives ou au porteur.</w:t>
            </w:r>
          </w:p>
        </w:tc>
        <w:tc>
          <w:tcPr>
            <w:tcW w:w="0" w:type="dxa"/>
            <w:vAlign w:val="bottom"/>
          </w:tcPr>
          <w:p>
            <w:pPr>
              <w:spacing w:after="0"/>
              <w:rPr>
                <w:sz w:val="1"/>
                <w:szCs w:val="1"/>
                <w:color w:val="auto"/>
              </w:rPr>
            </w:pPr>
          </w:p>
        </w:tc>
      </w:tr>
      <w:tr>
        <w:trPr>
          <w:trHeight w:val="269"/>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register as shares without voting rights.</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gridSpan w:val="2"/>
          </w:tcPr>
          <w:p>
            <w:pPr>
              <w:ind w:left="40"/>
              <w:spacing w:after="0" w:line="269" w:lineRule="exact"/>
              <w:rPr>
                <w:sz w:val="20"/>
                <w:szCs w:val="20"/>
                <w:color w:val="auto"/>
              </w:rPr>
            </w:pPr>
            <w:r>
              <w:rPr>
                <w:rFonts w:ascii="Arial" w:cs="Arial" w:eastAsia="Arial" w:hAnsi="Arial"/>
                <w:sz w:val="18"/>
                <w:szCs w:val="18"/>
                <w:color w:val="auto"/>
              </w:rPr>
              <w:t xml:space="preserve">Les actions nominatives dépassant la limite de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sont</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inscrites dans le registre des actions comme des actions sans droit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Board of Directors may in special cases approve exceptions to</w:t>
            </w:r>
          </w:p>
        </w:tc>
        <w:tc>
          <w:tcPr>
            <w:tcW w:w="220" w:type="dxa"/>
            <w:vAlign w:val="bottom"/>
            <w:tcBorders>
              <w:right w:val="single" w:sz="8" w:color="auto"/>
            </w:tcBorders>
          </w:tcPr>
          <w:p>
            <w:pPr>
              <w:spacing w:after="0"/>
              <w:rPr>
                <w:sz w:val="17"/>
                <w:szCs w:val="17"/>
                <w:color w:val="auto"/>
              </w:rPr>
            </w:pP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de vote.</w:t>
            </w:r>
          </w:p>
        </w:tc>
        <w:tc>
          <w:tcPr>
            <w:tcW w:w="4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above  regulations.  The  Board  of  Directors  is  in  addition</w:t>
            </w:r>
          </w:p>
        </w:tc>
        <w:tc>
          <w:tcPr>
            <w:tcW w:w="2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authorized, after due consultation with the person concerned,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Le conseil d'administration peut dans des cas particuliers approuver</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delete with retroactive effect entries in the share register which were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 exceptions aux règles précitées. Il est en outre autorisé, après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effected on the basis of false information.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consultation avec la personne concernée, de supprimer avec effet</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rétroactif  des  inscriptions  du  registre  des  actions  qui  ont  été</w:t>
            </w:r>
          </w:p>
        </w:tc>
        <w:tc>
          <w:tcPr>
            <w:tcW w:w="0" w:type="dxa"/>
            <w:vAlign w:val="bottom"/>
          </w:tcPr>
          <w:p>
            <w:pPr>
              <w:spacing w:after="0"/>
              <w:rPr>
                <w:sz w:val="1"/>
                <w:szCs w:val="1"/>
                <w:color w:val="auto"/>
              </w:rPr>
            </w:pPr>
          </w:p>
        </w:tc>
      </w:tr>
      <w:tr>
        <w:trPr>
          <w:trHeight w:val="217"/>
        </w:trPr>
        <w:tc>
          <w:tcPr>
            <w:tcW w:w="680" w:type="dxa"/>
            <w:vAlign w:val="bottom"/>
            <w:tcBorders>
              <w:lef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effectuées sur la base de fausses informations.</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bottom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5</w:t>
            </w: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Share Certificates and Intermediated Securities</w:t>
            </w:r>
          </w:p>
        </w:tc>
        <w:tc>
          <w:tcPr>
            <w:tcW w:w="220" w:type="dxa"/>
            <w:vAlign w:val="bottom"/>
            <w:tcBorders>
              <w:right w:val="single" w:sz="8" w:color="auto"/>
            </w:tcBorders>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Art. 5</w:t>
            </w: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Certificats d'actions et titres intermédiés</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may issue registered shares in the form of single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peut émettre des actions nominatives sous forme de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certificates, global certificates and uncertificated securities. Under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certificats  individuels,  de  certificats  globaux  et  de  titres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conditions set forth by statutory law, the Company may convert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dématérialisés. Dans les conditions prévues par la loi, la société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its registered shares from one form into another form at any time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peut convertir ses actions nominatives d'une forme en une autre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without the approval of the shareholders.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forme, à tout moment et sans l'approbation des actionnaires.</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shareholder  has  no  right  to  demand  a  conversion  of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L'actionnaire n'a pas le droit d'exiger une conversion d'actions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registered shares. Each shareholder may, however, at any time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nominatives. Chaque actionnaire peut toutefois, à tout moment,</w:t>
            </w:r>
          </w:p>
        </w:tc>
        <w:tc>
          <w:tcPr>
            <w:tcW w:w="0" w:type="dxa"/>
            <w:vAlign w:val="bottom"/>
          </w:tcPr>
          <w:p>
            <w:pPr>
              <w:spacing w:after="0"/>
              <w:rPr>
                <w:sz w:val="1"/>
                <w:szCs w:val="1"/>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40" w:type="dxa"/>
            <w:vAlign w:val="bottom"/>
          </w:tcPr>
          <w:p>
            <w:pPr>
              <w:ind w:left="4780"/>
              <w:spacing w:after="0"/>
              <w:rPr>
                <w:sz w:val="20"/>
                <w:szCs w:val="20"/>
                <w:color w:val="auto"/>
              </w:rPr>
            </w:pPr>
            <w:r>
              <w:rPr>
                <w:rFonts w:ascii="Arial" w:cs="Arial" w:eastAsia="Arial" w:hAnsi="Arial"/>
                <w:sz w:val="18"/>
                <w:szCs w:val="18"/>
                <w:color w:val="auto"/>
              </w:rPr>
              <w:t>10</w:t>
            </w: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request a written confirmation from the Company of the registered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demander  une  confirmation  écrite  de  la  société  du  nombres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shares held by such shareholder, as reflected in the share register.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d'actions nominatives détenues par cet actionnaire telles qu'inscrites</w:t>
            </w:r>
          </w:p>
        </w:tc>
      </w:tr>
      <w:tr>
        <w:trPr>
          <w:trHeight w:val="217"/>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au registre du commerce.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transfer of intermediated securities and the pledging of these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transfert des titres intermédiés et la mise en gage de ces titres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intermediated securities shall be based on the provisions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intermédiés suivent les dispositions de la Loi fédérale sur les titres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Swiss Federal Intermediated Securities Act. Transfer of propriety 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intermédiés. Le transfert de propriété à titre de sûreté par cession</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collateral by means of written assignment are not permitted.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écrite n'est pas autorisé.</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6   Exercise of Shareholders Rights</w:t>
            </w:r>
          </w:p>
        </w:tc>
        <w:tc>
          <w:tcPr>
            <w:tcW w:w="220" w:type="dxa"/>
            <w:vAlign w:val="bottom"/>
            <w:tcBorders>
              <w:right w:val="single" w:sz="8" w:color="auto"/>
            </w:tcBorders>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Art. 6</w:t>
            </w:r>
          </w:p>
        </w:tc>
        <w:tc>
          <w:tcPr>
            <w:tcW w:w="50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Exercice des droits des actionnaires</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shares are indivisible and the Company recognizes only one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actions sont indivisibles et la société ne reconnaît qu'un seul</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single representative per share.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représentant par action.</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right to vote and the other rights pertaining to a registered share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droit de vote et les autres droits relatifs à une action nominative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may  only  be  exercised  by  a  shareholder,  a  usufructuary  or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ne peut être exercé que par un actionnaire, un usufruitier ou un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nominee who is registered with the right to vote in the share register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candidat qui est inscrit avec le droit de vote dans le registre des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and by persons who are entitled by law to the voting rights of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actions et par des personnes autorisées par la loi à exercer les</w:t>
            </w:r>
          </w:p>
        </w:tc>
      </w:tr>
      <w:tr>
        <w:trPr>
          <w:trHeight w:val="217"/>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9"/>
              </w:rPr>
              <w:t>share.</w:t>
            </w:r>
          </w:p>
        </w:tc>
        <w:tc>
          <w:tcPr>
            <w:tcW w:w="50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droits de vote d'une action.</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50"/>
        </w:trPr>
        <w:tc>
          <w:tcPr>
            <w:tcW w:w="5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III.</w:t>
            </w: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CORPORATE STRUCTURE</w:t>
            </w:r>
          </w:p>
        </w:tc>
        <w:tc>
          <w:tcPr>
            <w:tcW w:w="220" w:type="dxa"/>
            <w:vAlign w:val="bottom"/>
            <w:tcBorders>
              <w:right w:val="single" w:sz="8" w:color="auto"/>
            </w:tcBorders>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III.</w:t>
            </w: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STRUCTURE DE LA SOCIÉTÉ</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50"/>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7</w:t>
            </w:r>
          </w:p>
        </w:tc>
        <w:tc>
          <w:tcPr>
            <w:tcW w:w="504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Organization</w:t>
            </w:r>
          </w:p>
        </w:tc>
        <w:tc>
          <w:tcPr>
            <w:tcW w:w="220" w:type="dxa"/>
            <w:vAlign w:val="bottom"/>
            <w:tcBorders>
              <w:right w:val="single" w:sz="8" w:color="auto"/>
            </w:tcBorders>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Art. 7</w:t>
            </w:r>
          </w:p>
        </w:tc>
        <w:tc>
          <w:tcPr>
            <w:tcW w:w="504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Organisation</w:t>
            </w:r>
          </w:p>
        </w:tc>
      </w:tr>
      <w:tr>
        <w:trPr>
          <w:trHeight w:val="405"/>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corporate bodies are: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organes de la société sont:</w:t>
            </w:r>
          </w:p>
        </w:tc>
      </w:tr>
      <w:tr>
        <w:trPr>
          <w:trHeight w:val="405"/>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General Meeting;</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L'assemblé générale;</w:t>
            </w:r>
          </w:p>
        </w:tc>
      </w:tr>
      <w:tr>
        <w:trPr>
          <w:trHeight w:val="405"/>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Board of Directors;</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 conseil d'administration;</w:t>
            </w:r>
          </w:p>
        </w:tc>
      </w:tr>
      <w:tr>
        <w:trPr>
          <w:trHeight w:val="405"/>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Auditors.</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l'organe de révision.</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40" w:type="dxa"/>
            <w:vAlign w:val="bottom"/>
            <w:tcBorders>
              <w:bottom w:val="single" w:sz="8" w:color="auto"/>
              <w:right w:val="single" w:sz="8" w:color="auto"/>
            </w:tcBorders>
          </w:tcPr>
          <w:p>
            <w:pPr>
              <w:spacing w:after="0"/>
              <w:rPr>
                <w:sz w:val="19"/>
                <w:szCs w:val="19"/>
                <w:color w:val="auto"/>
              </w:rPr>
            </w:pPr>
          </w:p>
        </w:tc>
      </w:tr>
      <w:tr>
        <w:trPr>
          <w:trHeight w:val="250"/>
        </w:trPr>
        <w:tc>
          <w:tcPr>
            <w:tcW w:w="56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IV. THE GENERAL MEETING</w:t>
            </w:r>
          </w:p>
        </w:tc>
        <w:tc>
          <w:tcPr>
            <w:tcW w:w="220" w:type="dxa"/>
            <w:vAlign w:val="bottom"/>
            <w:tcBorders>
              <w:right w:val="single" w:sz="8" w:color="auto"/>
            </w:tcBorders>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IV.</w:t>
            </w: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L'ASSEMBLÉE GÉNÉRALE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8 Powers</w:t>
            </w:r>
          </w:p>
        </w:tc>
        <w:tc>
          <w:tcPr>
            <w:tcW w:w="220" w:type="dxa"/>
            <w:vAlign w:val="bottom"/>
            <w:tcBorders>
              <w:right w:val="single" w:sz="8" w:color="auto"/>
            </w:tcBorders>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Art. 8</w:t>
            </w:r>
          </w:p>
        </w:tc>
        <w:tc>
          <w:tcPr>
            <w:tcW w:w="504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Pouvoirs</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General Meeting is the supreme body of the Company. It has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 des actionnaires est le pouvoir suprême de la</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following non delegable powers: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société. Elle a les droits intransmissibles suivants:</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40" w:type="dxa"/>
            <w:vAlign w:val="bottom"/>
            <w:tcBorders>
              <w:bottom w:val="single" w:sz="8" w:color="auto"/>
              <w:right w:val="single" w:sz="8" w:color="auto"/>
            </w:tcBorders>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   to adopt and amend the Articles of Association (Articles 651a,</w:t>
            </w:r>
          </w:p>
        </w:tc>
        <w:tc>
          <w:tcPr>
            <w:tcW w:w="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adapter et modifier les statuts (articles 651a, 652g, 653g et</w:t>
            </w:r>
          </w:p>
        </w:tc>
      </w:tr>
      <w:tr>
        <w:trPr>
          <w:trHeight w:val="217"/>
        </w:trPr>
        <w:tc>
          <w:tcPr>
            <w:tcW w:w="56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652g, 653g und 653i CO remain reserved);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653i CO sont réservés);</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588"/>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spacing w:after="0"/>
              <w:rPr>
                <w:sz w:val="24"/>
                <w:szCs w:val="24"/>
                <w:color w:val="auto"/>
              </w:rPr>
            </w:pPr>
          </w:p>
        </w:tc>
      </w:tr>
      <w:tr>
        <w:trPr>
          <w:trHeight w:val="236"/>
        </w:trPr>
        <w:tc>
          <w:tcPr>
            <w:tcW w:w="56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b)   to elect and remove the members of the Board of Directors,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   nommer et révoquer les membres du conseil d'administration, le</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Chairman  of  the  Board  of  Directors,  the  members  of  the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président du conseil d'administration, les membres du comité</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Compensation Committee, the Auditors and the Independent</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de  rémunération,  l'organe  de  révision  et  le  mandataire</w:t>
            </w:r>
          </w:p>
        </w:tc>
      </w:tr>
      <w:tr>
        <w:trPr>
          <w:trHeight w:val="217"/>
        </w:trPr>
        <w:tc>
          <w:tcPr>
            <w:tcW w:w="56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Proxy;</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indépendant;</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c)  to approve the management report and the annual accounts and</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20"/>
                <w:szCs w:val="20"/>
                <w:color w:val="auto"/>
              </w:rPr>
            </w:pP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approuver le rapport de gestion et les comptes annuels et</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to determine the allocation of profits, in particular with regard to</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déterminer la répartition des bénéfices, en particulier en ce qui</w:t>
            </w:r>
          </w:p>
        </w:tc>
      </w:tr>
      <w:tr>
        <w:trPr>
          <w:trHeight w:val="217"/>
        </w:trPr>
        <w:tc>
          <w:tcPr>
            <w:tcW w:w="56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dividends and bonus payments;</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concerne les dividendes et les bonus;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d)   to discharge the members of the Board of Directors and of the</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20"/>
                <w:szCs w:val="20"/>
                <w:color w:val="auto"/>
              </w:rPr>
            </w:pP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donner décharge aux membres du conseil d'administration et</w:t>
            </w:r>
          </w:p>
        </w:tc>
      </w:tr>
      <w:tr>
        <w:trPr>
          <w:trHeight w:val="217"/>
        </w:trPr>
        <w:tc>
          <w:tcPr>
            <w:tcW w:w="56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Executive Committee;</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au comité exécutif;</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e)   to approve the total compensation paid to the Board of Directors</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20"/>
                <w:szCs w:val="20"/>
                <w:color w:val="auto"/>
              </w:rPr>
            </w:pP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approuver  la  rémunération  totale  versée  au  conseil</w:t>
            </w:r>
          </w:p>
        </w:tc>
      </w:tr>
      <w:tr>
        <w:trPr>
          <w:trHeight w:val="203"/>
        </w:trPr>
        <w:tc>
          <w:tcPr>
            <w:tcW w:w="56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and the Executive Committee as per Articles 32 and 33 below;</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d'administration  et  au  comité  exécutif  conformément  aux</w:t>
            </w:r>
          </w:p>
        </w:tc>
      </w:tr>
      <w:tr>
        <w:trPr>
          <w:trHeight w:val="217"/>
        </w:trPr>
        <w:tc>
          <w:tcPr>
            <w:tcW w:w="680" w:type="dxa"/>
            <w:vAlign w:val="bottom"/>
            <w:tcBorders>
              <w:lef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l'articles 32 et 33 ci-dessous;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f)   to pass resolutions concerning all matters which are reserved to</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w:t>
            </w:r>
          </w:p>
        </w:tc>
        <w:tc>
          <w:tcPr>
            <w:tcW w:w="52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prendre les décisions sur toutes les affaires qui sont attribuées</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the authority of the General Meeting by law or by the Articles of</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à l'assemblée générale par la loi ou les statuts.</w:t>
            </w:r>
          </w:p>
        </w:tc>
      </w:tr>
      <w:tr>
        <w:trPr>
          <w:trHeight w:val="217"/>
        </w:trPr>
        <w:tc>
          <w:tcPr>
            <w:tcW w:w="56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tcBorders>
              <w:right w:val="single" w:sz="8" w:color="auto"/>
            </w:tcBorders>
          </w:tcPr>
          <w:p>
            <w:pPr>
              <w:spacing w:after="0"/>
              <w:rPr>
                <w:sz w:val="18"/>
                <w:szCs w:val="18"/>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50"/>
        </w:trPr>
        <w:tc>
          <w:tcPr>
            <w:tcW w:w="6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9</w:t>
            </w:r>
          </w:p>
        </w:tc>
        <w:tc>
          <w:tcPr>
            <w:tcW w:w="4940" w:type="dxa"/>
            <w:vAlign w:val="bottom"/>
            <w:tcBorders>
              <w:right w:val="single" w:sz="8" w:color="auto"/>
            </w:tcBorders>
          </w:tcPr>
          <w:p>
            <w:pPr>
              <w:jc w:val="right"/>
              <w:ind w:right="2510"/>
              <w:spacing w:after="0"/>
              <w:rPr>
                <w:sz w:val="20"/>
                <w:szCs w:val="20"/>
                <w:color w:val="auto"/>
              </w:rPr>
            </w:pPr>
            <w:r>
              <w:rPr>
                <w:rFonts w:ascii="Arial" w:cs="Arial" w:eastAsia="Arial" w:hAnsi="Arial"/>
                <w:sz w:val="18"/>
                <w:szCs w:val="18"/>
                <w:b w:val="1"/>
                <w:bCs w:val="1"/>
                <w:color w:val="auto"/>
              </w:rPr>
              <w:t>Ordinary General Meeting</w:t>
            </w:r>
          </w:p>
        </w:tc>
        <w:tc>
          <w:tcPr>
            <w:tcW w:w="220" w:type="dxa"/>
            <w:vAlign w:val="bottom"/>
            <w:tcBorders>
              <w:right w:val="single" w:sz="8" w:color="auto"/>
            </w:tcBorders>
          </w:tcPr>
          <w:p>
            <w:pPr>
              <w:spacing w:after="0"/>
              <w:rPr>
                <w:sz w:val="21"/>
                <w:szCs w:val="21"/>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Art. 9</w:t>
            </w:r>
          </w:p>
        </w:tc>
        <w:tc>
          <w:tcPr>
            <w:tcW w:w="5080" w:type="dxa"/>
            <w:vAlign w:val="bottom"/>
            <w:tcBorders>
              <w:right w:val="single" w:sz="8" w:color="auto"/>
            </w:tcBorders>
          </w:tcPr>
          <w:p>
            <w:pPr>
              <w:jc w:val="right"/>
              <w:ind w:right="2130"/>
              <w:spacing w:after="0"/>
              <w:rPr>
                <w:sz w:val="20"/>
                <w:szCs w:val="20"/>
                <w:color w:val="auto"/>
              </w:rPr>
            </w:pPr>
            <w:r>
              <w:rPr>
                <w:rFonts w:ascii="Arial" w:cs="Arial" w:eastAsia="Arial" w:hAnsi="Arial"/>
                <w:sz w:val="18"/>
                <w:szCs w:val="18"/>
                <w:b w:val="1"/>
                <w:bCs w:val="1"/>
                <w:color w:val="auto"/>
              </w:rPr>
              <w:t>Assemblée générale ordinaire</w:t>
            </w:r>
          </w:p>
        </w:tc>
      </w:tr>
      <w:tr>
        <w:trPr>
          <w:trHeight w:val="391"/>
        </w:trPr>
        <w:tc>
          <w:tcPr>
            <w:tcW w:w="56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The Ordinary General Meeting shall be held annually within six</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L'assemblée générale ordinaire aura lieu chaque année dans les six</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months after the close of the business year at such time and at such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mois qui suivent la clôture de l'exercice à la date et à l'endroit, qui</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location, which may be within or outside Switzerland, as determined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peut être en ou hors de la Suisse, tel que déterminé par le conseil</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by the Board of Directors.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d'administration.</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3"/>
          </w:tcPr>
          <w:p>
            <w:pPr>
              <w:spacing w:after="0"/>
              <w:rPr>
                <w:sz w:val="19"/>
                <w:szCs w:val="19"/>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10   Extraordinary General Meeting</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Art. 10  Assemblée générale extraordinaire</w:t>
            </w:r>
          </w:p>
        </w:tc>
      </w:tr>
      <w:tr>
        <w:trPr>
          <w:trHeight w:val="391"/>
        </w:trPr>
        <w:tc>
          <w:tcPr>
            <w:tcW w:w="56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Extraordinary General Meetings may be called by resolution of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Les assemblées générales extraordinaires peuvent être convoquées</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General Meeting, the Auditors or the Board of Directors, or by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par décision de l'assemblée générale, l'organe de révision ou le</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shareholders with voting powers, provided they represent at least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conseil d'administration, ou par des actionnaires avec droit de vote,</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 of the share capital and who submit (a)(1) a request signed by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à condition qu'ils représentent au moins 10% du capital-actions et</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such shareholder(s) that specifies the item(s) to be included on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qu'ils  soumettent  (a)  (1)  une  demande  signée  par  le(s)dit(s)</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agenda, (2) the respective proposals of the shareholders and (3)</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actionnaire(s) qui spécifie les objets à faire figurer sur l'ordre du jour,</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evidence  of  the  required  shareholdings  recorded  in  the  share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(2) les propositions respectives de ces actionnaires et (3) la preuve</w:t>
            </w:r>
          </w:p>
        </w:tc>
      </w:tr>
      <w:tr>
        <w:trPr>
          <w:trHeight w:val="203"/>
        </w:trPr>
        <w:tc>
          <w:tcPr>
            <w:tcW w:w="5620" w:type="dxa"/>
            <w:vAlign w:val="bottom"/>
            <w:tcBorders>
              <w:left w:val="single" w:sz="8" w:color="auto"/>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register and (b) such other information as would be required to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des participations requises inscrites dans le registre des actions et</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included in a proxy</w:t>
            </w:r>
          </w:p>
        </w:tc>
        <w:tc>
          <w:tcPr>
            <w:tcW w:w="220" w:type="dxa"/>
            <w:vAlign w:val="bottom"/>
            <w:tcBorders>
              <w:right w:val="single" w:sz="8" w:color="auto"/>
            </w:tcBorders>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50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80" w:type="dxa"/>
            <w:vAlign w:val="bottom"/>
            <w:tcBorders>
              <w:bottom w:val="single" w:sz="8" w:color="auto"/>
              <w:right w:val="single" w:sz="8" w:color="auto"/>
            </w:tcBorders>
          </w:tcPr>
          <w:p>
            <w:pPr>
              <w:spacing w:after="0"/>
              <w:rPr>
                <w:sz w:val="19"/>
                <w:szCs w:val="19"/>
                <w:color w:val="auto"/>
              </w:rPr>
            </w:pPr>
          </w:p>
        </w:tc>
      </w:tr>
      <w:tr>
        <w:trPr>
          <w:trHeight w:val="588"/>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statement pursuant to the rules of the country where the Company's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autres informations qui doivent être mentionnées dans une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shares are primarily listed.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déclaration (proxy statement) conformément aux règles du pays où</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actions de la société sont principalement cotées.</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11  Notice and Agenda of Shareholders' Meetings</w:t>
            </w:r>
          </w:p>
        </w:tc>
        <w:tc>
          <w:tcPr>
            <w:tcW w:w="220" w:type="dxa"/>
            <w:vAlign w:val="bottom"/>
            <w:tcBorders>
              <w:right w:val="single" w:sz="8" w:color="auto"/>
            </w:tcBorders>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8"/>
                <w:szCs w:val="18"/>
                <w:b w:val="1"/>
                <w:bCs w:val="1"/>
                <w:color w:val="auto"/>
              </w:rPr>
              <w:t>Art. 11</w:t>
            </w:r>
          </w:p>
        </w:tc>
        <w:tc>
          <w:tcPr>
            <w:tcW w:w="47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Convocations et ordres du jour des assemblées</w:t>
            </w:r>
          </w:p>
        </w:tc>
        <w:tc>
          <w:tcPr>
            <w:tcW w:w="0" w:type="dxa"/>
            <w:vAlign w:val="bottom"/>
          </w:tcPr>
          <w:p>
            <w:pPr>
              <w:spacing w:after="0"/>
              <w:rPr>
                <w:sz w:val="1"/>
                <w:szCs w:val="1"/>
                <w:color w:val="auto"/>
              </w:rPr>
            </w:pPr>
          </w:p>
        </w:tc>
      </w:tr>
      <w:tr>
        <w:trPr>
          <w:trHeight w:val="239"/>
        </w:trPr>
        <w:tc>
          <w:tcPr>
            <w:tcW w:w="5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Notice of a General Meeting of Shareholders shall be given by the</w:t>
            </w:r>
          </w:p>
        </w:tc>
        <w:tc>
          <w:tcPr>
            <w:tcW w:w="22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4740" w:type="dxa"/>
            <w:vAlign w:val="bottom"/>
            <w:tcBorders>
              <w:right w:val="single" w:sz="8" w:color="auto"/>
            </w:tcBorders>
          </w:tcPr>
          <w:p>
            <w:pPr>
              <w:jc w:val="right"/>
              <w:ind w:right="3770"/>
              <w:spacing w:after="0"/>
              <w:rPr>
                <w:sz w:val="20"/>
                <w:szCs w:val="20"/>
                <w:color w:val="auto"/>
              </w:rPr>
            </w:pPr>
            <w:r>
              <w:rPr>
                <w:rFonts w:ascii="Arial" w:cs="Arial" w:eastAsia="Arial" w:hAnsi="Arial"/>
                <w:sz w:val="18"/>
                <w:szCs w:val="18"/>
                <w:b w:val="1"/>
                <w:bCs w:val="1"/>
                <w:color w:val="auto"/>
              </w:rPr>
              <w:t>générales</w:t>
            </w:r>
          </w:p>
        </w:tc>
        <w:tc>
          <w:tcPr>
            <w:tcW w:w="0" w:type="dxa"/>
            <w:vAlign w:val="bottom"/>
          </w:tcPr>
          <w:p>
            <w:pPr>
              <w:spacing w:after="0"/>
              <w:rPr>
                <w:sz w:val="1"/>
                <w:szCs w:val="1"/>
                <w:color w:val="auto"/>
              </w:rPr>
            </w:pPr>
          </w:p>
        </w:tc>
      </w:tr>
      <w:tr>
        <w:trPr>
          <w:trHeight w:val="188"/>
        </w:trPr>
        <w:tc>
          <w:tcPr>
            <w:tcW w:w="562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4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Board of Directors or, if necessary, by the Auditor, not later than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L'assemblée générale est convoquée par le conseil d'administration</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twenty calendar days prior to the date of the General Meeting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ou, si nécessaire, par l'organe de révision, au moins 20 jours avant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Notice of the General Meeting of Shareholders shall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 tenue de l'assemblée générale des actionnaires. La convocation à</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 given by way of a one-time announcement in the official means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l'assemblée générale des actionnaires doit être faite au moyen d'une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publication of the Company pursuant to Article 46 of these Articles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seule publication conformément à l'article 46 de ces statuts. La</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Association. The notice period shall be deemed to have been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période de préavis sera réputée avoir été respectée si la</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observed  if  notice  of  the  General  Meeting  of  Shareholders  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convocation à l'assemblée générale des actionnaires est publiée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published in such official means of publication, it being understood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conformément à l'article 46 de ces statuts, étant entendu que la date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that the date of publication shall not be computed in the notice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 publication ne doit pas être calculée dans la période de préavis.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period. Shareholders of record may in addition be informed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Les actionnaires inscrits peuvent en outre être informés de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General Meeting of Shareholders by ordinary mail or e-mail.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l'assemblée générale des actionnaires par courrier ordinaire ou par</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e-mail.</w:t>
            </w: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notice of a General Meeting of Shareholders shall specify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convocation à l'assemblée générale des actionnaires doit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items on the agenda and the proposals of the Board of Directors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préciser les objets de l'ordre du jour et les propositions du conseil</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shareholder(s)  who  requested  that  a  General  Meeting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et l'/les actionnaire(s) qui a/ont demandé que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be held or an item be included on the agenda, and,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l'assemblée générale des actionnaires ait lieu ou qu'un objet soit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event of elections, the name(s) of the candidate(s) that has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inscrit à l'ordre du jour, et, dans le cas d'élections, le/les nom(s)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have been put on the ballot for election.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du/des candidat(s) qui a ou ont été mis sur le bulletin de vote pour</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l'élection.</w:t>
            </w: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Board of Directors shall state the matters on the agenda.</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doit indiquer les objets de l'ordre du jour.</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Shareholders who represent an aggregate of at least 10 percent of</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actionnaires qui représentent un total d'au moins 10 pour cent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share capital or together representing shares with a nominal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du  capital-actions  ou  qui  représentent  ensemble  une  valeur</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value of 1 million Swiss francs may demand that an item be placed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nominale de CHF 1 million d'actions peuvent exiger qu'un objet soit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on the agenda of a General Meeting of Shareholders. A request for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inscrit à l'ordre du jour d'une assemblée générale des actionnaires.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inclusion of an item on the agenda must be requested in writing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Une demande d'inscription d'un objet à l'ordre du jour doit être faite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delivered to or</w:t>
            </w:r>
          </w:p>
        </w:tc>
        <w:tc>
          <w:tcPr>
            <w:tcW w:w="220" w:type="dxa"/>
            <w:vAlign w:val="bottom"/>
            <w:tcBorders>
              <w:right w:val="single" w:sz="8" w:color="auto"/>
            </w:tcBorders>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par écrit</w:t>
            </w: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13</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mailed and received at the registered office of the Company at least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et remise ou envoyée et reçue au siège de la société au moins 120</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120 calendar days before the first anniversary of the date that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jours  avant  le  premier  anniversaire  de  la  date  à  laquelle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Company's  proxy  statement  was  released  to  shareholders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déclaration (proxy statement) de la Société a été communiquée aux</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connection with the previous year's ordinary General Meeting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actionnaires lors de l'assemblée générale ordinaire des actionnaires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However,  if  no  ordinary  General  Meeting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de l'année précédente. Toutefois, si aucune assemblée générale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was held in the previous year or if the date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ordinaire des actionnaires n'a eu lieu l'année précédente ou si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ordinary General Meeting of Shareholders has been changed by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date de l'assemblée générale ordinaire des actionnaires a été</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more than 30 calendar days from the date contemplated at the time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modifiée de plus de 30 jours calendaires à compter de la date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 the previous year's proxy statement, request for inclusion of 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prévue au moment de la déclaration (proxy statement) de l'année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item on the agenda must be requested not fewer than the later of (i)</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précédente, une demande d'inscription d'un objet à l'ordre du jour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150 calendar days prior to the date of the contemplated annual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doit être demandée au moins à la date la plus tardive entre (i) 150</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General Meeting or (ii) the date which is ten calendar days after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jours calendaires avant la date de l'assemblée générale ordinaire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date of the first public announcement or other notification to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envisagée ou (ii) la date qui est dix jours calendaires plus tard que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of  the  date  of  the  contemplated  annual  General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date de la première annonce publique ou autre notification aux</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Meeting. To be timely for an extraordinary General Meeting,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actionnaires de la date envisagée de l'assemblée générale ordinaire.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notice to the Secretary must be delivered to or mailed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Pour  être  dans  les  délais  pour  une  assemblée  générale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and received at the registered office of the Company not fewer than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extraordinaire, l'avis d'un actionnaire au secrétaire doit être livré ou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later of (i) 120 calendar days before the date of the extraordinary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envoyé et reçu au siège de la société au moins à la date la plus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General Meeting of Shareholders or (ii) the date which is ten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tardive entre (i) 120 jours calendaires avant la date de l'assemblée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calendar days after the date of the first public announcement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générale extraordinaire des actionnaires ou (ii) la date qui est dix</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other notification to the shareholders of the date of the contemplated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jours calendaires plus tard que la date de la première annonce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extraordinary General Meeting of Shareholders.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publique ou autre notification aux actionnaires de la date envisagée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 l'assemblée générale extraordinaire des actionnaires.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Each request for inclusion of an item on the agenda must include (i)</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Chaque demande d'inscription d'un objet à l'ordre du jour doit inclure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 brief description of the business desired to be brought before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(i) une brève description de l'affaire qui sera soumise à l'assemblée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meeting and the reasons for conducting such business at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et  les  raisons  pour  lesquelles  cette  affaire  est  soumise  à</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meeting;  (ii)  the  name  and  address,  as  they  appear  on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l'assemblée; (ii) le nom et l'adresse, tels qu'ils apparaissent dans 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Company's register of shareholders, of the shareholder proposing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registre des actionnaires de la société, de l'/des actionnaire(s)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such business; (iii) the number of shares of the Company which 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proposant  un  tel  objet;  (iii)  le  nombre  d'actions  de  la  société</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beneficially owned by such shareholder; (iv) the dates upon which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effectivement détenues par (un) tel(s) actionnaire(s); (iv) les dates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shareholder acquired such shares; (v) documentary support for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auxquelles l'/les actionnaire(s) a/ont acquis ces actions; (v) l'appui</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claim of beneficial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documentaire pour</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14</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ownership; (vi) any material interest of such shareholder in such</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toute revendication de propriété effective; (vi) un intérêt important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business; and (vii) a statement in support of the matter and, for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cet/ces actionnaire(s) par rapport à cet objet; et (vii) une déclaration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proposals sought to be included in the Company's proxy statement,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à l'appui de cet objet et, pour les propositions devant être incluses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any  other  information  required  by  Securities  and  Exchange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dans la déclaration (proxy statement) de la société, toute autre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Commission Rule "14a-8".</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information requise par la Securities and Exchange Commission</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règle "14a-8".</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 addition, if the shareholder intends to solicit proxies from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En outre, si un actionnaire a l'intention de solliciter des procurations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of the Company, such shareholder shall notify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des actionnaires de la société, cet actionnaire doit en informer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Company of this intent in accordance with Securities and Exchange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société  conformément  aux  dispositions  de  la  Securities  and</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Commission Rule "14a-4" and/or Rule "14a-8".</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Exchange Commission règle "14a-4" et "14a-8".</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resolution may be passed at a General Meeting of Shareholders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Aucune  décision  ne  peut  être  adoptée  lors  d'une  assemblée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concerning an item in relation to which due notice was not given.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générale des actionnaires si un objet n'a pas été inscrit à l'ordre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Proposals made during a General Meeting of Shareholders to (i)</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jour dans le délai de préavis. Les propositions faites au cours d'une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convene a extraordinary General Meeting or (ii) initiate a special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assemblée  générale  des  actionnaires  pour  (i)  convoquer  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investigation in accordance with article 697a of the Swiss Code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assemblée  générale  extraordinaire  ou  (ii)  instituer  un  contrôle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Obligations are not subject to the due notice requirement set forth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spécial au sens de l'article 697a CO ne sont pas soumises à</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herein.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l'obligation d'inscription prévue dans ces statuts.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advance notice is required to propose motions on duly notified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Aucun préavis n'est nécessaire pour proposer des motions sur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agenda items and to debate items without passing resolutions.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objets inscrits à l'ordre du jour ou débattre desdits objets sans</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prendre de décisions.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12 Documentation</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12 Documents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annual  business  report,  the  compensation  report  and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rapport de gestion annuel, le rapport de rémunération et 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Auditor's  report  must  be  submitted  for  examination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rapport du réviseur doivent être présentés aux actionnaires pour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shareholders at the registered office of the Company at least 20</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examen au siège de la société au moins 20 jours avant la date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days prior to the date of the Ordinary General Meeting. Each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l'assemblée générale ordinaire. Chaque actionnaire peut demander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shareholder may request that a copy of this documentation be sent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une  copie  de  ces  documents  qui  doivent  lui  être  envoyés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 him promptly by e-mail. Such right shall be included in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promptement  par  e-mail.  Ce  droit  doit  être  mentionné  dans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invitation to the 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l'invitation à l'assemblée générale.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13  Meeting of All Shareholders</w:t>
            </w:r>
          </w:p>
        </w:tc>
        <w:tc>
          <w:tcPr>
            <w:tcW w:w="220" w:type="dxa"/>
            <w:vAlign w:val="bottom"/>
            <w:tcBorders>
              <w:right w:val="single" w:sz="8" w:color="auto"/>
            </w:tcBorders>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Art. 13</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Assemblée universelle</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Shareholders or their proxies representing all shares issued may</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propriétaires ou les représentants de la totalité des actions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hold a General Meeting without observing the formalities required for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peuvent, s'il n'y a pas d'opposition, tenir une assemblée générale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calling a meeting, unless objection is raised. At such a meeting,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sans observer  les  formes  prévues  pour  sa  convocation.  Aussi</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discussions may be held and resolutions passed on all matters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longtemps que les propriétaires ou les représentants de la totalité</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within the scope of the powers of a General Meeting for so long 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 actions sont présents, cette assemblée a le droit de délibérer et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shareholders or proxies representing all shares issued 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 statuer valablement sur tous les objets qui sont du ressort de</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present.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14  Chairman and Scrutineers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14  Président et scrutateurs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Chairman of the Board of Directors shall preside over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General  Meeting.  In  his  absence,  a  member  of  the  Board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En  cas  d'empêchement,  un  autre  membre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Directors or another Chairman of the Meeting designated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conseil  d'administration  ou  un  président  ad  hoc  nommé  par</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General Meeting shall preside.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 préside celle-ci.</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Chairman of the Meeting shall designate a Secretary and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président de l'assemblée générale désigne un secrétaire et les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scrutineers who need not be shareholders.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scrutateurs qui ne doivent pas nécessairement être actionnaires.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15  Minutes</w:t>
            </w:r>
          </w:p>
        </w:tc>
        <w:tc>
          <w:tcPr>
            <w:tcW w:w="220" w:type="dxa"/>
            <w:vAlign w:val="bottom"/>
            <w:tcBorders>
              <w:right w:val="single" w:sz="8" w:color="auto"/>
            </w:tcBorders>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Art. 15</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Procès-verbal</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Board of Directors is responsible for the keeping of the minutes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est responsable de la tenue du procès-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 the Meeting, which shall state the number, kind, nominal value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verbal de l'assemblée, qui doit indiquer le nombre, le type, la valeur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shares represented by the shareholders, by the corporate bodies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nominale des actions représentées par les actionnaires, par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and by the independent proxy and gives information on resolutions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organes sociaux et par le représentant indépendant et donne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passed, elections, requests for information and information as well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informations sur les décisions adoptées, les élections, les demandes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 declarations given by the shareholders. The minutes shall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 renseignements et les informations ainsi que les déclarations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signed by the Chairman and the Secretary.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faites  par  les  actionnaires.  Le  procès-verbal  est  signé  par  le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président et le secrétaire.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shareholders are entitled to inspect the minutes.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actionnaires ont le droit d'examiner le procès-verbal.</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16  Right to Vote</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16  Droit de vote</w:t>
            </w:r>
          </w:p>
        </w:tc>
      </w:tr>
      <w:tr>
        <w:trPr>
          <w:trHeight w:val="405"/>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Each share entitles to one vote.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Chaque action donne droit à une voix.</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Each shareholder may be represented at a General Meeting by 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Chaque actionnaire peut se faire représenter à l'assemblée générale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 who is so authorized by a written proxy. A proxy need not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par toute personne qui est autorisée par une procuration écrite. Le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shareholder.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représentant ne doit pas nécessairement être un actionnaire.</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Each shareholder may be represented by the Independent Proxy.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Chaque actionnaire peut se faire représenter par le représentant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requirements regarding proxies and instructions are determined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by the Board of Directors.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instructions sont déterminées par le conseil d'administration.</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17  Resolutions and Elections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17  Décisions and élections</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 voting and elections are held openly or electronically. A written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Tous  votes  et  élections  sont  tenus  ouvertement  ou  par  voie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voting or election shall be held if instructed so by the Chairman or if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decided by the 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générale, un vote ou une élection doit être tenu par écrit.</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General Meeting shall pass its resolutions and carry out its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réserve des dispositions impératives de la loi ou des statuts,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l'assemblée générale prend ses décisions et procède aux élections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abstentions and empty or invalid votes, unless statutory law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à la majorité simple des voix émises. En cas de partage égal des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articles of association state otherwise. In the event of tie votes,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voix,  la  requête  sera  refusée.  Le  président  n'a  pas  voix</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request shall be refused. The Chairman shall not have a casting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prépondérante.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vote.</w:t>
            </w: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resolution of the General Meeting passed by at least two thirds of</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Une décision de l'assemblée générale recueillant au moins les deux</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represented  share  votes  and  the  absolute  majority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tiers des voix attribuées aux actions représentées et la majorité</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represented shares par value is required for: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absolue des valeurs nominales représentées est nécessaire pour:</w:t>
            </w:r>
          </w:p>
        </w:tc>
        <w:tc>
          <w:tcPr>
            <w:tcW w:w="0" w:type="dxa"/>
            <w:vAlign w:val="bottom"/>
          </w:tcPr>
          <w:p>
            <w:pPr>
              <w:spacing w:after="0"/>
              <w:rPr>
                <w:sz w:val="1"/>
                <w:szCs w:val="1"/>
                <w:color w:val="auto"/>
              </w:rPr>
            </w:pPr>
          </w:p>
        </w:tc>
      </w:tr>
      <w:tr>
        <w:trPr>
          <w:trHeight w:val="405"/>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The cases listed in art. 704 para. 1 CO, i.e.: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   les cas énumérés dans l'art. 704 al. 1 CO, i.e.:</w:t>
            </w:r>
          </w:p>
        </w:tc>
        <w:tc>
          <w:tcPr>
            <w:tcW w:w="0" w:type="dxa"/>
            <w:vAlign w:val="bottom"/>
          </w:tcPr>
          <w:p>
            <w:pPr>
              <w:spacing w:after="0"/>
              <w:rPr>
                <w:sz w:val="1"/>
                <w:szCs w:val="1"/>
                <w:color w:val="auto"/>
              </w:rPr>
            </w:pPr>
          </w:p>
        </w:tc>
      </w:tr>
      <w:tr>
        <w:trPr>
          <w:trHeight w:val="405"/>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(i)   the change of the company purpose;</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(i)</w:t>
            </w:r>
          </w:p>
        </w:tc>
        <w:tc>
          <w:tcPr>
            <w:tcW w:w="4760" w:type="dxa"/>
            <w:vAlign w:val="bottom"/>
            <w:tcBorders>
              <w:right w:val="single" w:sz="8" w:color="auto"/>
            </w:tcBorders>
          </w:tcPr>
          <w:p>
            <w:pPr>
              <w:jc w:val="right"/>
              <w:ind w:right="2210"/>
              <w:spacing w:after="0"/>
              <w:rPr>
                <w:sz w:val="20"/>
                <w:szCs w:val="20"/>
                <w:color w:val="auto"/>
              </w:rPr>
            </w:pPr>
            <w:r>
              <w:rPr>
                <w:rFonts w:ascii="Arial" w:cs="Arial" w:eastAsia="Arial" w:hAnsi="Arial"/>
                <w:sz w:val="18"/>
                <w:szCs w:val="18"/>
                <w:color w:val="auto"/>
              </w:rPr>
              <w:t>la modification du but social;</w:t>
            </w:r>
          </w:p>
        </w:tc>
        <w:tc>
          <w:tcPr>
            <w:tcW w:w="0" w:type="dxa"/>
            <w:vAlign w:val="bottom"/>
          </w:tcPr>
          <w:p>
            <w:pPr>
              <w:spacing w:after="0"/>
              <w:rPr>
                <w:sz w:val="1"/>
                <w:szCs w:val="1"/>
                <w:color w:val="auto"/>
              </w:rPr>
            </w:pPr>
          </w:p>
        </w:tc>
      </w:tr>
      <w:tr>
        <w:trPr>
          <w:trHeight w:val="405"/>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(ii)  the creation of shares with privileged voting rights;</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(ii)</w:t>
            </w:r>
          </w:p>
        </w:tc>
        <w:tc>
          <w:tcPr>
            <w:tcW w:w="476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l'introduction d'actions à droit de vote privilégié;</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(iii)  the restriction of the transferability of registered shares;</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(iii)</w:t>
            </w:r>
          </w:p>
        </w:tc>
        <w:tc>
          <w:tcPr>
            <w:tcW w:w="4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la  restriction  de  la  transmissibilité  des  actions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(iv)  an increase of capital, authorized or subject to a condition;</w:t>
            </w: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nominatives;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color w:val="auto"/>
              </w:rPr>
              <w:t>(iv)</w:t>
            </w:r>
          </w:p>
        </w:tc>
        <w:tc>
          <w:tcPr>
            <w:tcW w:w="4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l'augmentation autorisée ou conditionnelle du capital-</w:t>
            </w:r>
          </w:p>
        </w:tc>
        <w:tc>
          <w:tcPr>
            <w:tcW w:w="0" w:type="dxa"/>
            <w:vAlign w:val="bottom"/>
          </w:tcPr>
          <w:p>
            <w:pPr>
              <w:spacing w:after="0"/>
              <w:rPr>
                <w:sz w:val="1"/>
                <w:szCs w:val="1"/>
                <w:color w:val="auto"/>
              </w:rPr>
            </w:pPr>
          </w:p>
        </w:tc>
      </w:tr>
      <w:tr>
        <w:trPr>
          <w:trHeight w:val="188"/>
        </w:trPr>
        <w:tc>
          <w:tcPr>
            <w:tcW w:w="562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20" w:type="dxa"/>
            <w:vAlign w:val="bottom"/>
            <w:vMerge w:val="continue"/>
          </w:tcPr>
          <w:p>
            <w:pPr>
              <w:spacing w:after="0"/>
              <w:rPr>
                <w:sz w:val="16"/>
                <w:szCs w:val="16"/>
                <w:color w:val="auto"/>
              </w:rPr>
            </w:pPr>
          </w:p>
        </w:tc>
        <w:tc>
          <w:tcPr>
            <w:tcW w:w="47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actions;</w:t>
            </w:r>
          </w:p>
        </w:tc>
        <w:tc>
          <w:tcPr>
            <w:tcW w:w="0" w:type="dxa"/>
            <w:vAlign w:val="bottom"/>
          </w:tcPr>
          <w:p>
            <w:pPr>
              <w:spacing w:after="0"/>
              <w:rPr>
                <w:sz w:val="1"/>
                <w:szCs w:val="1"/>
                <w:color w:val="auto"/>
              </w:rPr>
            </w:pPr>
          </w:p>
        </w:tc>
      </w:tr>
      <w:tr>
        <w:trPr>
          <w:trHeight w:val="1040"/>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38"/>
        </w:trPr>
        <w:tc>
          <w:tcPr>
            <w:tcW w:w="3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00" w:type="dxa"/>
            <w:vAlign w:val="bottom"/>
            <w:tcBorders>
              <w:left w:val="single" w:sz="8" w:color="auto"/>
            </w:tcBorders>
          </w:tcPr>
          <w:p>
            <w:pPr>
              <w:spacing w:after="0"/>
              <w:rPr>
                <w:sz w:val="20"/>
                <w:szCs w:val="20"/>
                <w:color w:val="auto"/>
              </w:rPr>
            </w:pPr>
          </w:p>
        </w:tc>
        <w:tc>
          <w:tcPr>
            <w:tcW w:w="5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   an increase of capital out of equity, against contribution in</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   l'augmentation du capital-actions au moyen des fonds</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kind, or for the purpose of acquisition of assets and the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tcPr>
          <w:p>
            <w:pPr>
              <w:ind w:left="520"/>
              <w:spacing w:after="0" w:line="202" w:lineRule="exact"/>
              <w:rPr>
                <w:sz w:val="20"/>
                <w:szCs w:val="20"/>
                <w:color w:val="auto"/>
              </w:rPr>
            </w:pPr>
            <w:r>
              <w:rPr>
                <w:rFonts w:ascii="Arial" w:cs="Arial" w:eastAsia="Arial" w:hAnsi="Arial"/>
                <w:sz w:val="18"/>
                <w:szCs w:val="18"/>
                <w:color w:val="auto"/>
              </w:rPr>
              <w:t>propres, contre apport en nature ou en vue d'une reprise</w:t>
            </w: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granting of special benefits;</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de biens et l'octroi d'avantages particuliers;</w:t>
            </w:r>
          </w:p>
        </w:tc>
        <w:tc>
          <w:tcPr>
            <w:tcW w:w="0" w:type="dxa"/>
            <w:vAlign w:val="bottom"/>
          </w:tcPr>
          <w:p>
            <w:pPr>
              <w:spacing w:after="0"/>
              <w:rPr>
                <w:sz w:val="1"/>
                <w:szCs w:val="1"/>
                <w:color w:val="auto"/>
              </w:rPr>
            </w:pPr>
          </w:p>
        </w:tc>
      </w:tr>
      <w:tr>
        <w:trPr>
          <w:trHeight w:val="391"/>
        </w:trPr>
        <w:tc>
          <w:tcPr>
            <w:tcW w:w="30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(vi)  the limitation or withdrawal of subscription rights;</w:t>
            </w:r>
          </w:p>
        </w:tc>
        <w:tc>
          <w:tcPr>
            <w:tcW w:w="22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(vi)   la limitation ou la suppression du droit de souscription</w:t>
            </w: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(vii)  the change of the domicile of the Company;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préférentiel;</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(vii) le transfert du siège de la société; et</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(viii) the liquidation of the Company;</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(viii) la dissolution de la société;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b)  the merger, de-merger or conversion of the Company (subject to</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62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mandatory law);</w:t>
            </w:r>
          </w:p>
        </w:tc>
        <w:tc>
          <w:tcPr>
            <w:tcW w:w="220" w:type="dxa"/>
            <w:vAlign w:val="bottom"/>
            <w:tcBorders>
              <w:right w:val="single" w:sz="8" w:color="auto"/>
            </w:tcBorders>
          </w:tcPr>
          <w:p>
            <w:pPr>
              <w:spacing w:after="0"/>
              <w:rPr>
                <w:sz w:val="17"/>
                <w:szCs w:val="17"/>
                <w:color w:val="auto"/>
              </w:rPr>
            </w:pPr>
          </w:p>
        </w:tc>
        <w:tc>
          <w:tcPr>
            <w:tcW w:w="360" w:type="dxa"/>
            <w:vAlign w:val="bottom"/>
          </w:tcPr>
          <w:p>
            <w:pPr>
              <w:ind w:left="40"/>
              <w:spacing w:after="0" w:line="202" w:lineRule="exact"/>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la fusion, la scission ou la conversion de la société (sous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c)   the alleviating or withdrawal of restrictions upon the transfer of</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réserve des dispositions impératives);</w:t>
            </w:r>
          </w:p>
        </w:tc>
        <w:tc>
          <w:tcPr>
            <w:tcW w:w="0" w:type="dxa"/>
            <w:vAlign w:val="bottom"/>
          </w:tcPr>
          <w:p>
            <w:pPr>
              <w:spacing w:after="0"/>
              <w:rPr>
                <w:sz w:val="1"/>
                <w:szCs w:val="1"/>
                <w:color w:val="auto"/>
              </w:rPr>
            </w:pPr>
          </w:p>
        </w:tc>
      </w:tr>
      <w:tr>
        <w:trPr>
          <w:trHeight w:val="188"/>
        </w:trPr>
        <w:tc>
          <w:tcPr>
            <w:tcW w:w="562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registered shares;</w:t>
            </w:r>
          </w:p>
        </w:tc>
        <w:tc>
          <w:tcPr>
            <w:tcW w:w="220" w:type="dxa"/>
            <w:vAlign w:val="bottom"/>
            <w:tcBorders>
              <w:right w:val="single" w:sz="8" w:color="auto"/>
            </w:tcBorders>
          </w:tcPr>
          <w:p>
            <w:pPr>
              <w:spacing w:after="0"/>
              <w:rPr>
                <w:sz w:val="17"/>
                <w:szCs w:val="17"/>
                <w:color w:val="auto"/>
              </w:rPr>
            </w:pPr>
          </w:p>
        </w:tc>
        <w:tc>
          <w:tcPr>
            <w:tcW w:w="360" w:type="dxa"/>
            <w:vAlign w:val="bottom"/>
          </w:tcPr>
          <w:p>
            <w:pPr>
              <w:ind w:left="40"/>
              <w:spacing w:after="0" w:line="202" w:lineRule="exact"/>
              <w:rPr>
                <w:sz w:val="20"/>
                <w:szCs w:val="20"/>
                <w:color w:val="auto"/>
              </w:rPr>
            </w:pPr>
            <w:r>
              <w:rPr>
                <w:rFonts w:ascii="Arial" w:cs="Arial" w:eastAsia="Arial" w:hAnsi="Arial"/>
                <w:sz w:val="18"/>
                <w:szCs w:val="18"/>
                <w:color w:val="auto"/>
              </w:rPr>
              <w:t>c)</w:t>
            </w: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l'atténuation ou la suppression des restrictions sur le transfert</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   the conversion of registered shares into bearer shares and vice</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des actions nominatives;</w:t>
            </w:r>
          </w:p>
        </w:tc>
        <w:tc>
          <w:tcPr>
            <w:tcW w:w="0" w:type="dxa"/>
            <w:vAlign w:val="bottom"/>
          </w:tcPr>
          <w:p>
            <w:pPr>
              <w:spacing w:after="0"/>
              <w:rPr>
                <w:sz w:val="1"/>
                <w:szCs w:val="1"/>
                <w:color w:val="auto"/>
              </w:rPr>
            </w:pPr>
          </w:p>
        </w:tc>
      </w:tr>
      <w:tr>
        <w:trPr>
          <w:trHeight w:val="188"/>
        </w:trPr>
        <w:tc>
          <w:tcPr>
            <w:tcW w:w="562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versa; and</w:t>
            </w:r>
          </w:p>
        </w:tc>
        <w:tc>
          <w:tcPr>
            <w:tcW w:w="220" w:type="dxa"/>
            <w:vAlign w:val="bottom"/>
            <w:tcBorders>
              <w:right w:val="single" w:sz="8" w:color="auto"/>
            </w:tcBorders>
          </w:tcPr>
          <w:p>
            <w:pPr>
              <w:spacing w:after="0"/>
              <w:rPr>
                <w:sz w:val="17"/>
                <w:szCs w:val="17"/>
                <w:color w:val="auto"/>
              </w:rPr>
            </w:pPr>
          </w:p>
        </w:tc>
        <w:tc>
          <w:tcPr>
            <w:tcW w:w="360" w:type="dxa"/>
            <w:vAlign w:val="bottom"/>
          </w:tcPr>
          <w:p>
            <w:pPr>
              <w:ind w:left="40"/>
              <w:spacing w:after="0" w:line="202" w:lineRule="exact"/>
              <w:rPr>
                <w:sz w:val="20"/>
                <w:szCs w:val="20"/>
                <w:color w:val="auto"/>
              </w:rPr>
            </w:pPr>
            <w:r>
              <w:rPr>
                <w:rFonts w:ascii="Arial" w:cs="Arial" w:eastAsia="Arial" w:hAnsi="Arial"/>
                <w:sz w:val="18"/>
                <w:szCs w:val="18"/>
                <w:color w:val="auto"/>
              </w:rPr>
              <w:t>d)</w:t>
            </w: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la conversion d'actions nominatives en actions au porteur et</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e)   the amendment or elimination of the provisions of Article 4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vice versa; et</w:t>
            </w:r>
          </w:p>
        </w:tc>
        <w:tc>
          <w:tcPr>
            <w:tcW w:w="0" w:type="dxa"/>
            <w:vAlign w:val="bottom"/>
          </w:tcPr>
          <w:p>
            <w:pPr>
              <w:spacing w:after="0"/>
              <w:rPr>
                <w:sz w:val="1"/>
                <w:szCs w:val="1"/>
                <w:color w:val="auto"/>
              </w:rPr>
            </w:pPr>
          </w:p>
        </w:tc>
      </w:tr>
      <w:tr>
        <w:trPr>
          <w:trHeight w:val="188"/>
        </w:trPr>
        <w:tc>
          <w:tcPr>
            <w:tcW w:w="562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29 of the Articles of Association as well as those contained in</w:t>
            </w:r>
          </w:p>
        </w:tc>
        <w:tc>
          <w:tcPr>
            <w:tcW w:w="220" w:type="dxa"/>
            <w:vAlign w:val="bottom"/>
            <w:tcBorders>
              <w:right w:val="single" w:sz="8" w:color="auto"/>
            </w:tcBorders>
          </w:tcPr>
          <w:p>
            <w:pPr>
              <w:spacing w:after="0"/>
              <w:rPr>
                <w:sz w:val="17"/>
                <w:szCs w:val="17"/>
                <w:color w:val="auto"/>
              </w:rPr>
            </w:pPr>
          </w:p>
        </w:tc>
        <w:tc>
          <w:tcPr>
            <w:tcW w:w="360" w:type="dxa"/>
            <w:vAlign w:val="bottom"/>
          </w:tcPr>
          <w:p>
            <w:pPr>
              <w:ind w:left="40"/>
              <w:spacing w:after="0" w:line="202" w:lineRule="exact"/>
              <w:rPr>
                <w:sz w:val="20"/>
                <w:szCs w:val="20"/>
                <w:color w:val="auto"/>
              </w:rPr>
            </w:pPr>
            <w:r>
              <w:rPr>
                <w:rFonts w:ascii="Arial" w:cs="Arial" w:eastAsia="Arial" w:hAnsi="Arial"/>
                <w:sz w:val="18"/>
                <w:szCs w:val="18"/>
                <w:color w:val="auto"/>
              </w:rPr>
              <w:t>e)</w:t>
            </w: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la modification ou la suppression des dispositions des articles</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this Article 17.</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 et 29 des statuts ainsi que ceux contenues dans le présent</w:t>
            </w: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article 17.</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18 Votes on Compensation</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18 Votes sur la rémunération</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Each  year,  the  General  Meeting  separately  approves  the  total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Chaque année, l'assemblée générale  approuve  séparément  les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maximum amounts proposed by the Board of Directors pursuant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montants totaux maximaux proposés par le conseil d'administration</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Articles 32 and 33 of the Articles of Association for: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conformément aux articles 32 et 33 des statuts pour:</w:t>
            </w:r>
          </w:p>
        </w:tc>
        <w:tc>
          <w:tcPr>
            <w:tcW w:w="0" w:type="dxa"/>
            <w:vAlign w:val="bottom"/>
          </w:tcPr>
          <w:p>
            <w:pPr>
              <w:spacing w:after="0"/>
              <w:rPr>
                <w:sz w:val="1"/>
                <w:szCs w:val="1"/>
                <w:color w:val="auto"/>
              </w:rPr>
            </w:pPr>
          </w:p>
        </w:tc>
      </w:tr>
      <w:tr>
        <w:trPr>
          <w:trHeight w:val="391"/>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5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the non-performance-related compensation of the Board of</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a)</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la rémunération non liée à la performance du conseil</w:t>
            </w: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Directors for the next term of office;</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d'administration pour le prochain mandat;</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   a possible additional compensation of the Board of Directors for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une éventuelle rémunération supplémentaire du conseil</w:t>
            </w: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preceding business year;</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d'administration pour l'exercice précédent;</w:t>
            </w:r>
          </w:p>
        </w:tc>
        <w:tc>
          <w:tcPr>
            <w:tcW w:w="0" w:type="dxa"/>
            <w:vAlign w:val="bottom"/>
          </w:tcPr>
          <w:p>
            <w:pPr>
              <w:spacing w:after="0"/>
              <w:rPr>
                <w:sz w:val="1"/>
                <w:szCs w:val="1"/>
                <w:color w:val="auto"/>
              </w:rPr>
            </w:pPr>
          </w:p>
        </w:tc>
      </w:tr>
      <w:tr>
        <w:trPr>
          <w:trHeight w:val="391"/>
        </w:trPr>
        <w:tc>
          <w:tcPr>
            <w:tcW w:w="30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c)</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la rémunération non liée à la performance du comité exécutif</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ind w:left="60"/>
              <w:spacing w:after="0" w:line="202" w:lineRule="exact"/>
              <w:rPr>
                <w:sz w:val="20"/>
                <w:szCs w:val="20"/>
                <w:color w:val="auto"/>
              </w:rPr>
            </w:pPr>
            <w:r>
              <w:rPr>
                <w:rFonts w:ascii="Arial" w:cs="Arial" w:eastAsia="Arial" w:hAnsi="Arial"/>
                <w:sz w:val="18"/>
                <w:szCs w:val="18"/>
                <w:color w:val="auto"/>
              </w:rPr>
              <w:t>c)</w:t>
            </w:r>
          </w:p>
        </w:tc>
        <w:tc>
          <w:tcPr>
            <w:tcW w:w="53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the non-performance-related compensation of the Executive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pour la période de 12 mois commençant le 1er juillet après</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3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Committee for the 12-month period starting on 1 July following</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chaque assemblée générale ordinaire;</w:t>
            </w: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Ordinary General Meeting;</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300" w:type="dxa"/>
            <w:vAlign w:val="bottom"/>
            <w:tcBorders>
              <w:left w:val="single" w:sz="8" w:color="auto"/>
              <w:bottom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   the variable compensation for the Executive Committee for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  la rémunération variable pour le comité exécutif pour l'année en</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current year;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cours;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   the grant of options or shares in the Company to the Board of</w:t>
            </w:r>
          </w:p>
        </w:tc>
        <w:tc>
          <w:tcPr>
            <w:tcW w:w="22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e)</w:t>
            </w:r>
          </w:p>
        </w:tc>
        <w:tc>
          <w:tcPr>
            <w:tcW w:w="4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l'octroi  d'options  ou  d'actions  de  la  société  au  conseil</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Directors and the Executive Committee.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jc w:val="center"/>
              <w:ind w:right="1630"/>
              <w:spacing w:after="0"/>
              <w:rPr>
                <w:sz w:val="20"/>
                <w:szCs w:val="20"/>
                <w:color w:val="auto"/>
              </w:rPr>
            </w:pPr>
            <w:r>
              <w:rPr>
                <w:rFonts w:ascii="Arial" w:cs="Arial" w:eastAsia="Arial" w:hAnsi="Arial"/>
                <w:sz w:val="18"/>
                <w:szCs w:val="18"/>
                <w:color w:val="auto"/>
              </w:rPr>
              <w:t>d'administration et au comité exécutif.</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respective total compensation amounts include social security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montants totaux de rémunération respectifs comprennent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and  occupational  pension  contributions  for  the  benefit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sécurité sociale et les cotisations de retraite professionnelle au profit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members of the Board of Directors, the Executive Committee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 membres du conseil d'administration, du comité exécutif et de la</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w:t>
            </w:r>
          </w:p>
        </w:tc>
        <w:tc>
          <w:tcPr>
            <w:tcW w:w="220" w:type="dxa"/>
            <w:vAlign w:val="bottom"/>
            <w:tcBorders>
              <w:right w:val="single" w:sz="8" w:color="auto"/>
            </w:tcBorders>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w w:val="99"/>
              </w:rPr>
              <w:t>société.</w:t>
            </w:r>
          </w:p>
        </w:tc>
        <w:tc>
          <w:tcPr>
            <w:tcW w:w="4900" w:type="dxa"/>
            <w:vAlign w:val="bottom"/>
            <w:tcBorders>
              <w:right w:val="single" w:sz="8" w:color="auto"/>
            </w:tcBorders>
          </w:tcPr>
          <w:p>
            <w:pPr>
              <w:spacing w:after="0"/>
              <w:rPr>
                <w:sz w:val="18"/>
                <w:szCs w:val="18"/>
                <w:color w:val="auto"/>
              </w:rPr>
            </w:pP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If the General Meeting refuses to approve a respective motion by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Si l'assemblée générale refuse d'approuver une motion soumise par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Board of Directors, the Board of Directors may either submit a new</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le conseil d'administration, le conseil d'administration peut, soit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motion  at  the  same  meeting  or  determine  a  maximum  total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présenter une nouvelle motion à la même séance ou déterminer 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remuneration or several maximum partial remunerations, subject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rémunération   maximale   totale   ou   plusieurs   rémunérations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relevant principles of the compensation, or submit a new motion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maximales partielles, sous réserve des principes concernant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 the next General Meeting for approval. The Company may pay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rémunération, soit soumettre une nouvelle motion à la prochaine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remunerations within the framework of the maximum total or partial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assemblée générale pour approbation. La société peut verser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remuneration and subject to the approval by the General Meeting.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rémunérations dans le cadre de la rémunération maximale totale ou</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partielle et sous réserve de l'approbation par l'assemblée générale.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19  Independent Proxy</w:t>
            </w:r>
          </w:p>
        </w:tc>
        <w:tc>
          <w:tcPr>
            <w:tcW w:w="220" w:type="dxa"/>
            <w:vAlign w:val="bottom"/>
            <w:tcBorders>
              <w:right w:val="single" w:sz="8" w:color="auto"/>
            </w:tcBorders>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Art. 19</w:t>
            </w:r>
          </w:p>
        </w:tc>
        <w:tc>
          <w:tcPr>
            <w:tcW w:w="4900" w:type="dxa"/>
            <w:vAlign w:val="bottom"/>
            <w:tcBorders>
              <w:right w:val="single" w:sz="8" w:color="auto"/>
            </w:tcBorders>
          </w:tcPr>
          <w:p>
            <w:pPr>
              <w:jc w:val="center"/>
              <w:ind w:right="2290"/>
              <w:spacing w:after="0"/>
              <w:rPr>
                <w:sz w:val="20"/>
                <w:szCs w:val="20"/>
                <w:color w:val="auto"/>
              </w:rPr>
            </w:pPr>
            <w:r>
              <w:rPr>
                <w:rFonts w:ascii="Arial" w:cs="Arial" w:eastAsia="Arial" w:hAnsi="Arial"/>
                <w:sz w:val="18"/>
                <w:szCs w:val="18"/>
                <w:b w:val="1"/>
                <w:bCs w:val="1"/>
                <w:color w:val="auto"/>
              </w:rPr>
              <w:t>Représentant indépendant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Independent Proxy shall be elected by the Ordinary General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représentant  indépendant  est  élu  par  l'assemblée  générale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Meeting for a term of one year until the end of the next Ordinary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ordinaire pour une durée d'un an jusqu'à la fin de la prochaine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General Meeting. Re-election is permitted. The Independent Proxy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informs the Company about number, type, par value and category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représentant indépendant informe la société sur le nombre, le type,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represented shares. The Chairman of the Board discloses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 valeur nominale et la catégorie des actions représentées. 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information  to  the  General  Meeting.  The  other  duties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président du conseil d'administration communique ces informations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Independent  Proxy  are  determined  by  the  applicable  statutory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à  l'assemblée  générale.  Les  autres  fonctions  du  représentant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provisions.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indépendant  sont  déterminées  par  les  dispositions  statutaires</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applicables.</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38"/>
        </w:trPr>
        <w:tc>
          <w:tcPr>
            <w:tcW w:w="7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50"/>
        </w:trPr>
        <w:tc>
          <w:tcPr>
            <w:tcW w:w="7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V.</w:t>
            </w:r>
          </w:p>
        </w:tc>
        <w:tc>
          <w:tcPr>
            <w:tcW w:w="49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BOARD OF DIRECTORS</w:t>
            </w:r>
          </w:p>
        </w:tc>
        <w:tc>
          <w:tcPr>
            <w:tcW w:w="220" w:type="dxa"/>
            <w:vAlign w:val="bottom"/>
            <w:tcBorders>
              <w:right w:val="single" w:sz="8" w:color="auto"/>
            </w:tcBorders>
          </w:tcPr>
          <w:p>
            <w:pPr>
              <w:spacing w:after="0"/>
              <w:rPr>
                <w:sz w:val="21"/>
                <w:szCs w:val="21"/>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rPr>
              <w:t>V.</w:t>
            </w:r>
          </w:p>
        </w:tc>
        <w:tc>
          <w:tcPr>
            <w:tcW w:w="4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CONSEIL D'ADMINISTRATION</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20   Number of Members, Term of Office</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20  Nombre de membres, durée de la fonction</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shall consist of at least 3 and not more than 9</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se compose d'au minimum 3 et au</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members. The chairman and the members of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maximum 9 membres. Le président et les membres du conseil</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are individually elected by the General Meeting for a term of one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sont élus individuellement par l'assemblée générale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year until the end of the next Ordinary General Meeting, provided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pour un mandat d'un an jusqu'à la fin de la prochaine assemblée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that he/she does not resign or is not replaced during his term.</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générale ordinaire, à condition qu'il/elle ne démissionne pas ou ne</w:t>
            </w:r>
          </w:p>
        </w:tc>
      </w:tr>
      <w:tr>
        <w:trPr>
          <w:trHeight w:val="217"/>
        </w:trPr>
        <w:tc>
          <w:tcPr>
            <w:tcW w:w="70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soit pas remplacé(e) durant son mandat.</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members of the Board of Directors may be re-elected without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membres du conseil d'administration peuvent être réélus sans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limitation. The maximum age limit of members of the Board shall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limitation. La limite d’âge des membres du conseil d'administration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75 years. When a member of the Board of Directors reaches this age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est fixée à 75 ans. Lorsqu'un membre du conseil d'administration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limit during his term of office, such term shall automatically extend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atteint cette limite d'âge durant son mandat, ledit mandat sera</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next ordinary shareholders' meeting. The shareholders' meeting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automatiquement prolongé jusqu'à la prochaine assemblée générale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may resolve to grant an exception to the age limit.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ordinaire.  L'assemblée  générale  des  actionnaires  peut  décider</w:t>
            </w:r>
          </w:p>
        </w:tc>
      </w:tr>
      <w:tr>
        <w:trPr>
          <w:trHeight w:val="217"/>
        </w:trPr>
        <w:tc>
          <w:tcPr>
            <w:tcW w:w="70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d'accorder une dérogation à la limite d'âge.</w:t>
            </w: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50"/>
        </w:trPr>
        <w:tc>
          <w:tcPr>
            <w:tcW w:w="7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21</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Constitution</w:t>
            </w:r>
          </w:p>
        </w:tc>
        <w:tc>
          <w:tcPr>
            <w:tcW w:w="220" w:type="dxa"/>
            <w:vAlign w:val="bottom"/>
            <w:tcBorders>
              <w:right w:val="single" w:sz="8" w:color="auto"/>
            </w:tcBorders>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Art. 21</w:t>
            </w:r>
          </w:p>
        </w:tc>
        <w:tc>
          <w:tcPr>
            <w:tcW w:w="49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Constitution</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Subject to the powers of the General Meeting, the Board of Directors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determines its own organization. It appoints a Secretary who needs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détermine sa propre organisation. Il nomme un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not be a member of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secrétaire qui ne doit pas nécessairement être un membre du</w:t>
            </w:r>
          </w:p>
        </w:tc>
      </w:tr>
      <w:tr>
        <w:trPr>
          <w:trHeight w:val="217"/>
        </w:trPr>
        <w:tc>
          <w:tcPr>
            <w:tcW w:w="70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conseil d'administration.</w:t>
            </w:r>
          </w:p>
        </w:tc>
      </w:tr>
      <w:tr>
        <w:trPr>
          <w:trHeight w:val="230"/>
        </w:trPr>
        <w:tc>
          <w:tcPr>
            <w:tcW w:w="700" w:type="dxa"/>
            <w:vAlign w:val="bottom"/>
            <w:tcBorders>
              <w:left w:val="single" w:sz="8" w:color="auto"/>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r>
      <w:tr>
        <w:trPr>
          <w:trHeight w:val="250"/>
        </w:trPr>
        <w:tc>
          <w:tcPr>
            <w:tcW w:w="7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22</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Function, Organization</w:t>
            </w:r>
          </w:p>
        </w:tc>
        <w:tc>
          <w:tcPr>
            <w:tcW w:w="220" w:type="dxa"/>
            <w:vAlign w:val="bottom"/>
            <w:tcBorders>
              <w:right w:val="single" w:sz="8" w:color="auto"/>
            </w:tcBorders>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Art. 22</w:t>
            </w:r>
          </w:p>
        </w:tc>
        <w:tc>
          <w:tcPr>
            <w:tcW w:w="49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Fonction, organisation</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It is the Board of Director's duty to lead the Company and to</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exerce la direction de la société et en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supervise the management. The Board of Director represents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supervise  la  gestion.  Le  conseil  d'administration  représente  la</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Company and may take decisions on all affairs which are not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société et peut prendre les décisions sur toutes les affaires qui ne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assigned to any other body of the Company by law, the Articles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sont pas attribuées à un autre organe de la société par la loi, les</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Association or the organizational regulations.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statuts ou le règlement d'organisation.</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shall enact the organizational regulations and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édicte le règlement d'organisation et</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arrange for the appropriate contractual relationships.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s'occupe des relations contractuelles appropriées.</w:t>
            </w: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588"/>
        </w:trPr>
        <w:tc>
          <w:tcPr>
            <w:tcW w:w="7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700" w:type="dxa"/>
            <w:vAlign w:val="bottom"/>
          </w:tcPr>
          <w:p>
            <w:pPr>
              <w:ind w:left="54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38"/>
        </w:trPr>
        <w:tc>
          <w:tcPr>
            <w:tcW w:w="5720" w:type="dxa"/>
            <w:vAlign w:val="bottom"/>
            <w:tcBorders>
              <w:bottom w:val="single" w:sz="8" w:color="auto"/>
            </w:tcBorders>
            <w:gridSpan w:val="2"/>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gridSpan w:val="2"/>
          </w:tcPr>
          <w:p>
            <w:pPr>
              <w:ind w:left="60"/>
              <w:spacing w:after="0"/>
              <w:rPr>
                <w:sz w:val="20"/>
                <w:szCs w:val="20"/>
                <w:color w:val="auto"/>
              </w:rPr>
            </w:pPr>
            <w:r>
              <w:rPr>
                <w:rFonts w:ascii="Arial" w:cs="Arial" w:eastAsia="Arial" w:hAnsi="Arial"/>
                <w:sz w:val="18"/>
                <w:szCs w:val="18"/>
                <w:b w:val="1"/>
                <w:bCs w:val="1"/>
                <w:color w:val="auto"/>
              </w:rPr>
              <w:t>Art. 23 Powers</w:t>
            </w:r>
          </w:p>
        </w:tc>
        <w:tc>
          <w:tcPr>
            <w:tcW w:w="5700" w:type="dxa"/>
            <w:vAlign w:val="bottom"/>
          </w:tcPr>
          <w:p>
            <w:pPr>
              <w:ind w:left="160"/>
              <w:spacing w:after="0"/>
              <w:rPr>
                <w:sz w:val="20"/>
                <w:szCs w:val="20"/>
                <w:color w:val="auto"/>
              </w:rPr>
            </w:pPr>
            <w:r>
              <w:rPr>
                <w:rFonts w:ascii="Arial" w:cs="Arial" w:eastAsia="Arial" w:hAnsi="Arial"/>
                <w:sz w:val="18"/>
                <w:szCs w:val="18"/>
                <w:b w:val="1"/>
                <w:bCs w:val="1"/>
                <w:color w:val="auto"/>
              </w:rPr>
              <w:t>Art. 23 Pouvoirs</w:t>
            </w:r>
          </w:p>
        </w:tc>
        <w:tc>
          <w:tcPr>
            <w:tcW w:w="0" w:type="dxa"/>
            <w:vAlign w:val="bottom"/>
          </w:tcPr>
          <w:p>
            <w:pPr>
              <w:spacing w:after="0"/>
              <w:rPr>
                <w:sz w:val="1"/>
                <w:szCs w:val="1"/>
                <w:color w:val="auto"/>
              </w:rPr>
            </w:pPr>
          </w:p>
        </w:tc>
      </w:tr>
      <w:tr>
        <w:trPr>
          <w:trHeight w:val="391"/>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The  Board  of  Directors  has  the  following  non-delegable  and</w:t>
            </w:r>
          </w:p>
        </w:tc>
        <w:tc>
          <w:tcPr>
            <w:tcW w:w="5700" w:type="dxa"/>
            <w:vAlign w:val="bottom"/>
          </w:tcPr>
          <w:p>
            <w:pPr>
              <w:ind w:left="160"/>
              <w:spacing w:after="0"/>
              <w:rPr>
                <w:sz w:val="20"/>
                <w:szCs w:val="20"/>
                <w:color w:val="auto"/>
              </w:rPr>
            </w:pPr>
            <w:r>
              <w:rPr>
                <w:rFonts w:ascii="Arial" w:cs="Arial" w:eastAsia="Arial" w:hAnsi="Arial"/>
                <w:sz w:val="18"/>
                <w:szCs w:val="18"/>
                <w:color w:val="auto"/>
              </w:rPr>
              <w:t>Le conseil d'administration a les attributions intransmissibles et</w:t>
            </w:r>
          </w:p>
        </w:tc>
        <w:tc>
          <w:tcPr>
            <w:tcW w:w="0" w:type="dxa"/>
            <w:vAlign w:val="bottom"/>
          </w:tcPr>
          <w:p>
            <w:pPr>
              <w:spacing w:after="0"/>
              <w:rPr>
                <w:sz w:val="1"/>
                <w:szCs w:val="1"/>
                <w:color w:val="auto"/>
              </w:rPr>
            </w:pPr>
          </w:p>
        </w:tc>
      </w:tr>
      <w:tr>
        <w:trPr>
          <w:trHeight w:val="217"/>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inalienable duties:</w:t>
            </w:r>
          </w:p>
        </w:tc>
        <w:tc>
          <w:tcPr>
            <w:tcW w:w="5700" w:type="dxa"/>
            <w:vAlign w:val="bottom"/>
          </w:tcPr>
          <w:p>
            <w:pPr>
              <w:ind w:left="160"/>
              <w:spacing w:after="0"/>
              <w:rPr>
                <w:sz w:val="20"/>
                <w:szCs w:val="20"/>
                <w:color w:val="auto"/>
              </w:rPr>
            </w:pPr>
            <w:r>
              <w:rPr>
                <w:rFonts w:ascii="Arial" w:cs="Arial" w:eastAsia="Arial" w:hAnsi="Arial"/>
                <w:sz w:val="18"/>
                <w:szCs w:val="18"/>
                <w:color w:val="auto"/>
              </w:rPr>
              <w:t>inaliénables suivantes:</w:t>
            </w:r>
          </w:p>
        </w:tc>
        <w:tc>
          <w:tcPr>
            <w:tcW w:w="0" w:type="dxa"/>
            <w:vAlign w:val="bottom"/>
          </w:tcPr>
          <w:p>
            <w:pPr>
              <w:spacing w:after="0"/>
              <w:rPr>
                <w:sz w:val="1"/>
                <w:szCs w:val="1"/>
                <w:color w:val="auto"/>
              </w:rPr>
            </w:pPr>
          </w:p>
        </w:tc>
      </w:tr>
      <w:tr>
        <w:trPr>
          <w:trHeight w:val="391"/>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a)   the overall management of the company and the issuing of all</w:t>
            </w:r>
          </w:p>
        </w:tc>
        <w:tc>
          <w:tcPr>
            <w:tcW w:w="5700" w:type="dxa"/>
            <w:vAlign w:val="bottom"/>
          </w:tcPr>
          <w:p>
            <w:pPr>
              <w:ind w:left="160"/>
              <w:spacing w:after="0"/>
              <w:rPr>
                <w:sz w:val="20"/>
                <w:szCs w:val="20"/>
                <w:color w:val="auto"/>
              </w:rPr>
            </w:pPr>
            <w:r>
              <w:rPr>
                <w:rFonts w:ascii="Arial" w:cs="Arial" w:eastAsia="Arial" w:hAnsi="Arial"/>
                <w:sz w:val="18"/>
                <w:szCs w:val="18"/>
                <w:color w:val="auto"/>
              </w:rPr>
              <w:t>a)  exercer la haute direction de la société et établir les instructions</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necessary directives;</w:t>
            </w:r>
          </w:p>
        </w:tc>
        <w:tc>
          <w:tcPr>
            <w:tcW w:w="5700" w:type="dxa"/>
            <w:vAlign w:val="bottom"/>
          </w:tcPr>
          <w:p>
            <w:pPr>
              <w:ind w:left="500"/>
              <w:spacing w:after="0"/>
              <w:rPr>
                <w:sz w:val="20"/>
                <w:szCs w:val="20"/>
                <w:color w:val="auto"/>
              </w:rPr>
            </w:pPr>
            <w:r>
              <w:rPr>
                <w:rFonts w:ascii="Arial" w:cs="Arial" w:eastAsia="Arial" w:hAnsi="Arial"/>
                <w:sz w:val="18"/>
                <w:szCs w:val="18"/>
                <w:color w:val="auto"/>
              </w:rPr>
              <w:t>nécessaires;</w:t>
            </w:r>
          </w:p>
        </w:tc>
        <w:tc>
          <w:tcPr>
            <w:tcW w:w="0" w:type="dxa"/>
            <w:vAlign w:val="bottom"/>
          </w:tcPr>
          <w:p>
            <w:pPr>
              <w:spacing w:after="0"/>
              <w:rPr>
                <w:sz w:val="1"/>
                <w:szCs w:val="1"/>
                <w:color w:val="auto"/>
              </w:rPr>
            </w:pPr>
          </w:p>
        </w:tc>
      </w:tr>
      <w:tr>
        <w:trPr>
          <w:trHeight w:val="405"/>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b)  determination of the company's organisation;</w:t>
            </w:r>
          </w:p>
        </w:tc>
        <w:tc>
          <w:tcPr>
            <w:tcW w:w="5700" w:type="dxa"/>
            <w:vAlign w:val="bottom"/>
          </w:tcPr>
          <w:p>
            <w:pPr>
              <w:ind w:left="160"/>
              <w:spacing w:after="0"/>
              <w:rPr>
                <w:sz w:val="20"/>
                <w:szCs w:val="20"/>
                <w:color w:val="auto"/>
              </w:rPr>
            </w:pPr>
            <w:r>
              <w:rPr>
                <w:rFonts w:ascii="Arial" w:cs="Arial" w:eastAsia="Arial" w:hAnsi="Arial"/>
                <w:sz w:val="18"/>
                <w:szCs w:val="18"/>
                <w:color w:val="auto"/>
              </w:rPr>
              <w:t>b)  fixer l'organisation;</w:t>
            </w:r>
          </w:p>
        </w:tc>
        <w:tc>
          <w:tcPr>
            <w:tcW w:w="0" w:type="dxa"/>
            <w:vAlign w:val="bottom"/>
          </w:tcPr>
          <w:p>
            <w:pPr>
              <w:spacing w:after="0"/>
              <w:rPr>
                <w:sz w:val="1"/>
                <w:szCs w:val="1"/>
                <w:color w:val="auto"/>
              </w:rPr>
            </w:pPr>
          </w:p>
        </w:tc>
      </w:tr>
      <w:tr>
        <w:trPr>
          <w:trHeight w:val="391"/>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c)  the organisation of the accounting, financial control and financial</w:t>
            </w:r>
          </w:p>
        </w:tc>
        <w:tc>
          <w:tcPr>
            <w:tcW w:w="5700" w:type="dxa"/>
            <w:vAlign w:val="bottom"/>
          </w:tcPr>
          <w:p>
            <w:pPr>
              <w:ind w:left="160"/>
              <w:spacing w:after="0"/>
              <w:rPr>
                <w:sz w:val="20"/>
                <w:szCs w:val="20"/>
                <w:color w:val="auto"/>
              </w:rPr>
            </w:pPr>
            <w:r>
              <w:rPr>
                <w:rFonts w:ascii="Arial" w:cs="Arial" w:eastAsia="Arial" w:hAnsi="Arial"/>
                <w:sz w:val="18"/>
                <w:szCs w:val="18"/>
                <w:color w:val="auto"/>
              </w:rPr>
              <w:t>c)  fixer les principes de la comptabilité et du contrôle financier ainsi</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planning systems as required for management of the company;</w:t>
            </w:r>
          </w:p>
        </w:tc>
        <w:tc>
          <w:tcPr>
            <w:tcW w:w="5700" w:type="dxa"/>
            <w:vAlign w:val="bottom"/>
          </w:tcPr>
          <w:p>
            <w:pPr>
              <w:ind w:left="500"/>
              <w:spacing w:after="0" w:line="202" w:lineRule="exact"/>
              <w:rPr>
                <w:sz w:val="20"/>
                <w:szCs w:val="20"/>
                <w:color w:val="auto"/>
              </w:rPr>
            </w:pPr>
            <w:r>
              <w:rPr>
                <w:rFonts w:ascii="Arial" w:cs="Arial" w:eastAsia="Arial" w:hAnsi="Arial"/>
                <w:sz w:val="18"/>
                <w:szCs w:val="18"/>
                <w:color w:val="auto"/>
              </w:rPr>
              <w:t>que le plan financier pour autant que celui-ci soit nécessaire à la</w:t>
            </w:r>
          </w:p>
        </w:tc>
        <w:tc>
          <w:tcPr>
            <w:tcW w:w="0" w:type="dxa"/>
            <w:vAlign w:val="bottom"/>
          </w:tcPr>
          <w:p>
            <w:pPr>
              <w:spacing w:after="0"/>
              <w:rPr>
                <w:sz w:val="1"/>
                <w:szCs w:val="1"/>
                <w:color w:val="auto"/>
              </w:rPr>
            </w:pPr>
          </w:p>
        </w:tc>
      </w:tr>
      <w:tr>
        <w:trPr>
          <w:trHeight w:val="217"/>
        </w:trPr>
        <w:tc>
          <w:tcPr>
            <w:tcW w:w="340" w:type="dxa"/>
            <w:vAlign w:val="bottom"/>
            <w:vMerge w:val="restart"/>
          </w:tcPr>
          <w:p>
            <w:pPr>
              <w:ind w:left="60"/>
              <w:spacing w:after="0"/>
              <w:rPr>
                <w:sz w:val="20"/>
                <w:szCs w:val="20"/>
                <w:color w:val="auto"/>
              </w:rPr>
            </w:pPr>
            <w:r>
              <w:rPr>
                <w:rFonts w:ascii="Arial" w:cs="Arial" w:eastAsia="Arial" w:hAnsi="Arial"/>
                <w:sz w:val="18"/>
                <w:szCs w:val="18"/>
                <w:color w:val="auto"/>
              </w:rPr>
              <w:t>d)</w:t>
            </w:r>
          </w:p>
        </w:tc>
        <w:tc>
          <w:tcPr>
            <w:tcW w:w="5380" w:type="dxa"/>
            <w:vAlign w:val="bottom"/>
            <w:vMerge w:val="restart"/>
          </w:tcPr>
          <w:p>
            <w:pPr>
              <w:ind w:left="300"/>
              <w:spacing w:after="0"/>
              <w:rPr>
                <w:sz w:val="20"/>
                <w:szCs w:val="20"/>
                <w:color w:val="auto"/>
              </w:rPr>
            </w:pPr>
            <w:r>
              <w:rPr>
                <w:rFonts w:ascii="Arial" w:cs="Arial" w:eastAsia="Arial" w:hAnsi="Arial"/>
                <w:sz w:val="18"/>
                <w:szCs w:val="18"/>
                <w:color w:val="auto"/>
              </w:rPr>
              <w:t>the appointment and dismissal of persons entrusted with</w:t>
            </w:r>
          </w:p>
        </w:tc>
        <w:tc>
          <w:tcPr>
            <w:tcW w:w="5700" w:type="dxa"/>
            <w:vAlign w:val="bottom"/>
          </w:tcPr>
          <w:p>
            <w:pPr>
              <w:ind w:left="500"/>
              <w:spacing w:after="0"/>
              <w:rPr>
                <w:sz w:val="20"/>
                <w:szCs w:val="20"/>
                <w:color w:val="auto"/>
              </w:rPr>
            </w:pPr>
            <w:r>
              <w:rPr>
                <w:rFonts w:ascii="Arial" w:cs="Arial" w:eastAsia="Arial" w:hAnsi="Arial"/>
                <w:sz w:val="18"/>
                <w:szCs w:val="18"/>
                <w:color w:val="auto"/>
              </w:rPr>
              <w:t>gestion de la société;</w:t>
            </w:r>
          </w:p>
        </w:tc>
        <w:tc>
          <w:tcPr>
            <w:tcW w:w="0" w:type="dxa"/>
            <w:vAlign w:val="bottom"/>
          </w:tcPr>
          <w:p>
            <w:pPr>
              <w:spacing w:after="0"/>
              <w:rPr>
                <w:sz w:val="1"/>
                <w:szCs w:val="1"/>
                <w:color w:val="auto"/>
              </w:rPr>
            </w:pPr>
          </w:p>
        </w:tc>
      </w:tr>
      <w:tr>
        <w:trPr>
          <w:trHeight w:val="188"/>
        </w:trPr>
        <w:tc>
          <w:tcPr>
            <w:tcW w:w="340" w:type="dxa"/>
            <w:vAlign w:val="bottom"/>
            <w:vMerge w:val="continue"/>
          </w:tcPr>
          <w:p>
            <w:pPr>
              <w:spacing w:after="0"/>
              <w:rPr>
                <w:sz w:val="16"/>
                <w:szCs w:val="16"/>
                <w:color w:val="auto"/>
              </w:rPr>
            </w:pPr>
          </w:p>
        </w:tc>
        <w:tc>
          <w:tcPr>
            <w:tcW w:w="5380" w:type="dxa"/>
            <w:vAlign w:val="bottom"/>
            <w:vMerge w:val="continue"/>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managing and representing the company;</w:t>
            </w: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d)  nommer et révoquer les personnes chargées de la gestion et de</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5700" w:type="dxa"/>
            <w:vAlign w:val="bottom"/>
          </w:tcPr>
          <w:p>
            <w:pPr>
              <w:ind w:left="500"/>
              <w:spacing w:after="0" w:line="202" w:lineRule="exact"/>
              <w:rPr>
                <w:sz w:val="20"/>
                <w:szCs w:val="20"/>
                <w:color w:val="auto"/>
              </w:rPr>
            </w:pPr>
            <w:r>
              <w:rPr>
                <w:rFonts w:ascii="Arial" w:cs="Arial" w:eastAsia="Arial" w:hAnsi="Arial"/>
                <w:sz w:val="18"/>
                <w:szCs w:val="18"/>
                <w:color w:val="auto"/>
              </w:rPr>
              <w:t>la représentation;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-2091055</wp:posOffset>
            </wp:positionV>
            <wp:extent cx="7246620" cy="5591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ind w:left="460" w:hanging="398"/>
        <w:spacing w:after="0" w:line="23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w:t>
      </w: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3" w:lineRule="exact"/>
              <w:rPr>
                <w:sz w:val="20"/>
                <w:szCs w:val="20"/>
                <w:color w:val="auto"/>
              </w:rPr>
            </w:pPr>
            <w:r>
              <w:rPr>
                <w:rFonts w:ascii="Arial" w:cs="Arial" w:eastAsia="Arial" w:hAnsi="Arial"/>
                <w:sz w:val="18"/>
                <w:szCs w:val="18"/>
                <w:color w:val="auto"/>
              </w:rPr>
              <w:t>company, in particular with regard to compliance with the law,</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articles of association, operational regulations and directives;</w:t>
            </w: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e)  exercer la haute surveillance sur les personnes chargées de la</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5700" w:type="dxa"/>
            <w:vAlign w:val="bottom"/>
          </w:tcPr>
          <w:p>
            <w:pPr>
              <w:ind w:left="500"/>
              <w:spacing w:after="0" w:line="202" w:lineRule="exact"/>
              <w:rPr>
                <w:sz w:val="20"/>
                <w:szCs w:val="20"/>
                <w:color w:val="auto"/>
              </w:rPr>
            </w:pPr>
            <w:r>
              <w:rPr>
                <w:rFonts w:ascii="Arial" w:cs="Arial" w:eastAsia="Arial" w:hAnsi="Arial"/>
                <w:sz w:val="18"/>
                <w:szCs w:val="18"/>
                <w:color w:val="auto"/>
              </w:rPr>
              <w:t>gestion pour s'assurer notamment qu'elles observent la loi, les</w:t>
            </w:r>
          </w:p>
        </w:tc>
        <w:tc>
          <w:tcPr>
            <w:tcW w:w="0" w:type="dxa"/>
            <w:vAlign w:val="bottom"/>
          </w:tcPr>
          <w:p>
            <w:pPr>
              <w:spacing w:after="0"/>
              <w:rPr>
                <w:sz w:val="1"/>
                <w:szCs w:val="1"/>
                <w:color w:val="auto"/>
              </w:rPr>
            </w:pPr>
          </w:p>
        </w:tc>
      </w:tr>
      <w:tr>
        <w:trPr>
          <w:trHeight w:val="203"/>
        </w:trPr>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f)</w:t>
            </w:r>
          </w:p>
        </w:tc>
        <w:tc>
          <w:tcPr>
            <w:tcW w:w="5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compilation of the annual report, preparation for the general</w:t>
            </w:r>
          </w:p>
        </w:tc>
        <w:tc>
          <w:tcPr>
            <w:tcW w:w="5700" w:type="dxa"/>
            <w:vAlign w:val="bottom"/>
          </w:tcPr>
          <w:p>
            <w:pPr>
              <w:ind w:left="500"/>
              <w:spacing w:after="0" w:line="202" w:lineRule="exact"/>
              <w:rPr>
                <w:sz w:val="20"/>
                <w:szCs w:val="20"/>
                <w:color w:val="auto"/>
              </w:rPr>
            </w:pPr>
            <w:r>
              <w:rPr>
                <w:rFonts w:ascii="Arial" w:cs="Arial" w:eastAsia="Arial" w:hAnsi="Arial"/>
                <w:sz w:val="18"/>
                <w:szCs w:val="18"/>
                <w:color w:val="auto"/>
              </w:rPr>
              <w:t>statuts, les règlements et les instructions données;</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meeting and implementation of its resolutions;</w:t>
            </w:r>
          </w:p>
        </w:tc>
        <w:tc>
          <w:tcPr>
            <w:tcW w:w="5700" w:type="dxa"/>
            <w:vAlign w:val="bottom"/>
            <w:vMerge w:val="restart"/>
          </w:tcPr>
          <w:p>
            <w:pPr>
              <w:ind w:left="160"/>
              <w:spacing w:after="0"/>
              <w:rPr>
                <w:sz w:val="20"/>
                <w:szCs w:val="20"/>
                <w:color w:val="auto"/>
              </w:rPr>
            </w:pPr>
            <w:r>
              <w:rPr>
                <w:rFonts w:ascii="Arial" w:cs="Arial" w:eastAsia="Arial" w:hAnsi="Arial"/>
                <w:sz w:val="18"/>
                <w:szCs w:val="18"/>
                <w:color w:val="auto"/>
              </w:rPr>
              <w:t>f)   établir le rapport de gestion, préparer l'assemblée générale et</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g)</w:t>
            </w:r>
          </w:p>
        </w:tc>
        <w:tc>
          <w:tcPr>
            <w:tcW w:w="5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the preparation of the compensation report and to request</w:t>
            </w:r>
          </w:p>
        </w:tc>
        <w:tc>
          <w:tcPr>
            <w:tcW w:w="5700" w:type="dxa"/>
            <w:vAlign w:val="bottom"/>
          </w:tcPr>
          <w:p>
            <w:pPr>
              <w:ind w:left="500"/>
              <w:spacing w:after="0" w:line="202" w:lineRule="exact"/>
              <w:rPr>
                <w:sz w:val="20"/>
                <w:szCs w:val="20"/>
                <w:color w:val="auto"/>
              </w:rPr>
            </w:pPr>
            <w:r>
              <w:rPr>
                <w:rFonts w:ascii="Arial" w:cs="Arial" w:eastAsia="Arial" w:hAnsi="Arial"/>
                <w:sz w:val="18"/>
                <w:szCs w:val="18"/>
                <w:color w:val="auto"/>
              </w:rPr>
              <w:t>exécuter ses décisions;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approval by the General Meeting regarding compensation of the</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Board of Directors and the Executive Committee; and</w:t>
            </w:r>
          </w:p>
        </w:tc>
        <w:tc>
          <w:tcPr>
            <w:tcW w:w="5700" w:type="dxa"/>
            <w:vAlign w:val="bottom"/>
            <w:vMerge w:val="restart"/>
          </w:tcPr>
          <w:p>
            <w:pPr>
              <w:ind w:left="160"/>
              <w:spacing w:after="0"/>
              <w:rPr>
                <w:sz w:val="20"/>
                <w:szCs w:val="20"/>
                <w:color w:val="auto"/>
              </w:rPr>
            </w:pPr>
            <w:r>
              <w:rPr>
                <w:rFonts w:ascii="Arial" w:cs="Arial" w:eastAsia="Arial" w:hAnsi="Arial"/>
                <w:sz w:val="18"/>
                <w:szCs w:val="18"/>
                <w:color w:val="auto"/>
              </w:rPr>
              <w:t>g)   la préparation du rapport de rémunération et de demander</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h)</w:t>
            </w:r>
          </w:p>
        </w:tc>
        <w:tc>
          <w:tcPr>
            <w:tcW w:w="5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notification of the court in the event that the company is</w:t>
            </w:r>
          </w:p>
        </w:tc>
        <w:tc>
          <w:tcPr>
            <w:tcW w:w="5700" w:type="dxa"/>
            <w:vAlign w:val="bottom"/>
          </w:tcPr>
          <w:p>
            <w:pPr>
              <w:ind w:left="500"/>
              <w:spacing w:after="0" w:line="202" w:lineRule="exact"/>
              <w:rPr>
                <w:sz w:val="20"/>
                <w:szCs w:val="20"/>
                <w:color w:val="auto"/>
              </w:rPr>
            </w:pPr>
            <w:r>
              <w:rPr>
                <w:rFonts w:ascii="Arial" w:cs="Arial" w:eastAsia="Arial" w:hAnsi="Arial"/>
                <w:sz w:val="18"/>
                <w:szCs w:val="18"/>
                <w:color w:val="auto"/>
              </w:rPr>
              <w:t>l'approbation par l'assemblée générale en ce qui concerne la</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overindebted.</w:t>
            </w:r>
          </w:p>
        </w:tc>
        <w:tc>
          <w:tcPr>
            <w:tcW w:w="5700" w:type="dxa"/>
            <w:vAlign w:val="bottom"/>
          </w:tcPr>
          <w:p>
            <w:pPr>
              <w:ind w:left="500"/>
              <w:spacing w:after="0" w:line="202" w:lineRule="exact"/>
              <w:rPr>
                <w:sz w:val="20"/>
                <w:szCs w:val="20"/>
                <w:color w:val="auto"/>
              </w:rPr>
            </w:pPr>
            <w:r>
              <w:rPr>
                <w:rFonts w:ascii="Arial" w:cs="Arial" w:eastAsia="Arial" w:hAnsi="Arial"/>
                <w:sz w:val="18"/>
                <w:szCs w:val="18"/>
                <w:color w:val="auto"/>
              </w:rPr>
              <w:t>rémunération du conseil d'administration et du comité exécutif;</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700" w:type="dxa"/>
            <w:vAlign w:val="bottom"/>
          </w:tcPr>
          <w:p>
            <w:pPr>
              <w:ind w:left="500"/>
              <w:spacing w:after="0"/>
              <w:rPr>
                <w:sz w:val="20"/>
                <w:szCs w:val="20"/>
                <w:color w:val="auto"/>
              </w:rPr>
            </w:pPr>
            <w:r>
              <w:rPr>
                <w:rFonts w:ascii="Arial" w:cs="Arial" w:eastAsia="Arial" w:hAnsi="Arial"/>
                <w:sz w:val="18"/>
                <w:szCs w:val="18"/>
                <w:color w:val="auto"/>
              </w:rPr>
              <w:t>et</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h)  informer le juge en cas de surendettement.</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gridSpan w:val="2"/>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The board of directors may assign responsibility for preparing and</w:t>
            </w:r>
          </w:p>
        </w:tc>
        <w:tc>
          <w:tcPr>
            <w:tcW w:w="5700" w:type="dxa"/>
            <w:vAlign w:val="bottom"/>
          </w:tcPr>
          <w:p>
            <w:pPr>
              <w:ind w:left="160"/>
              <w:spacing w:after="0"/>
              <w:rPr>
                <w:sz w:val="20"/>
                <w:szCs w:val="20"/>
                <w:color w:val="auto"/>
              </w:rPr>
            </w:pPr>
            <w:r>
              <w:rPr>
                <w:rFonts w:ascii="Arial" w:cs="Arial" w:eastAsia="Arial" w:hAnsi="Arial"/>
                <w:sz w:val="18"/>
                <w:szCs w:val="18"/>
                <w:color w:val="auto"/>
              </w:rPr>
              <w:t>Le  conseil  d'administration  peut  déléguer  à  un  ou  plusieurs</w:t>
            </w: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implementing  its  resolutions  or  monitoring  transactions  to</w:t>
            </w: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membres, regroupés en comités, la charge de préparer et d'exécuter</w:t>
            </w: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committees  or  individual  members.  It  must  ensure  appropriate</w:t>
            </w: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ses décisions ou de surveiller certaines affaires. Il veille à ce que</w:t>
            </w:r>
          </w:p>
        </w:tc>
        <w:tc>
          <w:tcPr>
            <w:tcW w:w="0" w:type="dxa"/>
            <w:vAlign w:val="bottom"/>
          </w:tcPr>
          <w:p>
            <w:pPr>
              <w:spacing w:after="0"/>
              <w:rPr>
                <w:sz w:val="1"/>
                <w:szCs w:val="1"/>
                <w:color w:val="auto"/>
              </w:rPr>
            </w:pPr>
          </w:p>
        </w:tc>
      </w:tr>
      <w:tr>
        <w:trPr>
          <w:trHeight w:val="217"/>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reporting to its members.</w:t>
            </w:r>
          </w:p>
        </w:tc>
        <w:tc>
          <w:tcPr>
            <w:tcW w:w="5700" w:type="dxa"/>
            <w:vAlign w:val="bottom"/>
          </w:tcPr>
          <w:p>
            <w:pPr>
              <w:ind w:left="160"/>
              <w:spacing w:after="0"/>
              <w:rPr>
                <w:sz w:val="20"/>
                <w:szCs w:val="20"/>
                <w:color w:val="auto"/>
              </w:rPr>
            </w:pPr>
            <w:r>
              <w:rPr>
                <w:rFonts w:ascii="Arial" w:cs="Arial" w:eastAsia="Arial" w:hAnsi="Arial"/>
                <w:sz w:val="18"/>
                <w:szCs w:val="18"/>
                <w:color w:val="auto"/>
              </w:rPr>
              <w:t>ses membres soient convenablement informés.</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gridSpan w:val="2"/>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20" w:type="dxa"/>
            <w:vAlign w:val="bottom"/>
            <w:gridSpan w:val="2"/>
          </w:tcPr>
          <w:p>
            <w:pPr>
              <w:ind w:left="60"/>
              <w:spacing w:after="0"/>
              <w:rPr>
                <w:sz w:val="20"/>
                <w:szCs w:val="20"/>
                <w:color w:val="auto"/>
              </w:rPr>
            </w:pPr>
            <w:r>
              <w:rPr>
                <w:rFonts w:ascii="Arial" w:cs="Arial" w:eastAsia="Arial" w:hAnsi="Arial"/>
                <w:sz w:val="18"/>
                <w:szCs w:val="18"/>
                <w:b w:val="1"/>
                <w:bCs w:val="1"/>
                <w:color w:val="auto"/>
              </w:rPr>
              <w:t>Art. 24 Representation of the Company</w:t>
            </w:r>
          </w:p>
        </w:tc>
        <w:tc>
          <w:tcPr>
            <w:tcW w:w="5700" w:type="dxa"/>
            <w:vAlign w:val="bottom"/>
          </w:tcPr>
          <w:p>
            <w:pPr>
              <w:ind w:left="160"/>
              <w:spacing w:after="0"/>
              <w:rPr>
                <w:sz w:val="20"/>
                <w:szCs w:val="20"/>
                <w:color w:val="auto"/>
              </w:rPr>
            </w:pPr>
            <w:r>
              <w:rPr>
                <w:rFonts w:ascii="Arial" w:cs="Arial" w:eastAsia="Arial" w:hAnsi="Arial"/>
                <w:sz w:val="18"/>
                <w:szCs w:val="18"/>
                <w:b w:val="1"/>
                <w:bCs w:val="1"/>
                <w:color w:val="auto"/>
              </w:rPr>
              <w:t>Art. 24 Représentation de la société</w:t>
            </w:r>
          </w:p>
        </w:tc>
        <w:tc>
          <w:tcPr>
            <w:tcW w:w="0" w:type="dxa"/>
            <w:vAlign w:val="bottom"/>
          </w:tcPr>
          <w:p>
            <w:pPr>
              <w:spacing w:after="0"/>
              <w:rPr>
                <w:sz w:val="1"/>
                <w:szCs w:val="1"/>
                <w:color w:val="auto"/>
              </w:rPr>
            </w:pPr>
          </w:p>
        </w:tc>
      </w:tr>
      <w:tr>
        <w:trPr>
          <w:trHeight w:val="391"/>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The Board of Directors shall assign the persons with signatory power</w:t>
            </w:r>
          </w:p>
        </w:tc>
        <w:tc>
          <w:tcPr>
            <w:tcW w:w="5700" w:type="dxa"/>
            <w:vAlign w:val="bottom"/>
          </w:tcPr>
          <w:p>
            <w:pPr>
              <w:ind w:left="160"/>
              <w:spacing w:after="0"/>
              <w:rPr>
                <w:sz w:val="20"/>
                <w:szCs w:val="20"/>
                <w:color w:val="auto"/>
              </w:rPr>
            </w:pPr>
            <w:r>
              <w:rPr>
                <w:rFonts w:ascii="Arial" w:cs="Arial" w:eastAsia="Arial" w:hAnsi="Arial"/>
                <w:sz w:val="18"/>
                <w:szCs w:val="18"/>
                <w:color w:val="auto"/>
              </w:rPr>
              <w:t>Le  conseil  d'administration  nomme  les  personnes  pouvant</w:t>
            </w:r>
          </w:p>
        </w:tc>
        <w:tc>
          <w:tcPr>
            <w:tcW w:w="0" w:type="dxa"/>
            <w:vAlign w:val="bottom"/>
          </w:tcPr>
          <w:p>
            <w:pPr>
              <w:spacing w:after="0"/>
              <w:rPr>
                <w:sz w:val="1"/>
                <w:szCs w:val="1"/>
                <w:color w:val="auto"/>
              </w:rPr>
            </w:pPr>
          </w:p>
        </w:tc>
      </w:tr>
      <w:tr>
        <w:trPr>
          <w:trHeight w:val="217"/>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for the company and the kind of signatory power.</w:t>
            </w:r>
          </w:p>
        </w:tc>
        <w:tc>
          <w:tcPr>
            <w:tcW w:w="5700" w:type="dxa"/>
            <w:vAlign w:val="bottom"/>
          </w:tcPr>
          <w:p>
            <w:pPr>
              <w:ind w:left="160"/>
              <w:spacing w:after="0"/>
              <w:rPr>
                <w:sz w:val="20"/>
                <w:szCs w:val="20"/>
                <w:color w:val="auto"/>
              </w:rPr>
            </w:pPr>
            <w:r>
              <w:rPr>
                <w:rFonts w:ascii="Arial" w:cs="Arial" w:eastAsia="Arial" w:hAnsi="Arial"/>
                <w:sz w:val="18"/>
                <w:szCs w:val="18"/>
                <w:color w:val="auto"/>
              </w:rPr>
              <w:t>représenter la société ainsi que le mode de signature.</w:t>
            </w:r>
          </w:p>
        </w:tc>
        <w:tc>
          <w:tcPr>
            <w:tcW w:w="0" w:type="dxa"/>
            <w:vAlign w:val="bottom"/>
          </w:tcPr>
          <w:p>
            <w:pPr>
              <w:spacing w:after="0"/>
              <w:rPr>
                <w:sz w:val="1"/>
                <w:szCs w:val="1"/>
                <w:color w:val="auto"/>
              </w:rPr>
            </w:pPr>
          </w:p>
        </w:tc>
      </w:tr>
      <w:tr>
        <w:trPr>
          <w:trHeight w:val="837"/>
        </w:trPr>
        <w:tc>
          <w:tcPr>
            <w:tcW w:w="3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21</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25  Delegation</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25  Délégation</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Moreover, the Board of Directors is authorized to delegate, in part or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entirely, the management and the representation of the Company,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déléguer, en partie ou entièrement, la gestion et la représentation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within the limits of the law, to one or more individual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 société à un ou plusieurs administrateurs (délégués) ou à des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(Delegates) or to third parties pursuant to organizational regulations.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tiers conformément au règlement d'organisation.</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26  Meetings, Resolutions and Minutes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organization of the meetings, the presence quorum and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L'organisation des réunions, le quorum de présence et l'adoption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passing of resolutions of the Board of Directors is determined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décisions du conseil d'administration sont prévus dans le règlement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organizational regulations. No presence quorum is required for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d'organisation. Aucun quorum de présence n'est nécessaire pour</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approval of the capital increase.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l'approbation d'un rapport d'augmentation de capital.</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Resolutions  may  be  passed  via  telephone  or  videoconference.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Les décisions peuvent être prises par téléphone ou par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Resolutions may also be passed by way of circulation, provided that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vidéoconférence. Les décisions peuvent également être prises par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 member requests oral deliberation.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222222"/>
              </w:rPr>
              <w:t>voie de circulation, à condition qu'aucun membre ne demande une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222222"/>
              </w:rPr>
              <w:t>délibération orale.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Minutes are kept of the board's discussions and resolutions and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 délibérations et les décisions du conseil d'administration sont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signed by the chairman and the minute-taker.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consignées dans un procès-verbal signé par le président et le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rédacteur du procès-verbal.</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27  Right to information and inspection</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member of the board of directors may request information 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Chaque membre du conseil d'administration a le droit d'obtenir des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company business.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renseignements sur toutes les affaires de la société.</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Outside meetings, any member may request information from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 dehors des séances, chaque membre du conseil d'administration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persons  entrusted  with  managing  the  company's  business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peut exiger des personnes chargées de la gestion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concerning  the  company's  business  performance  and,  with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renseignements sur la marche de l'entreprise et, avec l'autorisation</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chairman's authorisation, specific transactions.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 président, sur des affaires déterminées.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Where required for the performance of his duties, any member may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Dans la mesure où cela est nécessaire à l'accomplissement de ses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request the chairman to have books of account and documents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tâches, chaque membre du conseil d'administration peut demander</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made available to him for inspection.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au président la production des livres ou des dossiers.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38"/>
        </w:trPr>
        <w:tc>
          <w:tcPr>
            <w:tcW w:w="5720" w:type="dxa"/>
            <w:vAlign w:val="bottom"/>
            <w:tcBorders>
              <w:bottom w:val="single" w:sz="8" w:color="auto"/>
            </w:tcBorders>
            <w:gridSpan w:val="2"/>
          </w:tcPr>
          <w:p>
            <w:pPr>
              <w:spacing w:after="0"/>
              <w:rPr>
                <w:sz w:val="24"/>
                <w:szCs w:val="24"/>
                <w:color w:val="auto"/>
              </w:rPr>
            </w:pPr>
          </w:p>
        </w:tc>
        <w:tc>
          <w:tcPr>
            <w:tcW w:w="57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If the chairman refuses a request for information, a request to be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Si le président rejette une demande de renseignement, d'audition ou</w:t>
            </w: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heard or an application to inspect documents, the board of directors</w:t>
            </w:r>
          </w:p>
        </w:tc>
        <w:tc>
          <w:tcPr>
            <w:tcW w:w="5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 consultation, le conseil d'administration tranche.</w:t>
            </w:r>
          </w:p>
        </w:tc>
        <w:tc>
          <w:tcPr>
            <w:tcW w:w="0" w:type="dxa"/>
            <w:vAlign w:val="bottom"/>
          </w:tcPr>
          <w:p>
            <w:pPr>
              <w:spacing w:after="0"/>
              <w:rPr>
                <w:sz w:val="1"/>
                <w:szCs w:val="1"/>
                <w:color w:val="auto"/>
              </w:rPr>
            </w:pPr>
          </w:p>
        </w:tc>
      </w:tr>
      <w:tr>
        <w:trPr>
          <w:trHeight w:val="217"/>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rules on the matter.</w:t>
            </w:r>
          </w:p>
        </w:tc>
        <w:tc>
          <w:tcPr>
            <w:tcW w:w="4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gridSpan w:val="2"/>
          </w:tcPr>
          <w:p>
            <w:pPr>
              <w:spacing w:after="0"/>
              <w:rPr>
                <w:sz w:val="2"/>
                <w:szCs w:val="2"/>
                <w:color w:val="auto"/>
              </w:rPr>
            </w:pPr>
          </w:p>
        </w:tc>
        <w:tc>
          <w:tcPr>
            <w:tcW w:w="5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20" w:type="dxa"/>
            <w:vAlign w:val="bottom"/>
            <w:gridSpan w:val="2"/>
          </w:tcPr>
          <w:p>
            <w:pPr>
              <w:ind w:left="60"/>
              <w:spacing w:after="0"/>
              <w:rPr>
                <w:sz w:val="20"/>
                <w:szCs w:val="20"/>
                <w:color w:val="auto"/>
              </w:rPr>
            </w:pPr>
            <w:r>
              <w:rPr>
                <w:rFonts w:ascii="Arial" w:cs="Arial" w:eastAsia="Arial" w:hAnsi="Arial"/>
                <w:sz w:val="18"/>
                <w:szCs w:val="18"/>
                <w:b w:val="1"/>
                <w:bCs w:val="1"/>
                <w:color w:val="auto"/>
              </w:rPr>
              <w:t>Art. 28  Compensation Committee</w:t>
            </w:r>
          </w:p>
        </w:tc>
        <w:tc>
          <w:tcPr>
            <w:tcW w:w="5700" w:type="dxa"/>
            <w:vAlign w:val="bottom"/>
            <w:gridSpan w:val="2"/>
          </w:tcPr>
          <w:p>
            <w:pPr>
              <w:ind w:left="160"/>
              <w:spacing w:after="0"/>
              <w:rPr>
                <w:sz w:val="20"/>
                <w:szCs w:val="20"/>
                <w:color w:val="auto"/>
              </w:rPr>
            </w:pPr>
            <w:r>
              <w:rPr>
                <w:rFonts w:ascii="Arial" w:cs="Arial" w:eastAsia="Arial" w:hAnsi="Arial"/>
                <w:sz w:val="18"/>
                <w:szCs w:val="18"/>
                <w:b w:val="1"/>
                <w:bCs w:val="1"/>
                <w:color w:val="auto"/>
              </w:rPr>
              <w:t>Art. 28  Comité de rémunération</w:t>
            </w:r>
          </w:p>
        </w:tc>
        <w:tc>
          <w:tcPr>
            <w:tcW w:w="0" w:type="dxa"/>
            <w:vAlign w:val="bottom"/>
          </w:tcPr>
          <w:p>
            <w:pPr>
              <w:spacing w:after="0"/>
              <w:rPr>
                <w:sz w:val="1"/>
                <w:szCs w:val="1"/>
                <w:color w:val="auto"/>
              </w:rPr>
            </w:pPr>
          </w:p>
        </w:tc>
      </w:tr>
      <w:tr>
        <w:trPr>
          <w:trHeight w:val="391"/>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The Compensation Committee shall comprise at least 2 members.</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Le comité de rémunération se compose d'au moins 2 membres. Les</w:t>
            </w: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members of the Compensation Committee shall be individually</w:t>
            </w:r>
          </w:p>
        </w:tc>
        <w:tc>
          <w:tcPr>
            <w:tcW w:w="5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membres du comité de rémunération sont élus par l'assemblée</w:t>
            </w: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elected by the Ordinary General Meeting from among the members</w:t>
            </w:r>
          </w:p>
        </w:tc>
        <w:tc>
          <w:tcPr>
            <w:tcW w:w="5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générale ordinaire parmi les membres du conseil d'administration</w:t>
            </w: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 the Board of Directors for a term of one year until the next</w:t>
            </w:r>
          </w:p>
        </w:tc>
        <w:tc>
          <w:tcPr>
            <w:tcW w:w="5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pour un mandat d'un an jusqu'à la prochaine assemblée générale</w:t>
            </w: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Ordinary   General   Meeting.   Re-election   is   permitted.   The</w:t>
            </w:r>
          </w:p>
        </w:tc>
        <w:tc>
          <w:tcPr>
            <w:tcW w:w="5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ordinaire. Une réélection est possible. Le comité de rémunération a</w:t>
            </w:r>
          </w:p>
        </w:tc>
        <w:tc>
          <w:tcPr>
            <w:tcW w:w="0" w:type="dxa"/>
            <w:vAlign w:val="bottom"/>
          </w:tcPr>
          <w:p>
            <w:pPr>
              <w:spacing w:after="0"/>
              <w:rPr>
                <w:sz w:val="1"/>
                <w:szCs w:val="1"/>
                <w:color w:val="auto"/>
              </w:rPr>
            </w:pPr>
          </w:p>
        </w:tc>
      </w:tr>
      <w:tr>
        <w:trPr>
          <w:trHeight w:val="217"/>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Compensation Committee has the following duties:</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les fonctions suivantes:</w:t>
            </w:r>
          </w:p>
        </w:tc>
        <w:tc>
          <w:tcPr>
            <w:tcW w:w="0" w:type="dxa"/>
            <w:vAlign w:val="bottom"/>
          </w:tcPr>
          <w:p>
            <w:pPr>
              <w:spacing w:after="0"/>
              <w:rPr>
                <w:sz w:val="1"/>
                <w:szCs w:val="1"/>
                <w:color w:val="auto"/>
              </w:rPr>
            </w:pPr>
          </w:p>
        </w:tc>
      </w:tr>
      <w:tr>
        <w:trPr>
          <w:trHeight w:val="391"/>
        </w:trPr>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5380" w:type="dxa"/>
            <w:vAlign w:val="bottom"/>
          </w:tcPr>
          <w:p>
            <w:pPr>
              <w:jc w:val="right"/>
              <w:ind w:right="70"/>
              <w:spacing w:after="0"/>
              <w:rPr>
                <w:sz w:val="20"/>
                <w:szCs w:val="20"/>
                <w:color w:val="auto"/>
              </w:rPr>
            </w:pPr>
            <w:r>
              <w:rPr>
                <w:rFonts w:ascii="Arial" w:cs="Arial" w:eastAsia="Arial" w:hAnsi="Arial"/>
                <w:sz w:val="18"/>
                <w:szCs w:val="18"/>
                <w:color w:val="auto"/>
              </w:rPr>
              <w:t>to draw up principles for compensation of members of the</w:t>
            </w:r>
          </w:p>
        </w:tc>
        <w:tc>
          <w:tcPr>
            <w:tcW w:w="480" w:type="dxa"/>
            <w:vAlign w:val="bottom"/>
          </w:tcPr>
          <w:p>
            <w:pPr>
              <w:ind w:left="160"/>
              <w:spacing w:after="0"/>
              <w:rPr>
                <w:sz w:val="20"/>
                <w:szCs w:val="20"/>
                <w:color w:val="auto"/>
              </w:rPr>
            </w:pPr>
            <w:r>
              <w:rPr>
                <w:rFonts w:ascii="Arial" w:cs="Arial" w:eastAsia="Arial" w:hAnsi="Arial"/>
                <w:sz w:val="18"/>
                <w:szCs w:val="18"/>
                <w:color w:val="auto"/>
              </w:rPr>
              <w:t>a)</w:t>
            </w:r>
          </w:p>
        </w:tc>
        <w:tc>
          <w:tcPr>
            <w:tcW w:w="5220" w:type="dxa"/>
            <w:vAlign w:val="bottom"/>
          </w:tcPr>
          <w:p>
            <w:pPr>
              <w:jc w:val="right"/>
              <w:spacing w:after="0"/>
              <w:rPr>
                <w:sz w:val="20"/>
                <w:szCs w:val="20"/>
                <w:color w:val="auto"/>
              </w:rPr>
            </w:pPr>
            <w:r>
              <w:rPr>
                <w:rFonts w:ascii="Arial" w:cs="Arial" w:eastAsia="Arial" w:hAnsi="Arial"/>
                <w:sz w:val="18"/>
                <w:szCs w:val="18"/>
                <w:color w:val="auto"/>
              </w:rPr>
              <w:t>élaborer des principes de rémunération des membres du</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Board of Directors and the Executive Committee and to submit</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conseil  d'administration  et  du  comité  exécutif  et  de  les</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them to the Board of Directors for approval;</w:t>
            </w:r>
          </w:p>
        </w:tc>
        <w:tc>
          <w:tcPr>
            <w:tcW w:w="48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soumettre au conseil d'administration pour approbation;</w:t>
            </w:r>
          </w:p>
        </w:tc>
        <w:tc>
          <w:tcPr>
            <w:tcW w:w="0" w:type="dxa"/>
            <w:vAlign w:val="bottom"/>
          </w:tcPr>
          <w:p>
            <w:pPr>
              <w:spacing w:after="0"/>
              <w:rPr>
                <w:sz w:val="1"/>
                <w:szCs w:val="1"/>
                <w:color w:val="auto"/>
              </w:rPr>
            </w:pPr>
          </w:p>
        </w:tc>
      </w:tr>
      <w:tr>
        <w:trPr>
          <w:trHeight w:val="391"/>
        </w:trPr>
        <w:tc>
          <w:tcPr>
            <w:tcW w:w="340" w:type="dxa"/>
            <w:vAlign w:val="bottom"/>
          </w:tcPr>
          <w:p>
            <w:pPr>
              <w:ind w:left="60"/>
              <w:spacing w:after="0"/>
              <w:rPr>
                <w:sz w:val="20"/>
                <w:szCs w:val="20"/>
                <w:color w:val="auto"/>
              </w:rPr>
            </w:pPr>
            <w:r>
              <w:rPr>
                <w:rFonts w:ascii="Arial" w:cs="Arial" w:eastAsia="Arial" w:hAnsi="Arial"/>
                <w:sz w:val="18"/>
                <w:szCs w:val="18"/>
                <w:color w:val="auto"/>
              </w:rPr>
              <w:t>b)</w:t>
            </w:r>
          </w:p>
        </w:tc>
        <w:tc>
          <w:tcPr>
            <w:tcW w:w="5380" w:type="dxa"/>
            <w:vAlign w:val="bottom"/>
          </w:tcPr>
          <w:p>
            <w:pPr>
              <w:jc w:val="right"/>
              <w:ind w:right="70"/>
              <w:spacing w:after="0"/>
              <w:rPr>
                <w:sz w:val="20"/>
                <w:szCs w:val="20"/>
                <w:color w:val="auto"/>
              </w:rPr>
            </w:pPr>
            <w:r>
              <w:rPr>
                <w:rFonts w:ascii="Arial" w:cs="Arial" w:eastAsia="Arial" w:hAnsi="Arial"/>
                <w:sz w:val="18"/>
                <w:szCs w:val="18"/>
                <w:color w:val="auto"/>
              </w:rPr>
              <w:t>to propose to the Board of Directors the resolution to be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b)   proposer au conseil d'administration la décision sera soumise à</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submitted to the Ordinary General Meeting for the maximum</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l'assemblée générale ordinaire pour la rémunération totale</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total compensation of the Board of Directors and Executive</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maximale du conseil d'administration et du comité exécutif;</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c)</w:t>
            </w:r>
          </w:p>
        </w:tc>
        <w:tc>
          <w:tcPr>
            <w:tcW w:w="5220" w:type="dxa"/>
            <w:vAlign w:val="bottom"/>
            <w:vMerge w:val="restart"/>
          </w:tcPr>
          <w:p>
            <w:pPr>
              <w:ind w:left="160"/>
              <w:spacing w:after="0"/>
              <w:rPr>
                <w:sz w:val="20"/>
                <w:szCs w:val="20"/>
                <w:color w:val="auto"/>
              </w:rPr>
            </w:pPr>
            <w:r>
              <w:rPr>
                <w:rFonts w:ascii="Arial" w:cs="Arial" w:eastAsia="Arial" w:hAnsi="Arial"/>
                <w:sz w:val="18"/>
                <w:szCs w:val="18"/>
                <w:color w:val="auto"/>
              </w:rPr>
              <w:t>sous réserve et dans les limites de la rémunération maximale</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   subject to and within the bounds of the maximum compensation</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approuvée  par  l'assemblée  générale  ordinaire,  demander</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approved by the Ordinary General Meeting, to request approval</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l'approbation du conseil d'administration quant aux paquets de</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by  the  Board  of  Directors  of  the  individual  remuneration</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rémunération individuels devant être versés aux membres du</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packages to be paid to members of the Board of Directors and</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conseil d'administration et aux membres du comité exécutif;</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members of the Executive Committee;</w:t>
            </w:r>
          </w:p>
        </w:tc>
        <w:tc>
          <w:tcPr>
            <w:tcW w:w="5700" w:type="dxa"/>
            <w:vAlign w:val="bottom"/>
            <w:gridSpan w:val="2"/>
            <w:vMerge w:val="restart"/>
          </w:tcPr>
          <w:p>
            <w:pPr>
              <w:ind w:left="160"/>
              <w:spacing w:after="0"/>
              <w:rPr>
                <w:sz w:val="20"/>
                <w:szCs w:val="20"/>
                <w:color w:val="auto"/>
              </w:rPr>
            </w:pPr>
            <w:r>
              <w:rPr>
                <w:rFonts w:ascii="Arial" w:cs="Arial" w:eastAsia="Arial" w:hAnsi="Arial"/>
                <w:sz w:val="18"/>
                <w:szCs w:val="18"/>
                <w:color w:val="auto"/>
              </w:rPr>
              <w:t>d)   requérir l'approbation du conseil d'administration sur la fixation</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d)</w:t>
            </w:r>
          </w:p>
        </w:tc>
        <w:tc>
          <w:tcPr>
            <w:tcW w:w="5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to request approval by the Board of Directors regarding the</w:t>
            </w: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d'objectifs liés à la rémunération pour le comité exécutif;</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determination  of  the  compensation-related  targets  for  the</w:t>
            </w:r>
          </w:p>
        </w:tc>
        <w:tc>
          <w:tcPr>
            <w:tcW w:w="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Executive Committee;</w:t>
            </w:r>
          </w:p>
        </w:tc>
        <w:tc>
          <w:tcPr>
            <w:tcW w:w="480" w:type="dxa"/>
            <w:vAlign w:val="bottom"/>
          </w:tcPr>
          <w:p>
            <w:pPr>
              <w:ind w:left="160"/>
              <w:spacing w:after="0" w:line="202" w:lineRule="exact"/>
              <w:rPr>
                <w:sz w:val="20"/>
                <w:szCs w:val="20"/>
                <w:color w:val="auto"/>
              </w:rPr>
            </w:pPr>
            <w:r>
              <w:rPr>
                <w:rFonts w:ascii="Arial" w:cs="Arial" w:eastAsia="Arial" w:hAnsi="Arial"/>
                <w:sz w:val="18"/>
                <w:szCs w:val="18"/>
                <w:color w:val="auto"/>
              </w:rPr>
              <w:t>e)</w:t>
            </w:r>
          </w:p>
        </w:tc>
        <w:tc>
          <w:tcPr>
            <w:tcW w:w="5220" w:type="dxa"/>
            <w:vAlign w:val="bottom"/>
          </w:tcPr>
          <w:p>
            <w:pPr>
              <w:jc w:val="right"/>
              <w:spacing w:after="0" w:line="202" w:lineRule="exact"/>
              <w:rPr>
                <w:sz w:val="20"/>
                <w:szCs w:val="20"/>
                <w:color w:val="auto"/>
              </w:rPr>
            </w:pPr>
            <w:r>
              <w:rPr>
                <w:rFonts w:ascii="Arial" w:cs="Arial" w:eastAsia="Arial" w:hAnsi="Arial"/>
                <w:sz w:val="18"/>
                <w:szCs w:val="18"/>
                <w:color w:val="auto"/>
              </w:rPr>
              <w:t>requérir l'approbation du conseil d'administration sur les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adaptations des statuts relatives à la rémunération; 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-4081145</wp:posOffset>
            </wp:positionV>
            <wp:extent cx="7246620" cy="5017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017135"/>
                    </a:xfrm>
                    <a:prstGeom prst="rect">
                      <a:avLst/>
                    </a:prstGeom>
                    <a:noFill/>
                  </pic:spPr>
                </pic:pic>
              </a:graphicData>
            </a:graphic>
          </wp:anchor>
        </w:drawing>
      </w:r>
    </w:p>
    <w:p>
      <w:pPr>
        <w:ind w:left="560" w:hanging="498"/>
        <w:spacing w:after="0" w:line="234"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request approval by the Board of Directors regarding the</w:t>
      </w:r>
    </w:p>
    <w:tbl>
      <w:tblPr>
        <w:tblLayout w:type="fixed"/>
        <w:tblInd w:w="0" w:type="dxa"/>
        <w:tblCellMar>
          <w:top w:w="0" w:type="dxa"/>
          <w:left w:w="0" w:type="dxa"/>
          <w:bottom w:w="0" w:type="dxa"/>
          <w:right w:w="0" w:type="dxa"/>
        </w:tblCellMar>
      </w:tblPr>
      <w:tr>
        <w:trPr>
          <w:trHeight w:val="203"/>
        </w:trPr>
        <w:tc>
          <w:tcPr>
            <w:tcW w:w="1520" w:type="dxa"/>
            <w:vAlign w:val="bottom"/>
          </w:tcPr>
          <w:p>
            <w:pPr>
              <w:ind w:left="440"/>
              <w:spacing w:after="0" w:line="203" w:lineRule="exact"/>
              <w:rPr>
                <w:sz w:val="20"/>
                <w:szCs w:val="20"/>
                <w:color w:val="auto"/>
              </w:rPr>
            </w:pPr>
            <w:r>
              <w:rPr>
                <w:rFonts w:ascii="Arial" w:cs="Arial" w:eastAsia="Arial" w:hAnsi="Arial"/>
                <w:sz w:val="18"/>
                <w:szCs w:val="18"/>
                <w:color w:val="auto"/>
              </w:rPr>
              <w:t>adjustments</w:t>
            </w:r>
          </w:p>
        </w:tc>
        <w:tc>
          <w:tcPr>
            <w:tcW w:w="4200" w:type="dxa"/>
            <w:vAlign w:val="bottom"/>
          </w:tcPr>
          <w:p>
            <w:pPr>
              <w:jc w:val="right"/>
              <w:ind w:right="70"/>
              <w:spacing w:after="0" w:line="203" w:lineRule="exact"/>
              <w:rPr>
                <w:sz w:val="20"/>
                <w:szCs w:val="20"/>
                <w:color w:val="auto"/>
              </w:rPr>
            </w:pPr>
            <w:r>
              <w:rPr>
                <w:rFonts w:ascii="Arial" w:cs="Arial" w:eastAsia="Arial" w:hAnsi="Arial"/>
                <w:sz w:val="18"/>
                <w:szCs w:val="18"/>
                <w:color w:val="auto"/>
              </w:rPr>
              <w:t>to  the  Articles  of  Association  relating  to</w:t>
            </w:r>
          </w:p>
        </w:tc>
        <w:tc>
          <w:tcPr>
            <w:tcW w:w="440" w:type="dxa"/>
            <w:vAlign w:val="bottom"/>
          </w:tcPr>
          <w:p>
            <w:pPr>
              <w:ind w:left="160"/>
              <w:spacing w:after="0" w:line="203" w:lineRule="exact"/>
              <w:rPr>
                <w:sz w:val="20"/>
                <w:szCs w:val="20"/>
                <w:color w:val="auto"/>
              </w:rPr>
            </w:pPr>
            <w:r>
              <w:rPr>
                <w:rFonts w:ascii="Arial" w:cs="Arial" w:eastAsia="Arial" w:hAnsi="Arial"/>
                <w:sz w:val="18"/>
                <w:szCs w:val="18"/>
                <w:color w:val="auto"/>
              </w:rPr>
              <w:t>f)</w:t>
            </w:r>
          </w:p>
        </w:tc>
        <w:tc>
          <w:tcPr>
            <w:tcW w:w="5260" w:type="dxa"/>
            <w:vAlign w:val="bottom"/>
          </w:tcPr>
          <w:p>
            <w:pPr>
              <w:ind w:left="320"/>
              <w:spacing w:after="0" w:line="203" w:lineRule="exact"/>
              <w:rPr>
                <w:sz w:val="20"/>
                <w:szCs w:val="20"/>
                <w:color w:val="auto"/>
              </w:rPr>
            </w:pPr>
            <w:r>
              <w:rPr>
                <w:rFonts w:ascii="Arial" w:cs="Arial" w:eastAsia="Arial" w:hAnsi="Arial"/>
                <w:sz w:val="18"/>
                <w:szCs w:val="18"/>
                <w:color w:val="auto"/>
              </w:rPr>
              <w:t>préparer le rapport de rémunération et de le soumettre au</w:t>
            </w:r>
          </w:p>
        </w:tc>
      </w:tr>
      <w:tr>
        <w:trPr>
          <w:trHeight w:val="217"/>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remuneration; and</w:t>
            </w:r>
          </w:p>
        </w:tc>
        <w:tc>
          <w:tcPr>
            <w:tcW w:w="44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conseil d'administration.</w:t>
            </w:r>
          </w:p>
        </w:tc>
      </w:tr>
      <w:tr>
        <w:trPr>
          <w:trHeight w:val="391"/>
        </w:trPr>
        <w:tc>
          <w:tcPr>
            <w:tcW w:w="5720" w:type="dxa"/>
            <w:vAlign w:val="bottom"/>
            <w:gridSpan w:val="2"/>
          </w:tcPr>
          <w:p>
            <w:pPr>
              <w:jc w:val="right"/>
              <w:ind w:right="70"/>
              <w:spacing w:after="0"/>
              <w:rPr>
                <w:sz w:val="20"/>
                <w:szCs w:val="20"/>
                <w:color w:val="auto"/>
              </w:rPr>
            </w:pPr>
            <w:r>
              <w:rPr>
                <w:rFonts w:ascii="Arial" w:cs="Arial" w:eastAsia="Arial" w:hAnsi="Arial"/>
                <w:sz w:val="18"/>
                <w:szCs w:val="18"/>
                <w:color w:val="auto"/>
              </w:rPr>
              <w:t>f)   to prepare the Compensation Report and submit it to the Board</w:t>
            </w:r>
          </w:p>
        </w:tc>
        <w:tc>
          <w:tcPr>
            <w:tcW w:w="4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17"/>
        </w:trPr>
        <w:tc>
          <w:tcPr>
            <w:tcW w:w="1520" w:type="dxa"/>
            <w:vAlign w:val="bottom"/>
          </w:tcPr>
          <w:p>
            <w:pPr>
              <w:ind w:left="440"/>
              <w:spacing w:after="0"/>
              <w:rPr>
                <w:sz w:val="20"/>
                <w:szCs w:val="20"/>
                <w:color w:val="auto"/>
              </w:rPr>
            </w:pPr>
            <w:r>
              <w:rPr>
                <w:rFonts w:ascii="Arial" w:cs="Arial" w:eastAsia="Arial" w:hAnsi="Arial"/>
                <w:sz w:val="18"/>
                <w:szCs w:val="18"/>
                <w:color w:val="auto"/>
              </w:rPr>
              <w:t>of Directors.</w:t>
            </w:r>
          </w:p>
        </w:tc>
        <w:tc>
          <w:tcPr>
            <w:tcW w:w="4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837"/>
        </w:trPr>
        <w:tc>
          <w:tcPr>
            <w:tcW w:w="15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23</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Board  of  Directors  shall  set  out  any  further  duties  and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conseil  d'administration  fixe  toutes  les  autres  fonctions  et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responsibilities  vested  on  the  Compensation  Committee  in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responsabilités  dévolues  au  comité  de  rémunération  dans  le</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Company's Organizational Rules.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règlement d'organisation de la société.</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29  Indemnification</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29  Indemnisation</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 far as is permissible under applicable law, the Company shall</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Dans la mesure permise par la loi applicable, la société indemnisera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indemnify any current or former member of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tout  membre  actuel  ou  ancien  du  conseil  d'administration,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former members of the Executive Committee, or any person who 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anciens membres du comité exécutif, ou toute personne qui sert ou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serving or has served at the request of the Company as a member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 servi à la demande de la société en tant que membre du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Board of Directors or member of the Executive Committee (each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ou   membre   du   comité   exécutif   (chacun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individually, a "Covered Person"), against any expenses, including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individuellement,  une  "Personne  Couverte"),  pour  toutes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attorneys' fees, judgments, fines, and amounts paid in settlement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dépenses, y compris les honoraires d'avocat, jugements, amendes,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actually and reasonably incurred by him or her in connection with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et montants versés effectivement et raisonnablement à titre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any threatened, pending, or completed action, suit or proceeding,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règlement dans le cadre de toute action, poursuite ou procédure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whether civil, criminal or administrative, to which he or she was, 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imminente, pendante ou terminée, qu'elle soit civile, pénale ou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 is threatened to be made a party, or is otherwise involved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administrative, à laquelle il ou elle a été, est, ou est menacé d'être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"Proceeding").  This  provision  shall  not  indemnify  any  Covered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partie, ou est impliqué de toute autre manière (une "Procédure").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 against any liability arising out of (a) any fraud or dishonesty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Cette disposition ne doit pas indemniser une Personne Couverte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 the performance of such Covered Person's duty to the Company,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contre une responsabilité découlant de (a) une fraude ou 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 (b) such Covered Party's conscious, intentional or willful or grossly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malhonnêteté de cette Personne Couverte dans l'exercice de ses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negligent breach of the obligation to act honestly and in good faith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fonctions vis-à-vis de la société, ou (b) une violation consciente,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with a view to the best interests of the Company. Notwithstanding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intentionnelle ou volontaire ou gravement négligente de l'obligation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preceding sentence, this section shall not extend to any person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de cette Personne Couverte d'agir avec honnêteté en tenant compte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holding the office of auditor or special auditor of the Company.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du meilleur intérêt de la société. Nonobstant ce qui précède, cette</w:t>
            </w: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disposition ne s'étend pas aux personnes qui occupent le poste de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réviseur ou de réviseur spécial de la société.</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 the case of any Proceeding by or in the name of the Company,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Dans le cas de toute Procédure intentée par ou au nom de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Company shall indemnify each Covered Person against expenses,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société, la société doit indemniser chaque Personne Couverte pour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including  attorneys'  fees,  actually  and  reasonably  incurred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les dépenses, y compris les honoraires d'avocat, effectivement et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connection  with  the  defense  or  settlement  thereof,  except  no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raisonnablement encourus dans le cadre de la défense ou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indemnification shall be made in respect of any claim, issue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règlement dans le cadre de la Procédure. Aucune indemnisation 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matter as to which a Covered Person shall have been adjudged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sera  octroyée  pour  une  réclamation,  problème  ou  affaire  pour</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 liable for fraud or dishonesty in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laquelle une Personne Couverte est tenue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24</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performance of his or her duty to the Company, or for conscious,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responsable à la suite de fraude ou de malhonnêteté dans l'exercice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intentional  or  willful  or  grossly  negligent  breach  of  his  or  her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de ses fonctions vis-à-vis de la société, ou à cause d'une violation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obligation to act honestly and in good faith with a view to the best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consciente, intentionnelle ou volontaire ou gravement négligente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interests of the Company, unless and only to the extent that a court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l'obligation de la Personne Couverte d'agir avec honnêteté en tenant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 which such action or suit was brought shall determine upon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compte du meilleur intérêt de la société, sauf et uniquement si un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application that despite the adjudication of liability, but in view of all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tribunal auquel une telle action ou poursuite a été porté détermine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circumstances of the case, such Covered Person is fairly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que, malgré la reconnaissance de la responsabilité, mais compte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reasonably entitled to indemnity for such expenses as the court shall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tenu de toutes les circonstances du cas d'espèce, cette Personne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deem proper. Notwithstanding the preceding sentence, this section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Couverte  a  équitablement  et  raisonnablement  droit  à  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shall not extend to any person holding the office of auditor or special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indemnisation de ces dépenses, mais uniquement à hauteur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auditor of the Company.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montant que le tribunal jugera convenable. Nonobstant la phrase</w:t>
            </w: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précédente, cette disposition ne s'étend pas aux personnes qui</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occupent le poste de réviseur ou de réviseur spécial de la société.</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indemnification under this Article 29 (unless ordered by a court)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Toute indemnisation en vertu du présent article 29 (sauf si ordonnée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shall be made by the Company only as authorized in the specific</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par un tribunal) doit être octroyée par la société dans chaque cas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case upon a determination that indemnification of the Covered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dans les limites de l'autorisation sur la base d'une détermination que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 is proper in the circumstances because such person has met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l'indemnisation de la Personne Couverte est appropriée dans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applicable Standard of conduct set forth in this Article 29. Such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circonstances parce que cette personne a satisfait au standard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determination shall be made, with respect to a Covered Person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conduite applicable énoncé dans le présent article 29. Une telle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by a majority vote of the members of the Board of Directors who 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décision concernant une Personne Couverte doit être prise (a) par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not parties to such proceeding, even though less than a quorum; (b)</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majorité des votes des membres du conseil d'administration qui 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by  a  committee  of  such  members  of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sont pas parties à cette procédure, même si le quorum requis n'est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designated by a majority vote of such the Board of Directors, even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pas réuni; (b) par un comité de membres du conseil d'administration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though less than a quorum; (c) if there are no such member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désignés par une majorité des votes du conseil d'administration,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Board of Directors, or if such member of the Board of Directors so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même si le quorum requis n'est pas réuni; (c) s'il n'y a pas de tel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direct, by independent legal counsel in a written opinion; or (d)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membre du conseil d'administration, ou si ce membre du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General  Meeting  of  Shareholders.  Such  determination  shall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l'ordonne, par un conseiller juridique indépendant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made, with respect to any other Covered Person, by any person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dans un avis écrit; ou (d) par l'assemblée générale des actionnaires.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persons having the authority to act on the matter on behalf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Une telle décision concernant une Personne Couverte doit être prise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Company. To the extent, however, that any Covered Person has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par une personne ou des personnes ayant le pouvoir d'agir dans cet</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been successful on the merits or otherwise in defense of 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affaire au nom de la société. Dans la</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25</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proceeding, or in defense of any claim, issue or matter therein, such</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mesure, cependant, où une Personne Couverte a gagné sur le fond</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Covered Person shall be indemnified against expenses (including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ou autrement dans la défense d'une procédure, ou dans la défense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attorneys' fees) actually and reasonably incurred by such person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de toute réclamation, problème ou affaire dans cette procédure,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connection therewith, without the necessity of authorization in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cette Personne Couverte doit être indemnisée pour les dépenses (y</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specific case.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compris les honoraires d'avocat) effectivement et raisonnablement</w:t>
            </w:r>
          </w:p>
        </w:tc>
      </w:tr>
      <w:tr>
        <w:trPr>
          <w:trHeight w:val="203"/>
        </w:trPr>
        <w:tc>
          <w:tcPr>
            <w:tcW w:w="562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encourus dans le cadre de l'affaire en question sans qu'il soit</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nécessaire d'avoir une autorisation dans le cas spécifique.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 far as is permissible under applicable law, expenses, including</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Dans la mesure permise par la loi applicable, les dépenses, y</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attorneys' fees, incurred in defending any proceeding for which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compris les honoraires d'avocats, encourus dans la défense de toute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indemnification is permitted pursuant to this Article 29 shall be paid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procédure pour laquelle l'indemnisation est permise en vertu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by  the  Company  in  advance  of  the  final  disposition  of  such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présent article 29, doivent être payées par la société avant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proceeding upon receipt by the Board of Directors of an undertaking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décision finale dans cette procédure à réception par le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by or on behalf of the Covered Person to repay such amount if it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d'une promesse faite par ou au nom de la Personne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shall ultimately be determined that he or she is not entitled to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Couverte de rembourser ce montant s'il s'avère finalement que cette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indemnified by the Company under these Articles of Association.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Personne Couverte n'a pas droit à l'indemnisation par la société en</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vertu de ces statuts.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 being the policy of the Company that indemnification of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politique de la société prévoit que l'indemnisation des personnes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persons specified in this Article 29 shall be made to the fullest extent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visées au présent article 29 doit être payée dans toute la mesure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permitted by law and the indemnification provided by this Article 29</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autorisée par la loi et l'indemnisation prévue par cet article 29 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shall not be deemed exclusive (a) of any other rights to which those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sera pas considérée comme exclusive (a) d'autres droits auxquels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seeking  indemnification  or  advancement  of  expenses  may  be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les personnes demandant une indemnisation ou une avance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entitled under these Articles of Association, any agreement, 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dépenses ont droit en vertu de ces statuts, d'un accord, d'une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insurance purchased by the Company, vote of shareholders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assurance souscrite par la société, d'un vote d'actionnaires ou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disinterested members of the Board of Directors, or pursuant to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membres du conseil d'administration n'ayant pas d'intérêt direct, ou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decision of any court of competent jurisdiction, or otherwise, both 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en vertu d'une décision d'un tribunal compétent, ou autrement, soit à</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 action in his or her official capacity and as to action in another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l'égard  d'actions  faites  en  sa  capacité  officielle,  soit  à  l'égard</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capacity while holding such office, or (b) of the power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d'actions faites à un autre titre tout en ayant une telle fonction, ou (b)</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Company to indemnify any person who is or was an employee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du pouvoir de la société d'indemniser toute personne qui est ou était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agent of the Company or of another corporation, joint venture, trust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un employé ou un mandataire de la société ou d'une autre société,</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 other enterprise which he or she is serving or has served at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d'une joint venture, d'une fiducie ou d'une autre entreprise pour</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request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laquelle il ou elle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00" w:type="dxa"/>
            <w:vAlign w:val="bottom"/>
          </w:tcPr>
          <w:p>
            <w:pPr>
              <w:ind w:left="46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 to the same extent and in the same situations and subject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travaille ou a travaillé à la demande de la société, dans la même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to the same determinations as are hereinabove set forth with respect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mesure et dans les mêmes situations et sous réserve des mêmes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to a Covered Person.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principes concernant une Personne Couverte évoquées ci-dessus.</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As used in this Article 29, references to the "Company" include all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Tel qu'utilisé dans le présent article 29, les références à la "société"</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constituent corporations in a consolidation or merger in which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comprennent toutes les sociétés ayant fait l'objet d'un regroupement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Company or a predecessor to the Company by consolidation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ou d'une fusion dans laquelle la société ou un prédécesseur à la</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merger was involved.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société a été impliqué.</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indemnification provided by this Article 29 shall continue as to a</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L'indemnisation prévue par cet article 29 est maintenue à l'égard</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person who has ceased to be a member of the Board of Directors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d'une  personne  qui  a  cessé  d'être  un  membre  du  conseil</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Executive Committee and shall inure to the benefit of their heirs,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ou le comité exécutif et sera en vigueur au bénéfice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executors, and administrators.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 ses héritiers, exécuteurs et administrateurs.</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bottom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VI.</w:t>
            </w:r>
          </w:p>
        </w:tc>
        <w:tc>
          <w:tcPr>
            <w:tcW w:w="49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AUDITORS</w:t>
            </w:r>
          </w:p>
        </w:tc>
        <w:tc>
          <w:tcPr>
            <w:tcW w:w="220" w:type="dxa"/>
            <w:vAlign w:val="bottom"/>
            <w:tcBorders>
              <w:right w:val="single" w:sz="8" w:color="auto"/>
            </w:tcBorders>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VI.</w:t>
            </w:r>
          </w:p>
        </w:tc>
        <w:tc>
          <w:tcPr>
            <w:tcW w:w="4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ORGANE DE RÉVISION</w:t>
            </w:r>
          </w:p>
        </w:tc>
        <w:tc>
          <w:tcPr>
            <w:tcW w:w="0" w:type="dxa"/>
            <w:vAlign w:val="bottom"/>
          </w:tcPr>
          <w:p>
            <w:pPr>
              <w:spacing w:after="0"/>
              <w:rPr>
                <w:sz w:val="1"/>
                <w:szCs w:val="1"/>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30</w:t>
            </w: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Election, Term</w:t>
            </w:r>
          </w:p>
        </w:tc>
        <w:tc>
          <w:tcPr>
            <w:tcW w:w="220" w:type="dxa"/>
            <w:vAlign w:val="bottom"/>
            <w:tcBorders>
              <w:right w:val="single" w:sz="8" w:color="auto"/>
            </w:tcBorders>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Art. 30</w:t>
            </w:r>
          </w:p>
        </w:tc>
        <w:tc>
          <w:tcPr>
            <w:tcW w:w="49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Élection, durée</w:t>
            </w:r>
          </w:p>
        </w:tc>
        <w:tc>
          <w:tcPr>
            <w:tcW w:w="0" w:type="dxa"/>
            <w:vAlign w:val="bottom"/>
          </w:tcPr>
          <w:p>
            <w:pPr>
              <w:spacing w:after="0"/>
              <w:rPr>
                <w:sz w:val="1"/>
                <w:szCs w:val="1"/>
                <w:color w:val="auto"/>
              </w:rPr>
            </w:pPr>
          </w:p>
        </w:tc>
      </w:tr>
      <w:tr>
        <w:trPr>
          <w:trHeight w:val="373"/>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General Meeting shall elect one or more accountants as its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  nomme  chaque  année  un  ou  plusieurs</w:t>
            </w:r>
          </w:p>
        </w:tc>
        <w:tc>
          <w:tcPr>
            <w:tcW w:w="0" w:type="dxa"/>
            <w:vAlign w:val="bottom"/>
          </w:tcPr>
          <w:p>
            <w:pPr>
              <w:spacing w:after="0"/>
              <w:rPr>
                <w:sz w:val="1"/>
                <w:szCs w:val="1"/>
                <w:color w:val="auto"/>
              </w:rPr>
            </w:pPr>
          </w:p>
        </w:tc>
      </w:tr>
      <w:tr>
        <w:trPr>
          <w:trHeight w:val="22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 xml:space="preserve">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réviseurs comme organe de révision selon les articles 727 ss. CO</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rights and duties determined by law.</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avec les droits et les devoirs déterminés par la loi.</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General Meeting may appoint Special Auditors for a term of up</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 peut nommer des réviseurs spéciaux pour</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to three years who provide the attestations required for capital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une durée de trois ans au maximum qui fournissent les attestations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increases.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requises pour les augmentations de capital.</w:t>
            </w:r>
          </w:p>
        </w:tc>
        <w:tc>
          <w:tcPr>
            <w:tcW w:w="0" w:type="dxa"/>
            <w:vAlign w:val="bottom"/>
          </w:tcPr>
          <w:p>
            <w:pPr>
              <w:spacing w:after="0"/>
              <w:rPr>
                <w:sz w:val="1"/>
                <w:szCs w:val="1"/>
                <w:color w:val="auto"/>
              </w:rPr>
            </w:pP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31</w:t>
            </w: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Duties</w:t>
            </w:r>
          </w:p>
        </w:tc>
        <w:tc>
          <w:tcPr>
            <w:tcW w:w="220" w:type="dxa"/>
            <w:vAlign w:val="bottom"/>
            <w:tcBorders>
              <w:right w:val="single" w:sz="8" w:color="auto"/>
            </w:tcBorders>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Art. 31</w:t>
            </w:r>
          </w:p>
        </w:tc>
        <w:tc>
          <w:tcPr>
            <w:tcW w:w="49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Fonctions</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Auditors shall perform their duties to audit and report whether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L'organe  de  révision  vérifie  et  rapporte  si  la  comptabilité,  les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accounting, the annual accounts and the proposal regarding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comptes annuels et la proposition relative à la répartition des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allocation of profits are in accordance with law and the Articles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bénéfices sont en conformité avec la loi et les statuts.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bottom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VII.</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COMPENSATION AND RELATED PROVISIONS</w:t>
            </w:r>
          </w:p>
        </w:tc>
        <w:tc>
          <w:tcPr>
            <w:tcW w:w="220" w:type="dxa"/>
            <w:vAlign w:val="bottom"/>
            <w:tcBorders>
              <w:right w:val="single" w:sz="8" w:color="auto"/>
            </w:tcBorders>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VII.</w:t>
            </w:r>
          </w:p>
        </w:tc>
        <w:tc>
          <w:tcPr>
            <w:tcW w:w="4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RÉMUNÉRATION ET DISPOSITIONS ANALOGUES</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32  Principles of the Compensation of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32   Principes de rémunération du conseil d'administration</w:t>
            </w:r>
          </w:p>
        </w:tc>
        <w:tc>
          <w:tcPr>
            <w:tcW w:w="0" w:type="dxa"/>
            <w:vAlign w:val="bottom"/>
          </w:tcPr>
          <w:p>
            <w:pPr>
              <w:spacing w:after="0"/>
              <w:rPr>
                <w:sz w:val="1"/>
                <w:szCs w:val="1"/>
                <w:color w:val="auto"/>
              </w:rPr>
            </w:pPr>
          </w:p>
        </w:tc>
      </w:tr>
      <w:tr>
        <w:trPr>
          <w:trHeight w:val="239"/>
        </w:trPr>
        <w:tc>
          <w:tcPr>
            <w:tcW w:w="680" w:type="dxa"/>
            <w:vAlign w:val="bottom"/>
            <w:tcBorders>
              <w:left w:val="single" w:sz="8" w:color="auto"/>
            </w:tcBorders>
          </w:tcPr>
          <w:p>
            <w:pPr>
              <w:spacing w:after="0"/>
              <w:rPr>
                <w:sz w:val="20"/>
                <w:szCs w:val="20"/>
                <w:color w:val="auto"/>
              </w:rPr>
            </w:pPr>
          </w:p>
        </w:tc>
        <w:tc>
          <w:tcPr>
            <w:tcW w:w="494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Directors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La  rémunération  des  membres  du  conseil  d'administration</w:t>
            </w:r>
          </w:p>
        </w:tc>
        <w:tc>
          <w:tcPr>
            <w:tcW w:w="0" w:type="dxa"/>
            <w:vAlign w:val="bottom"/>
          </w:tcPr>
          <w:p>
            <w:pPr>
              <w:spacing w:after="0"/>
              <w:rPr>
                <w:sz w:val="1"/>
                <w:szCs w:val="1"/>
                <w:color w:val="auto"/>
              </w:rPr>
            </w:pPr>
          </w:p>
        </w:tc>
      </w:tr>
      <w:tr>
        <w:trPr>
          <w:trHeight w:val="188"/>
        </w:trPr>
        <w:tc>
          <w:tcPr>
            <w:tcW w:w="680" w:type="dxa"/>
            <w:vAlign w:val="bottom"/>
            <w:tcBorders>
              <w:left w:val="single" w:sz="8" w:color="auto"/>
            </w:tcBorders>
          </w:tcPr>
          <w:p>
            <w:pPr>
              <w:spacing w:after="0"/>
              <w:rPr>
                <w:sz w:val="16"/>
                <w:szCs w:val="16"/>
                <w:color w:val="auto"/>
              </w:rPr>
            </w:pPr>
          </w:p>
        </w:tc>
        <w:tc>
          <w:tcPr>
            <w:tcW w:w="494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compensation payable to the members of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comprend, sous réserve et dans les limites de l'approbation de la</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comprises, subject to and within the bounds of the approval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rémunération totale par l'assemblée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General Meeting of the total</w:t>
            </w:r>
          </w:p>
        </w:tc>
        <w:tc>
          <w:tcPr>
            <w:tcW w:w="22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bottom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compensation, the following elements: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générale, les éléments suivants:</w:t>
            </w:r>
          </w:p>
        </w:tc>
      </w:tr>
      <w:tr>
        <w:trPr>
          <w:trHeight w:val="405"/>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   a fixed basic remuneration;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   une rémunération fixe de base;</w:t>
            </w:r>
          </w:p>
        </w:tc>
      </w:tr>
      <w:tr>
        <w:trPr>
          <w:trHeight w:val="391"/>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fixed committee fee for work in a committee of the Board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b)   des frais de commission fixes pour le travail dans un comité du</w:t>
            </w:r>
          </w:p>
        </w:tc>
      </w:tr>
      <w:tr>
        <w:trPr>
          <w:trHeight w:val="217"/>
        </w:trPr>
        <w:tc>
          <w:tcPr>
            <w:tcW w:w="380" w:type="dxa"/>
            <w:vAlign w:val="bottom"/>
            <w:tcBorders>
              <w:left w:val="single" w:sz="8" w:color="auto"/>
            </w:tcBorders>
          </w:tcPr>
          <w:p>
            <w:pPr>
              <w:spacing w:after="0"/>
              <w:rPr>
                <w:sz w:val="18"/>
                <w:szCs w:val="18"/>
                <w:color w:val="auto"/>
              </w:rPr>
            </w:pPr>
          </w:p>
        </w:tc>
        <w:tc>
          <w:tcPr>
            <w:tcW w:w="52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Directors;</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conseil d'administration;</w:t>
            </w:r>
          </w:p>
        </w:tc>
      </w:tr>
      <w:tr>
        <w:trPr>
          <w:trHeight w:val="405"/>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   a lump sum compensation for expenses;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   une compensation forfaitaire pour les dépenses;</w:t>
            </w:r>
          </w:p>
        </w:tc>
      </w:tr>
      <w:tr>
        <w:trPr>
          <w:trHeight w:val="391"/>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 number of options or shares in the Company, as further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d)</w:t>
            </w:r>
          </w:p>
        </w:tc>
        <w:tc>
          <w:tcPr>
            <w:tcW w:w="52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un nombre d'actions ou d'options dans la société, comme</w:t>
            </w:r>
          </w:p>
        </w:tc>
      </w:tr>
      <w:tr>
        <w:trPr>
          <w:trHeight w:val="217"/>
        </w:trPr>
        <w:tc>
          <w:tcPr>
            <w:tcW w:w="380" w:type="dxa"/>
            <w:vAlign w:val="bottom"/>
            <w:tcBorders>
              <w:left w:val="single" w:sz="8" w:color="auto"/>
            </w:tcBorders>
          </w:tcPr>
          <w:p>
            <w:pPr>
              <w:spacing w:after="0"/>
              <w:rPr>
                <w:sz w:val="18"/>
                <w:szCs w:val="18"/>
                <w:color w:val="auto"/>
              </w:rPr>
            </w:pPr>
          </w:p>
        </w:tc>
        <w:tc>
          <w:tcPr>
            <w:tcW w:w="52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outlined in Art. 41.</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détaillée à l'art. 41.</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compensation is paid in cash and in form of options or shares in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rémunération est versée en espèces et sous forme d'options ou</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Company. The board of directors or, to the extent delegated to it,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d'actions de la société. Le conseil d'administration ou, en cas de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compensation committee shall determine grant, exercise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délégation des fonctions, le comité de rémunération doit fixer les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forfeiture conditions. In particular, they may provide for continuation,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conditions  de  l'octroi,  de  l'exercice  et  de  la  péremption.  En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acceleration or removal of vesting, exercise and forfeiture conditions,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particulier,  il  peut  prévoir  la  poursuite,  l'accélération  ou  la</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for payment or grant of compensation based upon assumed target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suppression  des  conditions  d'acquisition,  d'exercice  et  de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achievement, or for forfeiture, in each case in the event of pre-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péremption, pour le paiement ou l'octroi d'une rémunération basée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determined events such as a change-of-control or termination of 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sur la réalisation des objectifs supposés, ou pour la péremption,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employment or mandate agreement. The Company may procure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dans chaque cas, dans le cas d'événements prédéterminés tels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required shares through purchases in the market, from treasury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qu'un changement de contrôle ou la résiliation d'un contrat de travail</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shares or by using contingent or authorized share capital.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ou d'un mandat. La société peut fournir les actions nécessaires par</w:t>
            </w:r>
          </w:p>
        </w:tc>
      </w:tr>
      <w:tr>
        <w:trPr>
          <w:trHeight w:val="203"/>
        </w:trPr>
        <w:tc>
          <w:tcPr>
            <w:tcW w:w="380" w:type="dxa"/>
            <w:vAlign w:val="bottom"/>
            <w:tcBorders>
              <w:left w:val="single" w:sz="8" w:color="auto"/>
            </w:tcBorders>
          </w:tcPr>
          <w:p>
            <w:pPr>
              <w:spacing w:after="0"/>
              <w:rPr>
                <w:sz w:val="17"/>
                <w:szCs w:val="17"/>
                <w:color w:val="auto"/>
              </w:rPr>
            </w:pPr>
          </w:p>
        </w:tc>
        <w:tc>
          <w:tcPr>
            <w:tcW w:w="524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 achats sur le marché, par ses actions propres ou en utilisant du</w:t>
            </w:r>
          </w:p>
        </w:tc>
      </w:tr>
      <w:tr>
        <w:trPr>
          <w:trHeight w:val="217"/>
        </w:trPr>
        <w:tc>
          <w:tcPr>
            <w:tcW w:w="380" w:type="dxa"/>
            <w:vAlign w:val="bottom"/>
            <w:tcBorders>
              <w:left w:val="single" w:sz="8" w:color="auto"/>
            </w:tcBorders>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capital conditionnel ou autorisé.</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Subject to the approval by the General Meeting, the members of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réserve  de  l'approbation  par  l'assemblée  générale,  les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Board of Directors may receive remuneration in cash at customary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membres  du  conseil  d'administration  peuvent  recevoir  une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conditions for advisory services rendered outside their capacity 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rémunération en espèces dans les conditions habituelles pour des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Board member for the benefit of the Company or companies under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services consultatifs rendus en-dehors de leur qualité de membre du</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its control. The General Meeting may approve an additional bonus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conseil pour le bénéfice de la société ou des sociétés sous son</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for the members of the Board of Directors in exceptional cases.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contrôle.  L'assemblée  générale  peut  approuver  un  bonus</w:t>
            </w:r>
          </w:p>
        </w:tc>
      </w:tr>
      <w:tr>
        <w:trPr>
          <w:trHeight w:val="203"/>
        </w:trPr>
        <w:tc>
          <w:tcPr>
            <w:tcW w:w="380" w:type="dxa"/>
            <w:vAlign w:val="bottom"/>
            <w:tcBorders>
              <w:left w:val="single" w:sz="8" w:color="auto"/>
            </w:tcBorders>
          </w:tcPr>
          <w:p>
            <w:pPr>
              <w:spacing w:after="0"/>
              <w:rPr>
                <w:sz w:val="17"/>
                <w:szCs w:val="17"/>
                <w:color w:val="auto"/>
              </w:rPr>
            </w:pPr>
          </w:p>
        </w:tc>
        <w:tc>
          <w:tcPr>
            <w:tcW w:w="524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supplémentaire pour les membres du conseil d'administration dans</w:t>
            </w:r>
          </w:p>
        </w:tc>
      </w:tr>
      <w:tr>
        <w:trPr>
          <w:trHeight w:val="217"/>
        </w:trPr>
        <w:tc>
          <w:tcPr>
            <w:tcW w:w="380" w:type="dxa"/>
            <w:vAlign w:val="bottom"/>
            <w:tcBorders>
              <w:left w:val="single" w:sz="8" w:color="auto"/>
            </w:tcBorders>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des cas exceptionnels.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rémunération peut également être accordée pour des activités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by the Company or by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indirectement par la société et peuvent</w:t>
            </w: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588"/>
        </w:trPr>
        <w:tc>
          <w:tcPr>
            <w:tcW w:w="3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 controlled by it.</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être versées par la société ou par une société contrôlée par elle.</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33  Principles of the Compensation of the Executive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33  Principe de rémunération du comité exécutif</w:t>
            </w:r>
          </w:p>
        </w:tc>
        <w:tc>
          <w:tcPr>
            <w:tcW w:w="0" w:type="dxa"/>
            <w:vAlign w:val="bottom"/>
          </w:tcPr>
          <w:p>
            <w:pPr>
              <w:spacing w:after="0"/>
              <w:rPr>
                <w:sz w:val="1"/>
                <w:szCs w:val="1"/>
                <w:color w:val="auto"/>
              </w:rPr>
            </w:pPr>
          </w:p>
        </w:tc>
      </w:tr>
      <w:tr>
        <w:trPr>
          <w:trHeight w:val="239"/>
        </w:trPr>
        <w:tc>
          <w:tcPr>
            <w:tcW w:w="480" w:type="dxa"/>
            <w:vAlign w:val="bottom"/>
            <w:tcBorders>
              <w:left w:val="single" w:sz="8" w:color="auto"/>
            </w:tcBorders>
          </w:tcPr>
          <w:p>
            <w:pPr>
              <w:spacing w:after="0"/>
              <w:rPr>
                <w:sz w:val="20"/>
                <w:szCs w:val="20"/>
                <w:color w:val="auto"/>
              </w:rPr>
            </w:pPr>
          </w:p>
        </w:tc>
        <w:tc>
          <w:tcPr>
            <w:tcW w:w="514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Committee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La rémunération des membres du comité exécutif est soumis à</w:t>
            </w:r>
          </w:p>
        </w:tc>
        <w:tc>
          <w:tcPr>
            <w:tcW w:w="0" w:type="dxa"/>
            <w:vAlign w:val="bottom"/>
          </w:tcPr>
          <w:p>
            <w:pPr>
              <w:spacing w:after="0"/>
              <w:rPr>
                <w:sz w:val="1"/>
                <w:szCs w:val="1"/>
                <w:color w:val="auto"/>
              </w:rPr>
            </w:pPr>
          </w:p>
        </w:tc>
      </w:tr>
      <w:tr>
        <w:trPr>
          <w:trHeight w:val="188"/>
        </w:trPr>
        <w:tc>
          <w:tcPr>
            <w:tcW w:w="480" w:type="dxa"/>
            <w:vAlign w:val="bottom"/>
            <w:tcBorders>
              <w:left w:val="single" w:sz="8" w:color="auto"/>
            </w:tcBorders>
          </w:tcPr>
          <w:p>
            <w:pPr>
              <w:spacing w:after="0"/>
              <w:rPr>
                <w:sz w:val="16"/>
                <w:szCs w:val="16"/>
                <w:color w:val="auto"/>
              </w:rPr>
            </w:pPr>
          </w:p>
        </w:tc>
        <w:tc>
          <w:tcPr>
            <w:tcW w:w="514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compensation  payable  to  the  members  of  the  Executive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l'approbation  l'assemblée  générale  et  comprend  les  éléments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Committee is subject to the approval by the General Meeting and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comprises the following elements: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   a fixed remuneration payable in cash;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une rémunération liée à la performance payable en espèces</w:t>
            </w:r>
          </w:p>
        </w:tc>
        <w:tc>
          <w:tcPr>
            <w:tcW w:w="0" w:type="dxa"/>
            <w:vAlign w:val="bottom"/>
          </w:tcPr>
          <w:p>
            <w:pPr>
              <w:spacing w:after="0"/>
              <w:rPr>
                <w:sz w:val="1"/>
                <w:szCs w:val="1"/>
                <w:color w:val="auto"/>
              </w:rPr>
            </w:pPr>
          </w:p>
        </w:tc>
      </w:tr>
      <w:tr>
        <w:trPr>
          <w:trHeight w:val="188"/>
        </w:trPr>
        <w:tc>
          <w:tcPr>
            <w:tcW w:w="480" w:type="dxa"/>
            <w:vAlign w:val="bottom"/>
            <w:tcBorders>
              <w:left w:val="single" w:sz="8" w:color="auto"/>
            </w:tcBorders>
          </w:tcPr>
          <w:p>
            <w:pPr>
              <w:spacing w:after="0"/>
              <w:rPr>
                <w:sz w:val="16"/>
                <w:szCs w:val="16"/>
                <w:color w:val="auto"/>
              </w:rPr>
            </w:pPr>
          </w:p>
        </w:tc>
        <w:tc>
          <w:tcPr>
            <w:tcW w:w="514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vMerge w:val="continue"/>
          </w:tcPr>
          <w:p>
            <w:pPr>
              <w:spacing w:after="0"/>
              <w:rPr>
                <w:sz w:val="16"/>
                <w:szCs w:val="16"/>
                <w:color w:val="auto"/>
              </w:rPr>
            </w:pPr>
          </w:p>
        </w:tc>
        <w:tc>
          <w:tcPr>
            <w:tcW w:w="52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   a performance-related remuneration payable in cash (variable);</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391"/>
        </w:trPr>
        <w:tc>
          <w:tcPr>
            <w:tcW w:w="4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51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 number of options or shares in the Company, as further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c)</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un nombre d'actions ou d'options dans la société, comme</w:t>
            </w: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outlined in Art. 41.</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performance-related remuneration depends on the Company's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rémunération  liée  à  la  performance  dépend  de  la  réussite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business success and the individual performance of the member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économique de la société et de la performance individuelle du</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Executive  Committee  based  on  the  achievement  of  pre-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membre du comité exécutif sur la base de la réalisation des objectifs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determined targets during a business year. The Board of Directors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prédéterminés  au  cours  d'une  année  d'activité.  Le  conseil</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determines annually at the beginning of each relevant business year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détermine au début de chaque exercice les objectifs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the  decisive  targets  and  their  weighting  upon  proposal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décisifs  et  leur  pondération  sur  proposition  du  comité  de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Compensation Committee. The amount of the performance-related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rémunération. Le montant de la rémunération liée à la performance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remuneration  for  each  member  of  the  Executive  Committee  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pour chaque membre du comité exécutif est déterminé par le conseil</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determined by the Board of Directors and may not exceed 100</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et  ne  peut  dépasser  100  pour  cent  de  la</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percent of the respective individual fixed remuneration for the same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rémunération fixe individuelle respective pour la même année.</w:t>
            </w: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9"/>
              </w:rPr>
              <w:t>year.</w:t>
            </w:r>
          </w:p>
        </w:tc>
        <w:tc>
          <w:tcPr>
            <w:tcW w:w="51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rémunération peut également être versée pour activités dans des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entreprises qui sont contrôlées directement ou indirectement par la</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by the Company or by a company controlled by it.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société et peut être versée par la société ou par une société</w:t>
            </w: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51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contrôlée par elle.</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34  Compensation for new Members of the Executive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34   Rémunération pour les nouveaux membres du comité</w:t>
            </w:r>
          </w:p>
        </w:tc>
        <w:tc>
          <w:tcPr>
            <w:tcW w:w="0" w:type="dxa"/>
            <w:vAlign w:val="bottom"/>
          </w:tcPr>
          <w:p>
            <w:pPr>
              <w:spacing w:after="0"/>
              <w:rPr>
                <w:sz w:val="1"/>
                <w:szCs w:val="1"/>
                <w:color w:val="auto"/>
              </w:rPr>
            </w:pPr>
          </w:p>
        </w:tc>
      </w:tr>
      <w:tr>
        <w:trPr>
          <w:trHeight w:val="239"/>
        </w:trPr>
        <w:tc>
          <w:tcPr>
            <w:tcW w:w="480" w:type="dxa"/>
            <w:vAlign w:val="bottom"/>
            <w:tcBorders>
              <w:left w:val="single" w:sz="8" w:color="auto"/>
            </w:tcBorders>
          </w:tcPr>
          <w:p>
            <w:pPr>
              <w:spacing w:after="0"/>
              <w:rPr>
                <w:sz w:val="20"/>
                <w:szCs w:val="20"/>
                <w:color w:val="auto"/>
              </w:rPr>
            </w:pPr>
          </w:p>
        </w:tc>
        <w:tc>
          <w:tcPr>
            <w:tcW w:w="514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Committee</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220" w:type="dxa"/>
            <w:vAlign w:val="bottom"/>
            <w:tcBorders>
              <w:right w:val="single" w:sz="8" w:color="auto"/>
            </w:tcBorders>
          </w:tcPr>
          <w:p>
            <w:pPr>
              <w:jc w:val="right"/>
              <w:ind w:right="3930"/>
              <w:spacing w:after="0"/>
              <w:rPr>
                <w:sz w:val="20"/>
                <w:szCs w:val="20"/>
                <w:color w:val="auto"/>
              </w:rPr>
            </w:pPr>
            <w:r>
              <w:rPr>
                <w:rFonts w:ascii="Arial" w:cs="Arial" w:eastAsia="Arial" w:hAnsi="Arial"/>
                <w:sz w:val="18"/>
                <w:szCs w:val="18"/>
                <w:b w:val="1"/>
                <w:bCs w:val="1"/>
                <w:color w:val="auto"/>
              </w:rPr>
              <w:t>exécutif</w:t>
            </w:r>
          </w:p>
        </w:tc>
        <w:tc>
          <w:tcPr>
            <w:tcW w:w="0" w:type="dxa"/>
            <w:vAlign w:val="bottom"/>
          </w:tcPr>
          <w:p>
            <w:pPr>
              <w:spacing w:after="0"/>
              <w:rPr>
                <w:sz w:val="1"/>
                <w:szCs w:val="1"/>
                <w:color w:val="auto"/>
              </w:rPr>
            </w:pP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If new members of the Executive Committee are appointed and take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Si de nouveaux membres du comité exécutif sont nommés et</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up their position in the Company after the General Meeting has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prennent  leur  position  dans  la  société  après  que  l'assemblée</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approved the maximum total compensation for members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générale a approuvé la rémunération totale maximale pour les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Executive Committee for the year in question, the new members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membres du comité exécutif pour l'année en question, les nouveaux</w:t>
            </w: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may</w:t>
            </w:r>
          </w:p>
        </w:tc>
        <w:tc>
          <w:tcPr>
            <w:tcW w:w="51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membres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29</w:t>
            </w:r>
          </w:p>
        </w:tc>
      </w:tr>
      <w:tr>
        <w:trPr>
          <w:trHeight w:val="338"/>
        </w:trPr>
        <w:tc>
          <w:tcPr>
            <w:tcW w:w="7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780" w:type="dxa"/>
            <w:vAlign w:val="bottom"/>
            <w:tcBorders>
              <w:left w:val="single" w:sz="8" w:color="auto"/>
            </w:tcBorders>
          </w:tcPr>
          <w:p>
            <w:pPr>
              <w:spacing w:after="0"/>
              <w:rPr>
                <w:sz w:val="20"/>
                <w:szCs w:val="20"/>
                <w:color w:val="auto"/>
              </w:rPr>
            </w:pPr>
          </w:p>
        </w:tc>
        <w:tc>
          <w:tcPr>
            <w:tcW w:w="4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 paid an additional amount for the period until the next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peuvent être payés au moyen d'un montant additionnel</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Ordinary Meeting of Shareholder. The additional amount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pour la période allant jusqu'à la prochaine assemblée</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payable to all new members of the Executive Committee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ordinaire des actionnaires. Le montant additionnel payable</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may not exceed 50 percent of the respective total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à tous les nouveaux membres du comité exécutif ne peut</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compensation already approved by the General Meeting.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pas dépasser 50 pour cent de la rémunération totale</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additional compensation may only be paid if the total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respective déjà approuvé par l'assemblée générale. La</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compensation amount that has been approved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rémunération additionnelle ne peut être versée que si le</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for the compensation of the members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montant total de la rémunération qui a été approuvé par</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Executive Committee is insufficient to compensate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l'assemblée générale pour la rémunération des membres</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newly appointed members. The General Meeting is not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du comité exécutif est insuffisant pour rémunérer les</w:t>
            </w:r>
          </w:p>
        </w:tc>
      </w:tr>
      <w:tr>
        <w:trPr>
          <w:trHeight w:val="203"/>
        </w:trPr>
        <w:tc>
          <w:tcPr>
            <w:tcW w:w="780" w:type="dxa"/>
            <w:vAlign w:val="bottom"/>
            <w:tcBorders>
              <w:left w:val="single" w:sz="8" w:color="auto"/>
            </w:tcBorders>
          </w:tcPr>
          <w:p>
            <w:pPr>
              <w:spacing w:after="0"/>
              <w:rPr>
                <w:sz w:val="17"/>
                <w:szCs w:val="17"/>
                <w:color w:val="auto"/>
              </w:rPr>
            </w:pPr>
          </w:p>
        </w:tc>
        <w:tc>
          <w:tcPr>
            <w:tcW w:w="4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required to vote on this additional amount.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780"/>
              <w:spacing w:after="0" w:line="202" w:lineRule="exact"/>
              <w:rPr>
                <w:sz w:val="20"/>
                <w:szCs w:val="20"/>
                <w:color w:val="auto"/>
              </w:rPr>
            </w:pPr>
            <w:r>
              <w:rPr>
                <w:rFonts w:ascii="Arial" w:cs="Arial" w:eastAsia="Arial" w:hAnsi="Arial"/>
                <w:sz w:val="18"/>
                <w:szCs w:val="18"/>
                <w:color w:val="auto"/>
              </w:rPr>
              <w:t>membres nouvellement nommés. L'assemblée générale</w:t>
            </w:r>
          </w:p>
        </w:tc>
      </w:tr>
      <w:tr>
        <w:trPr>
          <w:trHeight w:val="217"/>
        </w:trPr>
        <w:tc>
          <w:tcPr>
            <w:tcW w:w="78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n'a pas à se prononcer sur ce montant supplémentaire.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This additional overall compensation is understood to include 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Cette rémunération additionnelle globale est sensée comprendre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settlements for any disadvantage suffered as a result of the change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toutes les règlements pour tout inconvénient subi à la suite du</w:t>
            </w:r>
          </w:p>
        </w:tc>
      </w:tr>
      <w:tr>
        <w:trPr>
          <w:trHeight w:val="217"/>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of job.</w:t>
            </w: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changement de travail.</w:t>
            </w: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50"/>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35</w:t>
            </w:r>
          </w:p>
        </w:tc>
        <w:tc>
          <w:tcPr>
            <w:tcW w:w="48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35  Dépenses</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Expenses which are not covered by the lump sum compensation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 dépenses qui ne sont pas couvertes par l'indemnité forfaitaire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pursuant to the Company's expense regulations shall be reimbursed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conformément  aux  règlements  de  frais  de  la  société  sont</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following presentation of the supporting receipts. This additional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remboursées à la suite de la présentation des reçus correspondants.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remuneration is not subject to a separate vote by the General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Cette rémunération additionnelle n'est pas soumise à un vote séparé</w:t>
            </w:r>
          </w:p>
        </w:tc>
      </w:tr>
      <w:tr>
        <w:trPr>
          <w:trHeight w:val="217"/>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Meeting.</w:t>
            </w: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par l'assemblée générale.</w:t>
            </w:r>
          </w:p>
        </w:tc>
      </w:tr>
      <w:tr>
        <w:trPr>
          <w:trHeight w:val="230"/>
        </w:trPr>
        <w:tc>
          <w:tcPr>
            <w:tcW w:w="780" w:type="dxa"/>
            <w:vAlign w:val="bottom"/>
            <w:tcBorders>
              <w:left w:val="single" w:sz="8" w:color="auto"/>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250"/>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36</w:t>
            </w:r>
          </w:p>
        </w:tc>
        <w:tc>
          <w:tcPr>
            <w:tcW w:w="48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Compensation Agreements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Agreements on compensation with members of the Board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  accords  sur  la  rémunération  des  membres  du  conseil</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Directors may not exceed the term of maximal one year.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ne peuvent pas excéder la durée maximale d'une</w:t>
            </w:r>
          </w:p>
        </w:tc>
      </w:tr>
      <w:tr>
        <w:trPr>
          <w:trHeight w:val="217"/>
        </w:trPr>
        <w:tc>
          <w:tcPr>
            <w:tcW w:w="78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année.</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Employment  agreements  of  the  members  of  the  Executive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  contrats  de  travail  des  membres  du  comité  exécutif  sont</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Committee are principally concluded for an indefinite period of time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principalement conclus pour une durée indéterminée. Un délai de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whereas  a  notice  period  may  not  exceed  12  months.  If  an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préavis ne peut pas excéder 12 mois. Si un accord de travail est</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employment agreement is concluded for a fixed term such term may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conclu pour une durée déterminée, telle durée ne peut pas excéder</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not exceed one year.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 an.</w:t>
            </w: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588"/>
        </w:trPr>
        <w:tc>
          <w:tcPr>
            <w:tcW w:w="7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14"/>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37  Mandates of a Member of the Board of Directors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37  Mandats d'un membre du conseil d'administration de</w:t>
            </w:r>
          </w:p>
        </w:tc>
      </w:tr>
      <w:tr>
        <w:trPr>
          <w:trHeight w:val="239"/>
        </w:trPr>
        <w:tc>
          <w:tcPr>
            <w:tcW w:w="562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outside the Company</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22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la société</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member of the Board of Directors may cumulatively assume not</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 membre du conseil d'administration ne peut pas cumuler plus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more  than  the  following  number  of  mandates  in  the  board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que le nombre suivant de mandats dans un conseil d'administration,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directors, the superior management or an administrative body of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une  direction  supérieure  ou  un  organisme  administratif  d'une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legal entity which is obliged to be registered in the Swiss commercial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personne  morale  qui  est  obligée  d'être  inscrite  au  registre  du</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 or an equivalent foreign register: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commerce suisse ou un registre étranger équivalent: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7 mandates for publicly traded companies pursuant to art. 727</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a)</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 mandats pour les entreprises cotées en bourse selon l'art.</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para. 1 number 1 CO;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727 al. 1 chiffre 1 CO; et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   8 mandates for companies pursuant to art. 727 para. 1 number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 mandats pour des entreprises selon l'art. 727 al. 1 chiffre 2</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2 CO;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 et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c)</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a) and b) above.</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critères sous a) et b) ci-dessus.</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same management or same beneficial owner (group) are deemed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chacune sous la même direction ou le même bénéficiaire effectif</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 a single mandate.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(groupe) sont réputés être un seul mandat.</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Si une entité juridique remplit plusieurs des critères mentionnés ci-</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 freely counted towards any category. The following mandates 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excepted from these restrictions: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mandats suivants sont exceptés de ces restrictions: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mandates in legal entities which are controlled by the Company</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   les mandats dans des entités juridiques qui sont contrôlées par</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or which control the Company;</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la société ou qui contrôlent la société;</w:t>
            </w:r>
          </w:p>
        </w:tc>
      </w:tr>
      <w:tr>
        <w:trPr>
          <w:trHeight w:val="391"/>
        </w:trPr>
        <w:tc>
          <w:tcPr>
            <w:tcW w:w="562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des mandats d'honneur à des personnes morales de</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bienfaisance.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14"/>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38  Mandates of a Member of the Executive Committee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38  Mandats d'un membre du comité exécutif en-dehors de</w:t>
            </w:r>
          </w:p>
        </w:tc>
      </w:tr>
      <w:tr>
        <w:trPr>
          <w:trHeight w:val="239"/>
        </w:trPr>
        <w:tc>
          <w:tcPr>
            <w:tcW w:w="5620" w:type="dxa"/>
            <w:vAlign w:val="bottom"/>
            <w:tcBorders>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outside the Company</w:t>
            </w:r>
          </w:p>
        </w:tc>
        <w:tc>
          <w:tcPr>
            <w:tcW w:w="2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22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la société</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Each member of the Executive Committee may, with approval of the</w:t>
            </w:r>
          </w:p>
        </w:tc>
        <w:tc>
          <w:tcPr>
            <w:tcW w:w="22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right w:val="single" w:sz="8" w:color="auto"/>
            </w:tcBorders>
          </w:tcPr>
          <w:p>
            <w:pPr>
              <w:spacing w:after="0"/>
              <w:rPr>
                <w:sz w:val="24"/>
                <w:szCs w:val="24"/>
                <w:color w:val="auto"/>
              </w:rPr>
            </w:pP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Board of Directors, cumulatively assume not more than the following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Chaque membre du comité exécutif peut, avec l'approbation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number  of  mandates  in  the  board  of  directors,  the  superior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conseil d'administration, cumuler pas plus que le nombre suivant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management or an administrative body of a legal entity which 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mandats dans un conseil d'administration, une direction supérieure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obliged to be registered in the Swiss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ou un organisme administratif d'une personne morale qui est obligée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d'être inscrite dans le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spacing w:after="0"/>
              <w:rPr>
                <w:sz w:val="19"/>
                <w:szCs w:val="19"/>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34" w:name="page35"/>
    <w:bookmarkEnd w:id="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commercial register or an equivalent foreign register:</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registre du commerce suisse ou un registre étranger équivalent: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2 mandates for publicly traded companies pursuant to Art. 727</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a)</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 mandats pour les entreprises cotées en bourse selon l'art.</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para. 1 number 1 CO;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727 al. 1 chiffre 1 CO; et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   3 mandates for companies pursuant to Art. 727 para. 1 number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 mandats pour des entreprises selon l'art. 727 al. 1 chiffre 2</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2 CO;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 et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c)</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litera a) and b) above.</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critères sous a) et b) ci-dessus.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same management or same beneficial owner (group) are deemed to</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chacun  sous  la  même  direction  ou  même  bénéficiaire  effectif</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 a single mandate.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(groupe) sont réputés être un seul mandat.</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Si une entité juridique remplit plusieurs des critères mentionnés ci-</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 freely counted towards any category. The following mandates 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excepted from this restrictions: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mandats suivants sont exceptés de ces restrictions: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mandates in legal entities which are controlled by the Company</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   les mandats dans des entités juridiques qui sont contrôlées par</w:t>
            </w:r>
          </w:p>
        </w:tc>
      </w:tr>
      <w:tr>
        <w:trPr>
          <w:trHeight w:val="217"/>
        </w:trPr>
        <w:tc>
          <w:tcPr>
            <w:tcW w:w="562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or which control the Company;</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la société ou qui contrôlent la société;</w:t>
            </w:r>
          </w:p>
        </w:tc>
      </w:tr>
      <w:tr>
        <w:trPr>
          <w:trHeight w:val="391"/>
        </w:trPr>
        <w:tc>
          <w:tcPr>
            <w:tcW w:w="562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b)   mandats d'honneur dans des entités juridiques de</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bienfaisance.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39   Loans and Credits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39   Prêts et crédits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members  of  the  Board  of  Directors  and  the  Executive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membres du conseil d'administration et du comité exécutif 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Committee may not be granted any loans, credits or securities.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peuvent pas souscrire des prêts, des crédits ou des titres. Sont</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Excepted from the above are advances in the maximum amount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exceptées les avances d'un montant maximum de CHF 500'000 par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CHF 500'000 per person for attorneys' fees, court and other similar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personne pour les frais d'avocat, des coûts de tribunaux et d'autres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costs required for the defence of third-party liability claims permitted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coûts similaires nécessaires à la défense contre des actions en</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by Article 29.</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responsabilité civile autorisés par l'article 29.</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40   Pension Funds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40   Fonds de pension</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shall remunerate members of the Board of Directors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ne  doit  rémunérer  les  membres  du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only in respect of the employer's mandatory contributions to social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que  du  montant  dû  au  titre  de  contributions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insurance. Above and beyond this, the Company shall not make any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obligatoire de l'employeur à l'assurance sociale. Au-delà de ce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contributions to pension funds or other such pension plans.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montant,  la  société  ne  doit  pas  verser  de  cotisations  à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exceptional cases, contributions such as these may be made subject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institutions de prévoyance ou à d'autres régimes de retraite. Dans</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des cas exceptionnels, des contributions comme</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spacing w:after="0"/>
              <w:rPr>
                <w:sz w:val="19"/>
                <w:szCs w:val="19"/>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5320"/>
              <w:spacing w:after="0"/>
              <w:rPr>
                <w:sz w:val="20"/>
                <w:szCs w:val="20"/>
                <w:color w:val="auto"/>
              </w:rPr>
            </w:pPr>
            <w:r>
              <w:rPr>
                <w:rFonts w:ascii="Arial" w:cs="Arial" w:eastAsia="Arial" w:hAnsi="Arial"/>
                <w:sz w:val="18"/>
                <w:szCs w:val="18"/>
                <w:color w:val="auto"/>
              </w:rPr>
              <w:t>32</w:t>
            </w:r>
          </w:p>
        </w:tc>
      </w:tr>
      <w:tr>
        <w:trPr>
          <w:trHeight w:val="33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request by the Compensation Committee and the approval of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celles-ci peuvent être faites sur demande au comité de rémunération</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et sous réserve de l'approbation de l'assemblée générale.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Members of the Executive Committee participate in the Company's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 membres du comité exécutif participent aux régimes de retraite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pension plans (the Company's pension fund and the management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de la société (le fond de pension de la société et le régime 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pension plan). The pension plans conform to the legal requirements.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retraite du management). Les régimes de retraite sont conformes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For members of the Executive Committee, the insured income 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aux exigences légales (LPP). Pour les membres du comité exécutif,</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defined as the fixed remuneration plus 50 percent of the target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le revenu assuré est défini comme la rémunération fixe plus les 50</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performance-related remuneration, up to the legal maximum. Equity-</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pour  cent  de  la  rémunération  liée  à  la  performance,  jusqu'au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linked income components are not included.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maximum légal. Les composantes du revenu liées au capital propre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 sont pas inclus.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Within the overall compensation approved by the General Meeting,</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Dans la rémunération globale approuvée par l'assemblée générale,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Company may make additional payments into the Company's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 société pourra effectuer des paiements supplémentaires dans les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pension  funds  for  the  benefit  of  members  of  the  Executive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caisses de retraite de la société pour le bénéfice des membres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Committee in order to cover any disadvantage suffered as a result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comité exécutif afin de couvrir tout désavantage subi par suite de la</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change of jobs or to purchase additional pension entitlements.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modification de l'emploi ou pour acheter des droits de pension</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this context the Company may conclude life insurance policies 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supplémentaires. Dans ce contexte, la société peut conclure des</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behalf  of  members  of  the  Executive  Committee  and  pay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contrats d'assurance-vie au nom des membres du comité exécutif et</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insurance premiums either fully or in part.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payer en totalité ou en partie les primes d'assurance.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Upon retirement, the Company may also grant members of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À la retraite, la société peut également accorder aux membres du</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Executive Committee a bridging pension to cover the period between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comité exécutif, une pension de transition pour couvrir la période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early retirement at 62 and the ordinary age of retirement, if such</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entre la retraite anticipée à 62 ans et l'âge ordinaire de la retraite, si</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bridging pension does not exceed 100 percent of the total annual</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cette rente transitoire ne dépasse pas 100 pour cent du dernier</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compensation of the respective member last paid.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montant de la rémunération annuelle totale payée au membre</w:t>
            </w:r>
          </w:p>
        </w:tc>
      </w:tr>
      <w:tr>
        <w:trPr>
          <w:trHeight w:val="217"/>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respectif.</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41  Option and Share Plans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41   Options et plan d'actions</w:t>
            </w:r>
          </w:p>
        </w:tc>
      </w:tr>
      <w:tr>
        <w:trPr>
          <w:trHeight w:val="391"/>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Under the Company's Option Plan, the Board of Directors, upon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  vertu  du  régime  d'options  de  la  société,  le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proposal of the Compensation Committee, allocates the participating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sur proposition du comité de rémunération, attribue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members of the Executive Committee and the Board of Directors a</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aux  membres  participants  du  comité  exécutif  et  du  conseil</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fixed number of options or shares with a vesting for a period of at</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d'administration un nombre fixe d'options ou d'actions avec une</w:t>
            </w:r>
          </w:p>
        </w:tc>
      </w:tr>
      <w:tr>
        <w:trPr>
          <w:trHeight w:val="203"/>
        </w:trPr>
        <w:tc>
          <w:tcPr>
            <w:tcW w:w="56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least three years (the vesting period). At the end of the vesting</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période de blocage d'une période d'au moins trois ans (la "Période</w:t>
            </w:r>
          </w:p>
        </w:tc>
      </w:tr>
      <w:tr>
        <w:trPr>
          <w:trHeight w:val="217"/>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period, participants in the Option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 Blocage"). À la fin de la Période de Blocage, les participants au</w:t>
            </w:r>
          </w:p>
        </w:tc>
      </w:tr>
      <w:tr>
        <w:trPr>
          <w:trHeight w:val="230"/>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588"/>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36" w:name="page37"/>
    <w:bookmarkEnd w:id="36"/>
    <w:p>
      <w:pPr>
        <w:ind w:left="11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220980</wp:posOffset>
            </wp:positionV>
            <wp:extent cx="7246620" cy="4827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0" w:num="1">
            <w:col w:w="11320"/>
          </w:cols>
          <w:pgMar w:left="300" w:top="247" w:right="2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Plan are entitled to exercise the options granted against payment of the strike price. These options to acquire shares in the Company or allocated shares are subject to the basic principles set out in the following:</w:t>
      </w:r>
    </w:p>
    <w:p>
      <w:pPr>
        <w:spacing w:after="0" w:line="188" w:lineRule="exact"/>
        <w:rPr>
          <w:sz w:val="20"/>
          <w:szCs w:val="20"/>
          <w:color w:val="auto"/>
        </w:rPr>
      </w:pPr>
    </w:p>
    <w:p>
      <w:pPr>
        <w:ind w:left="380" w:hanging="378"/>
        <w:spacing w:after="0" w:line="246" w:lineRule="auto"/>
        <w:tabs>
          <w:tab w:leader="none" w:pos="5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the sole discretion of the Board of Directors to decide whether to allocate options or shares and to whom;</w:t>
      </w:r>
    </w:p>
    <w:p>
      <w:pPr>
        <w:spacing w:after="0" w:line="183" w:lineRule="exact"/>
        <w:rPr>
          <w:rFonts w:ascii="Arial" w:cs="Arial" w:eastAsia="Arial" w:hAnsi="Arial"/>
          <w:sz w:val="18"/>
          <w:szCs w:val="18"/>
          <w:color w:val="auto"/>
        </w:rPr>
      </w:pPr>
    </w:p>
    <w:p>
      <w:pPr>
        <w:jc w:val="both"/>
        <w:ind w:left="380" w:hanging="378"/>
        <w:spacing w:after="0" w:line="239"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year, the Board of Directors, upon proposal of the Compensation Committee, stipulates the number of options and shares to be allocated, the date of allocation and the strike price;</w:t>
      </w:r>
    </w:p>
    <w:p>
      <w:pPr>
        <w:spacing w:after="0" w:line="188" w:lineRule="exact"/>
        <w:rPr>
          <w:rFonts w:ascii="Arial" w:cs="Arial" w:eastAsia="Arial" w:hAnsi="Arial"/>
          <w:sz w:val="18"/>
          <w:szCs w:val="18"/>
          <w:color w:val="auto"/>
        </w:rPr>
      </w:pPr>
    </w:p>
    <w:p>
      <w:pPr>
        <w:jc w:val="both"/>
        <w:ind w:left="380" w:hanging="378"/>
        <w:spacing w:after="0"/>
        <w:tabs>
          <w:tab w:leader="none" w:pos="4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option incorporates a non-transferable, pre-emptive, and contingent right to acquire a certain number of Company's shares;</w:t>
      </w:r>
    </w:p>
    <w:p>
      <w:pPr>
        <w:spacing w:after="0" w:line="189" w:lineRule="exact"/>
        <w:rPr>
          <w:rFonts w:ascii="Arial" w:cs="Arial" w:eastAsia="Arial" w:hAnsi="Arial"/>
          <w:sz w:val="18"/>
          <w:szCs w:val="18"/>
          <w:color w:val="auto"/>
        </w:rPr>
      </w:pPr>
    </w:p>
    <w:p>
      <w:pPr>
        <w:jc w:val="both"/>
        <w:ind w:left="380" w:hanging="378"/>
        <w:spacing w:after="0" w:line="236" w:lineRule="auto"/>
        <w:tabs>
          <w:tab w:leader="none" w:pos="5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change of control (as defined in the Option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397" w:lineRule="exact"/>
        <w:rPr>
          <w:rFonts w:ascii="Arial" w:cs="Arial" w:eastAsia="Arial" w:hAnsi="Arial"/>
          <w:sz w:val="18"/>
          <w:szCs w:val="18"/>
          <w:color w:val="auto"/>
        </w:rPr>
      </w:pPr>
    </w:p>
    <w:p>
      <w:pPr>
        <w:jc w:val="both"/>
        <w:ind w:left="380" w:hanging="378"/>
        <w:spacing w:after="0" w:line="239" w:lineRule="auto"/>
        <w:tabs>
          <w:tab w:leader="none" w:pos="5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individual members of the Executive Committee or the Board of Directors participating in the Option Plan are responsible for paying any taxes or social security contributions and for declaring income correctly to the authorities;</w:t>
      </w:r>
    </w:p>
    <w:p>
      <w:pPr>
        <w:spacing w:after="0" w:line="188" w:lineRule="exact"/>
        <w:rPr>
          <w:rFonts w:ascii="Arial" w:cs="Arial" w:eastAsia="Arial" w:hAnsi="Arial"/>
          <w:sz w:val="18"/>
          <w:szCs w:val="18"/>
          <w:color w:val="auto"/>
        </w:rPr>
      </w:pPr>
    </w:p>
    <w:p>
      <w:pPr>
        <w:jc w:val="both"/>
        <w:ind w:left="380" w:hanging="378"/>
        <w:spacing w:after="0"/>
        <w:tabs>
          <w:tab w:leader="none" w:pos="4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at the sole discretion of the Board of Directors to decide whether to supplement the Option Plan within the bounds of the principles set out above or to discontinue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661035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régime d'options sont habilités à exercer les options attribuées contre paiement du prix d'exercice. Ces options d'achat d'actions de la société ou d'actions attribuées sont soumises aux principes de base suivants:</w:t>
      </w:r>
    </w:p>
    <w:p>
      <w:pPr>
        <w:spacing w:after="0" w:line="188" w:lineRule="exact"/>
        <w:rPr>
          <w:sz w:val="20"/>
          <w:szCs w:val="20"/>
          <w:color w:val="auto"/>
        </w:rPr>
      </w:pPr>
    </w:p>
    <w:p>
      <w:pPr>
        <w:ind w:left="460" w:right="20" w:hanging="457"/>
        <w:spacing w:after="0" w:line="246" w:lineRule="auto"/>
        <w:tabs>
          <w:tab w:leader="none" w:pos="5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des options ou actions sont attribuées et à qui;</w:t>
      </w:r>
    </w:p>
    <w:p>
      <w:pPr>
        <w:spacing w:after="0" w:line="183" w:lineRule="exact"/>
        <w:rPr>
          <w:rFonts w:ascii="Arial" w:cs="Arial" w:eastAsia="Arial" w:hAnsi="Arial"/>
          <w:sz w:val="18"/>
          <w:szCs w:val="18"/>
          <w:color w:val="auto"/>
        </w:rPr>
      </w:pPr>
    </w:p>
    <w:p>
      <w:pPr>
        <w:jc w:val="both"/>
        <w:ind w:left="460" w:right="20" w:hanging="457"/>
        <w:spacing w:after="0"/>
        <w:tabs>
          <w:tab w:leader="none" w:pos="5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chaque année, le conseil d'administration, sur proposition du comité de rémunération, fixe le nombre d'options et d'actions à attribuer, la date d'attribution et le prix d'exercice;</w:t>
      </w:r>
    </w:p>
    <w:p>
      <w:pPr>
        <w:spacing w:after="0" w:line="189" w:lineRule="exact"/>
        <w:rPr>
          <w:rFonts w:ascii="Arial" w:cs="Arial" w:eastAsia="Arial" w:hAnsi="Arial"/>
          <w:sz w:val="18"/>
          <w:szCs w:val="18"/>
          <w:color w:val="auto"/>
        </w:rPr>
      </w:pPr>
    </w:p>
    <w:p>
      <w:pPr>
        <w:jc w:val="both"/>
        <w:ind w:left="460" w:right="20" w:hanging="457"/>
        <w:spacing w:after="0"/>
        <w:tabs>
          <w:tab w:leader="none" w:pos="8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chaque option comporte un droit non transférable, de souscription préférentielle et optionnel d'acquérir un certain nombre d'actions de la société;</w:t>
      </w:r>
    </w:p>
    <w:p>
      <w:pPr>
        <w:spacing w:after="0" w:line="189" w:lineRule="exact"/>
        <w:rPr>
          <w:rFonts w:ascii="Arial" w:cs="Arial" w:eastAsia="Arial" w:hAnsi="Arial"/>
          <w:sz w:val="18"/>
          <w:szCs w:val="18"/>
          <w:color w:val="auto"/>
        </w:rPr>
      </w:pPr>
    </w:p>
    <w:p>
      <w:pPr>
        <w:jc w:val="both"/>
        <w:ind w:left="460" w:right="20" w:hanging="457"/>
        <w:spacing w:after="0" w:line="236" w:lineRule="auto"/>
        <w:tabs>
          <w:tab w:leader="none" w:pos="5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dans le cas d'un changement de contrôle (tel que défini dans le régime d'options) ou la radiation des actions de la société, la Période de Blocage prend fin (acquisition accélérée) et le participant est en droit d'exercer les options sur une base pro rata le jour de la transaction qui a conduit à un changement de contrôle ou le jour où la radiation a été exécutée. Il relève de la libre appréciation du conseil d'administration de décider, sur proposition du comité de rémunération, si les objectifs financiers ont été atteints;</w:t>
      </w:r>
    </w:p>
    <w:p>
      <w:pPr>
        <w:spacing w:after="0" w:line="193" w:lineRule="exact"/>
        <w:rPr>
          <w:rFonts w:ascii="Arial" w:cs="Arial" w:eastAsia="Arial" w:hAnsi="Arial"/>
          <w:sz w:val="18"/>
          <w:szCs w:val="18"/>
          <w:color w:val="auto"/>
        </w:rPr>
      </w:pPr>
    </w:p>
    <w:p>
      <w:pPr>
        <w:jc w:val="both"/>
        <w:ind w:left="460" w:right="20" w:hanging="457"/>
        <w:spacing w:after="0" w:line="238" w:lineRule="auto"/>
        <w:tabs>
          <w:tab w:leader="none" w:pos="6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 membres individuels du comité exécutif ou du conseil d'administration qui participent au régime d'options sont responsables du paiement de tous les impôts ou cotisations de sécurité sociale et de déclarer correctement le revenu aux autorités;</w:t>
      </w:r>
    </w:p>
    <w:p>
      <w:pPr>
        <w:spacing w:after="0" w:line="189" w:lineRule="exact"/>
        <w:rPr>
          <w:rFonts w:ascii="Arial" w:cs="Arial" w:eastAsia="Arial" w:hAnsi="Arial"/>
          <w:sz w:val="18"/>
          <w:szCs w:val="18"/>
          <w:color w:val="auto"/>
        </w:rPr>
      </w:pPr>
    </w:p>
    <w:p>
      <w:pPr>
        <w:jc w:val="both"/>
        <w:ind w:left="460" w:right="20" w:hanging="457"/>
        <w:spacing w:after="0"/>
        <w:tabs>
          <w:tab w:leader="none" w:pos="5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le régime d'options est complété dans les limites des principes énoncés ci-dessus ou de l'interrompre.</w:t>
      </w:r>
    </w:p>
    <w:p>
      <w:pPr>
        <w:sectPr>
          <w:pgSz w:w="11900" w:h="16838" w:orient="portrait"/>
          <w:cols w:equalWidth="0" w:num="2">
            <w:col w:w="5500" w:space="320"/>
            <w:col w:w="5500"/>
          </w:cols>
          <w:pgMar w:left="300" w:top="247" w:right="279" w:bottom="1440" w:gutter="0" w:footer="0" w:header="0"/>
          <w:type w:val="continuous"/>
        </w:sectPr>
      </w:pPr>
    </w:p>
    <w:bookmarkStart w:id="37" w:name="page38"/>
    <w:bookmarkEnd w:id="37"/>
    <w:tbl>
      <w:tblPr>
        <w:tblLayout w:type="fixed"/>
        <w:tblInd w:w="1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may periodically offer shares in the Company to</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peut périodiquement offrir des actions de la société aux</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important and long-term employees for a price being at maximum</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salariés importants et à long terme pour un prix étant au maximum</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ten percent below the average volume-weighted price of the last 30</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dix pour cent au-dessous du prix moyen pondéré par les volumes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trading days at the stock exchange. Members of the Board of</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des  30  derniers  jours  à  la  bourse.  Les  membres  du  conseil</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Directors and the Executive Committee may be included in this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d'administration et du comité exécutif peuvent être inclus dans ce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program. The shares acquired thereby shall be blocked for a period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programme. Les actions ainsi acquises seront bloquées pour une</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of at least 3 years.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période d'au moins 3 ans.</w:t>
            </w: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14"/>
        </w:trPr>
        <w:tc>
          <w:tcPr>
            <w:tcW w:w="7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VIII.</w:t>
            </w:r>
          </w:p>
        </w:tc>
        <w:tc>
          <w:tcPr>
            <w:tcW w:w="49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BUSINESS YEAR, ACCOUNTING, ALLOCATION OF</w:t>
            </w:r>
          </w:p>
        </w:tc>
        <w:tc>
          <w:tcPr>
            <w:tcW w:w="220" w:type="dxa"/>
            <w:vAlign w:val="bottom"/>
            <w:tcBorders>
              <w:right w:val="single" w:sz="8" w:color="auto"/>
            </w:tcBorders>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VIII.</w:t>
            </w:r>
          </w:p>
        </w:tc>
        <w:tc>
          <w:tcPr>
            <w:tcW w:w="4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EXERCICE, COMPTABILITÉ, RÉPARTITION DES</w:t>
            </w:r>
          </w:p>
        </w:tc>
      </w:tr>
      <w:tr>
        <w:trPr>
          <w:trHeight w:val="239"/>
        </w:trPr>
        <w:tc>
          <w:tcPr>
            <w:tcW w:w="700" w:type="dxa"/>
            <w:vAlign w:val="bottom"/>
            <w:tcBorders>
              <w:left w:val="single" w:sz="8" w:color="auto"/>
            </w:tcBorders>
          </w:tcPr>
          <w:p>
            <w:pPr>
              <w:spacing w:after="0"/>
              <w:rPr>
                <w:sz w:val="20"/>
                <w:szCs w:val="20"/>
                <w:color w:val="auto"/>
              </w:rPr>
            </w:pPr>
          </w:p>
        </w:tc>
        <w:tc>
          <w:tcPr>
            <w:tcW w:w="492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PROFITS</w:t>
            </w:r>
          </w:p>
        </w:tc>
        <w:tc>
          <w:tcPr>
            <w:tcW w:w="2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0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BÉNÉFICES</w:t>
            </w: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50"/>
        </w:trPr>
        <w:tc>
          <w:tcPr>
            <w:tcW w:w="7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42</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Business Year</w:t>
            </w:r>
          </w:p>
        </w:tc>
        <w:tc>
          <w:tcPr>
            <w:tcW w:w="220" w:type="dxa"/>
            <w:vAlign w:val="bottom"/>
            <w:tcBorders>
              <w:right w:val="single" w:sz="8" w:color="auto"/>
            </w:tcBorders>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Art. 42</w:t>
            </w:r>
          </w:p>
        </w:tc>
        <w:tc>
          <w:tcPr>
            <w:tcW w:w="49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Exercice</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détermine le début et la fin de l'exercice</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Company's business year.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 la société.</w:t>
            </w:r>
          </w:p>
        </w:tc>
      </w:tr>
      <w:tr>
        <w:trPr>
          <w:trHeight w:val="230"/>
        </w:trPr>
        <w:tc>
          <w:tcPr>
            <w:tcW w:w="700" w:type="dxa"/>
            <w:vAlign w:val="bottom"/>
            <w:tcBorders>
              <w:left w:val="single" w:sz="8" w:color="auto"/>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r>
      <w:tr>
        <w:trPr>
          <w:trHeight w:val="250"/>
        </w:trPr>
        <w:tc>
          <w:tcPr>
            <w:tcW w:w="7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43</w:t>
            </w:r>
          </w:p>
        </w:tc>
        <w:tc>
          <w:tcPr>
            <w:tcW w:w="49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Accounting</w:t>
            </w:r>
          </w:p>
        </w:tc>
        <w:tc>
          <w:tcPr>
            <w:tcW w:w="220" w:type="dxa"/>
            <w:vAlign w:val="bottom"/>
            <w:tcBorders>
              <w:right w:val="single" w:sz="8" w:color="auto"/>
            </w:tcBorders>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Art. 43</w:t>
            </w:r>
          </w:p>
        </w:tc>
        <w:tc>
          <w:tcPr>
            <w:tcW w:w="49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Comptabilité</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annual accounts consist of the profit and loss statement,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comptes annuels se composent du compte de profits et pertes,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balance  sheet,  the  cash  flow  statement,  the  annex  and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du bilan, du tableau des flux de trésorerie, de l'annexe et du rapport</w:t>
            </w:r>
          </w:p>
        </w:tc>
      </w:tr>
      <w:tr>
        <w:trPr>
          <w:trHeight w:val="185"/>
        </w:trPr>
        <w:tc>
          <w:tcPr>
            <w:tcW w:w="5620" w:type="dxa"/>
            <w:vAlign w:val="bottom"/>
            <w:tcBorders>
              <w:left w:val="single" w:sz="8" w:color="auto"/>
              <w:right w:val="single" w:sz="8" w:color="auto"/>
            </w:tcBorders>
            <w:gridSpan w:val="2"/>
          </w:tcPr>
          <w:p>
            <w:pPr>
              <w:ind w:left="60"/>
              <w:spacing w:after="0" w:line="185" w:lineRule="exact"/>
              <w:rPr>
                <w:sz w:val="20"/>
                <w:szCs w:val="20"/>
                <w:color w:val="auto"/>
              </w:rPr>
            </w:pPr>
            <w:r>
              <w:rPr>
                <w:rFonts w:ascii="Arial" w:cs="Arial" w:eastAsia="Arial" w:hAnsi="Arial"/>
                <w:sz w:val="18"/>
                <w:szCs w:val="18"/>
                <w:color w:val="auto"/>
              </w:rPr>
              <w:t>management  report,  and  shall  be  drawn  up  pursuant  to  the</w:t>
            </w: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tcPr>
          <w:p>
            <w:pPr>
              <w:ind w:left="40"/>
              <w:spacing w:after="0" w:line="185" w:lineRule="exact"/>
              <w:rPr>
                <w:sz w:val="20"/>
                <w:szCs w:val="20"/>
                <w:color w:val="auto"/>
              </w:rPr>
            </w:pPr>
            <w:r>
              <w:rPr>
                <w:rFonts w:ascii="Arial" w:cs="Arial" w:eastAsia="Arial" w:hAnsi="Arial"/>
                <w:sz w:val="18"/>
                <w:szCs w:val="18"/>
                <w:color w:val="auto"/>
              </w:rPr>
              <w:t>de gestion, et sont établis conformément aux dispositions du CO, en</w:t>
            </w:r>
          </w:p>
        </w:tc>
      </w:tr>
      <w:tr>
        <w:trPr>
          <w:trHeight w:val="22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 xml:space="preserve">provisions of the CO, particularly of Articles 958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and the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particulier des articles 958 ss. CO, et aux principes commerciaux</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generally accepted commercial principles and customary rules in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généralement reconnus et aux règles coutumières dans ce secteur</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that business area.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d'activité.</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If required by law, the consolidated financial statements shall be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Si requis par la loi, les états financiers consolidés sont établis en</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drawn in accordance with the provisions of Article 962 CO.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conformité avec les dispositions de l'article 962 CO.</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44   Allocation of Profits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Subject to the legal provisions regarding distribution of profits,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réserve des dispositions légales en matière de répartition des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profit as shown on the balance sheet shall be allocated by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bénéfices, le bénéfice comme indiqué sur le bilan doit être alloué à</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General Meeting at its discretion after receipt of the proposals of the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la libre appréciation de l'assemblée générale après réception des</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Board of Directors and the Auditors.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propositions du conseil d'administration et de l'organe de révision.</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 addition to the legal reserves, the General Meeting may create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En plus des réserves légales, l'assemblée générale peut créer des</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supplemental reserves.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réserves supplémentaires.</w:t>
            </w: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588"/>
        </w:trPr>
        <w:tc>
          <w:tcPr>
            <w:tcW w:w="7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5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Dividends not claimed within five years after the due date shall</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dividendes non réclamés dans les cinq ans après la date</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remain with the Company and be allocated to the general reserves.</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d'échéance restent avec la société et sont attribués aux réserves</w:t>
            </w:r>
          </w:p>
        </w:tc>
      </w:tr>
      <w:tr>
        <w:trPr>
          <w:trHeight w:val="217"/>
        </w:trPr>
        <w:tc>
          <w:tcPr>
            <w:tcW w:w="78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générales.</w:t>
            </w: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50"/>
        </w:trPr>
        <w:tc>
          <w:tcPr>
            <w:tcW w:w="7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IX.</w:t>
            </w:r>
          </w:p>
        </w:tc>
        <w:tc>
          <w:tcPr>
            <w:tcW w:w="48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DISSOLUTION AND LIQUIDATION</w:t>
            </w:r>
          </w:p>
        </w:tc>
        <w:tc>
          <w:tcPr>
            <w:tcW w:w="220" w:type="dxa"/>
            <w:vAlign w:val="bottom"/>
            <w:tcBorders>
              <w:right w:val="single" w:sz="8" w:color="auto"/>
            </w:tcBorders>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IX.</w:t>
            </w:r>
          </w:p>
        </w:tc>
        <w:tc>
          <w:tcPr>
            <w:tcW w:w="5080" w:type="dxa"/>
            <w:vAlign w:val="bottom"/>
            <w:tcBorders>
              <w:right w:val="single" w:sz="8" w:color="auto"/>
            </w:tcBorders>
          </w:tcPr>
          <w:p>
            <w:pPr>
              <w:jc w:val="right"/>
              <w:ind w:right="1950"/>
              <w:spacing w:after="0"/>
              <w:rPr>
                <w:sz w:val="20"/>
                <w:szCs w:val="20"/>
                <w:color w:val="auto"/>
              </w:rPr>
            </w:pPr>
            <w:r>
              <w:rPr>
                <w:rFonts w:ascii="Arial" w:cs="Arial" w:eastAsia="Arial" w:hAnsi="Arial"/>
                <w:sz w:val="18"/>
                <w:szCs w:val="18"/>
                <w:b w:val="1"/>
                <w:bCs w:val="1"/>
                <w:color w:val="auto"/>
              </w:rPr>
              <w:t>DISSOLUTION ET LIQUIDATION</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45  Dissolution and Liquidation</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45   Dissolution et Liquidation</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dissolution et la liquidation de la société ont lieu en conformité</w:t>
            </w:r>
          </w:p>
        </w:tc>
      </w:tr>
      <w:tr>
        <w:trPr>
          <w:trHeight w:val="21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accordance with the provisions of the CO.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avec les dispositions du CO.</w:t>
            </w:r>
          </w:p>
        </w:tc>
      </w:tr>
      <w:tr>
        <w:trPr>
          <w:trHeight w:val="230"/>
        </w:trPr>
        <w:tc>
          <w:tcPr>
            <w:tcW w:w="780" w:type="dxa"/>
            <w:vAlign w:val="bottom"/>
            <w:tcBorders>
              <w:left w:val="single" w:sz="8" w:color="auto"/>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80" w:type="dxa"/>
            <w:vAlign w:val="bottom"/>
            <w:tcBorders>
              <w:bottom w:val="single" w:sz="8" w:color="auto"/>
              <w:right w:val="single" w:sz="8" w:color="auto"/>
            </w:tcBorders>
          </w:tcPr>
          <w:p>
            <w:pPr>
              <w:spacing w:after="0"/>
              <w:rPr>
                <w:sz w:val="19"/>
                <w:szCs w:val="19"/>
                <w:color w:val="auto"/>
              </w:rPr>
            </w:pPr>
          </w:p>
        </w:tc>
      </w:tr>
      <w:tr>
        <w:trPr>
          <w:trHeight w:val="250"/>
        </w:trPr>
        <w:tc>
          <w:tcPr>
            <w:tcW w:w="7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X.</w:t>
            </w:r>
          </w:p>
        </w:tc>
        <w:tc>
          <w:tcPr>
            <w:tcW w:w="48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NOTICES AND PUBLICATIONS</w:t>
            </w:r>
          </w:p>
        </w:tc>
        <w:tc>
          <w:tcPr>
            <w:tcW w:w="220" w:type="dxa"/>
            <w:vAlign w:val="bottom"/>
            <w:tcBorders>
              <w:right w:val="single" w:sz="8" w:color="auto"/>
            </w:tcBorders>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X.</w:t>
            </w:r>
          </w:p>
        </w:tc>
        <w:tc>
          <w:tcPr>
            <w:tcW w:w="508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b w:val="1"/>
                <w:bCs w:val="1"/>
                <w:color w:val="auto"/>
              </w:rPr>
              <w:t>AVIS ET PUBLICATIONS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46  Notices and Publications</w:t>
            </w:r>
          </w:p>
        </w:tc>
        <w:tc>
          <w:tcPr>
            <w:tcW w:w="22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46   Avis et Publications</w:t>
            </w:r>
          </w:p>
        </w:tc>
      </w:tr>
      <w:tr>
        <w:trPr>
          <w:trHeight w:val="391"/>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Swiss Official Gazette of Commerce is the official publication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L'organe de publication légal est la Feuille officielle suisse du</w:t>
            </w:r>
          </w:p>
        </w:tc>
      </w:tr>
      <w:tr>
        <w:trPr>
          <w:trHeight w:val="217"/>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medium.</w:t>
            </w: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commerce.</w:t>
            </w:r>
          </w:p>
        </w:tc>
      </w:tr>
      <w:tr>
        <w:trPr>
          <w:trHeight w:val="230"/>
        </w:trPr>
        <w:tc>
          <w:tcPr>
            <w:tcW w:w="5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spacing w:after="0"/>
              <w:rPr>
                <w:sz w:val="19"/>
                <w:szCs w:val="19"/>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Shareholder communications and notices to the shareholders shall</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communications et avis aux actionnaires sont effectués par</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be made by publication in the Swiss Official Gazette of Commerce or</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publication dans la Feuille officielle suisse du commerce ou envoyés</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sent by mail or e-mail to the addresses registered in the share</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par courrier ou e-mail aux adresses enregistrées dans le registre</w:t>
            </w:r>
          </w:p>
        </w:tc>
      </w:tr>
      <w:tr>
        <w:trPr>
          <w:trHeight w:val="217"/>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register.</w:t>
            </w: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des actions.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Unless the law provides otherwise, notices shall be given to creditors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Sauf si la loi en dispose autrement, les avis seront envoyés aux</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by publication in the Swiss Official Gazette of Commerce. The Board</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créanciers  par  publication  dans  la  Feuille  officielle  suisse  du</w:t>
            </w:r>
          </w:p>
        </w:tc>
      </w:tr>
      <w:tr>
        <w:trPr>
          <w:trHeight w:val="203"/>
        </w:trPr>
        <w:tc>
          <w:tcPr>
            <w:tcW w:w="562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of Directors may assign further means of communication.</w:t>
            </w: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commerce. Le conseil d'administration peut prévoir d'autres moyens</w:t>
            </w:r>
          </w:p>
        </w:tc>
      </w:tr>
      <w:tr>
        <w:trPr>
          <w:trHeight w:val="217"/>
        </w:trPr>
        <w:tc>
          <w:tcPr>
            <w:tcW w:w="78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 communication.</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412"/>
        </w:trPr>
        <w:tc>
          <w:tcPr>
            <w:tcW w:w="5840" w:type="dxa"/>
            <w:vAlign w:val="bottom"/>
            <w:gridSpan w:val="3"/>
          </w:tcPr>
          <w:p>
            <w:pPr>
              <w:spacing w:after="0"/>
              <w:rPr>
                <w:sz w:val="20"/>
                <w:szCs w:val="20"/>
                <w:color w:val="auto"/>
              </w:rPr>
            </w:pPr>
            <w:r>
              <w:rPr>
                <w:rFonts w:ascii="Arial" w:cs="Arial" w:eastAsia="Arial" w:hAnsi="Arial"/>
                <w:sz w:val="18"/>
                <w:szCs w:val="18"/>
                <w:color w:val="auto"/>
              </w:rPr>
              <w:t>Lausanne, le 30 juillet 2018</w:t>
            </w:r>
          </w:p>
        </w:tc>
        <w:tc>
          <w:tcPr>
            <w:tcW w:w="5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540"/>
        </w:trPr>
        <w:tc>
          <w:tcPr>
            <w:tcW w:w="7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39" w:name="page40"/>
    <w:bookmarkEnd w:id="39"/>
    <w:p>
      <w:pPr>
        <w:ind w:left="4320"/>
        <w:spacing w:after="0"/>
        <w:rPr>
          <w:sz w:val="20"/>
          <w:szCs w:val="20"/>
          <w:color w:val="auto"/>
        </w:rPr>
      </w:pPr>
      <w:r>
        <w:rPr>
          <w:rFonts w:ascii="Arial" w:cs="Arial" w:eastAsia="Arial" w:hAnsi="Arial"/>
          <w:sz w:val="18"/>
          <w:szCs w:val="18"/>
          <w:b w:val="1"/>
          <w:bCs w:val="1"/>
          <w:color w:val="auto"/>
        </w:rPr>
        <w:t>ATTESTATION DE CONFORMITÉ</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Le soussigné, Béatrice Ehlers, notaire à Lausanne, atteste que les présents statuts sont conformes avec les statuts de</w:t>
      </w:r>
    </w:p>
    <w:p>
      <w:pPr>
        <w:spacing w:after="0" w:line="17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AC Immune SA</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AC Immune AG</w:t>
      </w:r>
    </w:p>
    <w:p>
      <w:pPr>
        <w:ind w:left="5040"/>
        <w:spacing w:after="0"/>
        <w:rPr>
          <w:sz w:val="20"/>
          <w:szCs w:val="20"/>
          <w:color w:val="auto"/>
        </w:rPr>
      </w:pPr>
      <w:r>
        <w:rPr>
          <w:rFonts w:ascii="Arial" w:cs="Arial" w:eastAsia="Arial" w:hAnsi="Arial"/>
          <w:sz w:val="18"/>
          <w:szCs w:val="18"/>
          <w:b w:val="1"/>
          <w:bCs w:val="1"/>
          <w:color w:val="auto"/>
        </w:rPr>
        <w:t>AC Immune Ltd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avec siège à Ecublens/VD (Suisse) tels qu'ils ont été adoptés ce jour par le conseil d'administration.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FAIT ET PASSÉ À LAUSANNE</w:t>
      </w:r>
      <w:r>
        <w:rPr>
          <w:rFonts w:ascii="Arial" w:cs="Arial" w:eastAsia="Arial" w:hAnsi="Arial"/>
          <w:sz w:val="18"/>
          <w:szCs w:val="18"/>
          <w:color w:val="auto"/>
        </w:rPr>
        <w:t>, le 30 (trente) juillet 2018 (deux mille dix-huit)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76"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99.1</w:t>
      </w:r>
    </w:p>
    <w:p>
      <w:pPr>
        <w:spacing w:after="0" w:line="2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Interim Condensed Financial</w:t>
      </w:r>
    </w:p>
    <w:p>
      <w:pPr>
        <w:spacing w:after="0" w:line="32" w:lineRule="exact"/>
        <w:rPr>
          <w:sz w:val="20"/>
          <w:szCs w:val="20"/>
          <w:color w:val="auto"/>
        </w:rPr>
      </w:pPr>
    </w:p>
    <w:p>
      <w:pPr>
        <w:ind w:right="1020"/>
        <w:spacing w:after="0" w:line="239" w:lineRule="auto"/>
        <w:rPr>
          <w:sz w:val="20"/>
          <w:szCs w:val="20"/>
          <w:color w:val="auto"/>
        </w:rPr>
      </w:pPr>
      <w:r>
        <w:rPr>
          <w:rFonts w:ascii="Arial" w:cs="Arial" w:eastAsia="Arial" w:hAnsi="Arial"/>
          <w:sz w:val="40"/>
          <w:szCs w:val="40"/>
          <w:b w:val="1"/>
          <w:bCs w:val="1"/>
          <w:color w:val="auto"/>
        </w:rPr>
        <w:t>Statements (Unaudited) (IFRS) as of and for the three and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 of</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in CHF thousands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Notes</w:t>
            </w: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280" w:type="dxa"/>
            <w:vAlign w:val="bottom"/>
            <w:gridSpan w:val="2"/>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3,465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Financial assets</w:t>
            </w:r>
          </w:p>
        </w:tc>
        <w:tc>
          <w:tcPr>
            <w:tcW w:w="800" w:type="dxa"/>
            <w:vAlign w:val="bottom"/>
            <w:shd w:val="clear" w:color="auto" w:fill="D5EAEA"/>
          </w:tcPr>
          <w:p>
            <w:pPr>
              <w:spacing w:after="0"/>
              <w:rPr>
                <w:sz w:val="19"/>
                <w:szCs w:val="19"/>
                <w:color w:val="auto"/>
              </w:rPr>
            </w:pPr>
          </w:p>
        </w:tc>
        <w:tc>
          <w:tcPr>
            <w:tcW w:w="200" w:type="dxa"/>
            <w:vAlign w:val="bottom"/>
            <w:shd w:val="clear" w:color="auto" w:fill="D5EAEA"/>
          </w:tcPr>
          <w:p>
            <w:pPr>
              <w:spacing w:after="0"/>
              <w:rPr>
                <w:sz w:val="19"/>
                <w:szCs w:val="19"/>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210</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800" w:type="dxa"/>
            <w:vAlign w:val="bottom"/>
            <w:tcBorders>
              <w:bottom w:val="single" w:sz="8" w:color="D5EAEA"/>
            </w:tcBorders>
          </w:tcPr>
          <w:p>
            <w:pPr>
              <w:spacing w:after="0"/>
              <w:rPr>
                <w:sz w:val="18"/>
                <w:szCs w:val="18"/>
                <w:color w:val="auto"/>
              </w:rPr>
            </w:pPr>
          </w:p>
        </w:tc>
        <w:tc>
          <w:tcPr>
            <w:tcW w:w="2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3,675</w:t>
            </w:r>
          </w:p>
        </w:tc>
        <w:tc>
          <w:tcPr>
            <w:tcW w:w="32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2,479</w:t>
            </w:r>
          </w:p>
        </w:tc>
        <w:tc>
          <w:tcPr>
            <w:tcW w:w="2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D5EAEA"/>
          </w:tcPr>
          <w:p>
            <w:pPr>
              <w:spacing w:after="0"/>
              <w:rPr>
                <w:sz w:val="18"/>
                <w:szCs w:val="18"/>
                <w:color w:val="auto"/>
              </w:rPr>
            </w:pP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shd w:val="clear" w:color="auto" w:fill="D5EAEA"/>
          </w:tcPr>
          <w:p>
            <w:pPr>
              <w:spacing w:after="0"/>
              <w:rPr>
                <w:sz w:val="18"/>
                <w:szCs w:val="18"/>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3,173</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Accrued income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2,631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8</w:t>
            </w:r>
          </w:p>
        </w:tc>
        <w:tc>
          <w:tcPr>
            <w:tcW w:w="200" w:type="dxa"/>
            <w:vAlign w:val="bottom"/>
            <w:shd w:val="clear" w:color="auto" w:fill="D5EAEA"/>
          </w:tcPr>
          <w:p>
            <w:pPr>
              <w:spacing w:after="0"/>
              <w:rPr>
                <w:sz w:val="18"/>
                <w:szCs w:val="18"/>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413</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102,664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124,377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80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108,881</w:t>
            </w:r>
          </w:p>
        </w:tc>
        <w:tc>
          <w:tcPr>
            <w:tcW w:w="3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129,534</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bottom w:val="single" w:sz="8" w:color="D5EAEA"/>
            </w:tcBorders>
          </w:tcPr>
          <w:p>
            <w:pPr>
              <w:spacing w:after="0"/>
              <w:rPr>
                <w:sz w:val="22"/>
                <w:szCs w:val="22"/>
                <w:color w:val="auto"/>
              </w:rPr>
            </w:pPr>
          </w:p>
        </w:tc>
        <w:tc>
          <w:tcPr>
            <w:tcW w:w="2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112,556</w:t>
            </w:r>
          </w:p>
        </w:tc>
        <w:tc>
          <w:tcPr>
            <w:tcW w:w="32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132,013</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shd w:val="clear" w:color="auto" w:fill="D5EAEA"/>
          </w:tcPr>
          <w:p>
            <w:pPr>
              <w:spacing w:after="0"/>
              <w:rPr>
                <w:sz w:val="17"/>
                <w:szCs w:val="17"/>
                <w:color w:val="auto"/>
              </w:rPr>
            </w:pPr>
          </w:p>
        </w:tc>
        <w:tc>
          <w:tcPr>
            <w:tcW w:w="8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D5EAEA"/>
          </w:tcPr>
          <w:p>
            <w:pPr>
              <w:spacing w:after="0"/>
              <w:rPr>
                <w:sz w:val="18"/>
                <w:szCs w:val="18"/>
                <w:color w:val="auto"/>
              </w:rPr>
            </w:pP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1,149</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Share premium</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188,407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188,299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800" w:type="dxa"/>
            <w:vAlign w:val="bottom"/>
            <w:shd w:val="clear" w:color="auto" w:fill="D5EAEA"/>
          </w:tcPr>
          <w:p>
            <w:pPr>
              <w:spacing w:after="0"/>
              <w:rPr>
                <w:sz w:val="19"/>
                <w:szCs w:val="19"/>
                <w:color w:val="auto"/>
              </w:rPr>
            </w:pPr>
          </w:p>
        </w:tc>
        <w:tc>
          <w:tcPr>
            <w:tcW w:w="200" w:type="dxa"/>
            <w:vAlign w:val="bottom"/>
            <w:shd w:val="clear" w:color="auto" w:fill="D5EAEA"/>
          </w:tcPr>
          <w:p>
            <w:pPr>
              <w:spacing w:after="0"/>
              <w:rPr>
                <w:sz w:val="19"/>
                <w:szCs w:val="19"/>
                <w:color w:val="auto"/>
              </w:rPr>
            </w:pPr>
          </w:p>
        </w:tc>
        <w:tc>
          <w:tcPr>
            <w:tcW w:w="1680" w:type="dxa"/>
            <w:vAlign w:val="bottom"/>
            <w:gridSpan w:val="2"/>
            <w:shd w:val="clear" w:color="auto" w:fill="D5EAEA"/>
          </w:tcPr>
          <w:p>
            <w:pPr>
              <w:jc w:val="right"/>
              <w:ind w:right="260"/>
              <w:spacing w:after="0"/>
              <w:rPr>
                <w:sz w:val="20"/>
                <w:szCs w:val="20"/>
                <w:color w:val="auto"/>
              </w:rPr>
            </w:pPr>
            <w:r>
              <w:rPr>
                <w:rFonts w:ascii="Arial" w:cs="Arial" w:eastAsia="Arial" w:hAnsi="Arial"/>
                <w:sz w:val="18"/>
                <w:szCs w:val="18"/>
                <w:color w:val="auto"/>
              </w:rPr>
              <w:t>(94,163)</w:t>
            </w:r>
          </w:p>
        </w:tc>
        <w:tc>
          <w:tcPr>
            <w:tcW w:w="14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(72,607)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800" w:type="dxa"/>
            <w:vAlign w:val="bottom"/>
            <w:tcBorders>
              <w:bottom w:val="single" w:sz="8" w:color="D5EAEA"/>
            </w:tcBorders>
          </w:tcPr>
          <w:p>
            <w:pPr>
              <w:spacing w:after="0"/>
              <w:rPr>
                <w:sz w:val="18"/>
                <w:szCs w:val="18"/>
                <w:color w:val="auto"/>
              </w:rPr>
            </w:pPr>
          </w:p>
        </w:tc>
        <w:tc>
          <w:tcPr>
            <w:tcW w:w="2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95,393</w:t>
            </w:r>
          </w:p>
        </w:tc>
        <w:tc>
          <w:tcPr>
            <w:tcW w:w="32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116,839</w:t>
            </w:r>
          </w:p>
        </w:tc>
        <w:tc>
          <w:tcPr>
            <w:tcW w:w="2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D5EAEA"/>
          </w:tcPr>
          <w:p>
            <w:pPr>
              <w:spacing w:after="0"/>
              <w:rPr>
                <w:sz w:val="18"/>
                <w:szCs w:val="18"/>
                <w:color w:val="auto"/>
              </w:rPr>
            </w:pP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Accrued interest – long-term</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7</w:t>
            </w:r>
          </w:p>
        </w:tc>
        <w:tc>
          <w:tcPr>
            <w:tcW w:w="200" w:type="dxa"/>
            <w:vAlign w:val="bottom"/>
            <w:shd w:val="clear" w:color="auto" w:fill="D5EAEA"/>
          </w:tcPr>
          <w:p>
            <w:pPr>
              <w:spacing w:after="0"/>
              <w:rPr>
                <w:sz w:val="18"/>
                <w:szCs w:val="18"/>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126</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800" w:type="dxa"/>
            <w:vAlign w:val="bottom"/>
            <w:shd w:val="clear" w:color="auto" w:fill="D5EAEA"/>
          </w:tcPr>
          <w:p>
            <w:pPr>
              <w:spacing w:after="0"/>
              <w:rPr>
                <w:sz w:val="19"/>
                <w:szCs w:val="19"/>
                <w:color w:val="auto"/>
              </w:rPr>
            </w:pPr>
          </w:p>
        </w:tc>
        <w:tc>
          <w:tcPr>
            <w:tcW w:w="200" w:type="dxa"/>
            <w:vAlign w:val="bottom"/>
            <w:shd w:val="clear" w:color="auto" w:fill="D5EAEA"/>
          </w:tcPr>
          <w:p>
            <w:pPr>
              <w:spacing w:after="0"/>
              <w:rPr>
                <w:sz w:val="19"/>
                <w:szCs w:val="19"/>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5,202</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4,926</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800" w:type="dxa"/>
            <w:vAlign w:val="bottom"/>
            <w:tcBorders>
              <w:bottom w:val="single" w:sz="8" w:color="D5EAEA"/>
            </w:tcBorders>
          </w:tcPr>
          <w:p>
            <w:pPr>
              <w:spacing w:after="0"/>
              <w:rPr>
                <w:sz w:val="18"/>
                <w:szCs w:val="18"/>
                <w:color w:val="auto"/>
              </w:rPr>
            </w:pPr>
          </w:p>
        </w:tc>
        <w:tc>
          <w:tcPr>
            <w:tcW w:w="2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5,882</w:t>
            </w:r>
          </w:p>
        </w:tc>
        <w:tc>
          <w:tcPr>
            <w:tcW w:w="32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5,420</w:t>
            </w:r>
          </w:p>
        </w:tc>
        <w:tc>
          <w:tcPr>
            <w:tcW w:w="2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D5EAEA"/>
          </w:tcPr>
          <w:p>
            <w:pPr>
              <w:spacing w:after="0"/>
              <w:rPr>
                <w:sz w:val="18"/>
                <w:szCs w:val="18"/>
                <w:color w:val="auto"/>
              </w:rPr>
            </w:pP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2,015</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Accrued expenses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8,798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D5EAEA"/>
          </w:tcPr>
          <w:p>
            <w:pPr>
              <w:spacing w:after="0"/>
              <w:rPr>
                <w:sz w:val="19"/>
                <w:szCs w:val="19"/>
                <w:color w:val="auto"/>
              </w:rPr>
            </w:pPr>
          </w:p>
        </w:tc>
        <w:tc>
          <w:tcPr>
            <w:tcW w:w="168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468</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800" w:type="dxa"/>
            <w:vAlign w:val="bottom"/>
            <w:tcBorders>
              <w:bottom w:val="single" w:sz="8" w:color="D5EAEA"/>
            </w:tcBorders>
          </w:tcPr>
          <w:p>
            <w:pPr>
              <w:spacing w:after="0"/>
              <w:rPr>
                <w:sz w:val="18"/>
                <w:szCs w:val="18"/>
                <w:color w:val="auto"/>
              </w:rPr>
            </w:pPr>
          </w:p>
        </w:tc>
        <w:tc>
          <w:tcPr>
            <w:tcW w:w="2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11,281</w:t>
            </w:r>
          </w:p>
        </w:tc>
        <w:tc>
          <w:tcPr>
            <w:tcW w:w="32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9,754</w:t>
            </w:r>
          </w:p>
        </w:tc>
        <w:tc>
          <w:tcPr>
            <w:tcW w:w="2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17,163</w:t>
            </w:r>
          </w:p>
        </w:tc>
        <w:tc>
          <w:tcPr>
            <w:tcW w:w="32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15,174</w:t>
            </w: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112,556</w:t>
            </w:r>
          </w:p>
        </w:tc>
        <w:tc>
          <w:tcPr>
            <w:tcW w:w="3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 / (Loss)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For the Three Months</w:t>
            </w:r>
          </w:p>
        </w:tc>
        <w:tc>
          <w:tcPr>
            <w:tcW w:w="27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27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 CHF thousands except for share and per share data</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Notes</w:t>
            </w: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00" w:type="dxa"/>
            <w:vAlign w:val="bottom"/>
            <w:gridSpan w:val="2"/>
            <w:vMerge w:val="continue"/>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DCEBF4"/>
          </w:tcPr>
          <w:p>
            <w:pPr>
              <w:spacing w:after="0"/>
              <w:rPr>
                <w:sz w:val="20"/>
                <w:szCs w:val="20"/>
                <w:color w:val="auto"/>
              </w:rPr>
            </w:pPr>
            <w:r>
              <w:rPr>
                <w:rFonts w:ascii="Arial" w:cs="Arial" w:eastAsia="Arial" w:hAnsi="Arial"/>
                <w:sz w:val="18"/>
                <w:szCs w:val="18"/>
                <w:color w:val="auto"/>
              </w:rPr>
              <w:t>Contract revenue</w:t>
            </w:r>
          </w:p>
        </w:tc>
        <w:tc>
          <w:tcPr>
            <w:tcW w:w="780" w:type="dxa"/>
            <w:vAlign w:val="bottom"/>
            <w:shd w:val="clear" w:color="auto" w:fill="DCEBF4"/>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DCEBF4"/>
          </w:tcPr>
          <w:p>
            <w:pPr>
              <w:spacing w:after="0"/>
              <w:rPr>
                <w:sz w:val="19"/>
                <w:szCs w:val="19"/>
                <w:color w:val="auto"/>
              </w:rPr>
            </w:pPr>
          </w:p>
        </w:tc>
        <w:tc>
          <w:tcPr>
            <w:tcW w:w="114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DCEBF4"/>
          </w:tcPr>
          <w:p>
            <w:pPr>
              <w:spacing w:after="0"/>
              <w:rPr>
                <w:sz w:val="19"/>
                <w:szCs w:val="19"/>
                <w:color w:val="auto"/>
              </w:rPr>
            </w:pPr>
          </w:p>
        </w:tc>
        <w:tc>
          <w:tcPr>
            <w:tcW w:w="220" w:type="dxa"/>
            <w:vAlign w:val="bottom"/>
            <w:shd w:val="clear" w:color="auto" w:fill="DCEBF4"/>
          </w:tcPr>
          <w:p>
            <w:pPr>
              <w:spacing w:after="0"/>
              <w:rPr>
                <w:sz w:val="19"/>
                <w:szCs w:val="19"/>
                <w:color w:val="auto"/>
              </w:rPr>
            </w:pPr>
          </w:p>
        </w:tc>
        <w:tc>
          <w:tcPr>
            <w:tcW w:w="124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753</w:t>
            </w:r>
          </w:p>
        </w:tc>
        <w:tc>
          <w:tcPr>
            <w:tcW w:w="220" w:type="dxa"/>
            <w:vAlign w:val="bottom"/>
            <w:shd w:val="clear" w:color="auto" w:fill="DCEBF4"/>
          </w:tcPr>
          <w:p>
            <w:pPr>
              <w:spacing w:after="0"/>
              <w:rPr>
                <w:sz w:val="19"/>
                <w:szCs w:val="19"/>
                <w:color w:val="auto"/>
              </w:rPr>
            </w:pPr>
          </w:p>
        </w:tc>
        <w:tc>
          <w:tcPr>
            <w:tcW w:w="124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3,486</w:t>
            </w:r>
          </w:p>
        </w:tc>
        <w:tc>
          <w:tcPr>
            <w:tcW w:w="220" w:type="dxa"/>
            <w:vAlign w:val="bottom"/>
            <w:shd w:val="clear" w:color="auto" w:fill="DCEBF4"/>
          </w:tcPr>
          <w:p>
            <w:pPr>
              <w:spacing w:after="0"/>
              <w:rPr>
                <w:sz w:val="19"/>
                <w:szCs w:val="19"/>
                <w:color w:val="auto"/>
              </w:rPr>
            </w:pPr>
          </w:p>
        </w:tc>
        <w:tc>
          <w:tcPr>
            <w:tcW w:w="124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Total revenue</w:t>
            </w:r>
          </w:p>
        </w:tc>
        <w:tc>
          <w:tcPr>
            <w:tcW w:w="78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10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3,486</w:t>
            </w:r>
          </w:p>
        </w:tc>
        <w:tc>
          <w:tcPr>
            <w:tcW w:w="10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w:t>
            </w:r>
          </w:p>
        </w:tc>
        <w:tc>
          <w:tcPr>
            <w:tcW w:w="100" w:type="dxa"/>
            <w:vAlign w:val="bottom"/>
            <w:tcBorders>
              <w:bottom w:val="single" w:sz="8" w:color="DCEBF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DCEBF4"/>
          </w:tcPr>
          <w:p>
            <w:pPr>
              <w:spacing w:after="0"/>
              <w:rPr>
                <w:sz w:val="18"/>
                <w:szCs w:val="18"/>
                <w:color w:val="auto"/>
              </w:rPr>
            </w:pPr>
          </w:p>
        </w:tc>
        <w:tc>
          <w:tcPr>
            <w:tcW w:w="78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DCEBF4"/>
          </w:tcPr>
          <w:p>
            <w:pPr>
              <w:spacing w:after="0"/>
              <w:rPr>
                <w:sz w:val="20"/>
                <w:szCs w:val="20"/>
                <w:color w:val="auto"/>
              </w:rPr>
            </w:pPr>
            <w:r>
              <w:rPr>
                <w:rFonts w:ascii="Arial" w:cs="Arial" w:eastAsia="Arial" w:hAnsi="Arial"/>
                <w:sz w:val="18"/>
                <w:szCs w:val="18"/>
                <w:color w:val="auto"/>
              </w:rPr>
              <w:t>Research &amp; development expenses</w:t>
            </w:r>
          </w:p>
        </w:tc>
        <w:tc>
          <w:tcPr>
            <w:tcW w:w="78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auto"/>
              </w:rPr>
              <w:t>(10,533)</w:t>
            </w:r>
          </w:p>
        </w:tc>
        <w:tc>
          <w:tcPr>
            <w:tcW w:w="22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auto"/>
              </w:rPr>
              <w:t>(6,838)</w:t>
            </w:r>
          </w:p>
        </w:tc>
        <w:tc>
          <w:tcPr>
            <w:tcW w:w="22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auto"/>
              </w:rPr>
              <w:t>(20,604)</w:t>
            </w:r>
          </w:p>
        </w:tc>
        <w:tc>
          <w:tcPr>
            <w:tcW w:w="22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(3,065)</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(5,770)</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Total operating expenses</w:t>
            </w:r>
          </w:p>
        </w:tc>
        <w:tc>
          <w:tcPr>
            <w:tcW w:w="780" w:type="dxa"/>
            <w:vAlign w:val="bottom"/>
            <w:tcBorders>
              <w:top w:val="single" w:sz="8" w:color="DCEBF4"/>
            </w:tcBorders>
            <w:shd w:val="clear" w:color="auto" w:fill="DCEBF4"/>
          </w:tcPr>
          <w:p>
            <w:pPr>
              <w:spacing w:after="0"/>
              <w:rPr>
                <w:sz w:val="18"/>
                <w:szCs w:val="18"/>
                <w:color w:val="auto"/>
              </w:rPr>
            </w:pP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(13,598</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(9,006</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(26,374</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(18,847</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Operating loss</w:t>
            </w:r>
          </w:p>
        </w:tc>
        <w:tc>
          <w:tcPr>
            <w:tcW w:w="78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(11,570</w:t>
            </w:r>
          </w:p>
        </w:tc>
        <w:tc>
          <w:tcPr>
            <w:tcW w:w="100" w:type="dxa"/>
            <w:vAlign w:val="bottom"/>
            <w:tcBorders>
              <w:bottom w:val="single" w:sz="8" w:color="DCEBF4"/>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DCEBF4"/>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(8,253</w:t>
            </w:r>
          </w:p>
        </w:tc>
        <w:tc>
          <w:tcPr>
            <w:tcW w:w="100" w:type="dxa"/>
            <w:vAlign w:val="bottom"/>
            <w:tcBorders>
              <w:bottom w:val="single" w:sz="8" w:color="DCEBF4"/>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DCEBF4"/>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(22,888</w:t>
            </w:r>
          </w:p>
        </w:tc>
        <w:tc>
          <w:tcPr>
            <w:tcW w:w="100" w:type="dxa"/>
            <w:vAlign w:val="bottom"/>
            <w:tcBorders>
              <w:bottom w:val="single" w:sz="8" w:color="DCEBF4"/>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DCEBF4"/>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(16,088</w:t>
            </w:r>
          </w:p>
        </w:tc>
        <w:tc>
          <w:tcPr>
            <w:tcW w:w="100" w:type="dxa"/>
            <w:vAlign w:val="bottom"/>
            <w:tcBorders>
              <w:bottom w:val="single" w:sz="8" w:color="DCEBF4"/>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DCEBF4"/>
          </w:tcPr>
          <w:p>
            <w:pPr>
              <w:spacing w:after="0"/>
              <w:rPr>
                <w:sz w:val="18"/>
                <w:szCs w:val="18"/>
                <w:color w:val="auto"/>
              </w:rPr>
            </w:pPr>
          </w:p>
        </w:tc>
        <w:tc>
          <w:tcPr>
            <w:tcW w:w="78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Finance income / (expense), net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DCEBF4"/>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DCEBF4"/>
          </w:tcPr>
          <w:p>
            <w:pPr>
              <w:spacing w:after="0"/>
              <w:rPr>
                <w:sz w:val="18"/>
                <w:szCs w:val="18"/>
                <w:color w:val="auto"/>
              </w:rPr>
            </w:pPr>
          </w:p>
        </w:tc>
        <w:tc>
          <w:tcPr>
            <w:tcW w:w="1460" w:type="dxa"/>
            <w:vAlign w:val="bottom"/>
            <w:gridSpan w:val="3"/>
            <w:shd w:val="clear" w:color="auto" w:fill="DCEBF4"/>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DCEBF4"/>
          </w:tcPr>
          <w:p>
            <w:pPr>
              <w:spacing w:after="0"/>
              <w:rPr>
                <w:sz w:val="18"/>
                <w:szCs w:val="18"/>
                <w:color w:val="auto"/>
              </w:rPr>
            </w:pPr>
          </w:p>
        </w:tc>
        <w:tc>
          <w:tcPr>
            <w:tcW w:w="1240" w:type="dxa"/>
            <w:vAlign w:val="bottom"/>
            <w:gridSpan w:val="2"/>
            <w:shd w:val="clear" w:color="auto" w:fill="DCEBF4"/>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auto"/>
              </w:rPr>
              <w:t>Finance result, net</w:t>
            </w:r>
          </w:p>
        </w:tc>
        <w:tc>
          <w:tcPr>
            <w:tcW w:w="780" w:type="dxa"/>
            <w:vAlign w:val="bottom"/>
            <w:tcBorders>
              <w:top w:val="single" w:sz="8" w:color="DCEBF4"/>
            </w:tcBorders>
            <w:shd w:val="clear" w:color="auto" w:fill="DCEBF4"/>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top w:val="single" w:sz="8" w:color="DCEBF4"/>
            </w:tcBorders>
            <w:shd w:val="clear" w:color="auto" w:fill="DCEBF4"/>
          </w:tcPr>
          <w:p>
            <w:pPr>
              <w:spacing w:after="0"/>
              <w:rPr>
                <w:sz w:val="18"/>
                <w:szCs w:val="18"/>
                <w:color w:val="auto"/>
              </w:rPr>
            </w:pP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(4,074</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top w:val="single" w:sz="8" w:color="DCEBF4"/>
            </w:tcBorders>
            <w:shd w:val="clear" w:color="auto" w:fill="DCEBF4"/>
          </w:tcPr>
          <w:p>
            <w:pPr>
              <w:spacing w:after="0"/>
              <w:rPr>
                <w:sz w:val="18"/>
                <w:szCs w:val="18"/>
                <w:color w:val="auto"/>
              </w:rPr>
            </w:pPr>
          </w:p>
        </w:tc>
        <w:tc>
          <w:tcPr>
            <w:tcW w:w="220" w:type="dxa"/>
            <w:vAlign w:val="bottom"/>
            <w:tcBorders>
              <w:top w:val="single" w:sz="8" w:color="DCEBF4"/>
            </w:tcBorders>
            <w:shd w:val="clear" w:color="auto" w:fill="DCEBF4"/>
          </w:tcPr>
          <w:p>
            <w:pPr>
              <w:spacing w:after="0"/>
              <w:rPr>
                <w:sz w:val="18"/>
                <w:szCs w:val="18"/>
                <w:color w:val="auto"/>
              </w:rPr>
            </w:pPr>
          </w:p>
        </w:tc>
        <w:tc>
          <w:tcPr>
            <w:tcW w:w="11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(5,694</w:t>
            </w:r>
          </w:p>
        </w:tc>
        <w:tc>
          <w:tcPr>
            <w:tcW w:w="100" w:type="dxa"/>
            <w:vAlign w:val="bottom"/>
            <w:tcBorders>
              <w:top w:val="single" w:sz="8" w:color="DCEBF4"/>
            </w:tcBorders>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Loss before tax</w:t>
            </w:r>
          </w:p>
        </w:tc>
        <w:tc>
          <w:tcPr>
            <w:tcW w:w="780" w:type="dxa"/>
            <w:vAlign w:val="bottom"/>
            <w:shd w:val="clear" w:color="auto" w:fill="DCEBF4"/>
          </w:tcPr>
          <w:p>
            <w:pPr>
              <w:spacing w:after="0"/>
              <w:rPr>
                <w:sz w:val="19"/>
                <w:szCs w:val="19"/>
                <w:color w:val="auto"/>
              </w:rPr>
            </w:pPr>
          </w:p>
        </w:tc>
        <w:tc>
          <w:tcPr>
            <w:tcW w:w="220" w:type="dxa"/>
            <w:vAlign w:val="bottom"/>
            <w:shd w:val="clear" w:color="auto" w:fill="DCEBF4"/>
          </w:tcPr>
          <w:p>
            <w:pPr>
              <w:spacing w:after="0"/>
              <w:rPr>
                <w:sz w:val="19"/>
                <w:szCs w:val="19"/>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b w:val="1"/>
                <w:bCs w:val="1"/>
                <w:color w:val="auto"/>
              </w:rPr>
              <w:t>(11,143)</w:t>
            </w:r>
          </w:p>
        </w:tc>
        <w:tc>
          <w:tcPr>
            <w:tcW w:w="220" w:type="dxa"/>
            <w:vAlign w:val="bottom"/>
            <w:shd w:val="clear" w:color="auto" w:fill="DCEBF4"/>
          </w:tcPr>
          <w:p>
            <w:pPr>
              <w:spacing w:after="0"/>
              <w:rPr>
                <w:sz w:val="19"/>
                <w:szCs w:val="19"/>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b w:val="1"/>
                <w:bCs w:val="1"/>
                <w:color w:val="auto"/>
              </w:rPr>
              <w:t>(12,327)</w:t>
            </w:r>
          </w:p>
        </w:tc>
        <w:tc>
          <w:tcPr>
            <w:tcW w:w="220" w:type="dxa"/>
            <w:vAlign w:val="bottom"/>
            <w:shd w:val="clear" w:color="auto" w:fill="DCEBF4"/>
          </w:tcPr>
          <w:p>
            <w:pPr>
              <w:spacing w:after="0"/>
              <w:rPr>
                <w:sz w:val="19"/>
                <w:szCs w:val="19"/>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b w:val="1"/>
                <w:bCs w:val="1"/>
                <w:color w:val="auto"/>
              </w:rPr>
              <w:t>(22,755)</w:t>
            </w:r>
          </w:p>
        </w:tc>
        <w:tc>
          <w:tcPr>
            <w:tcW w:w="220" w:type="dxa"/>
            <w:vAlign w:val="bottom"/>
            <w:shd w:val="clear" w:color="auto" w:fill="DCEBF4"/>
          </w:tcPr>
          <w:p>
            <w:pPr>
              <w:spacing w:after="0"/>
              <w:rPr>
                <w:sz w:val="19"/>
                <w:szCs w:val="19"/>
                <w:color w:val="auto"/>
              </w:rPr>
            </w:pPr>
          </w:p>
        </w:tc>
        <w:tc>
          <w:tcPr>
            <w:tcW w:w="1240" w:type="dxa"/>
            <w:vAlign w:val="bottom"/>
            <w:gridSpan w:val="2"/>
            <w:shd w:val="clear" w:color="auto" w:fill="DCEBF4"/>
          </w:tcPr>
          <w:p>
            <w:pPr>
              <w:jc w:val="right"/>
              <w:spacing w:after="0"/>
              <w:rPr>
                <w:sz w:val="20"/>
                <w:szCs w:val="20"/>
                <w:color w:val="auto"/>
              </w:rPr>
            </w:pPr>
            <w:r>
              <w:rPr>
                <w:rFonts w:ascii="Arial" w:cs="Arial" w:eastAsia="Arial" w:hAnsi="Arial"/>
                <w:sz w:val="18"/>
                <w:szCs w:val="18"/>
                <w:b w:val="1"/>
                <w:bCs w:val="1"/>
                <w:color w:val="auto"/>
              </w:rPr>
              <w:t>(21,782)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DCEBF4"/>
            </w:tcBorders>
          </w:tcPr>
          <w:p>
            <w:pPr>
              <w:spacing w:after="0"/>
              <w:rPr>
                <w:sz w:val="20"/>
                <w:szCs w:val="20"/>
                <w:color w:val="auto"/>
              </w:rPr>
            </w:pPr>
            <w:r>
              <w:rPr>
                <w:rFonts w:ascii="Arial" w:cs="Arial" w:eastAsia="Arial" w:hAnsi="Arial"/>
                <w:sz w:val="18"/>
                <w:szCs w:val="18"/>
                <w:b w:val="1"/>
                <w:bCs w:val="1"/>
                <w:color w:val="auto"/>
              </w:rPr>
              <w:t>Income tax expense</w:t>
            </w:r>
          </w:p>
        </w:tc>
        <w:tc>
          <w:tcPr>
            <w:tcW w:w="78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CEBF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Loss for the period</w:t>
            </w:r>
          </w:p>
        </w:tc>
        <w:tc>
          <w:tcPr>
            <w:tcW w:w="78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1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(11,143</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DCEBF4"/>
          </w:tcPr>
          <w:p>
            <w:pPr>
              <w:spacing w:after="0"/>
              <w:rPr>
                <w:sz w:val="18"/>
                <w:szCs w:val="18"/>
                <w:color w:val="auto"/>
              </w:rPr>
            </w:pPr>
          </w:p>
        </w:tc>
        <w:tc>
          <w:tcPr>
            <w:tcW w:w="11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(12,327</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DCEBF4"/>
          </w:tcPr>
          <w:p>
            <w:pPr>
              <w:spacing w:after="0"/>
              <w:rPr>
                <w:sz w:val="18"/>
                <w:szCs w:val="18"/>
                <w:color w:val="auto"/>
              </w:rPr>
            </w:pPr>
          </w:p>
        </w:tc>
        <w:tc>
          <w:tcPr>
            <w:tcW w:w="11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(22,755</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DCEBF4"/>
          </w:tcPr>
          <w:p>
            <w:pPr>
              <w:spacing w:after="0"/>
              <w:rPr>
                <w:sz w:val="18"/>
                <w:szCs w:val="18"/>
                <w:color w:val="auto"/>
              </w:rPr>
            </w:pPr>
          </w:p>
        </w:tc>
        <w:tc>
          <w:tcPr>
            <w:tcW w:w="11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b w:val="1"/>
                <w:bCs w:val="1"/>
                <w:color w:val="auto"/>
              </w:rPr>
              <w:t>(21,782</w:t>
            </w:r>
          </w:p>
        </w:tc>
        <w:tc>
          <w:tcPr>
            <w:tcW w:w="100" w:type="dxa"/>
            <w:vAlign w:val="bottom"/>
            <w:shd w:val="clear" w:color="auto" w:fill="DCEBF4"/>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Loss per share (EPS):</w:t>
            </w: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r>
    </w:tbl>
    <w:p>
      <w:pPr>
        <w:ind w:right="1080"/>
        <w:spacing w:after="0" w:line="261" w:lineRule="auto"/>
        <w:rPr>
          <w:sz w:val="20"/>
          <w:szCs w:val="20"/>
          <w:color w:val="auto"/>
        </w:rPr>
      </w:pPr>
      <w:r>
        <w:rPr>
          <w:rFonts w:ascii="Arial" w:cs="Arial" w:eastAsia="Arial" w:hAnsi="Arial"/>
          <w:sz w:val="18"/>
          <w:szCs w:val="18"/>
          <w:color w:val="auto"/>
        </w:rPr>
        <w:t>Basic and diluted loss for the period attributable to equity holders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1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CHF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spacing w:after="0" w:line="9"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1" w:lineRule="exact"/>
        <w:rPr>
          <w:sz w:val="20"/>
          <w:szCs w:val="20"/>
          <w:color w:val="auto"/>
        </w:rPr>
      </w:pPr>
    </w:p>
    <w:p>
      <w:pPr>
        <w:ind w:right="1720" w:firstLine="45"/>
        <w:spacing w:after="0" w:line="276" w:lineRule="auto"/>
        <w:rPr>
          <w:sz w:val="20"/>
          <w:szCs w:val="20"/>
          <w:color w:val="auto"/>
        </w:rPr>
      </w:pPr>
      <w:r>
        <w:rPr>
          <w:rFonts w:ascii="Arial" w:cs="Arial" w:eastAsia="Arial" w:hAnsi="Arial"/>
          <w:sz w:val="18"/>
          <w:szCs w:val="18"/>
          <w:color w:val="auto"/>
        </w:rPr>
        <w:t>Re-measurement losses on defined benefit plans Total comprehensive loss,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(0.38)</w:t>
            </w:r>
          </w:p>
        </w:tc>
      </w:tr>
      <w:tr>
        <w:trPr>
          <w:trHeight w:val="414"/>
        </w:trPr>
        <w:tc>
          <w:tcPr>
            <w:tcW w:w="30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For the Three Months</w:t>
            </w:r>
          </w:p>
        </w:tc>
        <w:tc>
          <w:tcPr>
            <w:tcW w:w="27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30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27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426"/>
        </w:trPr>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(11,143)</w:t>
            </w:r>
          </w:p>
        </w:tc>
        <w:tc>
          <w:tcPr>
            <w:tcW w:w="2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(12,327)</w:t>
            </w: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(22,755)</w:t>
            </w:r>
          </w:p>
        </w:tc>
        <w:tc>
          <w:tcPr>
            <w:tcW w:w="220" w:type="dxa"/>
            <w:vAlign w:val="bottom"/>
          </w:tcPr>
          <w:p>
            <w:pPr>
              <w:spacing w:after="0"/>
              <w:rPr>
                <w:sz w:val="24"/>
                <w:szCs w:val="24"/>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(21,782)</w:t>
            </w:r>
          </w:p>
        </w:tc>
      </w:tr>
      <w:tr>
        <w:trPr>
          <w:trHeight w:val="662"/>
        </w:trPr>
        <w:tc>
          <w:tcPr>
            <w:tcW w:w="152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(12,327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(22,755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(21,782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-1860550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-736600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-325120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480"/>
            <w:col w:w="5700"/>
          </w:cols>
          <w:pgMar w:left="240" w:top="580" w:right="2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form an integral part of these Interim Condensed Financial Statements (Unaudited).</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Statements of Changes in Equity</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 CHF thousands</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Notes</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4"/>
              </w:rPr>
              <w:t>losses</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2017</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b w:val="1"/>
                <w:bCs w:val="1"/>
                <w:color w:val="auto"/>
              </w:rPr>
              <w:t>1,135</w:t>
            </w:r>
          </w:p>
        </w:tc>
        <w:tc>
          <w:tcPr>
            <w:tcW w:w="156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b w:val="1"/>
                <w:bCs w:val="1"/>
                <w:color w:val="auto"/>
              </w:rPr>
              <w:t>188,166</w:t>
            </w:r>
          </w:p>
        </w:tc>
        <w:tc>
          <w:tcPr>
            <w:tcW w:w="1560" w:type="dxa"/>
            <w:vAlign w:val="bottom"/>
            <w:gridSpan w:val="2"/>
            <w:shd w:val="clear" w:color="auto" w:fill="D5EAEA"/>
          </w:tcPr>
          <w:p>
            <w:pPr>
              <w:jc w:val="right"/>
              <w:ind w:right="180"/>
              <w:spacing w:after="0"/>
              <w:rPr>
                <w:sz w:val="20"/>
                <w:szCs w:val="20"/>
                <w:color w:val="auto"/>
              </w:rPr>
            </w:pPr>
            <w:r>
              <w:rPr>
                <w:rFonts w:ascii="Arial" w:cs="Arial" w:eastAsia="Arial" w:hAnsi="Arial"/>
                <w:sz w:val="18"/>
                <w:szCs w:val="18"/>
                <w:b w:val="1"/>
                <w:bCs w:val="1"/>
                <w:color w:val="auto"/>
              </w:rPr>
              <w:t>(46,921)</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142,380</w:t>
            </w:r>
          </w:p>
        </w:tc>
        <w:tc>
          <w:tcPr>
            <w:tcW w:w="12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Net loss for the period</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(21,782)</w:t>
            </w:r>
          </w:p>
        </w:tc>
        <w:tc>
          <w:tcPr>
            <w:tcW w:w="3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540" w:type="dxa"/>
            <w:vAlign w:val="bottom"/>
            <w:gridSpan w:val="2"/>
            <w:shd w:val="clear" w:color="auto" w:fill="D5EAEA"/>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5EAEA"/>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Total comprehensive loss</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5EAEA"/>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(21,782</w:t>
            </w:r>
          </w:p>
        </w:tc>
        <w:tc>
          <w:tcPr>
            <w:tcW w:w="320" w:type="dxa"/>
            <w:vAlign w:val="bottom"/>
            <w:tcBorders>
              <w:bottom w:val="single" w:sz="8" w:color="D5EAEA"/>
            </w:tcBorders>
          </w:tcPr>
          <w:p>
            <w:pPr>
              <w:jc w:val="right"/>
              <w:ind w:right="180"/>
              <w:spacing w:after="0"/>
              <w:rPr>
                <w:sz w:val="20"/>
                <w:szCs w:val="20"/>
                <w:color w:val="auto"/>
              </w:rPr>
            </w:pPr>
            <w:r>
              <w:rPr>
                <w:rFonts w:ascii="Arial" w:cs="Arial" w:eastAsia="Arial" w:hAnsi="Arial"/>
                <w:sz w:val="16"/>
                <w:szCs w:val="16"/>
                <w:i w:val="1"/>
                <w:i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(21,782</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i w:val="1"/>
                <w:i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D5EAEA"/>
          </w:tcPr>
          <w:p>
            <w:pPr>
              <w:spacing w:after="0"/>
              <w:rPr>
                <w:sz w:val="18"/>
                <w:szCs w:val="18"/>
                <w:color w:val="auto"/>
              </w:rPr>
            </w:pPr>
          </w:p>
        </w:tc>
        <w:tc>
          <w:tcPr>
            <w:tcW w:w="6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2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80"/>
              <w:spacing w:after="0"/>
              <w:rPr>
                <w:sz w:val="20"/>
                <w:szCs w:val="20"/>
                <w:color w:val="auto"/>
              </w:rPr>
            </w:pPr>
            <w:r>
              <w:rPr>
                <w:rFonts w:ascii="Arial" w:cs="Arial" w:eastAsia="Arial" w:hAnsi="Arial"/>
                <w:sz w:val="18"/>
                <w:szCs w:val="18"/>
                <w:color w:val="auto"/>
              </w:rPr>
              <w:t>restricted share awards</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shd w:val="clear" w:color="auto" w:fill="D5EAEA"/>
          </w:tcPr>
          <w:p>
            <w:pPr>
              <w:ind w:left="80"/>
              <w:spacing w:after="0"/>
              <w:rPr>
                <w:sz w:val="20"/>
                <w:szCs w:val="20"/>
                <w:color w:val="auto"/>
              </w:rPr>
            </w:pPr>
            <w:r>
              <w:rPr>
                <w:rFonts w:ascii="Arial" w:cs="Arial" w:eastAsia="Arial" w:hAnsi="Arial"/>
                <w:sz w:val="18"/>
                <w:szCs w:val="18"/>
                <w:color w:val="auto"/>
              </w:rPr>
              <w:t>exercise of options</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7</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D5EAEA"/>
          </w:tcPr>
          <w:p>
            <w:pPr>
              <w:spacing w:after="0"/>
              <w:rPr>
                <w:sz w:val="19"/>
                <w:szCs w:val="19"/>
                <w:color w:val="auto"/>
              </w:rPr>
            </w:pPr>
          </w:p>
        </w:tc>
        <w:tc>
          <w:tcPr>
            <w:tcW w:w="156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Balance as of June 30, 2017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w:t>
            </w:r>
          </w:p>
        </w:tc>
        <w:tc>
          <w:tcPr>
            <w:tcW w:w="3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188,207</w:t>
            </w:r>
          </w:p>
        </w:tc>
        <w:tc>
          <w:tcPr>
            <w:tcW w:w="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(68,457</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60" w:type="dxa"/>
            <w:vAlign w:val="bottom"/>
            <w:gridSpan w:val="4"/>
            <w:vMerge w:val="restart"/>
          </w:tcPr>
          <w:p>
            <w:pPr>
              <w:spacing w:after="0"/>
              <w:rPr>
                <w:sz w:val="20"/>
                <w:szCs w:val="20"/>
                <w:color w:val="auto"/>
              </w:rPr>
            </w:pPr>
            <w:r>
              <w:rPr>
                <w:rFonts w:ascii="Arial" w:cs="Arial" w:eastAsia="Arial" w:hAnsi="Arial"/>
                <w:sz w:val="18"/>
                <w:szCs w:val="18"/>
                <w:color w:val="auto"/>
              </w:rPr>
              <w:t>in CHF thousands</w:t>
            </w: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w:t>
            </w: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74"/>
              </w:rPr>
              <w:t>losses</w:t>
            </w:r>
          </w:p>
        </w:tc>
        <w:tc>
          <w:tcPr>
            <w:tcW w:w="14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60" w:type="dxa"/>
            <w:vAlign w:val="bottom"/>
            <w:gridSpan w:val="4"/>
            <w:vMerge w:val="continue"/>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2018</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b w:val="1"/>
                <w:bCs w:val="1"/>
                <w:color w:val="auto"/>
              </w:rPr>
              <w:t>1,147</w:t>
            </w:r>
          </w:p>
        </w:tc>
        <w:tc>
          <w:tcPr>
            <w:tcW w:w="156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b w:val="1"/>
                <w:bCs w:val="1"/>
                <w:color w:val="auto"/>
              </w:rPr>
              <w:t>188,299</w:t>
            </w:r>
          </w:p>
        </w:tc>
        <w:tc>
          <w:tcPr>
            <w:tcW w:w="1560" w:type="dxa"/>
            <w:vAlign w:val="bottom"/>
            <w:gridSpan w:val="2"/>
            <w:shd w:val="clear" w:color="auto" w:fill="D5EAEA"/>
          </w:tcPr>
          <w:p>
            <w:pPr>
              <w:jc w:val="right"/>
              <w:ind w:right="180"/>
              <w:spacing w:after="0"/>
              <w:rPr>
                <w:sz w:val="20"/>
                <w:szCs w:val="20"/>
                <w:color w:val="auto"/>
              </w:rPr>
            </w:pPr>
            <w:r>
              <w:rPr>
                <w:rFonts w:ascii="Arial" w:cs="Arial" w:eastAsia="Arial" w:hAnsi="Arial"/>
                <w:sz w:val="18"/>
                <w:szCs w:val="18"/>
                <w:b w:val="1"/>
                <w:bCs w:val="1"/>
                <w:color w:val="auto"/>
              </w:rPr>
              <w:t>(72,607)</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116,839</w:t>
            </w:r>
          </w:p>
        </w:tc>
        <w:tc>
          <w:tcPr>
            <w:tcW w:w="12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Net loss for the period</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(22,755)</w:t>
            </w:r>
          </w:p>
        </w:tc>
        <w:tc>
          <w:tcPr>
            <w:tcW w:w="3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540" w:type="dxa"/>
            <w:vAlign w:val="bottom"/>
            <w:gridSpan w:val="2"/>
            <w:shd w:val="clear" w:color="auto" w:fill="D5EAEA"/>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5EAEA"/>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Total comprehensive loss</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5EAEA"/>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(22,755</w:t>
            </w:r>
          </w:p>
        </w:tc>
        <w:tc>
          <w:tcPr>
            <w:tcW w:w="320" w:type="dxa"/>
            <w:vAlign w:val="bottom"/>
            <w:tcBorders>
              <w:bottom w:val="single" w:sz="8" w:color="D5EAEA"/>
            </w:tcBorders>
          </w:tcPr>
          <w:p>
            <w:pPr>
              <w:jc w:val="right"/>
              <w:ind w:right="180"/>
              <w:spacing w:after="0"/>
              <w:rPr>
                <w:sz w:val="20"/>
                <w:szCs w:val="20"/>
                <w:color w:val="auto"/>
              </w:rPr>
            </w:pPr>
            <w:r>
              <w:rPr>
                <w:rFonts w:ascii="Arial" w:cs="Arial" w:eastAsia="Arial" w:hAnsi="Arial"/>
                <w:sz w:val="16"/>
                <w:szCs w:val="16"/>
                <w:i w:val="1"/>
                <w:i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(22,755</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i w:val="1"/>
                <w:i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D5EAEA"/>
          </w:tcPr>
          <w:p>
            <w:pPr>
              <w:spacing w:after="0"/>
              <w:rPr>
                <w:sz w:val="18"/>
                <w:szCs w:val="18"/>
                <w:color w:val="auto"/>
              </w:rPr>
            </w:pPr>
          </w:p>
        </w:tc>
        <w:tc>
          <w:tcPr>
            <w:tcW w:w="6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1,314</w:t>
            </w:r>
          </w:p>
        </w:tc>
        <w:tc>
          <w:tcPr>
            <w:tcW w:w="128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2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40"/>
              <w:spacing w:after="0"/>
              <w:rPr>
                <w:sz w:val="20"/>
                <w:szCs w:val="20"/>
                <w:color w:val="auto"/>
              </w:rPr>
            </w:pPr>
            <w:r>
              <w:rPr>
                <w:rFonts w:ascii="Arial" w:cs="Arial" w:eastAsia="Arial" w:hAnsi="Arial"/>
                <w:sz w:val="18"/>
                <w:szCs w:val="18"/>
                <w:color w:val="auto"/>
              </w:rPr>
              <w:t>restricted share awards</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D5EAEA"/>
          </w:tcPr>
          <w:p>
            <w:pPr>
              <w:ind w:left="40"/>
              <w:spacing w:after="0"/>
              <w:rPr>
                <w:sz w:val="20"/>
                <w:szCs w:val="20"/>
                <w:color w:val="auto"/>
              </w:rPr>
            </w:pPr>
            <w:r>
              <w:rPr>
                <w:rFonts w:ascii="Arial" w:cs="Arial" w:eastAsia="Arial" w:hAnsi="Arial"/>
                <w:sz w:val="18"/>
                <w:szCs w:val="18"/>
                <w:color w:val="auto"/>
              </w:rPr>
              <w:t>exercise of options</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2</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Transaction costs</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D5EAEA"/>
              <w:bottom w:val="single" w:sz="8" w:color="D5EAEA"/>
            </w:tcBorders>
            <w:gridSpan w:val="3"/>
            <w:shd w:val="clear" w:color="auto" w:fill="D5EAEA"/>
          </w:tcPr>
          <w:p>
            <w:pPr>
              <w:spacing w:after="0"/>
              <w:rPr>
                <w:sz w:val="20"/>
                <w:szCs w:val="20"/>
                <w:color w:val="auto"/>
              </w:rPr>
            </w:pPr>
            <w:r>
              <w:rPr>
                <w:rFonts w:ascii="Arial" w:cs="Arial" w:eastAsia="Arial" w:hAnsi="Arial"/>
                <w:sz w:val="18"/>
                <w:szCs w:val="18"/>
                <w:b w:val="1"/>
                <w:bCs w:val="1"/>
                <w:color w:val="auto"/>
              </w:rPr>
              <w:t>Balance as of June 30, 2018</w:t>
            </w: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1,149</w:t>
            </w:r>
          </w:p>
        </w:tc>
        <w:tc>
          <w:tcPr>
            <w:tcW w:w="320" w:type="dxa"/>
            <w:vAlign w:val="bottom"/>
            <w:tcBorders>
              <w:top w:val="single" w:sz="8" w:color="D5EAEA"/>
              <w:bottom w:val="single" w:sz="8" w:color="D5EAEA"/>
            </w:tcBorders>
            <w:shd w:val="clear" w:color="auto" w:fill="D5EAEA"/>
          </w:tcPr>
          <w:p>
            <w:pPr>
              <w:spacing w:after="0"/>
              <w:rPr>
                <w:sz w:val="19"/>
                <w:szCs w:val="19"/>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188,407</w:t>
            </w:r>
          </w:p>
        </w:tc>
        <w:tc>
          <w:tcPr>
            <w:tcW w:w="340" w:type="dxa"/>
            <w:vAlign w:val="bottom"/>
            <w:tcBorders>
              <w:top w:val="single" w:sz="8" w:color="D5EAEA"/>
              <w:bottom w:val="single" w:sz="8" w:color="D5EAEA"/>
            </w:tcBorders>
            <w:shd w:val="clear" w:color="auto" w:fill="D5EAEA"/>
          </w:tcPr>
          <w:p>
            <w:pPr>
              <w:spacing w:after="0"/>
              <w:rPr>
                <w:sz w:val="19"/>
                <w:szCs w:val="19"/>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(94,163</w:t>
            </w:r>
          </w:p>
        </w:tc>
        <w:tc>
          <w:tcPr>
            <w:tcW w:w="320" w:type="dxa"/>
            <w:vAlign w:val="bottom"/>
            <w:tcBorders>
              <w:top w:val="single" w:sz="8" w:color="D5EAEA"/>
              <w:bottom w:val="single" w:sz="8" w:color="D5EAEA"/>
            </w:tcBorders>
            <w:shd w:val="clear" w:color="auto" w:fill="D5EAEA"/>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95,393</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1"/>
              </w:rPr>
              <w:t>For the Six Months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Borders>
              <w:bottom w:val="single" w:sz="8" w:color="auto"/>
            </w:tcBorders>
            <w:gridSpan w:val="4"/>
          </w:tcPr>
          <w:p>
            <w:pPr>
              <w:jc w:val="center"/>
              <w:ind w:left="1010"/>
              <w:spacing w:after="0"/>
              <w:rPr>
                <w:sz w:val="20"/>
                <w:szCs w:val="20"/>
                <w:color w:val="auto"/>
              </w:rPr>
            </w:pPr>
            <w:r>
              <w:rPr>
                <w:rFonts w:ascii="Arial" w:cs="Arial" w:eastAsia="Arial" w:hAnsi="Arial"/>
                <w:sz w:val="18"/>
                <w:szCs w:val="18"/>
                <w:b w:val="1"/>
                <w:bCs w:val="1"/>
                <w:color w:val="auto"/>
                <w:w w:val="89"/>
              </w:rPr>
              <w:t>Ended June 30,</w:t>
            </w: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 CHF thousands</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Notes</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(22,755)</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Finance result, net</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shd w:val="clear" w:color="auto" w:fill="D5EAEA"/>
          </w:tcPr>
          <w:p>
            <w:pPr>
              <w:spacing w:after="0"/>
              <w:rPr>
                <w:sz w:val="18"/>
                <w:szCs w:val="18"/>
                <w:color w:val="auto"/>
              </w:rPr>
            </w:pPr>
          </w:p>
        </w:tc>
        <w:tc>
          <w:tcPr>
            <w:tcW w:w="170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1,314</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Changes in net employee defined benefit liability</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7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Accrued interest on long-term debt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(1,733)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(Increase) / decrease in accrued income</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shd w:val="clear" w:color="auto" w:fill="D5EAEA"/>
          </w:tcPr>
          <w:p>
            <w:pPr>
              <w:spacing w:after="0"/>
              <w:rPr>
                <w:sz w:val="18"/>
                <w:szCs w:val="18"/>
                <w:color w:val="auto"/>
              </w:rPr>
            </w:pPr>
          </w:p>
        </w:tc>
        <w:tc>
          <w:tcPr>
            <w:tcW w:w="17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(Increase) / decrease in other current receivables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(Decrease) / increase in accrued expenses</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7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(Decrease) / increase in deferred income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Increase / (decrease) in trade and other payables</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7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967</w:t>
            </w: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Increase in long-term financing obligation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9"/>
                <w:szCs w:val="19"/>
                <w:color w:val="auto"/>
              </w:rPr>
            </w:pPr>
          </w:p>
        </w:tc>
        <w:tc>
          <w:tcPr>
            <w:tcW w:w="2600" w:type="dxa"/>
            <w:vAlign w:val="bottom"/>
            <w:gridSpan w:val="4"/>
          </w:tcPr>
          <w:p>
            <w:pPr>
              <w:ind w:left="1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66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D5EAEA"/>
            </w:tcBorders>
            <w:shd w:val="clear" w:color="auto" w:fill="D5EAEA"/>
          </w:tcPr>
          <w:p>
            <w:pPr>
              <w:spacing w:after="0"/>
              <w:rPr>
                <w:sz w:val="18"/>
                <w:szCs w:val="18"/>
                <w:color w:val="auto"/>
              </w:rPr>
            </w:pPr>
          </w:p>
        </w:tc>
        <w:tc>
          <w:tcPr>
            <w:tcW w:w="15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(20,416)</w:t>
            </w:r>
          </w:p>
        </w:tc>
        <w:tc>
          <w:tcPr>
            <w:tcW w:w="12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D5EAEA"/>
            </w:tcBorders>
            <w:shd w:val="clear" w:color="auto" w:fill="D5EAEA"/>
          </w:tcPr>
          <w:p>
            <w:pPr>
              <w:spacing w:after="0"/>
              <w:rPr>
                <w:sz w:val="18"/>
                <w:szCs w:val="18"/>
                <w:color w:val="auto"/>
              </w:rPr>
            </w:pPr>
          </w:p>
        </w:tc>
        <w:tc>
          <w:tcPr>
            <w:tcW w:w="640" w:type="dxa"/>
            <w:vAlign w:val="bottom"/>
            <w:tcBorders>
              <w:top w:val="single" w:sz="8" w:color="auto"/>
            </w:tcBorders>
            <w:shd w:val="clear" w:color="auto" w:fill="D5EAEA"/>
          </w:tcPr>
          <w:p>
            <w:pPr>
              <w:spacing w:after="0"/>
              <w:rPr>
                <w:sz w:val="18"/>
                <w:szCs w:val="18"/>
                <w:color w:val="auto"/>
              </w:rPr>
            </w:pPr>
          </w:p>
        </w:tc>
        <w:tc>
          <w:tcPr>
            <w:tcW w:w="9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(20,907)</w:t>
            </w:r>
          </w:p>
        </w:tc>
        <w:tc>
          <w:tcPr>
            <w:tcW w:w="14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income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Financial costs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shd w:val="clear" w:color="auto" w:fill="D5EAEA"/>
          </w:tcPr>
          <w:p>
            <w:pPr>
              <w:spacing w:after="0"/>
              <w:rPr>
                <w:sz w:val="19"/>
                <w:szCs w:val="19"/>
                <w:color w:val="auto"/>
              </w:rPr>
            </w:pPr>
          </w:p>
        </w:tc>
        <w:tc>
          <w:tcPr>
            <w:tcW w:w="170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D5EAEA"/>
          </w:tcPr>
          <w:p>
            <w:pPr>
              <w:spacing w:after="0"/>
              <w:rPr>
                <w:sz w:val="19"/>
                <w:szCs w:val="19"/>
                <w:color w:val="auto"/>
              </w:rPr>
            </w:pPr>
          </w:p>
        </w:tc>
        <w:tc>
          <w:tcPr>
            <w:tcW w:w="64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shd w:val="clear" w:color="auto" w:fill="D5EAEA"/>
          </w:tcPr>
          <w:p>
            <w:pPr>
              <w:spacing w:after="0"/>
              <w:rPr>
                <w:sz w:val="18"/>
                <w:szCs w:val="18"/>
                <w:color w:val="auto"/>
              </w:rPr>
            </w:pP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Purchases of property, plant and equipment</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D5EAEA"/>
          </w:tcPr>
          <w:p>
            <w:pPr>
              <w:spacing w:after="0"/>
              <w:rPr>
                <w:sz w:val="18"/>
                <w:szCs w:val="18"/>
                <w:color w:val="auto"/>
              </w:rPr>
            </w:pPr>
          </w:p>
        </w:tc>
        <w:tc>
          <w:tcPr>
            <w:tcW w:w="170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(1,486)</w:t>
            </w: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Rent deposit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6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D5EAEA"/>
            </w:tcBorders>
            <w:shd w:val="clear" w:color="auto" w:fill="D5EAEA"/>
          </w:tcPr>
          <w:p>
            <w:pPr>
              <w:spacing w:after="0"/>
              <w:rPr>
                <w:sz w:val="18"/>
                <w:szCs w:val="18"/>
                <w:color w:val="auto"/>
              </w:rPr>
            </w:pPr>
          </w:p>
        </w:tc>
        <w:tc>
          <w:tcPr>
            <w:tcW w:w="15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(1,570)</w:t>
            </w:r>
          </w:p>
        </w:tc>
        <w:tc>
          <w:tcPr>
            <w:tcW w:w="12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D5EAEA"/>
            </w:tcBorders>
            <w:shd w:val="clear" w:color="auto" w:fill="D5EAEA"/>
          </w:tcPr>
          <w:p>
            <w:pPr>
              <w:spacing w:after="0"/>
              <w:rPr>
                <w:sz w:val="18"/>
                <w:szCs w:val="18"/>
                <w:color w:val="auto"/>
              </w:rPr>
            </w:pPr>
          </w:p>
        </w:tc>
        <w:tc>
          <w:tcPr>
            <w:tcW w:w="640" w:type="dxa"/>
            <w:vAlign w:val="bottom"/>
            <w:tcBorders>
              <w:top w:val="single" w:sz="8" w:color="auto"/>
            </w:tcBorders>
            <w:shd w:val="clear" w:color="auto" w:fill="D5EAEA"/>
          </w:tcPr>
          <w:p>
            <w:pPr>
              <w:spacing w:after="0"/>
              <w:rPr>
                <w:sz w:val="18"/>
                <w:szCs w:val="18"/>
                <w:color w:val="auto"/>
              </w:rPr>
            </w:pPr>
          </w:p>
        </w:tc>
        <w:tc>
          <w:tcPr>
            <w:tcW w:w="9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(1,564)</w:t>
            </w:r>
          </w:p>
        </w:tc>
        <w:tc>
          <w:tcPr>
            <w:tcW w:w="14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Transaction costs on issuance of shares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 – option plan</w:t>
            </w:r>
          </w:p>
        </w:tc>
        <w:tc>
          <w:tcPr>
            <w:tcW w:w="6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5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from long term financing</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66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D5EAEA"/>
            </w:tcBorders>
            <w:shd w:val="clear" w:color="auto" w:fill="D5EAEA"/>
          </w:tcPr>
          <w:p>
            <w:pPr>
              <w:spacing w:after="0"/>
              <w:rPr>
                <w:sz w:val="18"/>
                <w:szCs w:val="18"/>
                <w:color w:val="auto"/>
              </w:rPr>
            </w:pPr>
          </w:p>
        </w:tc>
        <w:tc>
          <w:tcPr>
            <w:tcW w:w="15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D5EAEA"/>
            </w:tcBorders>
            <w:shd w:val="clear" w:color="auto" w:fill="D5EAEA"/>
          </w:tcPr>
          <w:p>
            <w:pPr>
              <w:spacing w:after="0"/>
              <w:rPr>
                <w:sz w:val="18"/>
                <w:szCs w:val="18"/>
                <w:color w:val="auto"/>
              </w:rPr>
            </w:pPr>
          </w:p>
        </w:tc>
        <w:tc>
          <w:tcPr>
            <w:tcW w:w="640" w:type="dxa"/>
            <w:vAlign w:val="bottom"/>
            <w:tcBorders>
              <w:top w:val="single" w:sz="8" w:color="auto"/>
            </w:tcBorders>
            <w:shd w:val="clear" w:color="auto" w:fill="D5EAEA"/>
          </w:tcPr>
          <w:p>
            <w:pPr>
              <w:spacing w:after="0"/>
              <w:rPr>
                <w:sz w:val="18"/>
                <w:szCs w:val="18"/>
                <w:color w:val="auto"/>
              </w:rPr>
            </w:pPr>
          </w:p>
        </w:tc>
        <w:tc>
          <w:tcPr>
            <w:tcW w:w="9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91</w:t>
            </w:r>
          </w:p>
        </w:tc>
        <w:tc>
          <w:tcPr>
            <w:tcW w:w="14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66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70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b w:val="1"/>
                <w:bCs w:val="1"/>
                <w:color w:val="auto"/>
              </w:rPr>
              <w:t>(21,908)</w:t>
            </w:r>
          </w:p>
        </w:tc>
        <w:tc>
          <w:tcPr>
            <w:tcW w:w="260" w:type="dxa"/>
            <w:vAlign w:val="bottom"/>
            <w:shd w:val="clear" w:color="auto" w:fill="D5EAEA"/>
          </w:tcPr>
          <w:p>
            <w:pPr>
              <w:spacing w:after="0"/>
              <w:rPr>
                <w:sz w:val="19"/>
                <w:szCs w:val="19"/>
                <w:color w:val="auto"/>
              </w:rPr>
            </w:pPr>
          </w:p>
        </w:tc>
        <w:tc>
          <w:tcPr>
            <w:tcW w:w="64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b w:val="1"/>
                <w:bCs w:val="1"/>
                <w:color w:val="auto"/>
              </w:rPr>
              <w:t>(22,385)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January 1</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Exchange gain/(loss) on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June 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decrease in cash and cash equivalents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124,377</w:t>
            </w:r>
          </w:p>
        </w:tc>
        <w:tc>
          <w:tcPr>
            <w:tcW w:w="1600" w:type="dxa"/>
            <w:vAlign w:val="bottom"/>
          </w:tcPr>
          <w:p>
            <w:pPr>
              <w:jc w:val="right"/>
              <w:spacing w:after="0"/>
              <w:rPr>
                <w:sz w:val="20"/>
                <w:szCs w:val="20"/>
                <w:color w:val="auto"/>
              </w:rPr>
            </w:pPr>
            <w:r>
              <w:rPr>
                <w:rFonts w:ascii="Arial" w:cs="Arial" w:eastAsia="Arial" w:hAnsi="Arial"/>
                <w:sz w:val="18"/>
                <w:szCs w:val="18"/>
                <w:color w:val="auto"/>
              </w:rPr>
              <w:t>152,210</w:t>
            </w:r>
          </w:p>
        </w:tc>
        <w:tc>
          <w:tcPr>
            <w:tcW w:w="60" w:type="dxa"/>
            <w:vAlign w:val="bottom"/>
          </w:tcPr>
          <w:p>
            <w:pPr>
              <w:spacing w:after="0"/>
              <w:rPr>
                <w:sz w:val="18"/>
                <w:szCs w:val="18"/>
                <w:color w:val="auto"/>
              </w:rPr>
            </w:pPr>
          </w:p>
        </w:tc>
      </w:tr>
      <w:tr>
        <w:trPr>
          <w:trHeight w:val="230"/>
        </w:trPr>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(5,645)</w:t>
            </w:r>
          </w:p>
        </w:tc>
      </w:tr>
      <w:tr>
        <w:trPr>
          <w:trHeight w:val="230"/>
        </w:trPr>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102,664</w:t>
            </w:r>
          </w:p>
        </w:tc>
        <w:tc>
          <w:tcPr>
            <w:tcW w:w="1600" w:type="dxa"/>
            <w:vAlign w:val="bottom"/>
          </w:tcPr>
          <w:p>
            <w:pPr>
              <w:jc w:val="right"/>
              <w:spacing w:after="0"/>
              <w:rPr>
                <w:sz w:val="20"/>
                <w:szCs w:val="20"/>
                <w:color w:val="auto"/>
              </w:rPr>
            </w:pPr>
            <w:r>
              <w:rPr>
                <w:rFonts w:ascii="Arial" w:cs="Arial" w:eastAsia="Arial" w:hAnsi="Arial"/>
                <w:sz w:val="18"/>
                <w:szCs w:val="18"/>
                <w:color w:val="auto"/>
              </w:rPr>
              <w:t>124,180</w:t>
            </w:r>
          </w:p>
        </w:tc>
        <w:tc>
          <w:tcPr>
            <w:tcW w:w="60" w:type="dxa"/>
            <w:vAlign w:val="bottom"/>
          </w:tcPr>
          <w:p>
            <w:pPr>
              <w:spacing w:after="0"/>
              <w:rPr>
                <w:sz w:val="20"/>
                <w:szCs w:val="20"/>
                <w:color w:val="auto"/>
              </w:rPr>
            </w:pP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(21,908</w:t>
            </w:r>
          </w:p>
        </w:tc>
        <w:tc>
          <w:tcPr>
            <w:tcW w:w="380" w:type="dxa"/>
            <w:vAlign w:val="bottom"/>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(22,385</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-599440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-325120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7000" w:space="720"/>
            <w:col w:w="3700"/>
          </w:cols>
          <w:pgMar w:left="240" w:top="580" w:right="239" w:bottom="1440" w:gutter="0" w:footer="0" w:header="0"/>
          <w:type w:val="continuous"/>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fiscal second quarter of 2018, the Company wrote off fixed assets with a net book value of nil between fixed assets and corresponding accumulated depreciation. Furthermore, the acquisition of CHF 69 thousand of property, plant and equipment purchases was non-cash and recorded within accrued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and were fully recruited in the fourth quarter of 2017 and third quarter of 2018,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and six months ended June 30, 2018 were authorized for issuance by the Company’s Audit and Finance Committee on August 3, 2018.</w:t>
      </w:r>
    </w:p>
    <w:p>
      <w:pPr>
        <w:spacing w:after="0" w:line="166" w:lineRule="exact"/>
        <w:rPr>
          <w:sz w:val="20"/>
          <w:szCs w:val="20"/>
          <w:color w:val="auto"/>
        </w:rPr>
      </w:pPr>
    </w:p>
    <w:p>
      <w:pPr>
        <w:ind w:right="5600" w:firstLine="8"/>
        <w:spacing w:after="0" w:line="503" w:lineRule="auto"/>
        <w:tabs>
          <w:tab w:leader="none" w:pos="3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and six months ended June 30, 2018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2017,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Company’s financial assets and liabilities are comprised of receivables, cash and cash equivalents, trade payables and a long-term financing obligation. The carrying amount for these financial assets and liabilities approximates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Effective January 1, 2018, the Company adopted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without though deeming any adjustments necessary in the transition to the new standard.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8"/>
          <w:szCs w:val="18"/>
          <w:color w:val="auto"/>
        </w:rPr>
        <w:t>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contract revenue, see Note 3,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from contracts with customers, (ii) clinical development accruals, (iii) net employee defined benefit liability, (iv) income taxes, and (v) share-based compensation. Actual results may differ from these estimates. Estimates and underlying assumptions are reviewed on an ongoing basis. Revisions to accounting estimates are recognized in the period in which the estimates are revised.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Consistent with prior years, the Company has not recognized any deferred tax assets relating to tax losses available as the recognition criteria have not been met at the balance sheet date.</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estimated tax expense for the three and six months ended June 30, 2018 is zero. The estimated tax expense is based on the best estimate of the weighted average annual income tax rate expected for the full financial year to December 31, 2018. As we expect to incur a loss for the full year, we do not anticipate any income tax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2017, except for the adoption of new standards and interpretations effective as of January 1, 2018. The Company has not adopted any other standard, interpretation or amendment that has been issued but is not yet effective.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pronouncements from the IASB will become effective for future financial reporting periods and have not yet been adopted by AC Immune.</w:t>
      </w:r>
    </w:p>
    <w:p>
      <w:pPr>
        <w:spacing w:after="0" w:line="17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 xml:space="preserve">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provides a new model for lessee accounting in which all leases, other than short-term and small-ticket-item leases, will be accounted for by the recognition on the balance sheet of a right-to-use asset and a lease liability, and the subsequent amortization of the right-to-use asset over the lease term. IFRS 16 will be effective for annual periods beginning on or after January 1, 2019 with early adoption permitted. AC Immune is currently assessing the impact of this standard on its financial statements and intends to adopt this standard as of the effective date using the Modified Retrospective approach.</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are no other standards that are not yet effective and that would be expected to have a material impact on the entity in the current or future reporting periods and on foreseeable future transactions.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i w:val="1"/>
          <w:iCs w:val="1"/>
          <w:color w:val="auto"/>
        </w:rPr>
        <w:t>Recent accounting pronouncements – recently adopted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15 Revenue from Contracts with Customers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May 2014, the International Accounting Standards Board (IASB) issued IFRS 15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amends the guidance for accounting for revenues from contracts with customers. This IFRS replaces all current revenue standards in IFRS including IAS 11 – </w:t>
      </w:r>
      <w:r>
        <w:rPr>
          <w:rFonts w:ascii="Arial" w:cs="Arial" w:eastAsia="Arial" w:hAnsi="Arial"/>
          <w:sz w:val="18"/>
          <w:szCs w:val="18"/>
          <w:i w:val="1"/>
          <w:iCs w:val="1"/>
          <w:color w:val="auto"/>
        </w:rPr>
        <w:t>Construction Contracts</w:t>
      </w:r>
      <w:r>
        <w:rPr>
          <w:rFonts w:ascii="Arial" w:cs="Arial" w:eastAsia="Arial" w:hAnsi="Arial"/>
          <w:sz w:val="18"/>
          <w:szCs w:val="18"/>
          <w:color w:val="auto"/>
        </w:rPr>
        <w:t>, IAS 18 –</w:t>
      </w:r>
      <w:r>
        <w:rPr>
          <w:rFonts w:ascii="Arial" w:cs="Arial" w:eastAsia="Arial" w:hAnsi="Arial"/>
          <w:sz w:val="18"/>
          <w:szCs w:val="18"/>
          <w:i w:val="1"/>
          <w:iCs w:val="1"/>
          <w:color w:val="auto"/>
        </w:rPr>
        <w:t xml:space="preserve"> Revenue </w:t>
      </w:r>
      <w:r>
        <w:rPr>
          <w:rFonts w:ascii="Arial" w:cs="Arial" w:eastAsia="Arial" w:hAnsi="Arial"/>
          <w:sz w:val="18"/>
          <w:szCs w:val="18"/>
          <w:color w:val="auto"/>
        </w:rPr>
        <w:t>and various interpretations. The Company adopted this new standard on January 1, 2018, and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the cumulative effect of initially applying the new revenue standard as an adjustment to the opening balance of accumulated losses; however, the Company did not deem any adjustments required in the transition to the new standard. The comparative information has not been restated and continues to be reported under the accounting standards in effect for those periods. We expect the impact of the adoption of the new standard to be immaterial to our net loss on an ongoing basis.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9 Financial Instruments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 xml:space="preserve">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supersedes IAS 39 </w:t>
      </w:r>
      <w:r>
        <w:rPr>
          <w:rFonts w:ascii="Arial" w:cs="Arial" w:eastAsia="Arial" w:hAnsi="Arial"/>
          <w:sz w:val="18"/>
          <w:szCs w:val="18"/>
          <w:i w:val="1"/>
          <w:iCs w:val="1"/>
          <w:color w:val="auto"/>
        </w:rPr>
        <w:t>Financial Instruments: Recognition and Measurement</w:t>
      </w:r>
      <w:r>
        <w:rPr>
          <w:rFonts w:ascii="Arial" w:cs="Arial" w:eastAsia="Arial" w:hAnsi="Arial"/>
          <w:sz w:val="18"/>
          <w:szCs w:val="18"/>
          <w:color w:val="auto"/>
        </w:rPr>
        <w:t xml:space="preserve"> and was adopted by the Company on January 1, 2018. IFRS 9 covers classification and measurement of financial assets and financial liabilities, impairment of financial assets and hedge accounting. The Company noted no impact to its financial statements upon adoption of this standard.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June 30, 2018, hence, the unaudited interim condensed financial statements have been prepared on a going concern basis.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the proceeds of its initial public offering and share issuances, and revenues from collaboration agreements. AC Immune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AC Immune generated revenues of CHF 2.0 million and CHF 3.5 million in the three and six months ended June 30, 2018 an increase of CHF 1.3 million and CHF 0.7 million over the comparable periods in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1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For the Three Months</w:t>
            </w:r>
          </w:p>
        </w:tc>
        <w:tc>
          <w:tcPr>
            <w:tcW w:w="30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9"/>
              </w:rPr>
              <w:t>Ended June 30,</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9"/>
              </w:rPr>
              <w:t>Ended June 30,</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vMerge w:val="restart"/>
          </w:tcPr>
          <w:p>
            <w:pPr>
              <w:spacing w:after="0"/>
              <w:rPr>
                <w:sz w:val="20"/>
                <w:szCs w:val="20"/>
                <w:color w:val="auto"/>
              </w:rPr>
            </w:pPr>
            <w:r>
              <w:rPr>
                <w:rFonts w:ascii="Arial" w:cs="Arial" w:eastAsia="Arial" w:hAnsi="Arial"/>
                <w:sz w:val="18"/>
                <w:szCs w:val="18"/>
                <w:color w:val="auto"/>
              </w:rPr>
              <w:t>in CHF thousands</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2017</w:t>
            </w:r>
          </w:p>
        </w:tc>
        <w:tc>
          <w:tcPr>
            <w:tcW w:w="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56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D5EAEA"/>
          </w:tcPr>
          <w:p>
            <w:pPr>
              <w:spacing w:after="0"/>
              <w:rPr>
                <w:sz w:val="19"/>
                <w:szCs w:val="19"/>
                <w:color w:val="auto"/>
              </w:rPr>
            </w:pPr>
          </w:p>
        </w:tc>
        <w:tc>
          <w:tcPr>
            <w:tcW w:w="1620" w:type="dxa"/>
            <w:vAlign w:val="bottom"/>
            <w:gridSpan w:val="2"/>
            <w:shd w:val="clear" w:color="auto" w:fill="D5EAEA"/>
          </w:tcPr>
          <w:p>
            <w:pPr>
              <w:jc w:val="right"/>
              <w:ind w:right="360"/>
              <w:spacing w:after="0"/>
              <w:rPr>
                <w:sz w:val="20"/>
                <w:szCs w:val="20"/>
                <w:color w:val="auto"/>
              </w:rPr>
            </w:pPr>
            <w:r>
              <w:rPr>
                <w:rFonts w:ascii="Arial" w:cs="Arial" w:eastAsia="Arial" w:hAnsi="Arial"/>
                <w:sz w:val="18"/>
                <w:szCs w:val="18"/>
                <w:color w:val="auto"/>
              </w:rPr>
              <w:t>3,486</w:t>
            </w:r>
          </w:p>
        </w:tc>
        <w:tc>
          <w:tcPr>
            <w:tcW w:w="500" w:type="dxa"/>
            <w:vAlign w:val="bottom"/>
            <w:shd w:val="clear" w:color="auto" w:fill="D5EAEA"/>
          </w:tcPr>
          <w:p>
            <w:pPr>
              <w:spacing w:after="0"/>
              <w:rPr>
                <w:sz w:val="19"/>
                <w:szCs w:val="19"/>
                <w:color w:val="auto"/>
              </w:rPr>
            </w:pPr>
          </w:p>
        </w:tc>
        <w:tc>
          <w:tcPr>
            <w:tcW w:w="7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revenues 2,028</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Company enters into licensing agreements which are within the scope of IFRS 15, under which it licenses certain rights to its product candidates and IP to third parties. The terms of these arrangements typically include payment to the Company of one or more of the following: non-refundable, up-front license fees; development, regulatory and/or commercial milestone payments; payments for research and clinical services the Company</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right="60"/>
        <w:spacing w:after="0" w:line="312" w:lineRule="auto"/>
        <w:rPr>
          <w:sz w:val="20"/>
          <w:szCs w:val="20"/>
          <w:color w:val="auto"/>
        </w:rPr>
      </w:pPr>
      <w:r>
        <w:rPr>
          <w:rFonts w:ascii="Arial" w:cs="Arial" w:eastAsia="Arial" w:hAnsi="Arial"/>
          <w:sz w:val="16"/>
          <w:szCs w:val="16"/>
          <w:color w:val="auto"/>
        </w:rPr>
        <w:t>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income/(loss), except for revenues from royalties on net sales of products commercialized from the Company’s IP, which are classified as royalty revenues.</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ind w:firstLine="324"/>
        <w:spacing w:after="0" w:line="277" w:lineRule="auto"/>
        <w:rPr>
          <w:sz w:val="20"/>
          <w:szCs w:val="20"/>
          <w:color w:val="auto"/>
        </w:rPr>
      </w:pPr>
      <w:r>
        <w:rPr>
          <w:rFonts w:ascii="Arial" w:cs="Arial" w:eastAsia="Arial" w:hAnsi="Arial"/>
          <w:sz w:val="18"/>
          <w:szCs w:val="18"/>
          <w:color w:val="auto"/>
        </w:rPr>
        <w:t>The following table presents changes in the Company’s contract assets and liabilities during the six months ended June 30, 2018 and 2017 (in CHF thousands):</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660" w:type="dxa"/>
            <w:vAlign w:val="bottom"/>
            <w:tcBorders>
              <w:top w:val="single" w:sz="8" w:color="auto"/>
              <w:left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Balance at the</w:t>
            </w:r>
          </w:p>
        </w:tc>
        <w:tc>
          <w:tcPr>
            <w:tcW w:w="2280" w:type="dxa"/>
            <w:vAlign w:val="bottom"/>
            <w:tcBorders>
              <w:top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Additions</w:t>
            </w:r>
          </w:p>
        </w:tc>
        <w:tc>
          <w:tcPr>
            <w:tcW w:w="228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Deductions</w:t>
            </w:r>
          </w:p>
        </w:tc>
        <w:tc>
          <w:tcPr>
            <w:tcW w:w="226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Balance at the end of the</w:t>
            </w: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beginning of the</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reporting period</w:t>
            </w:r>
          </w:p>
        </w:tc>
      </w:tr>
      <w:tr>
        <w:trPr>
          <w:trHeight w:val="234"/>
        </w:trPr>
        <w:tc>
          <w:tcPr>
            <w:tcW w:w="266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reporting period</w:t>
            </w: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41"/>
        </w:trPr>
        <w:tc>
          <w:tcPr>
            <w:tcW w:w="26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32"/>
        </w:trPr>
        <w:tc>
          <w:tcPr>
            <w:tcW w:w="2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Six months ended</w:t>
            </w:r>
          </w:p>
        </w:tc>
        <w:tc>
          <w:tcPr>
            <w:tcW w:w="19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34"/>
        </w:trPr>
        <w:tc>
          <w:tcPr>
            <w:tcW w:w="2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June 30, 2018:</w:t>
            </w:r>
          </w:p>
        </w:tc>
        <w:tc>
          <w:tcPr>
            <w:tcW w:w="19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41"/>
        </w:trPr>
        <w:tc>
          <w:tcPr>
            <w:tcW w:w="26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50"/>
        </w:trPr>
        <w:tc>
          <w:tcPr>
            <w:tcW w:w="2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Accrued Income</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2,631</w:t>
            </w:r>
          </w:p>
        </w:tc>
      </w:tr>
      <w:tr>
        <w:trPr>
          <w:trHeight w:val="41"/>
        </w:trPr>
        <w:tc>
          <w:tcPr>
            <w:tcW w:w="26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50"/>
        </w:trPr>
        <w:tc>
          <w:tcPr>
            <w:tcW w:w="2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Deferred Revenue</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41"/>
        </w:trPr>
        <w:tc>
          <w:tcPr>
            <w:tcW w:w="26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91"/>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32"/>
        </w:trPr>
        <w:tc>
          <w:tcPr>
            <w:tcW w:w="2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Six months ended</w:t>
            </w:r>
          </w:p>
        </w:tc>
        <w:tc>
          <w:tcPr>
            <w:tcW w:w="19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34"/>
        </w:trPr>
        <w:tc>
          <w:tcPr>
            <w:tcW w:w="2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June 30, 2017:</w:t>
            </w:r>
          </w:p>
        </w:tc>
        <w:tc>
          <w:tcPr>
            <w:tcW w:w="19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41"/>
        </w:trPr>
        <w:tc>
          <w:tcPr>
            <w:tcW w:w="26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50"/>
        </w:trPr>
        <w:tc>
          <w:tcPr>
            <w:tcW w:w="2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Accrued Income</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1,079</w:t>
            </w:r>
          </w:p>
        </w:tc>
      </w:tr>
      <w:tr>
        <w:trPr>
          <w:trHeight w:val="41"/>
        </w:trPr>
        <w:tc>
          <w:tcPr>
            <w:tcW w:w="26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50"/>
        </w:trPr>
        <w:tc>
          <w:tcPr>
            <w:tcW w:w="2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Deferred Revenue</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41"/>
        </w:trPr>
        <w:tc>
          <w:tcPr>
            <w:tcW w:w="26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three and six months ended June 30, 2018 and 2017, the Company recognized the following revenues as a result of changes in the contract asset and the contract liability balances in the respective periods (in CHF thousands):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340" w:type="dxa"/>
            <w:vAlign w:val="bottom"/>
            <w:tcBorders>
              <w:top w:val="single" w:sz="8" w:color="auto"/>
              <w:left w:val="single" w:sz="8" w:color="auto"/>
              <w:right w:val="single" w:sz="8" w:color="auto"/>
            </w:tcBorders>
          </w:tcPr>
          <w:p>
            <w:pPr>
              <w:spacing w:after="0"/>
              <w:rPr>
                <w:sz w:val="23"/>
                <w:szCs w:val="23"/>
                <w:color w:val="auto"/>
              </w:rPr>
            </w:pPr>
          </w:p>
        </w:tc>
        <w:tc>
          <w:tcPr>
            <w:tcW w:w="4080" w:type="dxa"/>
            <w:vAlign w:val="bottom"/>
            <w:tcBorders>
              <w:top w:val="single" w:sz="8" w:color="auto"/>
              <w:right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rPr>
              <w:t>Three Months Ended</w:t>
            </w: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250"/>
        </w:trPr>
        <w:tc>
          <w:tcPr>
            <w:tcW w:w="7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Revenue recognized in the period from:</w:t>
            </w:r>
          </w:p>
        </w:tc>
        <w:tc>
          <w:tcPr>
            <w:tcW w:w="20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2018</w:t>
            </w:r>
          </w:p>
        </w:tc>
        <w:tc>
          <w:tcPr>
            <w:tcW w:w="20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2017</w:t>
            </w: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236"/>
        </w:trPr>
        <w:tc>
          <w:tcPr>
            <w:tcW w:w="7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Amounts included in the contract liability at the</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7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beginning of the period</w:t>
            </w:r>
          </w:p>
        </w:tc>
        <w:tc>
          <w:tcPr>
            <w:tcW w:w="20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250"/>
        </w:trPr>
        <w:tc>
          <w:tcPr>
            <w:tcW w:w="73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Performance obligations satisfied in previous periods</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340" w:type="dxa"/>
            <w:vAlign w:val="bottom"/>
            <w:tcBorders>
              <w:top w:val="single" w:sz="8" w:color="auto"/>
              <w:left w:val="single" w:sz="8" w:color="auto"/>
              <w:right w:val="single" w:sz="8" w:color="auto"/>
            </w:tcBorders>
          </w:tcPr>
          <w:p>
            <w:pPr>
              <w:spacing w:after="0"/>
              <w:rPr>
                <w:sz w:val="23"/>
                <w:szCs w:val="23"/>
                <w:color w:val="auto"/>
              </w:rPr>
            </w:pPr>
          </w:p>
        </w:tc>
        <w:tc>
          <w:tcPr>
            <w:tcW w:w="4080" w:type="dxa"/>
            <w:vAlign w:val="bottom"/>
            <w:tcBorders>
              <w:top w:val="single" w:sz="8" w:color="auto"/>
              <w:right w:val="single" w:sz="8" w:color="auto"/>
            </w:tcBorders>
            <w:gridSpan w:val="2"/>
          </w:tcPr>
          <w:p>
            <w:pPr>
              <w:jc w:val="right"/>
              <w:ind w:right="1250"/>
              <w:spacing w:after="0"/>
              <w:rPr>
                <w:sz w:val="20"/>
                <w:szCs w:val="20"/>
                <w:color w:val="auto"/>
              </w:rPr>
            </w:pPr>
            <w:r>
              <w:rPr>
                <w:rFonts w:ascii="Arial" w:cs="Arial" w:eastAsia="Arial" w:hAnsi="Arial"/>
                <w:sz w:val="18"/>
                <w:szCs w:val="18"/>
                <w:b w:val="1"/>
                <w:bCs w:val="1"/>
                <w:color w:val="auto"/>
              </w:rPr>
              <w:t>Six Months Ended</w:t>
            </w: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250"/>
        </w:trPr>
        <w:tc>
          <w:tcPr>
            <w:tcW w:w="7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Revenue recognized in the period from:</w:t>
            </w:r>
          </w:p>
        </w:tc>
        <w:tc>
          <w:tcPr>
            <w:tcW w:w="20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2018</w:t>
            </w:r>
          </w:p>
        </w:tc>
        <w:tc>
          <w:tcPr>
            <w:tcW w:w="20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2017</w:t>
            </w: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236"/>
        </w:trPr>
        <w:tc>
          <w:tcPr>
            <w:tcW w:w="7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Amounts included in the contract liability at the</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7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beginning of the period</w:t>
            </w:r>
          </w:p>
        </w:tc>
        <w:tc>
          <w:tcPr>
            <w:tcW w:w="20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250"/>
        </w:trPr>
        <w:tc>
          <w:tcPr>
            <w:tcW w:w="73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Performance obligations satisfied in previous periods</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1"/>
        </w:trPr>
        <w:tc>
          <w:tcPr>
            <w:tcW w:w="734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The value of this partnership is potentially greater than CHF 340 million.</w:t>
      </w:r>
    </w:p>
    <w:p>
      <w:pPr>
        <w:spacing w:after="0" w:line="170"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Genentech commenced a first Phase 3 clinical study in the first quarter of fiscal 2016 for crenezumab. In February 2017, Genentech started a second Phase 3 clinical trial. If crenezumab receives regulatory approval, we will be entitled to receive royalties that are tied to annual sales volumes with different royalty rates applicable in the U.S. and Europe. To date, we have received total milestone payments of USD 65 million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5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right-to-use license and (ii) services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ind w:right="2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265.7)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2018 and June 30, 2017,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June 2012, we entered into a second agreement with Genentech to commercialize our anti-Tau antibodies for use as immunotherapeutics.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two additional indications built on the same anti-Tau antibody program as well as potential anti-Tau diagnostic products.</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CHF 14 million milestone payment recognized and payment received in the fourth quarter of 2017 associated with the first patient dosing in a Phase 2 clinical trial for Alzheimer’s disease with an anti-Tau monoclonal body known as RO7105705,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 As we met all performance obligations on reaching these milestones, we have recognized revenue in the respective periods.</w:t>
      </w:r>
    </w:p>
    <w:p>
      <w:pPr>
        <w:spacing w:after="0" w:line="19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right-to-use license and (ii) services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more than CHF 344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2018 and June 30, 2017, we have recognized no revenues from this arrangement.</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one of the Janssen Pharmaceutical Companies of Johnson and Johnson, to develop and commercialize therapeutic anti-Tau vaccines for the treatment of AD and potentially other Tauopathies. The value of this partnership is potentially up to CHF 500 million and includes upfront and clinical, regulatory and commercial milestones.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 In July 2017, AC Immune and Janssen entered into a Second Amendment to the December 2014 License, Development and Commercialization Agreement. The Amendment allows for the alignment of certain payment provisions with the new Development Plan and Research Plan activities. AC Immune and Janssen will jointly share R&amp;D costs until the completion of the first Phase 2. Under the terms of the agreement, Janssen may terminate the agreement at any time after completion of the Phase 1b clinical study by providing 90 days’ notice to us.</w:t>
      </w:r>
    </w:p>
    <w:p>
      <w:pPr>
        <w:spacing w:after="0" w:line="167"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intellectual property related to this program.</w:t>
      </w:r>
    </w:p>
    <w:p>
      <w:pPr>
        <w:spacing w:after="0" w:line="17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phase 1b study. As we met all performance obligations on reaching the milestone, we have recognized this income as revenue.</w:t>
      </w:r>
    </w:p>
    <w:p>
      <w:pPr>
        <w:spacing w:after="0" w:line="18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right-to-use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the arrangement, which were deemed to be distinct in the context of the contract.</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phase 1b study in May 2016. The Company could also receive up to more than CHF 458 million in clinical, regulatory and commercial milestones as well as tiered, high-single digit to mid-double digit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three months ended June 30, 2018 and June 30, 2017, we have recognized CHF 0.5 million and less than CHF 0.1 million, respectively for research and development services provided incremental to the amounts shared in the cost split. For the six months ended June 30, 2018 and June 30, 2017, we have recognized CHF 0.8 million and less than CHF 0.1 million, respectively for research and development services provided incremental to the amounts shared in the cost split.</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i w:val="1"/>
          <w:iCs w:val="1"/>
          <w:color w:val="auto"/>
        </w:rPr>
        <w:t>Tau-PET imaging agent in AD –2014 agreement with Piramal Imaging</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May 2014, AC Immune SA entered into an agreement, our first diagnostic partnership with Piramal Imaging (“Piramal”), a subsidiary of Piramal Enterprises, Ltd. The partnership with Piramal is an exclusive, worldwide licensing agreement for the research, development and commercialization of the Company’s Tau protein positron emission tomography (PET) tracers supporting the diagnosis and clinical management of AD and potential Tau-related disorders and includes upfront and sales milestone payments totaling up to EUR 157 (CHF 182) million, plus royalties on sales at a percentage rate ranging from mid-single digits to low double digits.</w:t>
      </w:r>
    </w:p>
    <w:p>
      <w:pPr>
        <w:spacing w:after="0" w:line="18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connection with this agreement, AC Immune received a EUR 500 (CHF 664) thousand payment which was fully recognized in 2015. In March 2017, we invoiced Piramal for a EUR 1.0 (CHF 1.1) million milestone related to the initiation of “Part B” of the first-in-man Phase 1 clinical trial for PSP (Progressive Supranuclear Palsy). As we met all performance obligations on reaching the milestone, we have recognized this milestone as revenue in the first quarter of fiscal 2017. The Company is eligible to receive variable consideration related to the achievement of certain clinical milestones totaling EUR 6 (CHF 7) million should the compound make it through to Phase 3 clinical studies. We are also eligible to receive potential regulatory and sales based milestones totaling EUR 150 (CHF 174) million. The Company is also eligible for royalties from the mid-single digits to low-double digits.</w:t>
      </w:r>
    </w:p>
    <w:p>
      <w:pPr>
        <w:spacing w:after="0" w:line="16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AC Immune assessed this arrangement in accordance with IFRS 15 and concluded that Piramal is a customer. The Company has identified that the right-to-use license as the only performance obligation. The Company determined that transaction price based on the defined terms allocated to each performance obligation specified in the contract.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these amounts have been determined to relate predominantly to the license granted to Piramal and therefore are recognized at the later of when the performance obligation is satisfied or the related sales occur. The Company considered Piramal’s right to sublicense and develop the Tau Protein PET tracers, and the fact that Piramal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June 2018, Alliance Medical Group purchased Piramal Imaging SA. We have been informed that Piramal will be rebranded and combined with Life Radiopharma. The Company’s Agreement will continue under the same terms and conditions with the new counterparty.</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three months ended June 30, 2018 and June 30, 2017, the Company has recognized no revenues. For the six months ended June 30, 2018 and June 30, 2017, the Company has recognized nil and CHF 1.1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April 13, 2016, AC Immune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right="4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will start a first-in-human study of our alpha-synuclein PET tracer in the second half of 2018 and completed the second year and commenced the third year of our collaboration in April 2018. As of June 30, 2018, the Company has fully recognized revenues associated with the technology access fee. For the three months ended June 30, 2018 and June 30, 2017, we have recognized CHF 1.2 million and CHF 1.0 million for research and development services, respectively. For the six months ended June 30, 2018 and 2017, the Company has recognized CHF 2.1 million and CHF 1.9 million for research and development services, respectively. The Company estimates to recognize CHF 1.7 million for additional research and development service contributions through the end of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–2017 agreement with Essex Bio-Technology Limited</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14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two-year Research Plan, which intends to develop a basic Fibroblast Growth Factor (“bFGF”) as a therapeutic for the treatment of neurodegenerative diseases and to generate novel antibody therapeutics.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AC Immune assessed this arrangement in accordance with IFRS 15 and concluded that Essex Bio-Technology is a customer. AC Immune has identified that its performance obligation is for Full Time Employees to provide research support.</w:t>
      </w:r>
    </w:p>
    <w:p>
      <w:pPr>
        <w:spacing w:after="0" w:line="170"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 The Company recognized CHF 189 thousand and nil for the three months ended June 30, 2018 and June 30, 2017, respectively. The Company recognized CHF 374 thousand and nil for the six months ended June 30, 2018 and June 30, 2017, respectively. The length of the initial contract is two years through May 2019. Subject to the progress of the project, the Company may expect to recognize approximately CHF 0.6 million as revenues over the next 11 months.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Continuation of 2015 Grant from the Michael J. Fox Foundation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September 16, 2017, AC Immune formally signed a grant continuation with the Michael J. Fox Foundation for Parkinson’s Disease research (“MJFF”). This grant provides funds for the development of Positron Emission Tomography (PET) tracers for the alpha-synuclein protein, to support the early diagnosis and clinical management of Parkinson’s disease.</w:t>
      </w:r>
    </w:p>
    <w:p>
      <w:pPr>
        <w:spacing w:after="0" w:line="181"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As part of this agreement, the MJFF expects that AC Immune will complete tasks according to the agreed timeline. AC Immune’s funding is variable depending on the satisfactory achievement of specific tasks. The Company identified four milestones to achieve but these are outputs of the Company’s services to perform and develop its PET tracer over a 12 month period. The services themselves over time are considered the performance</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right="200"/>
        <w:spacing w:after="0" w:line="277" w:lineRule="auto"/>
        <w:rPr>
          <w:sz w:val="20"/>
          <w:szCs w:val="20"/>
          <w:color w:val="auto"/>
        </w:rPr>
      </w:pPr>
      <w:r>
        <w:rPr>
          <w:rFonts w:ascii="Arial" w:cs="Arial" w:eastAsia="Arial" w:hAnsi="Arial"/>
          <w:sz w:val="18"/>
          <w:szCs w:val="18"/>
          <w:color w:val="auto"/>
        </w:rPr>
        <w:t>obligation and not each a distinct performance obligation. Therefore, AC Immune has determined it has one performance obligation in the arrangement: the research services in support of the development of the alpha-synuclein PET tracer.</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transaction price consists of the contractual amount of CHF 380 thousand which is allocated to the services performed. However, the consideration is variable dependent upon AC Immune’s completion of key milestones. Using the most likely amount method, AC Immune assessed the project funding and likelihood of milestone obtainment. Management estimated a 100% likelihood of completing all milestones under the terms of the grant and no discount of the transaction price is taken. The Company therefore recognizes the revenues associated with this grant as services are performed. Quarterly, the Company estimates its progress and whether to constrain further revenue recognition. No such constraint was necessary as of June 30, 2018.</w:t>
      </w:r>
    </w:p>
    <w:p>
      <w:pPr>
        <w:spacing w:after="0" w:line="15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recognized CHF 0.1 million and nil in revenues for the three months ended June 30, 2018 and 2017, respectively. The Company recognized CHF 0.2 million and nil for the six months ended June 30, 2018 and 2017, respectively. The Company expects to record CHF 0.2 million over the remaining 6 months as services are performed and milestones are obtained.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4940" w:type="dxa"/>
            <w:vAlign w:val="bottom"/>
          </w:tcPr>
          <w:p>
            <w:pPr>
              <w:ind w:left="160"/>
              <w:spacing w:after="0"/>
              <w:rPr>
                <w:sz w:val="20"/>
                <w:szCs w:val="20"/>
                <w:color w:val="auto"/>
              </w:rPr>
            </w:pPr>
            <w:r>
              <w:rPr>
                <w:rFonts w:ascii="Arial" w:cs="Arial" w:eastAsia="Arial" w:hAnsi="Arial"/>
                <w:sz w:val="18"/>
                <w:szCs w:val="18"/>
                <w:b w:val="1"/>
                <w:bCs w:val="1"/>
                <w:color w:val="auto"/>
              </w:rPr>
              <w:t>Loss per share</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1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For the Three Months</w:t>
            </w:r>
          </w:p>
        </w:tc>
        <w:tc>
          <w:tcPr>
            <w:tcW w:w="30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1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Ended June 30,</w:t>
            </w:r>
          </w:p>
        </w:tc>
        <w:tc>
          <w:tcPr>
            <w:tcW w:w="30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in CHF thousands except share and per share data</w:t>
            </w: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524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Earnings/(loss) per share (EPS):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(11,143)</w:t>
            </w: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(12,327)</w:t>
            </w:r>
          </w:p>
        </w:tc>
        <w:tc>
          <w:tcPr>
            <w:tcW w:w="24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(22,755)</w:t>
            </w:r>
          </w:p>
        </w:tc>
        <w:tc>
          <w:tcPr>
            <w:tcW w:w="24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(21,782)</w:t>
            </w:r>
          </w:p>
        </w:tc>
        <w:tc>
          <w:tcPr>
            <w:tcW w:w="0" w:type="dxa"/>
            <w:vAlign w:val="bottom"/>
          </w:tcPr>
          <w:p>
            <w:pPr>
              <w:spacing w:after="0"/>
              <w:rPr>
                <w:sz w:val="1"/>
                <w:szCs w:val="1"/>
                <w:color w:val="auto"/>
              </w:rPr>
            </w:pPr>
          </w:p>
        </w:tc>
      </w:tr>
      <w:tr>
        <w:trPr>
          <w:trHeight w:val="202"/>
        </w:trPr>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w w:val="96"/>
              </w:rPr>
              <w:t>Basic and diluted earnings/(loss) for the period attributable to equity</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2"/>
        </w:trPr>
        <w:tc>
          <w:tcPr>
            <w:tcW w:w="524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w w:val="94"/>
              </w:rPr>
              <w:t>Weighted-average number of shares used to compute EPS basic and</w:t>
            </w:r>
          </w:p>
        </w:tc>
        <w:tc>
          <w:tcPr>
            <w:tcW w:w="134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14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57,423,650</w:t>
            </w:r>
          </w:p>
        </w:tc>
        <w:tc>
          <w:tcPr>
            <w:tcW w:w="220" w:type="dxa"/>
            <w:vAlign w:val="bottom"/>
            <w:shd w:val="clear" w:color="auto" w:fill="D5EAEA"/>
          </w:tcPr>
          <w:p>
            <w:pPr>
              <w:spacing w:after="0"/>
              <w:rPr>
                <w:sz w:val="20"/>
                <w:szCs w:val="20"/>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57,048,187</w:t>
            </w:r>
          </w:p>
        </w:tc>
        <w:tc>
          <w:tcPr>
            <w:tcW w:w="240" w:type="dxa"/>
            <w:vAlign w:val="bottom"/>
            <w:shd w:val="clear" w:color="auto" w:fill="D5EAEA"/>
          </w:tcPr>
          <w:p>
            <w:pPr>
              <w:spacing w:after="0"/>
              <w:rPr>
                <w:sz w:val="20"/>
                <w:szCs w:val="20"/>
                <w:color w:val="auto"/>
              </w:rPr>
            </w:pP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57,395,987</w:t>
            </w:r>
          </w:p>
        </w:tc>
        <w:tc>
          <w:tcPr>
            <w:tcW w:w="240" w:type="dxa"/>
            <w:vAlign w:val="bottom"/>
            <w:shd w:val="clear" w:color="auto" w:fill="D5EAEA"/>
          </w:tcPr>
          <w:p>
            <w:pPr>
              <w:spacing w:after="0"/>
              <w:rPr>
                <w:sz w:val="20"/>
                <w:szCs w:val="20"/>
                <w:color w:val="auto"/>
              </w:rPr>
            </w:pP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56,951,306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320" w:lineRule="auto"/>
        <w:rPr>
          <w:sz w:val="20"/>
          <w:szCs w:val="20"/>
          <w:color w:val="auto"/>
        </w:rPr>
      </w:pPr>
      <w:r>
        <w:rPr>
          <w:rFonts w:ascii="Arial" w:cs="Arial" w:eastAsia="Arial" w:hAnsi="Arial"/>
          <w:sz w:val="15"/>
          <w:szCs w:val="15"/>
          <w:color w:val="auto"/>
        </w:rPr>
        <w:t>For the three and six months ended June 30, 2018 and June 30, 2017, basic and diluted loss per share is based on the weighted average number of shares issued and outstanding. Weighted-average shares outstanding excludes antidilutive shares underlying options, non-vested restricted shares and non-vested restricted share units that totaled 1,511,068 and 1,412,227 from the computation of diluted loss per common share for the three months ended June 30, 2018 and 2017, respectively. Weighted-average shares outstanding excludes antidilutive shares underlying options and non-vested restricted shares that totaled 1,479,408 and 1,564,907 from the computation of diluted earnings (loss) per common share for the six months ended June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5.  Property, plant and equipment</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6"/>
              </w:rPr>
              <w:t>As of June 30, 2018</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rPr>
              <w:t>Computers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7"/>
              </w:rPr>
              <w:t>Leasehold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00" w:type="dxa"/>
            <w:vAlign w:val="bottom"/>
            <w:gridSpan w:val="3"/>
          </w:tcPr>
          <w:p>
            <w:pPr>
              <w:ind w:left="260"/>
              <w:spacing w:after="0"/>
              <w:rPr>
                <w:sz w:val="20"/>
                <w:szCs w:val="20"/>
                <w:color w:val="auto"/>
              </w:rPr>
            </w:pPr>
            <w:r>
              <w:rPr>
                <w:rFonts w:ascii="Arial" w:cs="Arial" w:eastAsia="Arial" w:hAnsi="Arial"/>
                <w:sz w:val="18"/>
                <w:szCs w:val="18"/>
                <w:b w:val="1"/>
                <w:bCs w:val="1"/>
                <w:color w:val="auto"/>
              </w:rPr>
              <w:t>Furniture</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/IT</w:t>
            </w:r>
          </w:p>
        </w:tc>
        <w:tc>
          <w:tcPr>
            <w:tcW w:w="22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Lab Equipment</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Improvements</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1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auto"/>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spacing w:after="0"/>
              <w:rPr>
                <w:sz w:val="18"/>
                <w:szCs w:val="18"/>
                <w:color w:val="auto"/>
              </w:rPr>
            </w:pPr>
          </w:p>
        </w:tc>
        <w:tc>
          <w:tcPr>
            <w:tcW w:w="140" w:type="dxa"/>
            <w:vAlign w:val="bottom"/>
            <w:tcBorders>
              <w:top w:val="single" w:sz="8" w:color="auto"/>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4,161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color w:val="auto"/>
              </w:rPr>
              <w:t>Acquisitions</w:t>
            </w:r>
          </w:p>
        </w:tc>
        <w:tc>
          <w:tcPr>
            <w:tcW w:w="12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D5EAEA"/>
          </w:tcPr>
          <w:p>
            <w:pPr>
              <w:spacing w:after="0"/>
              <w:rPr>
                <w:sz w:val="18"/>
                <w:szCs w:val="18"/>
                <w:color w:val="auto"/>
              </w:rPr>
            </w:pPr>
          </w:p>
        </w:tc>
        <w:tc>
          <w:tcPr>
            <w:tcW w:w="130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212</w:t>
            </w:r>
          </w:p>
        </w:tc>
        <w:tc>
          <w:tcPr>
            <w:tcW w:w="14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Disposals</w:t>
            </w:r>
          </w:p>
        </w:tc>
        <w:tc>
          <w:tcPr>
            <w:tcW w:w="150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4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at end</w:t>
            </w: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ind w:left="900"/>
              <w:spacing w:after="0"/>
              <w:rPr>
                <w:sz w:val="20"/>
                <w:szCs w:val="20"/>
                <w:color w:val="auto"/>
              </w:rPr>
            </w:pPr>
            <w:r>
              <w:rPr>
                <w:rFonts w:ascii="Arial" w:cs="Arial" w:eastAsia="Arial" w:hAnsi="Arial"/>
                <w:sz w:val="18"/>
                <w:szCs w:val="18"/>
                <w:color w:val="auto"/>
                <w:w w:val="79"/>
              </w:rPr>
              <w:t>781</w:t>
            </w:r>
          </w:p>
        </w:tc>
        <w:tc>
          <w:tcPr>
            <w:tcW w:w="14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5,384</w:t>
            </w:r>
          </w:p>
        </w:tc>
        <w:tc>
          <w:tcPr>
            <w:tcW w:w="10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(2,311)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28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D5EAEA"/>
          </w:tcPr>
          <w:p>
            <w:pPr>
              <w:spacing w:after="0"/>
              <w:rPr>
                <w:sz w:val="18"/>
                <w:szCs w:val="18"/>
                <w:color w:val="auto"/>
              </w:rPr>
            </w:pPr>
          </w:p>
        </w:tc>
        <w:tc>
          <w:tcPr>
            <w:tcW w:w="13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(82)</w:t>
            </w:r>
          </w:p>
        </w:tc>
        <w:tc>
          <w:tcPr>
            <w:tcW w:w="14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Disposals</w:t>
            </w:r>
          </w:p>
        </w:tc>
        <w:tc>
          <w:tcPr>
            <w:tcW w:w="150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4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at end</w:t>
            </w: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310</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1,850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June 30, 2018</w:t>
            </w: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0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b w:val="1"/>
                <w:bCs w:val="1"/>
                <w:color w:val="auto"/>
              </w:rPr>
              <w:t>440</w:t>
            </w:r>
          </w:p>
        </w:tc>
        <w:tc>
          <w:tcPr>
            <w:tcW w:w="14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2,806</w:t>
            </w:r>
          </w:p>
        </w:tc>
        <w:tc>
          <w:tcPr>
            <w:tcW w:w="2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194</w:t>
            </w:r>
          </w:p>
        </w:tc>
        <w:tc>
          <w:tcPr>
            <w:tcW w:w="2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3,465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continues to enhance its laboratory equipment to support its research and development functions. This effort has accelerated since the year ended December 31, 2017, with CHF 1.2 million invested in lab equipment representing a 29% increase. This is consistent with the Company’s long term strategic plan. Additionally, the Company’s investments in computers and IT have increased by CHF 212 thousand or 37% with the enhancements to its infrastructure.</w:t>
      </w:r>
    </w:p>
    <w:p>
      <w:pPr>
        <w:spacing w:after="0" w:line="18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pension expenses totaling CHF 3.2 million and CHF 1.4 million as of June 30, 2018 and December 31, 2017, respectively.</w:t>
      </w:r>
    </w:p>
    <w:p>
      <w:pPr>
        <w:spacing w:after="0" w:line="16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financing obligation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 AC Immune has accordingly recorded a long-term financing obligation for the total USD 550 thousand (CHF 554 thousand) committed and a corresponding interest accrual of USD 125 thousand (CHF 126 thousand).</w:t>
      </w:r>
    </w:p>
    <w:p>
      <w:pPr>
        <w:spacing w:after="0" w:line="18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receivables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recorded CHF 0.4 million in other current receivables as of June 30, 2018 compared to CHF 0.9 million as of December 31, 2017. The Company had less than CHF 0.1 million outstanding but not yet due from one of its customers as of June 30, 2018.</w:t>
      </w:r>
    </w:p>
    <w:p>
      <w:pPr>
        <w:spacing w:after="0" w:line="16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Finance result, net</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For the three months ended June 30, 2018 and June 30, 2017, the Company recorded CHF 0.4 million in net financial income and CHF 4.0 million in net financial losses, respectively. Of those amounts, CHF 0.4 million and CHF 4.1 million were foreign currency remeasurement gains and losses, respectively.</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jc w:val="both"/>
        <w:ind w:right="180" w:firstLine="324"/>
        <w:spacing w:after="0" w:line="342" w:lineRule="auto"/>
        <w:rPr>
          <w:sz w:val="20"/>
          <w:szCs w:val="20"/>
          <w:color w:val="auto"/>
        </w:rPr>
      </w:pPr>
      <w:r>
        <w:rPr>
          <w:rFonts w:ascii="Arial" w:cs="Arial" w:eastAsia="Arial" w:hAnsi="Arial"/>
          <w:sz w:val="16"/>
          <w:szCs w:val="16"/>
          <w:color w:val="auto"/>
        </w:rPr>
        <w:t>For the six months ended June 30, 2018 and June 30, 2017, the Company recorded CHF 0.1 million in net financial income and CHF 5.7 million in net financial losses, respectively. Of those amounts, CHF 0.2 million and CHF 5.7 million were foreign currency remeasurement gains and losses,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July 17, 2018, the Company announced that it commenced offerings of up to 10 million new common shares of the Company with a nominal value of CHF 0.02 per share. On July 19, 2018, the Company announced the closing of the first subscription rights offering and underwritten primary offering of its common shares. On July 24, 2018, the Company also announced that the underwriters had exercised in full their option to purchase an additional 1,108,695 shares at a price per share of USD 11.75. The underwriters’ exercise of the option to purchase additional shares brought the total number of common shares sold by the Company to 8,500,000 shares, resulting in total gross proceeds raised in these offerings, before underwriting discounts and estimated expenses of the offering, to approximately USD 99.9 million.</w:t>
      </w:r>
    </w:p>
    <w:p>
      <w:pPr>
        <w:spacing w:after="0" w:line="193"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On July 20, 2018, the Company commenced a second subscription rights offering of up to 1,500,000 shares. At closing of the second subscription rights offering on July 31, 2018, the Company issued 1,500,000 additional common shares, resulting in gross proceeds of approximately USD 17.6 million.</w:t>
      </w:r>
    </w:p>
    <w:p>
      <w:pPr>
        <w:spacing w:after="0" w:line="12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At the conclusion of these three offerings, the Company obtained gross proceeds, before underwriting discounts and estimated expenses of the offering, of approximately USD 117.5 million, or approximately CHF 116.4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six months ended June 30, 2018 included as Exhibit 99.1 to this Report on Form 6-K. We also recommend that you read our management’s discussion and analysis and our audited financial statements and the notes thereto, which appear in our Annual Report on Form 20-F for the year ended December 31, 2017 on file with the U.S. Securities and Exchange Commission (the “SEC”).</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August 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AC Immune generated revenues of CHF 2.0 million in the three months ended June 30, 2018, an increase of CHF 1.3 million over the comparable period in 2017. AC Immune generated revenues of CHF 3.5 million in the six months ended June 30, 2018 an increase of CHF 0.7 million over the comparable period in 2017. The following table summarizes our revenues during the three and six months ended June 30, 2018 and 2017:</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6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For the Three Months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Ended June 30,</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gridSpan w:val="7"/>
          </w:tcPr>
          <w:p>
            <w:pPr>
              <w:ind w:left="360"/>
              <w:spacing w:after="0"/>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80" w:type="dxa"/>
            <w:vAlign w:val="bottom"/>
            <w:gridSpan w:val="2"/>
            <w:shd w:val="clear" w:color="auto" w:fill="DCEBF4"/>
          </w:tcPr>
          <w:p>
            <w:pPr>
              <w:spacing w:after="0"/>
              <w:rPr>
                <w:sz w:val="20"/>
                <w:szCs w:val="20"/>
                <w:color w:val="auto"/>
              </w:rPr>
            </w:pPr>
            <w:r>
              <w:rPr>
                <w:rFonts w:ascii="Arial" w:cs="Arial" w:eastAsia="Arial" w:hAnsi="Arial"/>
                <w:sz w:val="18"/>
                <w:szCs w:val="18"/>
                <w:color w:val="auto"/>
              </w:rPr>
              <w:t>Contract revenue</w:t>
            </w:r>
          </w:p>
        </w:tc>
        <w:tc>
          <w:tcPr>
            <w:tcW w:w="800" w:type="dxa"/>
            <w:vAlign w:val="bottom"/>
            <w:gridSpan w:val="2"/>
            <w:shd w:val="clear" w:color="auto" w:fill="DCEBF4"/>
          </w:tcPr>
          <w:p>
            <w:pPr>
              <w:jc w:val="right"/>
              <w:ind w:right="380"/>
              <w:spacing w:after="0"/>
              <w:rPr>
                <w:sz w:val="20"/>
                <w:szCs w:val="20"/>
                <w:color w:val="auto"/>
              </w:rPr>
            </w:pPr>
            <w:r>
              <w:rPr>
                <w:rFonts w:ascii="Arial" w:cs="Arial" w:eastAsia="Arial" w:hAnsi="Arial"/>
                <w:sz w:val="18"/>
                <w:szCs w:val="18"/>
                <w:color w:val="auto"/>
                <w:w w:val="88"/>
              </w:rPr>
              <w:t>2,028</w:t>
            </w:r>
          </w:p>
        </w:tc>
        <w:tc>
          <w:tcPr>
            <w:tcW w:w="920" w:type="dxa"/>
            <w:vAlign w:val="bottom"/>
            <w:shd w:val="clear" w:color="auto" w:fill="DCEBF4"/>
          </w:tcPr>
          <w:p>
            <w:pPr>
              <w:spacing w:after="0"/>
              <w:rPr>
                <w:sz w:val="19"/>
                <w:szCs w:val="19"/>
                <w:color w:val="auto"/>
              </w:rPr>
            </w:pPr>
          </w:p>
        </w:tc>
        <w:tc>
          <w:tcPr>
            <w:tcW w:w="560" w:type="dxa"/>
            <w:vAlign w:val="bottom"/>
            <w:gridSpan w:val="2"/>
            <w:shd w:val="clear" w:color="auto" w:fill="DCEBF4"/>
          </w:tcPr>
          <w:p>
            <w:pPr>
              <w:jc w:val="right"/>
              <w:ind w:right="14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DCEBF4"/>
          </w:tcPr>
          <w:p>
            <w:pPr>
              <w:spacing w:after="0"/>
              <w:rPr>
                <w:sz w:val="19"/>
                <w:szCs w:val="19"/>
                <w:color w:val="auto"/>
              </w:rPr>
            </w:pPr>
          </w:p>
        </w:tc>
        <w:tc>
          <w:tcPr>
            <w:tcW w:w="360" w:type="dxa"/>
            <w:vAlign w:val="bottom"/>
            <w:shd w:val="clear" w:color="auto" w:fill="DCEBF4"/>
          </w:tcPr>
          <w:p>
            <w:pPr>
              <w:spacing w:after="0"/>
              <w:rPr>
                <w:sz w:val="19"/>
                <w:szCs w:val="19"/>
                <w:color w:val="auto"/>
              </w:rPr>
            </w:pPr>
          </w:p>
        </w:tc>
        <w:tc>
          <w:tcPr>
            <w:tcW w:w="104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DCEBF4"/>
          </w:tcPr>
          <w:p>
            <w:pPr>
              <w:spacing w:after="0"/>
              <w:rPr>
                <w:sz w:val="19"/>
                <w:szCs w:val="19"/>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2,028</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4"/>
        </w:trPr>
        <w:tc>
          <w:tcPr>
            <w:tcW w:w="6460" w:type="dxa"/>
            <w:vAlign w:val="bottom"/>
          </w:tcPr>
          <w:p>
            <w:pPr>
              <w:spacing w:after="0"/>
              <w:rPr>
                <w:sz w:val="24"/>
                <w:szCs w:val="24"/>
                <w:color w:val="auto"/>
              </w:rPr>
            </w:pPr>
          </w:p>
        </w:tc>
        <w:tc>
          <w:tcPr>
            <w:tcW w:w="26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For the Six Months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Ended June 30,</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gridSpan w:val="7"/>
          </w:tcPr>
          <w:p>
            <w:pPr>
              <w:ind w:left="360"/>
              <w:spacing w:after="0"/>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80" w:type="dxa"/>
            <w:vAlign w:val="bottom"/>
            <w:gridSpan w:val="2"/>
            <w:shd w:val="clear" w:color="auto" w:fill="DCEBF4"/>
          </w:tcPr>
          <w:p>
            <w:pPr>
              <w:spacing w:after="0"/>
              <w:rPr>
                <w:sz w:val="20"/>
                <w:szCs w:val="20"/>
                <w:color w:val="auto"/>
              </w:rPr>
            </w:pPr>
            <w:r>
              <w:rPr>
                <w:rFonts w:ascii="Arial" w:cs="Arial" w:eastAsia="Arial" w:hAnsi="Arial"/>
                <w:sz w:val="18"/>
                <w:szCs w:val="18"/>
                <w:color w:val="auto"/>
              </w:rPr>
              <w:t>Contract revenue</w:t>
            </w:r>
          </w:p>
        </w:tc>
        <w:tc>
          <w:tcPr>
            <w:tcW w:w="800" w:type="dxa"/>
            <w:vAlign w:val="bottom"/>
            <w:gridSpan w:val="2"/>
            <w:shd w:val="clear" w:color="auto" w:fill="DCEBF4"/>
          </w:tcPr>
          <w:p>
            <w:pPr>
              <w:jc w:val="right"/>
              <w:ind w:right="380"/>
              <w:spacing w:after="0"/>
              <w:rPr>
                <w:sz w:val="20"/>
                <w:szCs w:val="20"/>
                <w:color w:val="auto"/>
              </w:rPr>
            </w:pPr>
            <w:r>
              <w:rPr>
                <w:rFonts w:ascii="Arial" w:cs="Arial" w:eastAsia="Arial" w:hAnsi="Arial"/>
                <w:sz w:val="18"/>
                <w:szCs w:val="18"/>
                <w:color w:val="auto"/>
                <w:w w:val="88"/>
              </w:rPr>
              <w:t>3,486</w:t>
            </w:r>
          </w:p>
        </w:tc>
        <w:tc>
          <w:tcPr>
            <w:tcW w:w="920" w:type="dxa"/>
            <w:vAlign w:val="bottom"/>
            <w:shd w:val="clear" w:color="auto" w:fill="DCEBF4"/>
          </w:tcPr>
          <w:p>
            <w:pPr>
              <w:spacing w:after="0"/>
              <w:rPr>
                <w:sz w:val="19"/>
                <w:szCs w:val="19"/>
                <w:color w:val="auto"/>
              </w:rPr>
            </w:pPr>
          </w:p>
        </w:tc>
        <w:tc>
          <w:tcPr>
            <w:tcW w:w="420" w:type="dxa"/>
            <w:vAlign w:val="bottom"/>
            <w:shd w:val="clear" w:color="auto" w:fill="DCEBF4"/>
          </w:tcPr>
          <w:p>
            <w:pPr>
              <w:jc w:val="right"/>
              <w:spacing w:after="0"/>
              <w:rPr>
                <w:sz w:val="20"/>
                <w:szCs w:val="20"/>
                <w:color w:val="auto"/>
              </w:rPr>
            </w:pPr>
            <w:r>
              <w:rPr>
                <w:rFonts w:ascii="Arial" w:cs="Arial" w:eastAsia="Arial" w:hAnsi="Arial"/>
                <w:sz w:val="18"/>
                <w:szCs w:val="18"/>
                <w:color w:val="auto"/>
                <w:w w:val="88"/>
              </w:rPr>
              <w:t>2,759</w:t>
            </w:r>
          </w:p>
        </w:tc>
        <w:tc>
          <w:tcPr>
            <w:tcW w:w="140" w:type="dxa"/>
            <w:vAlign w:val="bottom"/>
            <w:shd w:val="clear" w:color="auto" w:fill="DCEBF4"/>
          </w:tcPr>
          <w:p>
            <w:pPr>
              <w:spacing w:after="0"/>
              <w:rPr>
                <w:sz w:val="19"/>
                <w:szCs w:val="19"/>
                <w:color w:val="auto"/>
              </w:rPr>
            </w:pPr>
          </w:p>
        </w:tc>
        <w:tc>
          <w:tcPr>
            <w:tcW w:w="240" w:type="dxa"/>
            <w:vAlign w:val="bottom"/>
            <w:shd w:val="clear" w:color="auto" w:fill="DCEBF4"/>
          </w:tcPr>
          <w:p>
            <w:pPr>
              <w:spacing w:after="0"/>
              <w:rPr>
                <w:sz w:val="19"/>
                <w:szCs w:val="19"/>
                <w:color w:val="auto"/>
              </w:rPr>
            </w:pPr>
          </w:p>
        </w:tc>
        <w:tc>
          <w:tcPr>
            <w:tcW w:w="360" w:type="dxa"/>
            <w:vAlign w:val="bottom"/>
            <w:shd w:val="clear" w:color="auto" w:fill="DCEBF4"/>
          </w:tcPr>
          <w:p>
            <w:pPr>
              <w:spacing w:after="0"/>
              <w:rPr>
                <w:sz w:val="19"/>
                <w:szCs w:val="19"/>
                <w:color w:val="auto"/>
              </w:rPr>
            </w:pPr>
          </w:p>
        </w:tc>
        <w:tc>
          <w:tcPr>
            <w:tcW w:w="104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DCEBF4"/>
          </w:tcPr>
          <w:p>
            <w:pPr>
              <w:spacing w:after="0"/>
              <w:rPr>
                <w:sz w:val="19"/>
                <w:szCs w:val="19"/>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3,486</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three months ended June 30, 2018 compared to the three months ended June 30, 2017, the increase in contract revenues was CHF 0.5 million related to research and development services performed within our Tau-</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ind w:right="40"/>
        <w:spacing w:after="0" w:line="264" w:lineRule="auto"/>
        <w:rPr>
          <w:sz w:val="20"/>
          <w:szCs w:val="20"/>
          <w:color w:val="auto"/>
        </w:rPr>
      </w:pPr>
      <w:r>
        <w:rPr>
          <w:rFonts w:ascii="Arial" w:cs="Arial" w:eastAsia="Arial" w:hAnsi="Arial"/>
          <w:sz w:val="18"/>
          <w:szCs w:val="18"/>
          <w:color w:val="auto"/>
        </w:rPr>
        <w:t>Vaccine contract with Janssen. The Company also incrementally recognized CHF 0.2 million from research contribution revenues related to the TDP-43 PET Imaging Tracers Biogen collaboration and CHF 0.2 million for a full quarter of research services provided to Essex-Bio that were not commenced in the prior period.</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For the six months ended June 30, 2018 compared to the six months ended June 30, 2017, the increase in contract revenues was principally due to a CHF 0.7 million increase in contract revenues for research contribution services within our Tau-Vaccine contract with Janssen and CHF 0.4 million increase for its research services provided to Essex-Bio. The Company also had a CHF 0.3 million increase in revenues associated with its Biogen research and development services. These increases are offset by a CHF 1.1 million decrease related to a milestone from Piramal Imaging for the initiation of “Part B” of the first-in-man phase 1 clinical trial for PSP (Progressive Supranuclear Palsy) that was received in the prior period.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largely completed our research and development spending for both of our Genentech collaborations. Janssen will be responsible for the full development cost from the completion of the first Phase 2. In addition to these arrangements, we expect that our total future research and development costs will continue to increase over current levels in line with our three-pillar strategy that focuses on Alzheimer`s disease, neuro-orphan indications and diagnostics.</w:t>
      </w:r>
    </w:p>
    <w:p>
      <w:pPr>
        <w:spacing w:after="0" w:line="16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For the three and six months ended June 30, 2018, research and development expenses totaled CHF 10.5 million and CHF 20.6 million, respectively, compared with CHF 6.8 million and CHF 14.3 million for the same periods in 2017, respectively. This represents an increase of CHF 3.7 million and CHF 6.3 million, respectively. The following tables present the research and development expenses during the three and six months ended June 30, 2018 and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380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2"/>
              </w:rPr>
              <w:t>For the Three Months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9"/>
              </w:rPr>
              <w:t>Ended June 30,</w:t>
            </w: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460" w:type="dxa"/>
            <w:vAlign w:val="bottom"/>
          </w:tcPr>
          <w:p>
            <w:pPr>
              <w:spacing w:after="0"/>
              <w:rPr>
                <w:sz w:val="18"/>
                <w:szCs w:val="18"/>
                <w:color w:val="auto"/>
              </w:rPr>
            </w:pPr>
          </w:p>
        </w:tc>
        <w:tc>
          <w:tcPr>
            <w:tcW w:w="3800" w:type="dxa"/>
            <w:vAlign w:val="bottom"/>
            <w:gridSpan w:val="7"/>
          </w:tcPr>
          <w:p>
            <w:pPr>
              <w:ind w:left="1280"/>
              <w:spacing w:after="0"/>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60" w:type="dxa"/>
            <w:vAlign w:val="bottom"/>
            <w:shd w:val="clear" w:color="auto" w:fill="DCEBF4"/>
          </w:tcPr>
          <w:p>
            <w:pPr>
              <w:spacing w:after="0"/>
              <w:rPr>
                <w:sz w:val="20"/>
                <w:szCs w:val="20"/>
                <w:color w:val="auto"/>
              </w:rPr>
            </w:pPr>
            <w:r>
              <w:rPr>
                <w:rFonts w:ascii="Arial" w:cs="Arial" w:eastAsia="Arial" w:hAnsi="Arial"/>
                <w:sz w:val="18"/>
                <w:szCs w:val="18"/>
                <w:color w:val="auto"/>
              </w:rPr>
              <w:t>Operating expenses (1)</w:t>
            </w:r>
          </w:p>
        </w:tc>
        <w:tc>
          <w:tcPr>
            <w:tcW w:w="1720" w:type="dxa"/>
            <w:vAlign w:val="bottom"/>
            <w:gridSpan w:val="2"/>
            <w:shd w:val="clear" w:color="auto" w:fill="DCEBF4"/>
          </w:tcPr>
          <w:p>
            <w:pPr>
              <w:jc w:val="right"/>
              <w:ind w:right="380"/>
              <w:spacing w:after="0"/>
              <w:rPr>
                <w:sz w:val="20"/>
                <w:szCs w:val="20"/>
                <w:color w:val="auto"/>
              </w:rPr>
            </w:pPr>
            <w:r>
              <w:rPr>
                <w:rFonts w:ascii="Arial" w:cs="Arial" w:eastAsia="Arial" w:hAnsi="Arial"/>
                <w:sz w:val="18"/>
                <w:szCs w:val="18"/>
                <w:color w:val="auto"/>
              </w:rPr>
              <w:t>7,698</w:t>
            </w:r>
          </w:p>
        </w:tc>
        <w:tc>
          <w:tcPr>
            <w:tcW w:w="520" w:type="dxa"/>
            <w:vAlign w:val="bottom"/>
            <w:shd w:val="clear" w:color="auto" w:fill="DCEBF4"/>
          </w:tcPr>
          <w:p>
            <w:pPr>
              <w:spacing w:after="0"/>
              <w:rPr>
                <w:sz w:val="18"/>
                <w:szCs w:val="18"/>
                <w:color w:val="auto"/>
              </w:rPr>
            </w:pPr>
          </w:p>
        </w:tc>
        <w:tc>
          <w:tcPr>
            <w:tcW w:w="820" w:type="dxa"/>
            <w:vAlign w:val="bottom"/>
            <w:shd w:val="clear" w:color="auto" w:fill="DCEBF4"/>
          </w:tcPr>
          <w:p>
            <w:pPr>
              <w:jc w:val="right"/>
              <w:spacing w:after="0"/>
              <w:rPr>
                <w:sz w:val="20"/>
                <w:szCs w:val="20"/>
                <w:color w:val="auto"/>
              </w:rPr>
            </w:pPr>
            <w:r>
              <w:rPr>
                <w:rFonts w:ascii="Arial" w:cs="Arial" w:eastAsia="Arial" w:hAnsi="Arial"/>
                <w:sz w:val="18"/>
                <w:szCs w:val="18"/>
                <w:color w:val="auto"/>
              </w:rPr>
              <w:t>4,508</w:t>
            </w:r>
          </w:p>
        </w:tc>
        <w:tc>
          <w:tcPr>
            <w:tcW w:w="14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360" w:type="dxa"/>
            <w:vAlign w:val="bottom"/>
            <w:shd w:val="clear" w:color="auto" w:fill="DCEBF4"/>
          </w:tcPr>
          <w:p>
            <w:pPr>
              <w:spacing w:after="0"/>
              <w:rPr>
                <w:sz w:val="18"/>
                <w:szCs w:val="18"/>
                <w:color w:val="auto"/>
              </w:rPr>
            </w:pPr>
          </w:p>
        </w:tc>
        <w:tc>
          <w:tcPr>
            <w:tcW w:w="1160" w:type="dxa"/>
            <w:vAlign w:val="bottom"/>
            <w:gridSpan w:val="2"/>
            <w:shd w:val="clear" w:color="auto" w:fill="DCEBF4"/>
          </w:tcPr>
          <w:p>
            <w:pPr>
              <w:jc w:val="right"/>
              <w:ind w:right="140"/>
              <w:spacing w:after="0"/>
              <w:rPr>
                <w:sz w:val="20"/>
                <w:szCs w:val="20"/>
                <w:color w:val="auto"/>
              </w:rPr>
            </w:pPr>
            <w:r>
              <w:rPr>
                <w:rFonts w:ascii="Arial" w:cs="Arial" w:eastAsia="Arial" w:hAnsi="Arial"/>
                <w:sz w:val="18"/>
                <w:szCs w:val="18"/>
                <w:color w:val="auto"/>
              </w:rPr>
              <w:t>3,190</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Salaries and related costs (2)</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2,835</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r>
      <w:tr>
        <w:trPr>
          <w:trHeight w:val="223"/>
        </w:trPr>
        <w:tc>
          <w:tcPr>
            <w:tcW w:w="6460" w:type="dxa"/>
            <w:vAlign w:val="bottom"/>
            <w:tcBorders>
              <w:top w:val="single" w:sz="8" w:color="DCEBF4"/>
              <w:bottom w:val="single" w:sz="8" w:color="DCEBF4"/>
            </w:tcBorders>
            <w:shd w:val="clear" w:color="auto" w:fill="DCEBF4"/>
          </w:tcPr>
          <w:p>
            <w:pPr>
              <w:spacing w:after="0"/>
              <w:rPr>
                <w:sz w:val="20"/>
                <w:szCs w:val="20"/>
                <w:color w:val="auto"/>
              </w:rPr>
            </w:pPr>
            <w:r>
              <w:rPr>
                <w:rFonts w:ascii="Arial" w:cs="Arial" w:eastAsia="Arial" w:hAnsi="Arial"/>
                <w:sz w:val="18"/>
                <w:szCs w:val="18"/>
                <w:color w:val="auto"/>
              </w:rPr>
              <w:t>Total research and development expenses</w:t>
            </w:r>
          </w:p>
        </w:tc>
        <w:tc>
          <w:tcPr>
            <w:tcW w:w="13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10,533</w:t>
            </w:r>
          </w:p>
        </w:tc>
        <w:tc>
          <w:tcPr>
            <w:tcW w:w="380" w:type="dxa"/>
            <w:vAlign w:val="bottom"/>
            <w:tcBorders>
              <w:top w:val="single" w:sz="8" w:color="DCEBF4"/>
              <w:bottom w:val="single" w:sz="8" w:color="DCEBF4"/>
            </w:tcBorders>
            <w:shd w:val="clear" w:color="auto" w:fill="DCEBF4"/>
          </w:tcPr>
          <w:p>
            <w:pPr>
              <w:spacing w:after="0"/>
              <w:rPr>
                <w:sz w:val="19"/>
                <w:szCs w:val="19"/>
                <w:color w:val="auto"/>
              </w:rPr>
            </w:pPr>
          </w:p>
        </w:tc>
        <w:tc>
          <w:tcPr>
            <w:tcW w:w="520" w:type="dxa"/>
            <w:vAlign w:val="bottom"/>
            <w:tcBorders>
              <w:top w:val="single" w:sz="8" w:color="auto"/>
              <w:bottom w:val="single" w:sz="8" w:color="auto"/>
            </w:tcBorders>
            <w:shd w:val="clear" w:color="auto" w:fill="DCEBF4"/>
          </w:tcPr>
          <w:p>
            <w:pPr>
              <w:spacing w:after="0"/>
              <w:rPr>
                <w:sz w:val="19"/>
                <w:szCs w:val="19"/>
                <w:color w:val="auto"/>
              </w:rPr>
            </w:pPr>
          </w:p>
        </w:tc>
        <w:tc>
          <w:tcPr>
            <w:tcW w:w="8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6,838</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c>
          <w:tcPr>
            <w:tcW w:w="240" w:type="dxa"/>
            <w:vAlign w:val="bottom"/>
            <w:tcBorders>
              <w:top w:val="single" w:sz="8" w:color="DCEBF4"/>
              <w:bottom w:val="single" w:sz="8" w:color="DCEBF4"/>
            </w:tcBorders>
            <w:shd w:val="clear" w:color="auto" w:fill="DCEBF4"/>
          </w:tcPr>
          <w:p>
            <w:pPr>
              <w:spacing w:after="0"/>
              <w:rPr>
                <w:sz w:val="19"/>
                <w:szCs w:val="19"/>
                <w:color w:val="auto"/>
              </w:rPr>
            </w:pPr>
          </w:p>
        </w:tc>
        <w:tc>
          <w:tcPr>
            <w:tcW w:w="360" w:type="dxa"/>
            <w:vAlign w:val="bottom"/>
            <w:tcBorders>
              <w:top w:val="single" w:sz="8" w:color="auto"/>
              <w:bottom w:val="single" w:sz="8" w:color="auto"/>
            </w:tcBorders>
            <w:shd w:val="clear" w:color="auto" w:fill="DCEBF4"/>
          </w:tcPr>
          <w:p>
            <w:pPr>
              <w:spacing w:after="0"/>
              <w:rPr>
                <w:sz w:val="19"/>
                <w:szCs w:val="19"/>
                <w:color w:val="auto"/>
              </w:rPr>
            </w:pPr>
          </w:p>
        </w:tc>
        <w:tc>
          <w:tcPr>
            <w:tcW w:w="10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3,695</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4"/>
        </w:trPr>
        <w:tc>
          <w:tcPr>
            <w:tcW w:w="6460" w:type="dxa"/>
            <w:vAlign w:val="bottom"/>
          </w:tcPr>
          <w:p>
            <w:pPr>
              <w:spacing w:after="0"/>
              <w:rPr>
                <w:sz w:val="24"/>
                <w:szCs w:val="24"/>
                <w:color w:val="auto"/>
              </w:rPr>
            </w:pPr>
          </w:p>
        </w:tc>
        <w:tc>
          <w:tcPr>
            <w:tcW w:w="380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1"/>
              </w:rPr>
              <w:t>For the Six Months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646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9"/>
              </w:rPr>
              <w:t>Ended June 30,</w:t>
            </w: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460" w:type="dxa"/>
            <w:vAlign w:val="bottom"/>
          </w:tcPr>
          <w:p>
            <w:pPr>
              <w:spacing w:after="0"/>
              <w:rPr>
                <w:sz w:val="18"/>
                <w:szCs w:val="18"/>
                <w:color w:val="auto"/>
              </w:rPr>
            </w:pPr>
          </w:p>
        </w:tc>
        <w:tc>
          <w:tcPr>
            <w:tcW w:w="3800" w:type="dxa"/>
            <w:vAlign w:val="bottom"/>
            <w:gridSpan w:val="7"/>
          </w:tcPr>
          <w:p>
            <w:pPr>
              <w:ind w:left="1280"/>
              <w:spacing w:after="0"/>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60" w:type="dxa"/>
            <w:vAlign w:val="bottom"/>
            <w:shd w:val="clear" w:color="auto" w:fill="DCEBF4"/>
          </w:tcPr>
          <w:p>
            <w:pPr>
              <w:spacing w:after="0"/>
              <w:rPr>
                <w:sz w:val="20"/>
                <w:szCs w:val="20"/>
                <w:color w:val="auto"/>
              </w:rPr>
            </w:pPr>
            <w:r>
              <w:rPr>
                <w:rFonts w:ascii="Arial" w:cs="Arial" w:eastAsia="Arial" w:hAnsi="Arial"/>
                <w:sz w:val="18"/>
                <w:szCs w:val="18"/>
                <w:color w:val="auto"/>
              </w:rPr>
              <w:t>Operating expenses (1)</w:t>
            </w:r>
          </w:p>
        </w:tc>
        <w:tc>
          <w:tcPr>
            <w:tcW w:w="1720" w:type="dxa"/>
            <w:vAlign w:val="bottom"/>
            <w:gridSpan w:val="2"/>
            <w:shd w:val="clear" w:color="auto" w:fill="DCEBF4"/>
          </w:tcPr>
          <w:p>
            <w:pPr>
              <w:jc w:val="right"/>
              <w:ind w:right="380"/>
              <w:spacing w:after="0"/>
              <w:rPr>
                <w:sz w:val="20"/>
                <w:szCs w:val="20"/>
                <w:color w:val="auto"/>
              </w:rPr>
            </w:pPr>
            <w:r>
              <w:rPr>
                <w:rFonts w:ascii="Arial" w:cs="Arial" w:eastAsia="Arial" w:hAnsi="Arial"/>
                <w:sz w:val="18"/>
                <w:szCs w:val="18"/>
                <w:color w:val="auto"/>
              </w:rPr>
              <w:t>15,233</w:t>
            </w:r>
          </w:p>
        </w:tc>
        <w:tc>
          <w:tcPr>
            <w:tcW w:w="520" w:type="dxa"/>
            <w:vAlign w:val="bottom"/>
            <w:shd w:val="clear" w:color="auto" w:fill="DCEBF4"/>
          </w:tcPr>
          <w:p>
            <w:pPr>
              <w:spacing w:after="0"/>
              <w:rPr>
                <w:sz w:val="18"/>
                <w:szCs w:val="18"/>
                <w:color w:val="auto"/>
              </w:rPr>
            </w:pPr>
          </w:p>
        </w:tc>
        <w:tc>
          <w:tcPr>
            <w:tcW w:w="820" w:type="dxa"/>
            <w:vAlign w:val="bottom"/>
            <w:shd w:val="clear" w:color="auto" w:fill="DCEBF4"/>
          </w:tcPr>
          <w:p>
            <w:pPr>
              <w:jc w:val="right"/>
              <w:spacing w:after="0"/>
              <w:rPr>
                <w:sz w:val="20"/>
                <w:szCs w:val="20"/>
                <w:color w:val="auto"/>
              </w:rPr>
            </w:pPr>
            <w:r>
              <w:rPr>
                <w:rFonts w:ascii="Arial" w:cs="Arial" w:eastAsia="Arial" w:hAnsi="Arial"/>
                <w:sz w:val="18"/>
                <w:szCs w:val="18"/>
                <w:color w:val="auto"/>
              </w:rPr>
              <w:t>9,798</w:t>
            </w:r>
          </w:p>
        </w:tc>
        <w:tc>
          <w:tcPr>
            <w:tcW w:w="14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360" w:type="dxa"/>
            <w:vAlign w:val="bottom"/>
            <w:shd w:val="clear" w:color="auto" w:fill="DCEBF4"/>
          </w:tcPr>
          <w:p>
            <w:pPr>
              <w:spacing w:after="0"/>
              <w:rPr>
                <w:sz w:val="18"/>
                <w:szCs w:val="18"/>
                <w:color w:val="auto"/>
              </w:rPr>
            </w:pPr>
          </w:p>
        </w:tc>
        <w:tc>
          <w:tcPr>
            <w:tcW w:w="1160" w:type="dxa"/>
            <w:vAlign w:val="bottom"/>
            <w:gridSpan w:val="2"/>
            <w:shd w:val="clear" w:color="auto" w:fill="DCEBF4"/>
          </w:tcPr>
          <w:p>
            <w:pPr>
              <w:jc w:val="right"/>
              <w:ind w:right="140"/>
              <w:spacing w:after="0"/>
              <w:rPr>
                <w:sz w:val="20"/>
                <w:szCs w:val="20"/>
                <w:color w:val="auto"/>
              </w:rPr>
            </w:pPr>
            <w:r>
              <w:rPr>
                <w:rFonts w:ascii="Arial" w:cs="Arial" w:eastAsia="Arial" w:hAnsi="Arial"/>
                <w:sz w:val="18"/>
                <w:szCs w:val="18"/>
                <w:color w:val="auto"/>
              </w:rPr>
              <w:t>5,435</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Salaries and related costs (2)</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5,371</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r>
      <w:tr>
        <w:trPr>
          <w:trHeight w:val="223"/>
        </w:trPr>
        <w:tc>
          <w:tcPr>
            <w:tcW w:w="6460" w:type="dxa"/>
            <w:vAlign w:val="bottom"/>
            <w:tcBorders>
              <w:top w:val="single" w:sz="8" w:color="DCEBF4"/>
              <w:bottom w:val="single" w:sz="8" w:color="DCEBF4"/>
            </w:tcBorders>
            <w:shd w:val="clear" w:color="auto" w:fill="DCEBF4"/>
          </w:tcPr>
          <w:p>
            <w:pPr>
              <w:spacing w:after="0"/>
              <w:rPr>
                <w:sz w:val="20"/>
                <w:szCs w:val="20"/>
                <w:color w:val="auto"/>
              </w:rPr>
            </w:pPr>
            <w:r>
              <w:rPr>
                <w:rFonts w:ascii="Arial" w:cs="Arial" w:eastAsia="Arial" w:hAnsi="Arial"/>
                <w:sz w:val="18"/>
                <w:szCs w:val="18"/>
                <w:color w:val="auto"/>
              </w:rPr>
              <w:t>Total research and development expenses</w:t>
            </w:r>
          </w:p>
        </w:tc>
        <w:tc>
          <w:tcPr>
            <w:tcW w:w="134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20,604</w:t>
            </w:r>
          </w:p>
        </w:tc>
        <w:tc>
          <w:tcPr>
            <w:tcW w:w="380" w:type="dxa"/>
            <w:vAlign w:val="bottom"/>
            <w:tcBorders>
              <w:top w:val="single" w:sz="8" w:color="DCEBF4"/>
              <w:bottom w:val="single" w:sz="8" w:color="DCEBF4"/>
            </w:tcBorders>
            <w:shd w:val="clear" w:color="auto" w:fill="DCEBF4"/>
          </w:tcPr>
          <w:p>
            <w:pPr>
              <w:spacing w:after="0"/>
              <w:rPr>
                <w:sz w:val="19"/>
                <w:szCs w:val="19"/>
                <w:color w:val="auto"/>
              </w:rPr>
            </w:pPr>
          </w:p>
        </w:tc>
        <w:tc>
          <w:tcPr>
            <w:tcW w:w="520" w:type="dxa"/>
            <w:vAlign w:val="bottom"/>
            <w:tcBorders>
              <w:top w:val="single" w:sz="8" w:color="auto"/>
              <w:bottom w:val="single" w:sz="8" w:color="auto"/>
            </w:tcBorders>
            <w:shd w:val="clear" w:color="auto" w:fill="DCEBF4"/>
          </w:tcPr>
          <w:p>
            <w:pPr>
              <w:spacing w:after="0"/>
              <w:rPr>
                <w:sz w:val="19"/>
                <w:szCs w:val="19"/>
                <w:color w:val="auto"/>
              </w:rPr>
            </w:pPr>
          </w:p>
        </w:tc>
        <w:tc>
          <w:tcPr>
            <w:tcW w:w="8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14,313</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c>
          <w:tcPr>
            <w:tcW w:w="240" w:type="dxa"/>
            <w:vAlign w:val="bottom"/>
            <w:tcBorders>
              <w:top w:val="single" w:sz="8" w:color="DCEBF4"/>
              <w:bottom w:val="single" w:sz="8" w:color="DCEBF4"/>
            </w:tcBorders>
            <w:shd w:val="clear" w:color="auto" w:fill="DCEBF4"/>
          </w:tcPr>
          <w:p>
            <w:pPr>
              <w:spacing w:after="0"/>
              <w:rPr>
                <w:sz w:val="19"/>
                <w:szCs w:val="19"/>
                <w:color w:val="auto"/>
              </w:rPr>
            </w:pPr>
          </w:p>
        </w:tc>
        <w:tc>
          <w:tcPr>
            <w:tcW w:w="360" w:type="dxa"/>
            <w:vAlign w:val="bottom"/>
            <w:tcBorders>
              <w:top w:val="single" w:sz="8" w:color="auto"/>
              <w:bottom w:val="single" w:sz="8" w:color="auto"/>
            </w:tcBorders>
            <w:shd w:val="clear" w:color="auto" w:fill="DCEBF4"/>
          </w:tcPr>
          <w:p>
            <w:pPr>
              <w:spacing w:after="0"/>
              <w:rPr>
                <w:sz w:val="19"/>
                <w:szCs w:val="19"/>
                <w:color w:val="auto"/>
              </w:rPr>
            </w:pPr>
          </w:p>
        </w:tc>
        <w:tc>
          <w:tcPr>
            <w:tcW w:w="10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6,291</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share-based compensation expense</w:t>
      </w:r>
    </w:p>
    <w:p>
      <w:pPr>
        <w:spacing w:after="0" w:line="225"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The increase in research and development programs is primarily driven by increased investments in our ACI 24 program in Alzheimer’s disease, our Anti-Tau vaccines for the treatment of AD, our Anti-Tau Morphomers small molecule and our alpha-synuclein Antibody program. The following tables present the research and development expenses by major development program during the three and six months ended June 30, 2018 and 2017:</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346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w w:val="92"/>
              </w:rPr>
              <w:t>For the Three Months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40" w:type="dxa"/>
            <w:vAlign w:val="bottom"/>
          </w:tcPr>
          <w:p>
            <w:pPr>
              <w:spacing w:after="0"/>
              <w:rPr>
                <w:sz w:val="20"/>
                <w:szCs w:val="20"/>
                <w:color w:val="auto"/>
              </w:rPr>
            </w:pPr>
          </w:p>
        </w:tc>
        <w:tc>
          <w:tcPr>
            <w:tcW w:w="34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0"/>
              </w:rPr>
              <w:t>Ended 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6940" w:type="dxa"/>
            <w:vAlign w:val="bottom"/>
          </w:tcPr>
          <w:p>
            <w:pPr>
              <w:spacing w:after="0"/>
              <w:rPr>
                <w:sz w:val="18"/>
                <w:szCs w:val="18"/>
                <w:color w:val="auto"/>
              </w:rPr>
            </w:pPr>
          </w:p>
        </w:tc>
        <w:tc>
          <w:tcPr>
            <w:tcW w:w="3460" w:type="dxa"/>
            <w:vAlign w:val="bottom"/>
            <w:gridSpan w:val="6"/>
          </w:tcPr>
          <w:p>
            <w:pPr>
              <w:ind w:left="1040"/>
              <w:spacing w:after="0"/>
              <w:rPr>
                <w:sz w:val="20"/>
                <w:szCs w:val="20"/>
                <w:color w:val="auto"/>
              </w:rPr>
            </w:pPr>
            <w:r>
              <w:rPr>
                <w:rFonts w:ascii="Arial" w:cs="Arial" w:eastAsia="Arial" w:hAnsi="Arial"/>
                <w:sz w:val="18"/>
                <w:szCs w:val="18"/>
                <w:b w:val="1"/>
                <w:bCs w:val="1"/>
                <w:color w:val="auto"/>
                <w:w w:val="91"/>
              </w:rPr>
              <w:t>(in CHF thousands, unaudited)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3,434</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1,726</w:t>
            </w:r>
          </w:p>
        </w:tc>
        <w:tc>
          <w:tcPr>
            <w:tcW w:w="22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D5EAEA"/>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16"/>
        </w:trPr>
        <w:tc>
          <w:tcPr>
            <w:tcW w:w="694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769</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471</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Discovery programs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2,645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9"/>
                <w:szCs w:val="19"/>
                <w:color w:val="auto"/>
              </w:rPr>
            </w:pPr>
          </w:p>
        </w:tc>
      </w:tr>
      <w:tr>
        <w:trPr>
          <w:trHeight w:val="210"/>
        </w:trPr>
        <w:tc>
          <w:tcPr>
            <w:tcW w:w="69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7,198</w:t>
            </w:r>
          </w:p>
        </w:tc>
        <w:tc>
          <w:tcPr>
            <w:tcW w:w="3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360" w:type="dxa"/>
            <w:vAlign w:val="bottom"/>
            <w:tcBorders>
              <w:top w:val="single" w:sz="8" w:color="auto"/>
              <w:bottom w:val="single" w:sz="8" w:color="auto"/>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Borders>
              <w:top w:val="single" w:sz="8" w:color="D5EAEA"/>
            </w:tcBorders>
            <w:shd w:val="clear" w:color="auto" w:fill="D5EAEA"/>
          </w:tcPr>
          <w:p>
            <w:pPr>
              <w:spacing w:after="0"/>
              <w:rPr>
                <w:sz w:val="18"/>
                <w:szCs w:val="18"/>
                <w:color w:val="auto"/>
              </w:rPr>
            </w:pPr>
          </w:p>
        </w:tc>
      </w:tr>
      <w:tr>
        <w:trPr>
          <w:trHeight w:val="210"/>
        </w:trPr>
        <w:tc>
          <w:tcPr>
            <w:tcW w:w="69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3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Borders>
              <w:bottom w:val="single" w:sz="8" w:color="D5EAEA"/>
            </w:tcBorders>
          </w:tcPr>
          <w:p>
            <w:pPr>
              <w:spacing w:after="0"/>
              <w:rPr>
                <w:sz w:val="18"/>
                <w:szCs w:val="18"/>
                <w:color w:val="auto"/>
              </w:rPr>
            </w:pPr>
          </w:p>
        </w:tc>
        <w:tc>
          <w:tcPr>
            <w:tcW w:w="220" w:type="dxa"/>
            <w:vAlign w:val="bottom"/>
            <w:tcBorders>
              <w:bottom w:val="single" w:sz="8" w:color="D5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D5EAEA"/>
            </w:tcBorders>
          </w:tcPr>
          <w:p>
            <w:pPr>
              <w:spacing w:after="0"/>
              <w:rPr>
                <w:sz w:val="18"/>
                <w:szCs w:val="18"/>
                <w:color w:val="auto"/>
              </w:rPr>
            </w:pPr>
          </w:p>
        </w:tc>
      </w:tr>
      <w:tr>
        <w:trPr>
          <w:trHeight w:val="223"/>
        </w:trPr>
        <w:tc>
          <w:tcPr>
            <w:tcW w:w="69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10,533</w:t>
            </w:r>
          </w:p>
        </w:tc>
        <w:tc>
          <w:tcPr>
            <w:tcW w:w="320" w:type="dxa"/>
            <w:vAlign w:val="bottom"/>
            <w:tcBorders>
              <w:bottom w:val="single" w:sz="8" w:color="D5EAEA"/>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Borders>
              <w:bottom w:val="single" w:sz="8" w:color="D5EAEA"/>
            </w:tcBorders>
            <w:shd w:val="clear" w:color="auto" w:fill="D5EAEA"/>
          </w:tcPr>
          <w:p>
            <w:pPr>
              <w:spacing w:after="0"/>
              <w:rPr>
                <w:sz w:val="19"/>
                <w:szCs w:val="19"/>
                <w:color w:val="auto"/>
              </w:rPr>
            </w:pPr>
          </w:p>
        </w:tc>
        <w:tc>
          <w:tcPr>
            <w:tcW w:w="220" w:type="dxa"/>
            <w:vAlign w:val="bottom"/>
            <w:tcBorders>
              <w:bottom w:val="single" w:sz="8" w:color="D5EAEA"/>
            </w:tcBorders>
            <w:shd w:val="clear" w:color="auto" w:fill="D5EAEA"/>
          </w:tcPr>
          <w:p>
            <w:pPr>
              <w:spacing w:after="0"/>
              <w:rPr>
                <w:sz w:val="19"/>
                <w:szCs w:val="19"/>
                <w:color w:val="auto"/>
              </w:rPr>
            </w:pPr>
          </w:p>
        </w:tc>
        <w:tc>
          <w:tcPr>
            <w:tcW w:w="3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3,695</w:t>
            </w:r>
          </w:p>
        </w:tc>
        <w:tc>
          <w:tcPr>
            <w:tcW w:w="120" w:type="dxa"/>
            <w:vAlign w:val="bottom"/>
            <w:tcBorders>
              <w:bottom w:val="single" w:sz="8" w:color="D5EAEA"/>
            </w:tcBorders>
            <w:shd w:val="clear" w:color="auto" w:fill="D5EAEA"/>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4"/>
        </w:trPr>
        <w:tc>
          <w:tcPr>
            <w:tcW w:w="6940" w:type="dxa"/>
            <w:vAlign w:val="bottom"/>
          </w:tcPr>
          <w:p>
            <w:pPr>
              <w:spacing w:after="0"/>
              <w:rPr>
                <w:sz w:val="24"/>
                <w:szCs w:val="24"/>
                <w:color w:val="auto"/>
              </w:rPr>
            </w:pPr>
          </w:p>
        </w:tc>
        <w:tc>
          <w:tcPr>
            <w:tcW w:w="346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1"/>
              </w:rPr>
              <w:t>For the Six Months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940" w:type="dxa"/>
            <w:vAlign w:val="bottom"/>
          </w:tcPr>
          <w:p>
            <w:pPr>
              <w:spacing w:after="0"/>
              <w:rPr>
                <w:sz w:val="20"/>
                <w:szCs w:val="20"/>
                <w:color w:val="auto"/>
              </w:rPr>
            </w:pPr>
          </w:p>
        </w:tc>
        <w:tc>
          <w:tcPr>
            <w:tcW w:w="34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0"/>
              </w:rPr>
              <w:t>Ended 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6940" w:type="dxa"/>
            <w:vAlign w:val="bottom"/>
          </w:tcPr>
          <w:p>
            <w:pPr>
              <w:spacing w:after="0"/>
              <w:rPr>
                <w:sz w:val="18"/>
                <w:szCs w:val="18"/>
                <w:color w:val="auto"/>
              </w:rPr>
            </w:pPr>
          </w:p>
        </w:tc>
        <w:tc>
          <w:tcPr>
            <w:tcW w:w="3460" w:type="dxa"/>
            <w:vAlign w:val="bottom"/>
            <w:gridSpan w:val="6"/>
          </w:tcPr>
          <w:p>
            <w:pPr>
              <w:ind w:left="1040"/>
              <w:spacing w:after="0"/>
              <w:rPr>
                <w:sz w:val="20"/>
                <w:szCs w:val="20"/>
                <w:color w:val="auto"/>
              </w:rPr>
            </w:pPr>
            <w:r>
              <w:rPr>
                <w:rFonts w:ascii="Arial" w:cs="Arial" w:eastAsia="Arial" w:hAnsi="Arial"/>
                <w:sz w:val="18"/>
                <w:szCs w:val="18"/>
                <w:b w:val="1"/>
                <w:bCs w:val="1"/>
                <w:color w:val="auto"/>
                <w:w w:val="91"/>
              </w:rPr>
              <w:t>(in CHF thousands, unaudited)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6,466</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3,967</w:t>
            </w:r>
          </w:p>
        </w:tc>
        <w:tc>
          <w:tcPr>
            <w:tcW w:w="22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D5EAEA"/>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1,125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r>
      <w:tr>
        <w:trPr>
          <w:trHeight w:val="216"/>
        </w:trPr>
        <w:tc>
          <w:tcPr>
            <w:tcW w:w="694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1,140</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395</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Discovery programs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5,605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r>
      <w:tr>
        <w:trPr>
          <w:trHeight w:val="210"/>
        </w:trPr>
        <w:tc>
          <w:tcPr>
            <w:tcW w:w="69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14,336</w:t>
            </w:r>
          </w:p>
        </w:tc>
        <w:tc>
          <w:tcPr>
            <w:tcW w:w="3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9,184</w:t>
            </w:r>
          </w:p>
        </w:tc>
        <w:tc>
          <w:tcPr>
            <w:tcW w:w="12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D5EAEA"/>
            </w:tcBorders>
            <w:shd w:val="clear" w:color="auto" w:fill="D5EAEA"/>
          </w:tcPr>
          <w:p>
            <w:pPr>
              <w:spacing w:after="0"/>
              <w:rPr>
                <w:sz w:val="18"/>
                <w:szCs w:val="18"/>
                <w:color w:val="auto"/>
              </w:rPr>
            </w:pPr>
          </w:p>
        </w:tc>
        <w:tc>
          <w:tcPr>
            <w:tcW w:w="360" w:type="dxa"/>
            <w:vAlign w:val="bottom"/>
            <w:tcBorders>
              <w:top w:val="single" w:sz="8" w:color="auto"/>
              <w:bottom w:val="single" w:sz="8" w:color="auto"/>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5,152</w:t>
            </w:r>
          </w:p>
        </w:tc>
        <w:tc>
          <w:tcPr>
            <w:tcW w:w="120" w:type="dxa"/>
            <w:vAlign w:val="bottom"/>
            <w:tcBorders>
              <w:top w:val="single" w:sz="8" w:color="D5EAEA"/>
            </w:tcBorders>
            <w:shd w:val="clear" w:color="auto" w:fill="D5EAEA"/>
          </w:tcPr>
          <w:p>
            <w:pPr>
              <w:spacing w:after="0"/>
              <w:rPr>
                <w:sz w:val="18"/>
                <w:szCs w:val="18"/>
                <w:color w:val="auto"/>
              </w:rPr>
            </w:pPr>
          </w:p>
        </w:tc>
      </w:tr>
      <w:tr>
        <w:trPr>
          <w:trHeight w:val="210"/>
        </w:trPr>
        <w:tc>
          <w:tcPr>
            <w:tcW w:w="69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w:t>
            </w:r>
          </w:p>
        </w:tc>
        <w:tc>
          <w:tcPr>
            <w:tcW w:w="3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120" w:type="dxa"/>
            <w:vAlign w:val="bottom"/>
            <w:tcBorders>
              <w:bottom w:val="single" w:sz="8" w:color="D5EAEA"/>
            </w:tcBorders>
          </w:tcPr>
          <w:p>
            <w:pPr>
              <w:spacing w:after="0"/>
              <w:rPr>
                <w:sz w:val="18"/>
                <w:szCs w:val="18"/>
                <w:color w:val="auto"/>
              </w:rPr>
            </w:pPr>
          </w:p>
        </w:tc>
        <w:tc>
          <w:tcPr>
            <w:tcW w:w="220" w:type="dxa"/>
            <w:vAlign w:val="bottom"/>
            <w:tcBorders>
              <w:bottom w:val="single" w:sz="8" w:color="D5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D5EAEA"/>
            </w:tcBorders>
          </w:tcPr>
          <w:p>
            <w:pPr>
              <w:spacing w:after="0"/>
              <w:rPr>
                <w:sz w:val="18"/>
                <w:szCs w:val="18"/>
                <w:color w:val="auto"/>
              </w:rPr>
            </w:pPr>
          </w:p>
        </w:tc>
      </w:tr>
      <w:tr>
        <w:trPr>
          <w:trHeight w:val="223"/>
        </w:trPr>
        <w:tc>
          <w:tcPr>
            <w:tcW w:w="69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20,604</w:t>
            </w:r>
          </w:p>
        </w:tc>
        <w:tc>
          <w:tcPr>
            <w:tcW w:w="320" w:type="dxa"/>
            <w:vAlign w:val="bottom"/>
            <w:tcBorders>
              <w:bottom w:val="single" w:sz="8" w:color="D5EAEA"/>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14,313</w:t>
            </w:r>
          </w:p>
        </w:tc>
        <w:tc>
          <w:tcPr>
            <w:tcW w:w="120" w:type="dxa"/>
            <w:vAlign w:val="bottom"/>
            <w:tcBorders>
              <w:bottom w:val="single" w:sz="8" w:color="D5EAEA"/>
            </w:tcBorders>
            <w:shd w:val="clear" w:color="auto" w:fill="D5EAEA"/>
          </w:tcPr>
          <w:p>
            <w:pPr>
              <w:spacing w:after="0"/>
              <w:rPr>
                <w:sz w:val="19"/>
                <w:szCs w:val="19"/>
                <w:color w:val="auto"/>
              </w:rPr>
            </w:pPr>
          </w:p>
        </w:tc>
        <w:tc>
          <w:tcPr>
            <w:tcW w:w="220" w:type="dxa"/>
            <w:vAlign w:val="bottom"/>
            <w:tcBorders>
              <w:bottom w:val="single" w:sz="8" w:color="D5EAEA"/>
            </w:tcBorders>
            <w:shd w:val="clear" w:color="auto" w:fill="D5EAEA"/>
          </w:tcPr>
          <w:p>
            <w:pPr>
              <w:spacing w:after="0"/>
              <w:rPr>
                <w:sz w:val="19"/>
                <w:szCs w:val="19"/>
                <w:color w:val="auto"/>
              </w:rPr>
            </w:pPr>
          </w:p>
        </w:tc>
        <w:tc>
          <w:tcPr>
            <w:tcW w:w="3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D5EAEA"/>
            </w:tcBorders>
            <w:shd w:val="clear" w:color="auto" w:fill="D5EAEA"/>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line="297" w:lineRule="auto"/>
        <w:rPr>
          <w:sz w:val="20"/>
          <w:szCs w:val="20"/>
          <w:color w:val="auto"/>
        </w:rPr>
      </w:pPr>
      <w:r>
        <w:rPr>
          <w:rFonts w:ascii="Arial" w:cs="Arial" w:eastAsia="Arial" w:hAnsi="Arial"/>
          <w:sz w:val="16"/>
          <w:szCs w:val="16"/>
          <w:color w:val="auto"/>
        </w:rPr>
        <w:t>The CHF 1.7 million increase in investments in Alzheimer’s disease programs for the three months ended June 30, 2018 predominantly relates to a CHF 0.8 million increase in set-up fees such as site selection, administration and related manufacturing costs associated with the Phase 2 study for ACI-24-AD. There was also an increase of CHF 0.9 million for our Tau-Vaccine program for research and development services in line with the development plan. The increase in our discovery programs of CHF 1.1 million was driven by CHF 0.7 million related to the continued proof of concept studies and increase in manufacturing activities of our lead compounds in the Tau Morphomers and CHF 0.3 million increase in various other programs.</w:t>
      </w:r>
    </w:p>
    <w:p>
      <w:pPr>
        <w:spacing w:after="0" w:line="158"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CHF 2.5 million increase in investments in Alzheimer’s disease programs for the six months ended June 30, 2018 predominantly relates to a CHF 1.4 million increase in set-up fees such as site selection, administration and related manufacturing costs associated with the Phase 2 study for ACI-24-AD. There was also an increase of CHF 1.2 million for our Tau-Vaccine program for research and development services in line with the development plan. The increase in our discovery programs of CHF 2.5 million was driven by CHF 1.5 million related to the continued proof of concept studies and increase in manufacturing activities of our lead compounds in the Tau Morphomers and CHF 0.4 million increase in our other programs. Additionally, there were CHF 0.2 million increases related to manufacturing activities in our vaccine technology program and CHF 0.4 million for our anti-a-Synuclein antibody.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including legal and accounting related services and other operating expenses.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General and administrative expenses amounted to CHF 3.1 million and CHF 5.8 million in the three and six months ended June 30, 2018 compared with CHF 2.2 million and CHF 4.5 million in the same periods in 2017, respectively. This represents an increase of CHF 0.9 million and CHF 1.2 million for the respective periods. The increase is related to operating and salary related expenses, specifically an increase to share based compensation expense for the three and six months ended June 30, 2018. The following tables present the general and administrative expenses for the three and six months ended June 30, 2018 and 2017:</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6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For the Three Months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Ended June 30,</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gridSpan w:val="7"/>
          </w:tcPr>
          <w:p>
            <w:pPr>
              <w:ind w:left="360"/>
              <w:spacing w:after="0"/>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80" w:type="dxa"/>
            <w:vAlign w:val="bottom"/>
            <w:gridSpan w:val="2"/>
            <w:shd w:val="clear" w:color="auto" w:fill="DCEBF4"/>
          </w:tcPr>
          <w:p>
            <w:pPr>
              <w:spacing w:after="0"/>
              <w:rPr>
                <w:sz w:val="20"/>
                <w:szCs w:val="20"/>
                <w:color w:val="auto"/>
              </w:rPr>
            </w:pPr>
            <w:r>
              <w:rPr>
                <w:rFonts w:ascii="Arial" w:cs="Arial" w:eastAsia="Arial" w:hAnsi="Arial"/>
                <w:sz w:val="18"/>
                <w:szCs w:val="18"/>
                <w:color w:val="auto"/>
              </w:rPr>
              <w:t>Operating expenses (1)</w:t>
            </w:r>
          </w:p>
        </w:tc>
        <w:tc>
          <w:tcPr>
            <w:tcW w:w="800" w:type="dxa"/>
            <w:vAlign w:val="bottom"/>
            <w:gridSpan w:val="2"/>
            <w:shd w:val="clear" w:color="auto" w:fill="DCEBF4"/>
          </w:tcPr>
          <w:p>
            <w:pPr>
              <w:jc w:val="right"/>
              <w:ind w:right="380"/>
              <w:spacing w:after="0"/>
              <w:rPr>
                <w:sz w:val="20"/>
                <w:szCs w:val="20"/>
                <w:color w:val="auto"/>
              </w:rPr>
            </w:pPr>
            <w:r>
              <w:rPr>
                <w:rFonts w:ascii="Arial" w:cs="Arial" w:eastAsia="Arial" w:hAnsi="Arial"/>
                <w:sz w:val="18"/>
                <w:szCs w:val="18"/>
                <w:color w:val="auto"/>
                <w:w w:val="88"/>
              </w:rPr>
              <w:t>1,171</w:t>
            </w:r>
          </w:p>
        </w:tc>
        <w:tc>
          <w:tcPr>
            <w:tcW w:w="920" w:type="dxa"/>
            <w:vAlign w:val="bottom"/>
            <w:shd w:val="clear" w:color="auto" w:fill="DCEBF4"/>
          </w:tcPr>
          <w:p>
            <w:pPr>
              <w:spacing w:after="0"/>
              <w:rPr>
                <w:sz w:val="18"/>
                <w:szCs w:val="18"/>
                <w:color w:val="auto"/>
              </w:rPr>
            </w:pPr>
          </w:p>
        </w:tc>
        <w:tc>
          <w:tcPr>
            <w:tcW w:w="560" w:type="dxa"/>
            <w:vAlign w:val="bottom"/>
            <w:gridSpan w:val="2"/>
            <w:shd w:val="clear" w:color="auto" w:fill="DCEBF4"/>
          </w:tcPr>
          <w:p>
            <w:pPr>
              <w:jc w:val="right"/>
              <w:ind w:right="14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DCEBF4"/>
          </w:tcPr>
          <w:p>
            <w:pPr>
              <w:spacing w:after="0"/>
              <w:rPr>
                <w:sz w:val="18"/>
                <w:szCs w:val="18"/>
                <w:color w:val="auto"/>
              </w:rPr>
            </w:pPr>
          </w:p>
        </w:tc>
        <w:tc>
          <w:tcPr>
            <w:tcW w:w="360" w:type="dxa"/>
            <w:vAlign w:val="bottom"/>
            <w:shd w:val="clear" w:color="auto" w:fill="DCEBF4"/>
          </w:tcPr>
          <w:p>
            <w:pPr>
              <w:spacing w:after="0"/>
              <w:rPr>
                <w:sz w:val="18"/>
                <w:szCs w:val="18"/>
                <w:color w:val="auto"/>
              </w:rPr>
            </w:pPr>
          </w:p>
        </w:tc>
        <w:tc>
          <w:tcPr>
            <w:tcW w:w="1160" w:type="dxa"/>
            <w:vAlign w:val="bottom"/>
            <w:gridSpan w:val="2"/>
            <w:shd w:val="clear" w:color="auto" w:fill="DCEBF4"/>
          </w:tcPr>
          <w:p>
            <w:pPr>
              <w:jc w:val="right"/>
              <w:ind w:right="140"/>
              <w:spacing w:after="0"/>
              <w:rPr>
                <w:sz w:val="20"/>
                <w:szCs w:val="20"/>
                <w:color w:val="auto"/>
              </w:rPr>
            </w:pPr>
            <w:r>
              <w:rPr>
                <w:rFonts w:ascii="Arial" w:cs="Arial" w:eastAsia="Arial" w:hAnsi="Arial"/>
                <w:sz w:val="18"/>
                <w:szCs w:val="18"/>
                <w:color w:val="auto"/>
              </w:rPr>
              <w:t>229</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Salaries and related costs(2)</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1,894</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r>
      <w:tr>
        <w:trPr>
          <w:trHeight w:val="223"/>
        </w:trPr>
        <w:tc>
          <w:tcPr>
            <w:tcW w:w="6460" w:type="dxa"/>
            <w:vAlign w:val="bottom"/>
            <w:tcBorders>
              <w:top w:val="single" w:sz="8" w:color="DCEBF4"/>
              <w:bottom w:val="single" w:sz="8" w:color="DCEBF4"/>
            </w:tcBorders>
            <w:shd w:val="clear" w:color="auto" w:fill="DCEBF4"/>
          </w:tcPr>
          <w:p>
            <w:pPr>
              <w:spacing w:after="0"/>
              <w:rPr>
                <w:sz w:val="20"/>
                <w:szCs w:val="20"/>
                <w:color w:val="auto"/>
              </w:rPr>
            </w:pPr>
            <w:r>
              <w:rPr>
                <w:rFonts w:ascii="Arial" w:cs="Arial" w:eastAsia="Arial" w:hAnsi="Arial"/>
                <w:sz w:val="18"/>
                <w:szCs w:val="18"/>
                <w:color w:val="auto"/>
              </w:rPr>
              <w:t>Total general and administrative expenses</w:t>
            </w:r>
          </w:p>
        </w:tc>
        <w:tc>
          <w:tcPr>
            <w:tcW w:w="920" w:type="dxa"/>
            <w:vAlign w:val="bottom"/>
            <w:tcBorders>
              <w:top w:val="single" w:sz="8" w:color="auto"/>
              <w:bottom w:val="single" w:sz="8" w:color="auto"/>
            </w:tcBorders>
            <w:shd w:val="clear" w:color="auto" w:fill="DCEBF4"/>
          </w:tcPr>
          <w:p>
            <w:pPr>
              <w:spacing w:after="0"/>
              <w:rPr>
                <w:sz w:val="19"/>
                <w:szCs w:val="19"/>
                <w:color w:val="auto"/>
              </w:rPr>
            </w:pPr>
          </w:p>
        </w:tc>
        <w:tc>
          <w:tcPr>
            <w:tcW w:w="4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w w:val="88"/>
              </w:rPr>
              <w:t>3,065</w:t>
            </w:r>
          </w:p>
        </w:tc>
        <w:tc>
          <w:tcPr>
            <w:tcW w:w="380" w:type="dxa"/>
            <w:vAlign w:val="bottom"/>
            <w:tcBorders>
              <w:top w:val="single" w:sz="8" w:color="DCEBF4"/>
              <w:bottom w:val="single" w:sz="8" w:color="DCEBF4"/>
            </w:tcBorders>
            <w:shd w:val="clear" w:color="auto" w:fill="DCEBF4"/>
          </w:tcPr>
          <w:p>
            <w:pPr>
              <w:spacing w:after="0"/>
              <w:rPr>
                <w:sz w:val="19"/>
                <w:szCs w:val="19"/>
                <w:color w:val="auto"/>
              </w:rPr>
            </w:pPr>
          </w:p>
        </w:tc>
        <w:tc>
          <w:tcPr>
            <w:tcW w:w="920" w:type="dxa"/>
            <w:vAlign w:val="bottom"/>
            <w:tcBorders>
              <w:top w:val="single" w:sz="8" w:color="auto"/>
              <w:bottom w:val="single" w:sz="8" w:color="auto"/>
            </w:tcBorders>
            <w:shd w:val="clear" w:color="auto" w:fill="DCEBF4"/>
          </w:tcPr>
          <w:p>
            <w:pPr>
              <w:spacing w:after="0"/>
              <w:rPr>
                <w:sz w:val="19"/>
                <w:szCs w:val="19"/>
                <w:color w:val="auto"/>
              </w:rPr>
            </w:pPr>
          </w:p>
        </w:tc>
        <w:tc>
          <w:tcPr>
            <w:tcW w:w="4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w w:val="88"/>
              </w:rPr>
              <w:t>2,168</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c>
          <w:tcPr>
            <w:tcW w:w="240" w:type="dxa"/>
            <w:vAlign w:val="bottom"/>
            <w:tcBorders>
              <w:top w:val="single" w:sz="8" w:color="DCEBF4"/>
              <w:bottom w:val="single" w:sz="8" w:color="DCEBF4"/>
            </w:tcBorders>
            <w:shd w:val="clear" w:color="auto" w:fill="DCEBF4"/>
          </w:tcPr>
          <w:p>
            <w:pPr>
              <w:spacing w:after="0"/>
              <w:rPr>
                <w:sz w:val="19"/>
                <w:szCs w:val="19"/>
                <w:color w:val="auto"/>
              </w:rPr>
            </w:pPr>
          </w:p>
        </w:tc>
        <w:tc>
          <w:tcPr>
            <w:tcW w:w="360" w:type="dxa"/>
            <w:vAlign w:val="bottom"/>
            <w:tcBorders>
              <w:top w:val="single" w:sz="8" w:color="auto"/>
              <w:bottom w:val="single" w:sz="8" w:color="auto"/>
            </w:tcBorders>
            <w:shd w:val="clear" w:color="auto" w:fill="DCEBF4"/>
          </w:tcPr>
          <w:p>
            <w:pPr>
              <w:spacing w:after="0"/>
              <w:rPr>
                <w:sz w:val="19"/>
                <w:szCs w:val="19"/>
                <w:color w:val="auto"/>
              </w:rPr>
            </w:pPr>
          </w:p>
        </w:tc>
        <w:tc>
          <w:tcPr>
            <w:tcW w:w="10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4"/>
        </w:trPr>
        <w:tc>
          <w:tcPr>
            <w:tcW w:w="6460" w:type="dxa"/>
            <w:vAlign w:val="bottom"/>
          </w:tcPr>
          <w:p>
            <w:pPr>
              <w:spacing w:after="0"/>
              <w:rPr>
                <w:sz w:val="24"/>
                <w:szCs w:val="24"/>
                <w:color w:val="auto"/>
              </w:rPr>
            </w:pPr>
          </w:p>
        </w:tc>
        <w:tc>
          <w:tcPr>
            <w:tcW w:w="26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For the Six Months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6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Ended June 30,</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gridSpan w:val="7"/>
          </w:tcPr>
          <w:p>
            <w:pPr>
              <w:ind w:left="360"/>
              <w:spacing w:after="0"/>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80" w:type="dxa"/>
            <w:vAlign w:val="bottom"/>
            <w:gridSpan w:val="2"/>
            <w:shd w:val="clear" w:color="auto" w:fill="DCEBF4"/>
          </w:tcPr>
          <w:p>
            <w:pPr>
              <w:spacing w:after="0"/>
              <w:rPr>
                <w:sz w:val="20"/>
                <w:szCs w:val="20"/>
                <w:color w:val="auto"/>
              </w:rPr>
            </w:pPr>
            <w:r>
              <w:rPr>
                <w:rFonts w:ascii="Arial" w:cs="Arial" w:eastAsia="Arial" w:hAnsi="Arial"/>
                <w:sz w:val="18"/>
                <w:szCs w:val="18"/>
                <w:color w:val="auto"/>
              </w:rPr>
              <w:t>Operating expenses (1)</w:t>
            </w:r>
          </w:p>
        </w:tc>
        <w:tc>
          <w:tcPr>
            <w:tcW w:w="800" w:type="dxa"/>
            <w:vAlign w:val="bottom"/>
            <w:gridSpan w:val="2"/>
            <w:shd w:val="clear" w:color="auto" w:fill="DCEBF4"/>
          </w:tcPr>
          <w:p>
            <w:pPr>
              <w:jc w:val="right"/>
              <w:ind w:right="380"/>
              <w:spacing w:after="0"/>
              <w:rPr>
                <w:sz w:val="20"/>
                <w:szCs w:val="20"/>
                <w:color w:val="auto"/>
              </w:rPr>
            </w:pPr>
            <w:r>
              <w:rPr>
                <w:rFonts w:ascii="Arial" w:cs="Arial" w:eastAsia="Arial" w:hAnsi="Arial"/>
                <w:sz w:val="18"/>
                <w:szCs w:val="18"/>
                <w:color w:val="auto"/>
                <w:w w:val="88"/>
              </w:rPr>
              <w:t>2,127</w:t>
            </w:r>
          </w:p>
        </w:tc>
        <w:tc>
          <w:tcPr>
            <w:tcW w:w="920" w:type="dxa"/>
            <w:vAlign w:val="bottom"/>
            <w:shd w:val="clear" w:color="auto" w:fill="DCEBF4"/>
          </w:tcPr>
          <w:p>
            <w:pPr>
              <w:spacing w:after="0"/>
              <w:rPr>
                <w:sz w:val="18"/>
                <w:szCs w:val="18"/>
                <w:color w:val="auto"/>
              </w:rPr>
            </w:pPr>
          </w:p>
        </w:tc>
        <w:tc>
          <w:tcPr>
            <w:tcW w:w="420" w:type="dxa"/>
            <w:vAlign w:val="bottom"/>
            <w:shd w:val="clear" w:color="auto" w:fill="DCEBF4"/>
          </w:tcPr>
          <w:p>
            <w:pPr>
              <w:jc w:val="right"/>
              <w:spacing w:after="0"/>
              <w:rPr>
                <w:sz w:val="20"/>
                <w:szCs w:val="20"/>
                <w:color w:val="auto"/>
              </w:rPr>
            </w:pPr>
            <w:r>
              <w:rPr>
                <w:rFonts w:ascii="Arial" w:cs="Arial" w:eastAsia="Arial" w:hAnsi="Arial"/>
                <w:sz w:val="18"/>
                <w:szCs w:val="18"/>
                <w:color w:val="auto"/>
                <w:w w:val="88"/>
              </w:rPr>
              <w:t>2,045</w:t>
            </w:r>
          </w:p>
        </w:tc>
        <w:tc>
          <w:tcPr>
            <w:tcW w:w="14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360" w:type="dxa"/>
            <w:vAlign w:val="bottom"/>
            <w:shd w:val="clear" w:color="auto" w:fill="DCEBF4"/>
          </w:tcPr>
          <w:p>
            <w:pPr>
              <w:spacing w:after="0"/>
              <w:rPr>
                <w:sz w:val="18"/>
                <w:szCs w:val="18"/>
                <w:color w:val="auto"/>
              </w:rPr>
            </w:pPr>
          </w:p>
        </w:tc>
        <w:tc>
          <w:tcPr>
            <w:tcW w:w="1160" w:type="dxa"/>
            <w:vAlign w:val="bottom"/>
            <w:gridSpan w:val="2"/>
            <w:shd w:val="clear" w:color="auto" w:fill="DCEBF4"/>
          </w:tcPr>
          <w:p>
            <w:pPr>
              <w:jc w:val="right"/>
              <w:ind w:right="140"/>
              <w:spacing w:after="0"/>
              <w:rPr>
                <w:sz w:val="20"/>
                <w:szCs w:val="20"/>
                <w:color w:val="auto"/>
              </w:rPr>
            </w:pPr>
            <w:r>
              <w:rPr>
                <w:rFonts w:ascii="Arial" w:cs="Arial" w:eastAsia="Arial" w:hAnsi="Arial"/>
                <w:sz w:val="18"/>
                <w:szCs w:val="18"/>
                <w:color w:val="auto"/>
              </w:rPr>
              <w:t>82</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Salaries and related costs (2)</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3,643</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1,154</w:t>
            </w:r>
          </w:p>
        </w:tc>
      </w:tr>
      <w:tr>
        <w:trPr>
          <w:trHeight w:val="223"/>
        </w:trPr>
        <w:tc>
          <w:tcPr>
            <w:tcW w:w="6460" w:type="dxa"/>
            <w:vAlign w:val="bottom"/>
            <w:tcBorders>
              <w:top w:val="single" w:sz="8" w:color="DCEBF4"/>
              <w:bottom w:val="single" w:sz="8" w:color="DCEBF4"/>
            </w:tcBorders>
            <w:shd w:val="clear" w:color="auto" w:fill="DCEBF4"/>
          </w:tcPr>
          <w:p>
            <w:pPr>
              <w:spacing w:after="0"/>
              <w:rPr>
                <w:sz w:val="20"/>
                <w:szCs w:val="20"/>
                <w:color w:val="auto"/>
              </w:rPr>
            </w:pPr>
            <w:r>
              <w:rPr>
                <w:rFonts w:ascii="Arial" w:cs="Arial" w:eastAsia="Arial" w:hAnsi="Arial"/>
                <w:sz w:val="18"/>
                <w:szCs w:val="18"/>
                <w:color w:val="auto"/>
              </w:rPr>
              <w:t>Total general and administrative expenses</w:t>
            </w:r>
          </w:p>
        </w:tc>
        <w:tc>
          <w:tcPr>
            <w:tcW w:w="920" w:type="dxa"/>
            <w:vAlign w:val="bottom"/>
            <w:tcBorders>
              <w:top w:val="single" w:sz="8" w:color="auto"/>
              <w:bottom w:val="single" w:sz="8" w:color="auto"/>
            </w:tcBorders>
            <w:shd w:val="clear" w:color="auto" w:fill="DCEBF4"/>
          </w:tcPr>
          <w:p>
            <w:pPr>
              <w:spacing w:after="0"/>
              <w:rPr>
                <w:sz w:val="19"/>
                <w:szCs w:val="19"/>
                <w:color w:val="auto"/>
              </w:rPr>
            </w:pPr>
          </w:p>
        </w:tc>
        <w:tc>
          <w:tcPr>
            <w:tcW w:w="4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w w:val="88"/>
              </w:rPr>
              <w:t>5,770</w:t>
            </w:r>
          </w:p>
        </w:tc>
        <w:tc>
          <w:tcPr>
            <w:tcW w:w="380" w:type="dxa"/>
            <w:vAlign w:val="bottom"/>
            <w:tcBorders>
              <w:top w:val="single" w:sz="8" w:color="DCEBF4"/>
              <w:bottom w:val="single" w:sz="8" w:color="DCEBF4"/>
            </w:tcBorders>
            <w:shd w:val="clear" w:color="auto" w:fill="DCEBF4"/>
          </w:tcPr>
          <w:p>
            <w:pPr>
              <w:spacing w:after="0"/>
              <w:rPr>
                <w:sz w:val="19"/>
                <w:szCs w:val="19"/>
                <w:color w:val="auto"/>
              </w:rPr>
            </w:pPr>
          </w:p>
        </w:tc>
        <w:tc>
          <w:tcPr>
            <w:tcW w:w="920" w:type="dxa"/>
            <w:vAlign w:val="bottom"/>
            <w:tcBorders>
              <w:top w:val="single" w:sz="8" w:color="auto"/>
              <w:bottom w:val="single" w:sz="8" w:color="auto"/>
            </w:tcBorders>
            <w:shd w:val="clear" w:color="auto" w:fill="DCEBF4"/>
          </w:tcPr>
          <w:p>
            <w:pPr>
              <w:spacing w:after="0"/>
              <w:rPr>
                <w:sz w:val="19"/>
                <w:szCs w:val="19"/>
                <w:color w:val="auto"/>
              </w:rPr>
            </w:pPr>
          </w:p>
        </w:tc>
        <w:tc>
          <w:tcPr>
            <w:tcW w:w="4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w w:val="88"/>
              </w:rPr>
              <w:t>4,534</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c>
          <w:tcPr>
            <w:tcW w:w="240" w:type="dxa"/>
            <w:vAlign w:val="bottom"/>
            <w:tcBorders>
              <w:top w:val="single" w:sz="8" w:color="DCEBF4"/>
              <w:bottom w:val="single" w:sz="8" w:color="DCEBF4"/>
            </w:tcBorders>
            <w:shd w:val="clear" w:color="auto" w:fill="DCEBF4"/>
          </w:tcPr>
          <w:p>
            <w:pPr>
              <w:spacing w:after="0"/>
              <w:rPr>
                <w:sz w:val="19"/>
                <w:szCs w:val="19"/>
                <w:color w:val="auto"/>
              </w:rPr>
            </w:pPr>
          </w:p>
        </w:tc>
        <w:tc>
          <w:tcPr>
            <w:tcW w:w="360" w:type="dxa"/>
            <w:vAlign w:val="bottom"/>
            <w:tcBorders>
              <w:top w:val="single" w:sz="8" w:color="auto"/>
              <w:bottom w:val="single" w:sz="8" w:color="auto"/>
            </w:tcBorders>
            <w:shd w:val="clear" w:color="auto" w:fill="DCEBF4"/>
          </w:tcPr>
          <w:p>
            <w:pPr>
              <w:spacing w:after="0"/>
              <w:rPr>
                <w:sz w:val="19"/>
                <w:szCs w:val="19"/>
                <w:color w:val="auto"/>
              </w:rPr>
            </w:pPr>
          </w:p>
        </w:tc>
        <w:tc>
          <w:tcPr>
            <w:tcW w:w="10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Borders>
              <w:top w:val="single" w:sz="8" w:color="DCEBF4"/>
              <w:bottom w:val="single" w:sz="8" w:color="DCEBF4"/>
            </w:tcBorders>
            <w:shd w:val="clear" w:color="auto" w:fill="DCEBF4"/>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depreciation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Includes 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results,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net financial income and expenses during the three and six months ended June 30, 2018 and 2017:</w:t>
      </w:r>
    </w:p>
    <w:p>
      <w:pPr>
        <w:spacing w:after="0" w:line="221"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Ended June 30,</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right="2240"/>
        <w:spacing w:after="0" w:line="265" w:lineRule="auto"/>
        <w:rPr>
          <w:sz w:val="20"/>
          <w:szCs w:val="20"/>
          <w:color w:val="auto"/>
        </w:rPr>
      </w:pPr>
      <w:r>
        <w:rPr>
          <w:rFonts w:ascii="Arial" w:cs="Arial" w:eastAsia="Arial" w:hAnsi="Arial"/>
          <w:sz w:val="17"/>
          <w:szCs w:val="17"/>
          <w:color w:val="auto"/>
        </w:rPr>
        <w:t>Foreign currency remeasurement gain/(loss), net Other finance income/(expense)</w:t>
      </w:r>
    </w:p>
    <w:p>
      <w:pPr>
        <w:spacing w:after="0"/>
        <w:rPr>
          <w:sz w:val="20"/>
          <w:szCs w:val="20"/>
          <w:color w:val="auto"/>
        </w:rPr>
      </w:pPr>
      <w:r>
        <w:rPr>
          <w:rFonts w:ascii="Arial" w:cs="Arial" w:eastAsia="Arial" w:hAnsi="Arial"/>
          <w:sz w:val="18"/>
          <w:szCs w:val="18"/>
          <w:color w:val="auto"/>
        </w:rPr>
        <w:t>Finance result,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00" w:type="dxa"/>
            <w:vAlign w:val="bottom"/>
            <w:gridSpan w:val="6"/>
          </w:tcPr>
          <w:p>
            <w:pPr>
              <w:ind w:left="1280"/>
              <w:spacing w:after="0" w:line="195" w:lineRule="exact"/>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397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-599440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-325120</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p>
      <w:pPr>
        <w:sectPr>
          <w:pgSz w:w="11900" w:h="16838" w:orient="portrait"/>
          <w:cols w:equalWidth="0" w:num="2">
            <w:col w:w="5740" w:space="720"/>
            <w:col w:w="4960"/>
          </w:cols>
          <w:pgMar w:left="240" w:top="580" w:right="2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right="2240"/>
        <w:spacing w:after="0" w:line="265" w:lineRule="auto"/>
        <w:rPr>
          <w:sz w:val="20"/>
          <w:szCs w:val="20"/>
          <w:color w:val="auto"/>
        </w:rPr>
      </w:pPr>
      <w:r>
        <w:rPr>
          <w:rFonts w:ascii="Arial" w:cs="Arial" w:eastAsia="Arial" w:hAnsi="Arial"/>
          <w:sz w:val="17"/>
          <w:szCs w:val="17"/>
          <w:color w:val="auto"/>
        </w:rPr>
        <w:t>Foreign currency remeasurement gain/(loss), net Other finance income/(expense)</w:t>
      </w:r>
    </w:p>
    <w:p>
      <w:pPr>
        <w:spacing w:after="0"/>
        <w:rPr>
          <w:sz w:val="20"/>
          <w:szCs w:val="20"/>
          <w:color w:val="auto"/>
        </w:rPr>
      </w:pPr>
      <w:r>
        <w:rPr>
          <w:rFonts w:ascii="Arial" w:cs="Arial" w:eastAsia="Arial" w:hAnsi="Arial"/>
          <w:sz w:val="18"/>
          <w:szCs w:val="18"/>
          <w:color w:val="auto"/>
        </w:rPr>
        <w:t>Finance result,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5"/>
        </w:trPr>
        <w:tc>
          <w:tcPr>
            <w:tcW w:w="3800" w:type="dxa"/>
            <w:vAlign w:val="bottom"/>
            <w:gridSpan w:val="6"/>
          </w:tcPr>
          <w:p>
            <w:pPr>
              <w:ind w:left="1280"/>
              <w:spacing w:after="0" w:line="195" w:lineRule="exact"/>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(5,654)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-599440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-325120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960"/>
          </w:cols>
          <w:pgMar w:left="240" w:top="580" w:right="239" w:bottom="1440" w:gutter="0" w:footer="0" w:header="0"/>
          <w:type w:val="continuous"/>
        </w:sectPr>
      </w:pPr>
    </w:p>
    <w:p>
      <w:pPr>
        <w:spacing w:after="0" w:line="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the three and six months ended June 30, 2018, the Company reported CHF 0.4 million and CHF 0.1 million in net financial income compared with net financial losses of CHF 4.1 million and CHF 5.7 million in the same periods in 2017, a difference of CHF 4.5 million and CHF 5.8 million, respectively. The key drivers for the higher financial income during the three and six months ended June 30, 2018 were net unrealized gains of CHF 0.4 million and CHF 0.2 million, respectively on foreign currency cash balances incurred due to fluctuations of the USD relative to the CHF at the end of the second quarter. The key driver for the less material variance in foreign currency also relates to reduced foreign currency cash balances. The Company held more than 72% of its cash in local currency from 21% in the prior period, thus limiting the impact of exchange rate fluctuations.</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61" w:name="page62"/>
    <w:bookmarkEnd w:id="61"/>
    <w:p>
      <w:pPr>
        <w:ind w:left="1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operations have been financed primarily by proceeds from our initial public offering in September 2016, net proceeds from the issuance of preferred shares, and from collaboration and license agreements we have with a number of partners. At June 30, 2018, we had cash and cash equivalents of CHF 102.7 million.</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 study, ACI-24 in Down syndrome, our PET tracer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w:t>
      </w:r>
    </w:p>
    <w:p>
      <w:pPr>
        <w:sectPr>
          <w:pgSz w:w="11900" w:h="16838" w:orient="portrait"/>
          <w:cols w:equalWidth="0" w:num="1">
            <w:col w:w="11420"/>
          </w:cols>
          <w:pgMar w:left="240" w:top="584"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1"/>
              </w:rPr>
              <w:t>For the Six Months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24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9"/>
              </w:rPr>
              <w:t>Ended June 30,</w:t>
            </w: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28"/>
        </w:trPr>
        <w:tc>
          <w:tcPr>
            <w:tcW w:w="3800" w:type="dxa"/>
            <w:vAlign w:val="bottom"/>
            <w:gridSpan w:val="7"/>
          </w:tcPr>
          <w:p>
            <w:pPr>
              <w:ind w:left="1280"/>
              <w:spacing w:after="0"/>
              <w:rPr>
                <w:sz w:val="20"/>
                <w:szCs w:val="20"/>
                <w:color w:val="auto"/>
              </w:rPr>
            </w:pPr>
            <w:r>
              <w:rPr>
                <w:rFonts w:ascii="Arial" w:cs="Arial" w:eastAsia="Arial" w:hAnsi="Arial"/>
                <w:sz w:val="18"/>
                <w:szCs w:val="18"/>
                <w:b w:val="1"/>
                <w:bCs w:val="1"/>
                <w:color w:val="auto"/>
                <w:w w:val="95"/>
              </w:rPr>
              <w:t>(in CHF thousands, unaudited)</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0"/>
        </w:trPr>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(20,481)</w:t>
            </w:r>
          </w:p>
        </w:tc>
        <w:tc>
          <w:tcPr>
            <w:tcW w:w="5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(20,912)</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4"/>
                <w:szCs w:val="24"/>
                <w:color w:val="auto"/>
              </w:rPr>
            </w:pPr>
          </w:p>
        </w:tc>
      </w:tr>
      <w:tr>
        <w:trPr>
          <w:trHeight w:val="230"/>
        </w:trPr>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(1,570)</w:t>
            </w:r>
          </w:p>
        </w:tc>
        <w:tc>
          <w:tcPr>
            <w:tcW w:w="5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30"/>
        </w:trPr>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(21,908</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9"/>
                <w:szCs w:val="19"/>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5740" w:space="720"/>
            <w:col w:w="4960"/>
          </w:cols>
          <w:pgMar w:left="240" w:top="584" w:right="239" w:bottom="1440" w:gutter="0" w:footer="0" w:header="0"/>
          <w:type w:val="continuous"/>
        </w:sectPr>
      </w:pPr>
    </w:p>
    <w:p>
      <w:pPr>
        <w:spacing w:after="0" w:line="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Net cash used in operating activities was CHF 20.5 million for the six months ended June 30, 2018 compared with net cash used in operating activities of CHF 20.9 million for the six months ended June 30, 2017. The change in cash used in operating activities for the six months ended June 30, 2018 was due to the Company’s reporting net loss of CHF 22.8 million for the six months ended June 30, 2018 compared with net loss of CHF 21.8 million for the same period in 2017 driven by (i) the increase in research and development costs in the six months ended June 30, 2018, (ii) the net increase in accrued income due to the timing of our services performed and billing in line with our contracts, and (iii) an increase in share based compensation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Net cash used in investing activities rose to CHF 1.6 million for the six months ended June 30, 2018 compared with net cash used in investing activities of CHF 1.6 million for the six months ended June 30, 2017 which is in line due to continued investment in property, plant and equipment.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Net cash provided by financing activities was CHF 143 thousand for the six months ended June 30, 2018 compared with net cash provided by financing activities of CHF 91 thousand for the six months ended June 30, 2017. The increase is driven by increased cash inflows from the long term financing obligation.</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62" w:name="page63"/>
    <w:bookmarkEnd w:id="62"/>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successfully commercialize, our current or any future product candidates. As of June 30, 2018, we had cash balances totaling CHF 102.7 million. The decrease relative to December 31, 2017 is due to an increase in research and development spending on our major discovery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Subsequent to June 30, 2018, the Company raised USD 117.5 (CHF 116.4) million as a result of a registered public offering and two subscriptions rights offerings. With these proceeds, and assuming we maintain our current cash burn rate and do not receive potential milestone payments, we believe that our existing capital resources will be sufficient to meet our projected operating requirements through the end of the third quarter of 2021 with the resources available as of June 30, 2018 and through the date of this Management’s Discussion and Analysis.</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2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six months ended June 30, 2018,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(1) we have more than USD 1.07 billion in annual revenue, (2) we are deemed to be a “large accelerated filer” under the rules of the SEC, which means the market value of our common shares that are held by non-affiliates exceeds USD 700 million as of the most recently completed second fiscal quarter, or (3) we have issued more than USD 1.0 billion in non-convertible debt during the prior three-year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our operating results, as calculated in accordance with International Financial Reporting Standards, or IFRS, as adopted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Loss Per Share to Adjusted Loss Per Share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 xml:space="preserve">in CHF thousands except for share and per share data </w:t>
      </w:r>
      <w:r>
        <w:rPr>
          <w:rFonts w:ascii="Arial" w:cs="Arial" w:eastAsia="Arial" w:hAnsi="Arial"/>
          <w:sz w:val="18"/>
          <w:szCs w:val="18"/>
          <w:b w:val="1"/>
          <w:bCs w:val="1"/>
          <w:color w:val="auto"/>
        </w:rPr>
        <w:t>Income/(Loss)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Non-cash share-based payments (a)</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Foreign currency (gains)/losses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 and diluted</w:t>
      </w:r>
    </w:p>
    <w:p>
      <w:pPr>
        <w:spacing w:after="0" w:line="27" w:lineRule="exact"/>
        <w:rPr>
          <w:sz w:val="20"/>
          <w:szCs w:val="20"/>
          <w:color w:val="auto"/>
        </w:rPr>
      </w:pPr>
    </w:p>
    <w:p>
      <w:pPr>
        <w:spacing w:after="0" w:line="299" w:lineRule="auto"/>
        <w:rPr>
          <w:sz w:val="20"/>
          <w:szCs w:val="20"/>
          <w:color w:val="auto"/>
        </w:rPr>
      </w:pPr>
      <w:r>
        <w:rPr>
          <w:rFonts w:ascii="Arial" w:cs="Arial" w:eastAsia="Arial" w:hAnsi="Arial"/>
          <w:sz w:val="16"/>
          <w:szCs w:val="16"/>
          <w:b w:val="1"/>
          <w:bCs w:val="1"/>
          <w:color w:val="auto"/>
        </w:rPr>
        <w:t xml:space="preserve">Adjustment to earnings/(loss) per share – basic and diluted Adjusted Earnings/(Loss) per share – basic and diluted </w:t>
      </w:r>
      <w:r>
        <w:rPr>
          <w:rFonts w:ascii="Arial" w:cs="Arial" w:eastAsia="Arial" w:hAnsi="Arial"/>
          <w:sz w:val="16"/>
          <w:szCs w:val="16"/>
          <w:color w:val="auto"/>
        </w:rPr>
        <w:t>Weighted-average number of shares used to compute Adjusted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Earnings/(Loss) per share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8522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480"/>
        <w:spacing w:after="0"/>
        <w:tabs>
          <w:tab w:leader="none" w:pos="20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8522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(11,143)</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(12,327)</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712</w:t>
            </w:r>
          </w:p>
        </w:tc>
        <w:tc>
          <w:tcPr>
            <w:tcW w:w="124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240" w:type="dxa"/>
            <w:vAlign w:val="bottom"/>
          </w:tcPr>
          <w:p>
            <w:pPr>
              <w:jc w:val="right"/>
              <w:spacing w:after="0"/>
              <w:rPr>
                <w:sz w:val="20"/>
                <w:szCs w:val="20"/>
                <w:color w:val="auto"/>
              </w:rPr>
            </w:pPr>
            <w:r>
              <w:rPr>
                <w:rFonts w:ascii="Arial" w:cs="Arial" w:eastAsia="Arial" w:hAnsi="Arial"/>
                <w:sz w:val="18"/>
                <w:szCs w:val="18"/>
                <w:color w:val="auto"/>
              </w:rPr>
              <w:t>3,997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(10,828</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(8,176</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26"/>
        </w:trPr>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0"/>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34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57,423,650</w:t>
            </w:r>
          </w:p>
        </w:tc>
        <w:tc>
          <w:tcPr>
            <w:tcW w:w="1240" w:type="dxa"/>
            <w:vAlign w:val="bottom"/>
          </w:tcPr>
          <w:p>
            <w:pPr>
              <w:jc w:val="right"/>
              <w:spacing w:after="0"/>
              <w:rPr>
                <w:sz w:val="20"/>
                <w:szCs w:val="20"/>
                <w:color w:val="auto"/>
              </w:rPr>
            </w:pPr>
            <w:r>
              <w:rPr>
                <w:rFonts w:ascii="Arial" w:cs="Arial" w:eastAsia="Arial" w:hAnsi="Arial"/>
                <w:sz w:val="18"/>
                <w:szCs w:val="18"/>
                <w:color w:val="auto"/>
              </w:rPr>
              <w:t>57,048,187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-1568450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-1276985</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-994410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-711200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-419735</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920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520"/>
        <w:spacing w:after="0"/>
        <w:tabs>
          <w:tab w:leader="none" w:pos="21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920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(22,755)</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(21,782)</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1,314</w:t>
            </w: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300" w:type="dxa"/>
            <w:vAlign w:val="bottom"/>
          </w:tcPr>
          <w:p>
            <w:pPr>
              <w:jc w:val="right"/>
              <w:spacing w:after="0"/>
              <w:rPr>
                <w:sz w:val="20"/>
                <w:szCs w:val="20"/>
                <w:color w:val="auto"/>
              </w:rPr>
            </w:pPr>
            <w:r>
              <w:rPr>
                <w:rFonts w:ascii="Arial" w:cs="Arial" w:eastAsia="Arial" w:hAnsi="Arial"/>
                <w:sz w:val="18"/>
                <w:szCs w:val="18"/>
                <w:color w:val="auto"/>
              </w:rPr>
              <w:t>5,615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(21,636</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(15,913</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360" w:type="dxa"/>
            <w:vAlign w:val="bottom"/>
            <w:vMerge w:val="continue"/>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57,395,987</w:t>
            </w:r>
          </w:p>
        </w:tc>
        <w:tc>
          <w:tcPr>
            <w:tcW w:w="1300" w:type="dxa"/>
            <w:vAlign w:val="bottom"/>
          </w:tcPr>
          <w:p>
            <w:pPr>
              <w:jc w:val="right"/>
              <w:spacing w:after="0"/>
              <w:rPr>
                <w:sz w:val="20"/>
                <w:szCs w:val="20"/>
                <w:color w:val="auto"/>
              </w:rPr>
            </w:pPr>
            <w:r>
              <w:rPr>
                <w:rFonts w:ascii="Arial" w:cs="Arial" w:eastAsia="Arial" w:hAnsi="Arial"/>
                <w:sz w:val="18"/>
                <w:szCs w:val="18"/>
                <w:color w:val="auto"/>
              </w:rPr>
              <w:t>56,951,306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4520" w:space="720"/>
            <w:col w:w="2860" w:space="300"/>
            <w:col w:w="3020"/>
          </w:cols>
          <w:pgMar w:left="240" w:top="584"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64" w:name="page65"/>
    <w:bookmarkEnd w:id="64"/>
    <w:p>
      <w:pPr>
        <w:ind w:left="640" w:right="400" w:hanging="321"/>
        <w:spacing w:after="0" w:line="342"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640" w:right="2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sz w:val="20"/>
          <w:szCs w:val="20"/>
          <w:color w:val="auto"/>
        </w:rPr>
      </w:pPr>
    </w:p>
    <w:p>
      <w:pPr>
        <w:ind w:right="100" w:firstLine="168"/>
        <w:spacing w:after="0" w:line="257" w:lineRule="auto"/>
        <w:rPr>
          <w:sz w:val="20"/>
          <w:szCs w:val="20"/>
          <w:color w:val="auto"/>
        </w:rPr>
      </w:pPr>
      <w:r>
        <w:rPr>
          <w:rFonts w:ascii="Arial" w:cs="Arial" w:eastAsia="Arial" w:hAnsi="Arial"/>
          <w:sz w:val="18"/>
          <w:szCs w:val="18"/>
          <w:color w:val="auto"/>
        </w:rPr>
        <w:t>Adjustments for the three and six months ended June 30, 2018 were CHF 0.3 million and CHF 1.1 million, respectively. These were largely due to share based compensation expenses of CHF 0.7 million and CHF 1.3 million, respectively, predominantly related to the increase in awards since Q2 2017 which were incurring expenses for the full periods in 2018. Additionally, for the three and six months ended June 30, 2018, the Company recorded CHF 0.4 million and CHF 0.2 million in foreign currency gains on cash balances, respectively, compared to CHF 4.0 million and CHF 5.6 million in foreign currency losses on cash balances for the comparable periods in 2017,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left="10220"/>
        <w:spacing w:after="0"/>
        <w:rPr>
          <w:sz w:val="20"/>
          <w:szCs w:val="20"/>
          <w:color w:val="auto"/>
        </w:rPr>
      </w:pPr>
      <w:r>
        <w:rPr>
          <w:rFonts w:ascii="Arial" w:cs="Arial" w:eastAsia="Arial" w:hAnsi="Arial"/>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697990" cy="531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50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Second Quarter 2018 Financial Results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Corporate Update</w:t>
      </w:r>
    </w:p>
    <w:p>
      <w:pPr>
        <w:spacing w:after="0" w:line="188" w:lineRule="exact"/>
        <w:rPr>
          <w:sz w:val="20"/>
          <w:szCs w:val="20"/>
          <w:color w:val="auto"/>
        </w:rPr>
      </w:pPr>
    </w:p>
    <w:p>
      <w:pPr>
        <w:ind w:left="340" w:hanging="332"/>
        <w:spacing w:after="0" w:line="271" w:lineRule="auto"/>
        <w:tabs>
          <w:tab w:leader="none" w:pos="340" w:val="left"/>
        </w:tabs>
        <w:numPr>
          <w:ilvl w:val="0"/>
          <w:numId w:val="23"/>
        </w:numPr>
        <w:rPr>
          <w:rFonts w:ascii="Arial" w:cs="Arial" w:eastAsia="Arial" w:hAnsi="Arial"/>
          <w:sz w:val="18"/>
          <w:szCs w:val="18"/>
          <w:color w:val="C00000"/>
        </w:rPr>
      </w:pPr>
      <w:r>
        <w:rPr>
          <w:rFonts w:ascii="Arial" w:cs="Arial" w:eastAsia="Arial" w:hAnsi="Arial"/>
          <w:sz w:val="18"/>
          <w:szCs w:val="18"/>
          <w:b w:val="1"/>
          <w:bCs w:val="1"/>
          <w:color w:val="auto"/>
        </w:rPr>
        <w:t>New total cash position of approximately CHF 210 million that is expected to extend cash runway to Q3 2021, excluding potential incoming milestones</w:t>
      </w:r>
    </w:p>
    <w:p>
      <w:pPr>
        <w:spacing w:after="0" w:line="140" w:lineRule="exact"/>
        <w:rPr>
          <w:rFonts w:ascii="Arial" w:cs="Arial" w:eastAsia="Arial" w:hAnsi="Arial"/>
          <w:sz w:val="18"/>
          <w:szCs w:val="18"/>
          <w:color w:val="C00000"/>
        </w:rPr>
      </w:pPr>
    </w:p>
    <w:p>
      <w:pPr>
        <w:ind w:left="340" w:hanging="332"/>
        <w:spacing w:after="0"/>
        <w:tabs>
          <w:tab w:leader="none" w:pos="340" w:val="left"/>
        </w:tabs>
        <w:numPr>
          <w:ilvl w:val="0"/>
          <w:numId w:val="23"/>
        </w:numPr>
        <w:rPr>
          <w:rFonts w:ascii="Arial" w:cs="Arial" w:eastAsia="Arial" w:hAnsi="Arial"/>
          <w:sz w:val="18"/>
          <w:szCs w:val="18"/>
          <w:color w:val="C00000"/>
        </w:rPr>
      </w:pPr>
      <w:r>
        <w:rPr>
          <w:rFonts w:ascii="Arial" w:cs="Arial" w:eastAsia="Arial" w:hAnsi="Arial"/>
          <w:sz w:val="18"/>
          <w:szCs w:val="18"/>
          <w:b w:val="1"/>
          <w:bCs w:val="1"/>
          <w:color w:val="auto"/>
        </w:rPr>
        <w:t>Financial position strengthened after Q2 close due to issuance of new shares, raising gross proceeds of USD 117.5 million</w:t>
      </w:r>
    </w:p>
    <w:p>
      <w:pPr>
        <w:spacing w:after="0" w:line="211" w:lineRule="exact"/>
        <w:rPr>
          <w:rFonts w:ascii="Arial" w:cs="Arial" w:eastAsia="Arial" w:hAnsi="Arial"/>
          <w:sz w:val="18"/>
          <w:szCs w:val="18"/>
          <w:color w:val="C00000"/>
        </w:rPr>
      </w:pPr>
    </w:p>
    <w:p>
      <w:pPr>
        <w:ind w:left="340" w:right="20" w:hanging="332"/>
        <w:spacing w:after="0" w:line="271" w:lineRule="auto"/>
        <w:tabs>
          <w:tab w:leader="none" w:pos="340" w:val="left"/>
        </w:tabs>
        <w:numPr>
          <w:ilvl w:val="0"/>
          <w:numId w:val="23"/>
        </w:numPr>
        <w:rPr>
          <w:rFonts w:ascii="Arial" w:cs="Arial" w:eastAsia="Arial" w:hAnsi="Arial"/>
          <w:sz w:val="18"/>
          <w:szCs w:val="18"/>
          <w:color w:val="C00000"/>
        </w:rPr>
      </w:pPr>
      <w:r>
        <w:rPr>
          <w:rFonts w:ascii="Arial" w:cs="Arial" w:eastAsia="Arial" w:hAnsi="Arial"/>
          <w:sz w:val="18"/>
          <w:szCs w:val="18"/>
          <w:b w:val="1"/>
          <w:bCs w:val="1"/>
          <w:color w:val="auto"/>
        </w:rPr>
        <w:t>Crenezumab: Phase 3 trial CREAD 2 fully recruited in July 2018; new Phase 2 data analysis provides strong evidence for principal target engagement of Abeta oligomers</w:t>
      </w:r>
    </w:p>
    <w:p>
      <w:pPr>
        <w:spacing w:after="0" w:line="131" w:lineRule="exact"/>
        <w:rPr>
          <w:rFonts w:ascii="Arial" w:cs="Arial" w:eastAsia="Arial" w:hAnsi="Arial"/>
          <w:sz w:val="18"/>
          <w:szCs w:val="18"/>
          <w:color w:val="C00000"/>
        </w:rPr>
      </w:pPr>
    </w:p>
    <w:p>
      <w:pPr>
        <w:ind w:left="340" w:hanging="332"/>
        <w:spacing w:after="0"/>
        <w:tabs>
          <w:tab w:leader="none" w:pos="340" w:val="left"/>
        </w:tabs>
        <w:numPr>
          <w:ilvl w:val="0"/>
          <w:numId w:val="23"/>
        </w:numPr>
        <w:rPr>
          <w:rFonts w:ascii="Arial" w:cs="Arial" w:eastAsia="Arial" w:hAnsi="Arial"/>
          <w:sz w:val="36"/>
          <w:szCs w:val="36"/>
          <w:color w:val="C00000"/>
          <w:vertAlign w:val="superscript"/>
        </w:rPr>
      </w:pPr>
      <w:r>
        <w:rPr>
          <w:rFonts w:ascii="Arial" w:cs="Arial" w:eastAsia="Arial" w:hAnsi="Arial"/>
          <w:sz w:val="18"/>
          <w:szCs w:val="18"/>
          <w:b w:val="1"/>
          <w:bCs w:val="1"/>
          <w:color w:val="auto"/>
        </w:rPr>
        <w:t>Selection of small molecules targeting Tau (Tau Morphomers</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for clinical development in Alzheimer’s disease</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Lausanne, Switzerland, August 8, 2018 </w:t>
      </w:r>
      <w:r>
        <w:rPr>
          <w:rFonts w:ascii="Arial" w:cs="Arial" w:eastAsia="Arial" w:hAnsi="Arial"/>
          <w:sz w:val="18"/>
          <w:szCs w:val="18"/>
          <w:color w:val="auto"/>
        </w:rPr>
        <w:t>– AC Immune SA (NASDAQ: ACIU), a Swiss-based, clinical-stage biopharmaceutical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a broad pipeline focused on neurodegenerative diseases, today announced financial results for the second quarter and first half ended June 30, 2018.</w:t>
      </w:r>
    </w:p>
    <w:p>
      <w:pPr>
        <w:spacing w:after="0" w:line="16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color w:val="auto"/>
        </w:rPr>
        <w:t>Prof. Andrea Pfeifer, CEO of AC Immune, commented</w:t>
      </w:r>
      <w:r>
        <w:rPr>
          <w:rFonts w:ascii="Arial" w:cs="Arial" w:eastAsia="Arial" w:hAnsi="Arial"/>
          <w:sz w:val="18"/>
          <w:szCs w:val="18"/>
          <w:color w:val="auto"/>
        </w:rPr>
        <w:t>: “During the second quarter we announced the selection of small molecules targeting</w:t>
      </w:r>
      <w:r>
        <w:rPr>
          <w:rFonts w:ascii="Arial" w:cs="Arial" w:eastAsia="Arial" w:hAnsi="Arial"/>
          <w:sz w:val="18"/>
          <w:szCs w:val="18"/>
          <w:b w:val="1"/>
          <w:bCs w:val="1"/>
          <w:color w:val="auto"/>
        </w:rPr>
        <w:t xml:space="preserve"> </w:t>
      </w:r>
      <w:r>
        <w:rPr>
          <w:rFonts w:ascii="Arial" w:cs="Arial" w:eastAsia="Arial" w:hAnsi="Arial"/>
          <w:sz w:val="18"/>
          <w:szCs w:val="18"/>
          <w:color w:val="auto"/>
        </w:rPr>
        <w:t>pathological Tau for clinical development in Alzheimer’s disease. Tau Morphomers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inhibit intracellular Tau seeding and provide a strong basis for combination therapy.</w:t>
      </w:r>
    </w:p>
    <w:p>
      <w:pPr>
        <w:spacing w:after="0" w:line="19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Furthermore, we are excited about recent news around crenezumab communicated in July. Not only has CREAD 2 been fully recruited ahead of schedule in July 2018 (CREAD1 completed recruitment in Q4 2017), but also a new exploratory Phase 2 data analysis presented at the</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AAIC</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2018 showed that crenezumab significantly reduces Abeta oligomers in cerebrospinal fluid in patients with Alzheimer’s disease. We are very encouraged about the potential of crenezumab as a disease-modifying therapy, given its distinct differentiation from other beta-amyloid antibodies in terms of target specificity and safety.</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July we also successfully executed a share capital increase of 10 million common shares resulting in gross proceeds of USD 117.5 million, with strong support from existing and new investors.”</w:t>
      </w:r>
    </w:p>
    <w:p>
      <w:pPr>
        <w:spacing w:after="0" w:line="200" w:lineRule="exact"/>
        <w:rPr>
          <w:sz w:val="20"/>
          <w:szCs w:val="20"/>
          <w:color w:val="auto"/>
        </w:rPr>
      </w:pPr>
    </w:p>
    <w:p>
      <w:pPr>
        <w:spacing w:after="0" w:line="316"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Alzheimer’s Association International Conference, Chicago, July 22 - 26, 2018</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Key Financial Data – Unaudited (CHF million)</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600" w:type="dxa"/>
            <w:vAlign w:val="bottom"/>
            <w:tcBorders>
              <w:top w:val="single" w:sz="8" w:color="auto"/>
              <w:left w:val="single" w:sz="8" w:color="auto"/>
              <w:right w:val="single" w:sz="8" w:color="auto"/>
            </w:tcBorders>
          </w:tcPr>
          <w:p>
            <w:pPr>
              <w:spacing w:after="0"/>
              <w:rPr>
                <w:sz w:val="20"/>
                <w:szCs w:val="20"/>
                <w:color w:val="auto"/>
              </w:rPr>
            </w:pPr>
          </w:p>
        </w:tc>
        <w:tc>
          <w:tcPr>
            <w:tcW w:w="2880" w:type="dxa"/>
            <w:vAlign w:val="bottom"/>
            <w:tcBorders>
              <w:top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9"/>
              </w:rPr>
              <w:t>For the three months ended</w:t>
            </w:r>
          </w:p>
        </w:tc>
        <w:tc>
          <w:tcPr>
            <w:tcW w:w="540" w:type="dxa"/>
            <w:vAlign w:val="bottom"/>
            <w:tcBorders>
              <w:top w:val="single" w:sz="8" w:color="auto"/>
              <w:right w:val="single" w:sz="8" w:color="auto"/>
            </w:tcBorders>
          </w:tcPr>
          <w:p>
            <w:pPr>
              <w:spacing w:after="0"/>
              <w:rPr>
                <w:sz w:val="20"/>
                <w:szCs w:val="20"/>
                <w:color w:val="auto"/>
              </w:rPr>
            </w:pPr>
          </w:p>
        </w:tc>
        <w:tc>
          <w:tcPr>
            <w:tcW w:w="3400" w:type="dxa"/>
            <w:vAlign w:val="bottom"/>
            <w:tcBorders>
              <w:top w:val="single" w:sz="8" w:color="auto"/>
              <w:right w:val="single" w:sz="8" w:color="auto"/>
            </w:tcBorders>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131"/>
        </w:trPr>
        <w:tc>
          <w:tcPr>
            <w:tcW w:w="4600" w:type="dxa"/>
            <w:vAlign w:val="bottom"/>
            <w:tcBorders>
              <w:left w:val="single" w:sz="8" w:color="auto"/>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vMerge w:val="restart"/>
          </w:tcPr>
          <w:p>
            <w:pPr>
              <w:jc w:val="center"/>
              <w:ind w:right="490"/>
              <w:spacing w:after="0"/>
              <w:rPr>
                <w:sz w:val="20"/>
                <w:szCs w:val="20"/>
                <w:color w:val="auto"/>
              </w:rPr>
            </w:pPr>
            <w:r>
              <w:rPr>
                <w:rFonts w:ascii="Arial" w:cs="Arial" w:eastAsia="Arial" w:hAnsi="Arial"/>
                <w:sz w:val="18"/>
                <w:szCs w:val="18"/>
                <w:b w:val="1"/>
                <w:bCs w:val="1"/>
                <w:color w:val="auto"/>
                <w:w w:val="99"/>
              </w:rPr>
              <w:t>June 30,</w:t>
            </w:r>
          </w:p>
        </w:tc>
        <w:tc>
          <w:tcPr>
            <w:tcW w:w="540" w:type="dxa"/>
            <w:vAlign w:val="bottom"/>
            <w:tcBorders>
              <w:right w:val="single" w:sz="8" w:color="auto"/>
            </w:tcBorders>
          </w:tcPr>
          <w:p>
            <w:pPr>
              <w:spacing w:after="0"/>
              <w:rPr>
                <w:sz w:val="11"/>
                <w:szCs w:val="11"/>
                <w:color w:val="auto"/>
              </w:rPr>
            </w:pPr>
          </w:p>
        </w:tc>
        <w:tc>
          <w:tcPr>
            <w:tcW w:w="34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0" w:type="dxa"/>
            <w:vAlign w:val="bottom"/>
            <w:tcBorders>
              <w:left w:val="single" w:sz="8" w:color="auto"/>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right w:val="single" w:sz="8" w:color="auto"/>
            </w:tcBorders>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6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gridSpan w:val="2"/>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tcPr>
          <w:p>
            <w:pPr>
              <w:spacing w:after="0"/>
              <w:rPr>
                <w:sz w:val="21"/>
                <w:szCs w:val="21"/>
                <w:color w:val="auto"/>
              </w:rPr>
            </w:pPr>
          </w:p>
        </w:tc>
        <w:tc>
          <w:tcPr>
            <w:tcW w:w="34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rPr>
              <w:t>(in CHF million except per share data)</w:t>
            </w:r>
          </w:p>
        </w:tc>
        <w:tc>
          <w:tcPr>
            <w:tcW w:w="340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CHF million except per share data)</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Contract revenue</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160" w:type="dxa"/>
            <w:vAlign w:val="bottom"/>
          </w:tcPr>
          <w:p>
            <w:pPr>
              <w:spacing w:after="0"/>
              <w:rPr>
                <w:sz w:val="21"/>
                <w:szCs w:val="21"/>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R&amp;D expenses</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160" w:type="dxa"/>
            <w:vAlign w:val="bottom"/>
          </w:tcPr>
          <w:p>
            <w:pPr>
              <w:spacing w:after="0"/>
              <w:rPr>
                <w:sz w:val="21"/>
                <w:szCs w:val="21"/>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G&amp;A expenses</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160" w:type="dxa"/>
            <w:vAlign w:val="bottom"/>
          </w:tcPr>
          <w:p>
            <w:pPr>
              <w:spacing w:after="0"/>
              <w:rPr>
                <w:sz w:val="21"/>
                <w:szCs w:val="21"/>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IFRS (Loss) for the period</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160" w:type="dxa"/>
            <w:vAlign w:val="bottom"/>
          </w:tcPr>
          <w:p>
            <w:pPr>
              <w:spacing w:after="0"/>
              <w:rPr>
                <w:sz w:val="21"/>
                <w:szCs w:val="21"/>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(12.3)</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IFRS EPS – basic and diluted</w:t>
            </w:r>
          </w:p>
        </w:tc>
        <w:tc>
          <w:tcPr>
            <w:tcW w:w="110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160" w:type="dxa"/>
            <w:vAlign w:val="bottom"/>
          </w:tcPr>
          <w:p>
            <w:pPr>
              <w:spacing w:after="0"/>
              <w:rPr>
                <w:sz w:val="21"/>
                <w:szCs w:val="21"/>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(0.22)</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0" w:type="dxa"/>
            <w:vAlign w:val="bottom"/>
            <w:tcBorders>
              <w:left w:val="single" w:sz="8" w:color="auto"/>
              <w:bottom w:val="single" w:sz="8" w:color="auto"/>
              <w:right w:val="single" w:sz="8" w:color="auto"/>
            </w:tcBorders>
          </w:tcPr>
          <w:p>
            <w:pPr>
              <w:ind w:left="60"/>
              <w:spacing w:after="0" w:line="317" w:lineRule="exact"/>
              <w:rPr>
                <w:sz w:val="20"/>
                <w:szCs w:val="20"/>
                <w:color w:val="auto"/>
              </w:rPr>
            </w:pPr>
            <w:r>
              <w:rPr>
                <w:rFonts w:ascii="Arial" w:cs="Arial" w:eastAsia="Arial" w:hAnsi="Arial"/>
                <w:sz w:val="18"/>
                <w:szCs w:val="18"/>
                <w:color w:val="auto"/>
              </w:rPr>
              <w:t>Non-IFRS (Loss) for the period</w:t>
            </w:r>
            <w:r>
              <w:rPr>
                <w:rFonts w:ascii="Arial" w:cs="Arial" w:eastAsia="Arial" w:hAnsi="Arial"/>
                <w:sz w:val="30"/>
                <w:szCs w:val="30"/>
                <w:color w:val="auto"/>
                <w:vertAlign w:val="superscript"/>
              </w:rPr>
              <w:t>1</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18"/>
        </w:trPr>
        <w:tc>
          <w:tcPr>
            <w:tcW w:w="4600" w:type="dxa"/>
            <w:vAlign w:val="bottom"/>
            <w:tcBorders>
              <w:left w:val="single" w:sz="8" w:color="auto"/>
              <w:bottom w:val="single" w:sz="8" w:color="auto"/>
              <w:right w:val="single" w:sz="8" w:color="auto"/>
            </w:tcBorders>
          </w:tcPr>
          <w:p>
            <w:pPr>
              <w:ind w:left="60"/>
              <w:spacing w:after="0" w:line="317" w:lineRule="exact"/>
              <w:rPr>
                <w:sz w:val="20"/>
                <w:szCs w:val="20"/>
                <w:color w:val="auto"/>
              </w:rPr>
            </w:pPr>
            <w:r>
              <w:rPr>
                <w:rFonts w:ascii="Arial" w:cs="Arial" w:eastAsia="Arial" w:hAnsi="Arial"/>
                <w:sz w:val="18"/>
                <w:szCs w:val="18"/>
                <w:color w:val="auto"/>
              </w:rPr>
              <w:t>Non-IFRS EPS – basic and diluted</w:t>
            </w:r>
            <w:r>
              <w:rPr>
                <w:rFonts w:ascii="Arial" w:cs="Arial" w:eastAsia="Arial" w:hAnsi="Arial"/>
                <w:sz w:val="30"/>
                <w:szCs w:val="30"/>
                <w:color w:val="auto"/>
                <w:vertAlign w:val="superscript"/>
              </w:rPr>
              <w:t>1</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7"/>
              </w:rPr>
              <w:t>(0.14)</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340" w:right="300" w:hanging="332"/>
        <w:spacing w:after="0" w:line="186" w:lineRule="auto"/>
        <w:tabs>
          <w:tab w:leader="none" w:pos="345"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Adjusted (Loss) and Adjusted EPS are non-IFRS measures. See “Non-IFRS Financial Measures” below for further information and reconciliation to the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300" w:type="dxa"/>
            <w:vAlign w:val="bottom"/>
            <w:tcBorders>
              <w:top w:val="single" w:sz="8" w:color="auto"/>
              <w:left w:val="single" w:sz="8" w:color="auto"/>
              <w:right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As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As of</w:t>
            </w:r>
          </w:p>
        </w:tc>
        <w:tc>
          <w:tcPr>
            <w:tcW w:w="1700" w:type="dxa"/>
            <w:vAlign w:val="bottom"/>
            <w:tcBorders>
              <w:top w:val="single" w:sz="8" w:color="auto"/>
              <w:right w:val="single" w:sz="8" w:color="auto"/>
            </w:tcBorders>
          </w:tcPr>
          <w:p>
            <w:pPr>
              <w:spacing w:after="0"/>
              <w:rPr>
                <w:sz w:val="20"/>
                <w:szCs w:val="20"/>
                <w:color w:val="auto"/>
              </w:rPr>
            </w:pPr>
          </w:p>
        </w:tc>
      </w:tr>
      <w:tr>
        <w:trPr>
          <w:trHeight w:val="239"/>
        </w:trPr>
        <w:tc>
          <w:tcPr>
            <w:tcW w:w="630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Borders>
              <w:right w:val="single" w:sz="8" w:color="auto"/>
            </w:tcBorders>
          </w:tcPr>
          <w:p>
            <w:pPr>
              <w:spacing w:after="0"/>
              <w:rPr>
                <w:sz w:val="20"/>
                <w:szCs w:val="20"/>
                <w:color w:val="auto"/>
              </w:rPr>
            </w:pP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50"/>
        </w:trPr>
        <w:tc>
          <w:tcPr>
            <w:tcW w:w="630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17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50"/>
        </w:trPr>
        <w:tc>
          <w:tcPr>
            <w:tcW w:w="6300" w:type="dxa"/>
            <w:vAlign w:val="bottom"/>
            <w:tcBorders>
              <w:left w:val="single" w:sz="8" w:color="auto"/>
              <w:right w:val="single" w:sz="8" w:color="auto"/>
            </w:tcBorders>
          </w:tcPr>
          <w:p>
            <w:pPr>
              <w:spacing w:after="0"/>
              <w:rPr>
                <w:sz w:val="21"/>
                <w:szCs w:val="21"/>
                <w:color w:val="auto"/>
              </w:rPr>
            </w:pPr>
          </w:p>
        </w:tc>
        <w:tc>
          <w:tcPr>
            <w:tcW w:w="3420" w:type="dxa"/>
            <w:vAlign w:val="bottom"/>
            <w:tcBorders>
              <w:right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(in CHF million)</w:t>
            </w:r>
          </w:p>
        </w:tc>
        <w:tc>
          <w:tcPr>
            <w:tcW w:w="1700" w:type="dxa"/>
            <w:vAlign w:val="bottom"/>
            <w:tcBorders>
              <w:right w:val="single" w:sz="8" w:color="auto"/>
            </w:tcBorders>
          </w:tcPr>
          <w:p>
            <w:pPr>
              <w:spacing w:after="0"/>
              <w:rPr>
                <w:sz w:val="21"/>
                <w:szCs w:val="21"/>
                <w:color w:val="auto"/>
              </w:rPr>
            </w:pP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318"/>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Cash and cash equivalents</w:t>
            </w:r>
          </w:p>
        </w:tc>
        <w:tc>
          <w:tcPr>
            <w:tcW w:w="1720" w:type="dxa"/>
            <w:vAlign w:val="bottom"/>
            <w:tcBorders>
              <w:bottom w:val="single" w:sz="8" w:color="auto"/>
              <w:right w:val="single" w:sz="8" w:color="auto"/>
            </w:tcBorders>
          </w:tcPr>
          <w:p>
            <w:pPr>
              <w:jc w:val="right"/>
              <w:spacing w:after="0" w:line="317" w:lineRule="exact"/>
              <w:rPr>
                <w:sz w:val="20"/>
                <w:szCs w:val="20"/>
                <w:color w:val="auto"/>
              </w:rPr>
            </w:pPr>
            <w:r>
              <w:rPr>
                <w:rFonts w:ascii="Arial" w:cs="Arial" w:eastAsia="Arial" w:hAnsi="Arial"/>
                <w:sz w:val="18"/>
                <w:szCs w:val="18"/>
                <w:color w:val="auto"/>
              </w:rPr>
              <w:t>102.7</w:t>
            </w:r>
            <w:r>
              <w:rPr>
                <w:rFonts w:ascii="Arial" w:cs="Arial" w:eastAsia="Arial" w:hAnsi="Arial"/>
                <w:sz w:val="30"/>
                <w:szCs w:val="30"/>
                <w:color w:val="auto"/>
                <w:vertAlign w:val="superscript"/>
              </w:rPr>
              <w:t>2</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50"/>
        </w:trPr>
        <w:tc>
          <w:tcPr>
            <w:tcW w:w="6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shareholder’s equity</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11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Excludes the impact from the share capital increase described under the heading “Subsequent events”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Company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Tau Small Molecules for Clinical Development in Alzheimer’s disease</w:t>
      </w:r>
    </w:p>
    <w:p>
      <w:pPr>
        <w:spacing w:after="0" w:line="22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AC Immune has one of the largest Tau pipelines in the industry comprising antibodies, vaccines, small molecules and tau PET imaging ligands. Several Tau small molecule candidates, derived from AC Immune’s proprietary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and designed to cross the blood brain barrier, have demonstrated target-specific reduction of pathological Tau and cognitive and functional improvement in proof-of-concept studies in Alzheimer’s disease. IND/CTA enabling studies have started and a Phase 1 study will commence by the end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revenues fluctuate as a result of our collaborations with current and potentially new partners, the timing of milestone achievements, and the size of each milestone payment. AC Immune generated revenues of CHF 2.0 million in the three months ended June 30, 2018, an increase of CHF 1.3 million over the comparable period in 2017. The major increases in contract revenues related to CHF 0.5 million for research and development services performed for the anti-pTau Vaccine (ACI-35) together with Janssen, CHF</w:t>
      </w:r>
      <w:r>
        <w:rPr>
          <w:rFonts w:ascii="Arial" w:cs="Arial" w:eastAsia="Arial" w:hAnsi="Arial"/>
          <w:sz w:val="18"/>
          <w:szCs w:val="18"/>
          <w:color w:val="FFFFFF"/>
        </w:rPr>
        <w:t>°</w:t>
      </w:r>
      <w:r>
        <w:rPr>
          <w:rFonts w:ascii="Arial" w:cs="Arial" w:eastAsia="Arial" w:hAnsi="Arial"/>
          <w:sz w:val="18"/>
          <w:szCs w:val="18"/>
          <w:color w:val="auto"/>
        </w:rPr>
        <w:t>0.2</w:t>
      </w:r>
      <w:r>
        <w:rPr>
          <w:rFonts w:ascii="Arial" w:cs="Arial" w:eastAsia="Arial" w:hAnsi="Arial"/>
          <w:sz w:val="18"/>
          <w:szCs w:val="18"/>
          <w:color w:val="FFFFFF"/>
        </w:rPr>
        <w:t>°</w:t>
      </w:r>
      <w:r>
        <w:rPr>
          <w:rFonts w:ascii="Arial" w:cs="Arial" w:eastAsia="Arial" w:hAnsi="Arial"/>
          <w:sz w:val="18"/>
          <w:szCs w:val="18"/>
          <w:color w:val="auto"/>
        </w:rPr>
        <w:t>million related to the TDP-43 PET Imaging Tracers Biogen collaboration and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Further details are available in our corresponding Statements of Cash Flows filed with our Form 6-K, published on the company </w:t>
      </w:r>
      <w:r>
        <w:rPr>
          <w:rFonts w:ascii="Arial" w:cs="Arial" w:eastAsia="Arial" w:hAnsi="Arial"/>
          <w:sz w:val="16"/>
          <w:szCs w:val="16"/>
          <w:i w:val="1"/>
          <w:iCs w:val="1"/>
          <w:u w:val="single" w:color="auto"/>
          <w:color w:val="0000FF"/>
        </w:rPr>
        <w:t>website</w:t>
      </w:r>
      <w:r>
        <w:rPr>
          <w:rFonts w:ascii="Arial" w:cs="Arial" w:eastAsia="Arial" w:hAnsi="Arial"/>
          <w:sz w:val="16"/>
          <w:szCs w:val="16"/>
          <w:i w:val="1"/>
          <w:iCs w:val="1"/>
          <w:color w:val="auto"/>
        </w:rPr>
        <w:t>.</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7" w:name="page68"/>
    <w:bookmarkEnd w:id="67"/>
    <w:p>
      <w:pPr>
        <w:jc w:val="both"/>
        <w:ind w:right="20"/>
        <w:spacing w:after="0" w:line="246" w:lineRule="auto"/>
        <w:rPr>
          <w:sz w:val="20"/>
          <w:szCs w:val="20"/>
          <w:color w:val="auto"/>
        </w:rPr>
      </w:pPr>
      <w:r>
        <w:rPr>
          <w:rFonts w:ascii="Arial" w:cs="Arial" w:eastAsia="Arial" w:hAnsi="Arial"/>
          <w:sz w:val="18"/>
          <w:szCs w:val="18"/>
          <w:color w:val="auto"/>
        </w:rPr>
        <w:t>CHF 0.2 million for research services provided to Essex Bio-Technology. We also recognized CHF 0.1 million in grant revenue from the Michael J. Fox Foundation.</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recognized CHF 3.5 million in the six months ended June 30, 2018, a CHF</w:t>
      </w:r>
      <w:r>
        <w:rPr>
          <w:rFonts w:ascii="Arial" w:cs="Arial" w:eastAsia="Arial" w:hAnsi="Arial"/>
          <w:sz w:val="18"/>
          <w:szCs w:val="18"/>
          <w:color w:val="FFFFFF"/>
        </w:rPr>
        <w:t>°</w:t>
      </w:r>
      <w:r>
        <w:rPr>
          <w:rFonts w:ascii="Arial" w:cs="Arial" w:eastAsia="Arial" w:hAnsi="Arial"/>
          <w:sz w:val="18"/>
          <w:szCs w:val="18"/>
          <w:color w:val="auto"/>
        </w:rPr>
        <w:t>0.7</w:t>
      </w:r>
      <w:r>
        <w:rPr>
          <w:rFonts w:ascii="Arial" w:cs="Arial" w:eastAsia="Arial" w:hAnsi="Arial"/>
          <w:sz w:val="18"/>
          <w:szCs w:val="18"/>
          <w:color w:val="FFFFFF"/>
        </w:rPr>
        <w:t>°</w:t>
      </w:r>
      <w:r>
        <w:rPr>
          <w:rFonts w:ascii="Arial" w:cs="Arial" w:eastAsia="Arial" w:hAnsi="Arial"/>
          <w:sz w:val="18"/>
          <w:szCs w:val="18"/>
          <w:color w:val="auto"/>
        </w:rPr>
        <w:t>million increase over the comparable period in 2017. The increase in contract revenues was principally due to a CHF 0.7 million increase for research and development services performed for the anti-pTau Vaccine (ACI-35) together with Janssen, CHF</w:t>
      </w:r>
      <w:r>
        <w:rPr>
          <w:rFonts w:ascii="Arial" w:cs="Arial" w:eastAsia="Arial" w:hAnsi="Arial"/>
          <w:sz w:val="18"/>
          <w:szCs w:val="18"/>
          <w:color w:val="FFFFFF"/>
        </w:rPr>
        <w:t>°</w:t>
      </w:r>
      <w:r>
        <w:rPr>
          <w:rFonts w:ascii="Arial" w:cs="Arial" w:eastAsia="Arial" w:hAnsi="Arial"/>
          <w:sz w:val="18"/>
          <w:szCs w:val="18"/>
          <w:color w:val="auto"/>
        </w:rPr>
        <w:t>0.4 million increase for research services provided to Essex Bio-Technology and CHF 0.3 million increase for research and development revenues from Biogen. This was offset by a non-recurring CHF 1.1 million milestone in Q1 2017 from Piramal.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three months ended June 30, 2018, AC Immune invested CHF 10.5 million in research and development, compared with CHF 6.8 million for the same period in 2017. The increase in R&amp;D spending is primarily driven by increased investments in various key programs. This includes a CHF 1.7 million increase for our Alzheimer’s disease programs, including a CHF 0.8 million increase for our ACI-24 program in Alzheimer’s disease (AD) to start-up the Phase 2 study and CHF 0.9 million for our anti-pTau Vaccine (ACI-35) program. There was an additional CHF 0.7 million increase for the Tau</w:t>
      </w:r>
      <w:r>
        <w:rPr>
          <w:rFonts w:ascii="Arial" w:cs="Arial" w:eastAsia="Arial" w:hAnsi="Arial"/>
          <w:sz w:val="18"/>
          <w:szCs w:val="18"/>
          <w:color w:val="FFFFFF"/>
        </w:rPr>
        <w:t>°</w:t>
      </w:r>
      <w:r>
        <w:rPr>
          <w:rFonts w:ascii="Arial" w:cs="Arial" w:eastAsia="Arial" w:hAnsi="Arial"/>
          <w:sz w:val="18"/>
          <w:szCs w:val="18"/>
          <w:color w:val="auto"/>
        </w:rPr>
        <w:t>Morphomers™ program to prepare the entry into Phase 1 development.</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six months ended June 30, 2018, AC Immune invested CHF 20.6 million in research and development, compared with CHF 14.3 million for the same period in 2017. The increase in R&amp;D spend is primarily driven by increased investments of CHF</w:t>
      </w:r>
      <w:r>
        <w:rPr>
          <w:rFonts w:ascii="Arial" w:cs="Arial" w:eastAsia="Arial" w:hAnsi="Arial"/>
          <w:sz w:val="18"/>
          <w:szCs w:val="18"/>
          <w:color w:val="FFFFFF"/>
        </w:rPr>
        <w:t>°</w:t>
      </w:r>
      <w:r>
        <w:rPr>
          <w:rFonts w:ascii="Arial" w:cs="Arial" w:eastAsia="Arial" w:hAnsi="Arial"/>
          <w:sz w:val="18"/>
          <w:szCs w:val="18"/>
          <w:color w:val="auto"/>
        </w:rPr>
        <w:t>2.5 million in our Alzheimer’s disease programs, specifically a CHF 1.4 million increase for our ACI-24 program in Alzheimer’s disease (AD) to start-up the Phase 2 study. A CHF 1.2 million increase was allocated to our anti-pTau Vaccine (ACI-35) program. Importantly, we increased our investments in our Discovery programs by CHF</w:t>
      </w:r>
      <w:r>
        <w:rPr>
          <w:rFonts w:ascii="Arial" w:cs="Arial" w:eastAsia="Arial" w:hAnsi="Arial"/>
          <w:sz w:val="18"/>
          <w:szCs w:val="18"/>
          <w:color w:val="FFFFFF"/>
        </w:rPr>
        <w:t>°</w:t>
      </w:r>
      <w:r>
        <w:rPr>
          <w:rFonts w:ascii="Arial" w:cs="Arial" w:eastAsia="Arial" w:hAnsi="Arial"/>
          <w:sz w:val="18"/>
          <w:szCs w:val="18"/>
          <w:color w:val="auto"/>
        </w:rPr>
        <w:t>2.5 million, driven by a CHF 1.5 million increase for preparing the Phase 1 entry of our lead compounds in the Tau Morphomers™ program. Additionally, there were CHF</w:t>
      </w:r>
      <w:r>
        <w:rPr>
          <w:rFonts w:ascii="Arial" w:cs="Arial" w:eastAsia="Arial" w:hAnsi="Arial"/>
          <w:sz w:val="18"/>
          <w:szCs w:val="18"/>
          <w:color w:val="FFFFFF"/>
        </w:rPr>
        <w:t>°</w:t>
      </w:r>
      <w:r>
        <w:rPr>
          <w:rFonts w:ascii="Arial" w:cs="Arial" w:eastAsia="Arial" w:hAnsi="Arial"/>
          <w:sz w:val="18"/>
          <w:szCs w:val="18"/>
          <w:color w:val="auto"/>
        </w:rPr>
        <w:t>0.2 million increases related to our vaccine technology program and CHF</w:t>
      </w:r>
      <w:r>
        <w:rPr>
          <w:rFonts w:ascii="Arial" w:cs="Arial" w:eastAsia="Arial" w:hAnsi="Arial"/>
          <w:sz w:val="18"/>
          <w:szCs w:val="18"/>
          <w:color w:val="FFFFFF"/>
        </w:rPr>
        <w:t>°</w:t>
      </w:r>
      <w:r>
        <w:rPr>
          <w:rFonts w:ascii="Arial" w:cs="Arial" w:eastAsia="Arial" w:hAnsi="Arial"/>
          <w:sz w:val="18"/>
          <w:szCs w:val="18"/>
          <w:color w:val="auto"/>
        </w:rPr>
        <w:t>0.4</w:t>
      </w:r>
      <w:r>
        <w:rPr>
          <w:rFonts w:ascii="Arial" w:cs="Arial" w:eastAsia="Arial" w:hAnsi="Arial"/>
          <w:sz w:val="18"/>
          <w:szCs w:val="18"/>
          <w:color w:val="FFFFFF"/>
        </w:rPr>
        <w:t>°</w:t>
      </w:r>
      <w:r>
        <w:rPr>
          <w:rFonts w:ascii="Arial" w:cs="Arial" w:eastAsia="Arial" w:hAnsi="Arial"/>
          <w:sz w:val="18"/>
          <w:szCs w:val="18"/>
          <w:color w:val="auto"/>
        </w:rPr>
        <w:t>million for our anti-alpha-Synuclein antibody.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amounted to CHF 3.1 million in the three months ended June 30, 2018, compared with CHF 2.2 million in the same period in 2017. For the six months ended June 30, 2018, and 2017, general and administrative expenses were CHF 5.8 million and CHF 4.5 million, respectively. The increase predominantly relates to increases in personnel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Loss for the period</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three months ended June 30, 2018, the Company had a net loss of CHF 11.1 million compared with net loss of CHF 12.3 million for the same period in 2017. The decrease in net loss for this three month period is attributable to the increase</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Further details are available in our corresponding Statements of Cash Flows filed with our Form 6-K, published on the company </w:t>
      </w:r>
      <w:r>
        <w:rPr>
          <w:rFonts w:ascii="Arial" w:cs="Arial" w:eastAsia="Arial" w:hAnsi="Arial"/>
          <w:sz w:val="16"/>
          <w:szCs w:val="16"/>
          <w:i w:val="1"/>
          <w:iCs w:val="1"/>
          <w:u w:val="single" w:color="auto"/>
          <w:color w:val="0000FF"/>
        </w:rPr>
        <w:t>website</w:t>
      </w:r>
      <w:r>
        <w:rPr>
          <w:rFonts w:ascii="Arial" w:cs="Arial" w:eastAsia="Arial" w:hAnsi="Arial"/>
          <w:sz w:val="16"/>
          <w:szCs w:val="16"/>
          <w:i w:val="1"/>
          <w:iCs w:val="1"/>
          <w:color w:val="auto"/>
        </w:rPr>
        <w:t>.</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8" w:name="page69"/>
    <w:bookmarkEnd w:id="68"/>
    <w:p>
      <w:pPr>
        <w:jc w:val="both"/>
        <w:spacing w:after="0" w:line="246" w:lineRule="auto"/>
        <w:rPr>
          <w:sz w:val="20"/>
          <w:szCs w:val="20"/>
          <w:color w:val="auto"/>
        </w:rPr>
      </w:pPr>
      <w:r>
        <w:rPr>
          <w:rFonts w:ascii="Arial" w:cs="Arial" w:eastAsia="Arial" w:hAnsi="Arial"/>
          <w:sz w:val="18"/>
          <w:szCs w:val="18"/>
          <w:color w:val="auto"/>
        </w:rPr>
        <w:t>in our Finance result of CHF 4.5 million and our CHF 1.3 million increase in revenues offset by the CHF 4.6 million increase in R&amp;D and G&amp;A expenses.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2018, the Company had a net loss of CHF 22.8 million compared with net loss of CHF 21.8 million for the same period in 2017. The increase in net loss for this six month period is attributable to the increase in our Finance result of CHF 5.8 million and our CHF 0.7 million increase in revenues offset by the CHF 7.5 million increase in R&amp;D and G&amp;A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2018, AC Immune had total cash of CHF 102.7 million compared to CHF</w:t>
      </w:r>
      <w:r>
        <w:rPr>
          <w:rFonts w:ascii="Arial" w:cs="Arial" w:eastAsia="Arial" w:hAnsi="Arial"/>
          <w:sz w:val="18"/>
          <w:szCs w:val="18"/>
          <w:color w:val="FFFFFF"/>
        </w:rPr>
        <w:t>°</w:t>
      </w:r>
      <w:r>
        <w:rPr>
          <w:rFonts w:ascii="Arial" w:cs="Arial" w:eastAsia="Arial" w:hAnsi="Arial"/>
          <w:sz w:val="18"/>
          <w:szCs w:val="18"/>
          <w:color w:val="auto"/>
        </w:rPr>
        <w:t>124.4 million as of December 31, 2017. The decrease of CHF 21.7 million is principally due to the net loss of CHF 22.8 million for the six month period. Net cash flows used in operating activities were CHF 20.5 million, due to the higher investments in our major discovery and development programs, and the continued strengthening of the Company’s infrastructure, systems and organization as a publicly-traded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July 17, 2018, the Company announced that it commenced three offerings of up to 10 million new common shares of the Company with a nominal value of CHF 0.02 per share. On July 19, 2018, the Company announced the closing of the first subscription rights offering and the underwritten primary offering of its common shares at a price per share of USD 11.75. On July 24, 2018, the Company also announced that the underwriters had exercised in full their option to purchase an additional 1,108,695</w:t>
      </w:r>
      <w:r>
        <w:rPr>
          <w:rFonts w:ascii="Arial" w:cs="Arial" w:eastAsia="Arial" w:hAnsi="Arial"/>
          <w:sz w:val="18"/>
          <w:szCs w:val="18"/>
          <w:color w:val="FFFFFF"/>
        </w:rPr>
        <w:t>°</w:t>
      </w:r>
      <w:r>
        <w:rPr>
          <w:rFonts w:ascii="Arial" w:cs="Arial" w:eastAsia="Arial" w:hAnsi="Arial"/>
          <w:sz w:val="18"/>
          <w:szCs w:val="18"/>
          <w:color w:val="auto"/>
        </w:rPr>
        <w:t>shares. This brought the total number of common shares sold by the Company to 8,500,000 shares, resulting in total gross proceeds raised in these two offerings, before underwriting discounts and estimated expenses, to approximately USD</w:t>
      </w:r>
      <w:r>
        <w:rPr>
          <w:rFonts w:ascii="Arial" w:cs="Arial" w:eastAsia="Arial" w:hAnsi="Arial"/>
          <w:sz w:val="18"/>
          <w:szCs w:val="18"/>
          <w:color w:val="FFFFFF"/>
        </w:rPr>
        <w:t>°</w:t>
      </w:r>
      <w:r>
        <w:rPr>
          <w:rFonts w:ascii="Arial" w:cs="Arial" w:eastAsia="Arial" w:hAnsi="Arial"/>
          <w:sz w:val="18"/>
          <w:szCs w:val="18"/>
          <w:color w:val="auto"/>
        </w:rPr>
        <w:t>99.9 million.</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July 27, 2018, the Company completed its second subscription rights offering of up to 1,500,000 shares at the same price per share of USD 11.75. At closing on July 31, 2018, the Company issued 1,500,000 additional common shares, resulting in gross proceeds of approximately USD 17.6 million.</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the conclusion of these three offerings, the Company obtained gross proceeds, before underwriting discounts and estimated expenses, of approximately USD</w:t>
      </w:r>
      <w:r>
        <w:rPr>
          <w:rFonts w:ascii="Arial" w:cs="Arial" w:eastAsia="Arial" w:hAnsi="Arial"/>
          <w:sz w:val="18"/>
          <w:szCs w:val="18"/>
          <w:color w:val="FFFFFF"/>
        </w:rPr>
        <w:t>°</w:t>
      </w:r>
      <w:r>
        <w:rPr>
          <w:rFonts w:ascii="Arial" w:cs="Arial" w:eastAsia="Arial" w:hAnsi="Arial"/>
          <w:sz w:val="18"/>
          <w:szCs w:val="18"/>
          <w:color w:val="auto"/>
        </w:rPr>
        <w:t>117.5 million, or approximately CHF 116.4 million.</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gross proceeds brought the total cash position to approximately CHF 210 million, which we believe will extend our cash runway until Q3 2021, excluding potential incoming milestones.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Loss and Adjusted Loss per Share when monitoring</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Further details are available in our corresponding Statements of Cash Flows filed with our Form 6-K, published on the company </w:t>
      </w:r>
      <w:r>
        <w:rPr>
          <w:rFonts w:ascii="Arial" w:cs="Arial" w:eastAsia="Arial" w:hAnsi="Arial"/>
          <w:sz w:val="16"/>
          <w:szCs w:val="16"/>
          <w:i w:val="1"/>
          <w:iCs w:val="1"/>
          <w:u w:val="single" w:color="auto"/>
          <w:color w:val="0000FF"/>
        </w:rPr>
        <w:t>website</w:t>
      </w:r>
      <w:r>
        <w:rPr>
          <w:rFonts w:ascii="Arial" w:cs="Arial" w:eastAsia="Arial" w:hAnsi="Arial"/>
          <w:sz w:val="16"/>
          <w:szCs w:val="16"/>
          <w:i w:val="1"/>
          <w:iCs w:val="1"/>
          <w:color w:val="auto"/>
        </w:rPr>
        <w:t>.</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9" w:name="page70"/>
    <w:bookmarkEnd w:id="69"/>
    <w:p>
      <w:pPr>
        <w:jc w:val="both"/>
        <w:spacing w:after="0" w:line="239" w:lineRule="auto"/>
        <w:rPr>
          <w:sz w:val="20"/>
          <w:szCs w:val="20"/>
          <w:color w:val="auto"/>
        </w:rPr>
      </w:pPr>
      <w:r>
        <w:rPr>
          <w:rFonts w:ascii="Arial" w:cs="Arial" w:eastAsia="Arial" w:hAnsi="Arial"/>
          <w:sz w:val="18"/>
          <w:szCs w:val="18"/>
          <w:color w:val="auto"/>
        </w:rPr>
        <w:t>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 The following table reconciles net loss to Adjusted Loss and Adjusted Loss per Share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to Adjusted Loss Per Share (unaudited)</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820" w:type="dxa"/>
            <w:vAlign w:val="bottom"/>
            <w:tcBorders>
              <w:top w:val="single" w:sz="8" w:color="auto"/>
              <w:left w:val="single" w:sz="8" w:color="auto"/>
              <w:right w:val="single" w:sz="8" w:color="auto"/>
            </w:tcBorders>
          </w:tcPr>
          <w:p>
            <w:pPr>
              <w:spacing w:after="0"/>
              <w:rPr>
                <w:sz w:val="18"/>
                <w:szCs w:val="18"/>
                <w:color w:val="auto"/>
              </w:rPr>
            </w:pPr>
          </w:p>
        </w:tc>
        <w:tc>
          <w:tcPr>
            <w:tcW w:w="34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c>
          <w:tcPr>
            <w:tcW w:w="31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9"/>
        </w:trPr>
        <w:tc>
          <w:tcPr>
            <w:tcW w:w="4820" w:type="dxa"/>
            <w:vAlign w:val="bottom"/>
            <w:tcBorders>
              <w:left w:val="single" w:sz="8" w:color="auto"/>
              <w:right w:val="single" w:sz="8" w:color="auto"/>
            </w:tcBorders>
          </w:tcPr>
          <w:p>
            <w:pPr>
              <w:spacing w:after="0"/>
              <w:rPr>
                <w:sz w:val="20"/>
                <w:szCs w:val="20"/>
                <w:color w:val="auto"/>
              </w:rPr>
            </w:pP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9"/>
              </w:rPr>
              <w:t>June 30,</w:t>
            </w:r>
          </w:p>
        </w:tc>
        <w:tc>
          <w:tcPr>
            <w:tcW w:w="1220" w:type="dxa"/>
            <w:vAlign w:val="bottom"/>
            <w:tcBorders>
              <w:right w:val="single" w:sz="8" w:color="auto"/>
            </w:tcBorders>
          </w:tcPr>
          <w:p>
            <w:pPr>
              <w:spacing w:after="0"/>
              <w:rPr>
                <w:sz w:val="20"/>
                <w:szCs w:val="20"/>
                <w:color w:val="auto"/>
              </w:rPr>
            </w:pPr>
          </w:p>
        </w:tc>
        <w:tc>
          <w:tcPr>
            <w:tcW w:w="206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auto"/>
                <w:w w:val="99"/>
              </w:rPr>
              <w:t>June 30,</w:t>
            </w: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1"/>
                <w:szCs w:val="21"/>
                <w:color w:val="auto"/>
              </w:rPr>
            </w:pPr>
          </w:p>
        </w:tc>
        <w:tc>
          <w:tcPr>
            <w:tcW w:w="122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6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1"/>
                <w:szCs w:val="21"/>
                <w:color w:val="auto"/>
              </w:rPr>
            </w:pPr>
          </w:p>
        </w:tc>
        <w:tc>
          <w:tcPr>
            <w:tcW w:w="112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(in CHF millions except per share data)</w:t>
            </w:r>
          </w:p>
        </w:tc>
        <w:tc>
          <w:tcPr>
            <w:tcW w:w="31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(in CHF millions except per share</w:t>
            </w:r>
          </w:p>
        </w:tc>
        <w:tc>
          <w:tcPr>
            <w:tcW w:w="0" w:type="dxa"/>
            <w:vAlign w:val="bottom"/>
          </w:tcPr>
          <w:p>
            <w:pPr>
              <w:spacing w:after="0"/>
              <w:rPr>
                <w:sz w:val="1"/>
                <w:szCs w:val="1"/>
                <w:color w:val="auto"/>
              </w:rPr>
            </w:pPr>
          </w:p>
        </w:tc>
      </w:tr>
      <w:tr>
        <w:trPr>
          <w:trHeight w:val="109"/>
        </w:trPr>
        <w:tc>
          <w:tcPr>
            <w:tcW w:w="4820" w:type="dxa"/>
            <w:vAlign w:val="bottom"/>
            <w:tcBorders>
              <w:left w:val="single" w:sz="8" w:color="auto"/>
              <w:right w:val="single" w:sz="8" w:color="auto"/>
            </w:tcBorders>
          </w:tcPr>
          <w:p>
            <w:pPr>
              <w:spacing w:after="0"/>
              <w:rPr>
                <w:sz w:val="9"/>
                <w:szCs w:val="9"/>
                <w:color w:val="auto"/>
              </w:rPr>
            </w:pPr>
          </w:p>
        </w:tc>
        <w:tc>
          <w:tcPr>
            <w:tcW w:w="3420" w:type="dxa"/>
            <w:vAlign w:val="bottom"/>
            <w:tcBorders>
              <w:right w:val="single" w:sz="8" w:color="auto"/>
            </w:tcBorders>
            <w:gridSpan w:val="3"/>
            <w:vMerge w:val="continue"/>
          </w:tcPr>
          <w:p>
            <w:pPr>
              <w:spacing w:after="0"/>
              <w:rPr>
                <w:sz w:val="9"/>
                <w:szCs w:val="9"/>
                <w:color w:val="auto"/>
              </w:rPr>
            </w:pPr>
          </w:p>
        </w:tc>
        <w:tc>
          <w:tcPr>
            <w:tcW w:w="2060" w:type="dxa"/>
            <w:vAlign w:val="bottom"/>
            <w:gridSpan w:val="2"/>
            <w:vMerge w:val="restart"/>
          </w:tcPr>
          <w:p>
            <w:pPr>
              <w:jc w:val="center"/>
              <w:ind w:left="1010"/>
              <w:spacing w:after="0"/>
              <w:rPr>
                <w:sz w:val="20"/>
                <w:szCs w:val="20"/>
                <w:color w:val="auto"/>
              </w:rPr>
            </w:pPr>
            <w:r>
              <w:rPr>
                <w:rFonts w:ascii="Arial" w:cs="Arial" w:eastAsia="Arial" w:hAnsi="Arial"/>
                <w:sz w:val="18"/>
                <w:szCs w:val="18"/>
                <w:color w:val="auto"/>
                <w:w w:val="97"/>
              </w:rPr>
              <w:t>data)</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Borders>
              <w:left w:val="single" w:sz="8" w:color="auto"/>
              <w:right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 Income/(Loss)</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21"/>
                <w:szCs w:val="21"/>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Adjustments:</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20"/>
                <w:szCs w:val="20"/>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0"/>
                <w:szCs w:val="20"/>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82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17"/>
                <w:szCs w:val="17"/>
                <w:color w:val="auto"/>
              </w:rPr>
              <w:t>Non-Cash share-based compensation</w:t>
            </w:r>
            <w:r>
              <w:rPr>
                <w:rFonts w:ascii="Arial" w:cs="Arial" w:eastAsia="Arial" w:hAnsi="Arial"/>
                <w:sz w:val="28"/>
                <w:szCs w:val="28"/>
                <w:color w:val="auto"/>
                <w:vertAlign w:val="superscript"/>
              </w:rPr>
              <w:t>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1"/>
                <w:szCs w:val="21"/>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bottom w:val="single" w:sz="8" w:color="auto"/>
              <w:right w:val="single" w:sz="8" w:color="auto"/>
            </w:tcBorders>
          </w:tcPr>
          <w:p>
            <w:pPr>
              <w:ind w:left="260"/>
              <w:spacing w:after="0" w:line="284" w:lineRule="exact"/>
              <w:rPr>
                <w:sz w:val="20"/>
                <w:szCs w:val="20"/>
                <w:color w:val="auto"/>
              </w:rPr>
            </w:pPr>
            <w:r>
              <w:rPr>
                <w:rFonts w:ascii="Arial" w:cs="Arial" w:eastAsia="Arial" w:hAnsi="Arial"/>
                <w:sz w:val="18"/>
                <w:szCs w:val="18"/>
                <w:color w:val="auto"/>
              </w:rPr>
              <w:t>Foreign currency remeasurement (Gains)/Losses</w:t>
            </w:r>
            <w:r>
              <w:rPr>
                <w:rFonts w:ascii="Arial" w:cs="Arial" w:eastAsia="Arial" w:hAnsi="Arial"/>
                <w:sz w:val="30"/>
                <w:szCs w:val="30"/>
                <w:color w:val="auto"/>
                <w:vertAlign w:val="superscript"/>
              </w:rPr>
              <w:t>2</w:t>
            </w:r>
          </w:p>
        </w:tc>
        <w:tc>
          <w:tcPr>
            <w:tcW w:w="17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Adjusted Income (Loss) for the period</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1"/>
                <w:szCs w:val="21"/>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2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EPS – basic and diluted</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480" w:type="dxa"/>
            <w:vAlign w:val="bottom"/>
          </w:tcPr>
          <w:p>
            <w:pPr>
              <w:spacing w:after="0"/>
              <w:rPr>
                <w:sz w:val="21"/>
                <w:szCs w:val="21"/>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44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Adjustment to EPS – basic and diluted</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21"/>
                <w:szCs w:val="21"/>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820" w:type="dxa"/>
            <w:vAlign w:val="bottom"/>
            <w:tcBorders>
              <w:left w:val="single" w:sz="8" w:color="auto"/>
              <w:bottom w:val="single" w:sz="8" w:color="auto"/>
              <w:right w:val="single" w:sz="8" w:color="auto"/>
            </w:tcBorders>
          </w:tcPr>
          <w:p>
            <w:pPr>
              <w:ind w:left="60"/>
              <w:spacing w:after="0" w:line="317" w:lineRule="exact"/>
              <w:rPr>
                <w:sz w:val="20"/>
                <w:szCs w:val="20"/>
                <w:color w:val="auto"/>
              </w:rPr>
            </w:pPr>
            <w:r>
              <w:rPr>
                <w:rFonts w:ascii="Arial" w:cs="Arial" w:eastAsia="Arial" w:hAnsi="Arial"/>
                <w:sz w:val="18"/>
                <w:szCs w:val="18"/>
                <w:color w:val="auto"/>
              </w:rPr>
              <w:t>Adjusted EPS – basic and diluted</w:t>
            </w:r>
            <w:r>
              <w:rPr>
                <w:rFonts w:ascii="Arial" w:cs="Arial" w:eastAsia="Arial" w:hAnsi="Arial"/>
                <w:sz w:val="30"/>
                <w:szCs w:val="30"/>
                <w:color w:val="auto"/>
                <w:vertAlign w:val="superscript"/>
              </w:rPr>
              <w:t>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6"/>
        </w:trPr>
        <w:tc>
          <w:tcPr>
            <w:tcW w:w="4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Weighted-average number of shares used to compute</w:t>
            </w:r>
          </w:p>
        </w:tc>
        <w:tc>
          <w:tcPr>
            <w:tcW w:w="1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57,423,650</w:t>
            </w:r>
          </w:p>
        </w:tc>
        <w:tc>
          <w:tcPr>
            <w:tcW w:w="480" w:type="dxa"/>
            <w:vAlign w:val="bottom"/>
          </w:tcPr>
          <w:p>
            <w:pPr>
              <w:spacing w:after="0"/>
              <w:rPr>
                <w:sz w:val="20"/>
                <w:szCs w:val="20"/>
                <w:color w:val="auto"/>
              </w:rPr>
            </w:pP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57,048,187</w:t>
            </w:r>
          </w:p>
        </w:tc>
        <w:tc>
          <w:tcPr>
            <w:tcW w:w="1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57,395,987</w:t>
            </w:r>
          </w:p>
        </w:tc>
        <w:tc>
          <w:tcPr>
            <w:tcW w:w="440" w:type="dxa"/>
            <w:vAlign w:val="bottom"/>
          </w:tcPr>
          <w:p>
            <w:pPr>
              <w:spacing w:after="0"/>
              <w:rPr>
                <w:sz w:val="20"/>
                <w:szCs w:val="20"/>
                <w:color w:val="auto"/>
              </w:rPr>
            </w:pP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56,951,306</w:t>
            </w:r>
          </w:p>
        </w:tc>
        <w:tc>
          <w:tcPr>
            <w:tcW w:w="0" w:type="dxa"/>
            <w:vAlign w:val="bottom"/>
          </w:tcPr>
          <w:p>
            <w:pPr>
              <w:spacing w:after="0"/>
              <w:rPr>
                <w:sz w:val="1"/>
                <w:szCs w:val="1"/>
                <w:color w:val="auto"/>
              </w:rPr>
            </w:pPr>
          </w:p>
        </w:tc>
      </w:tr>
      <w:tr>
        <w:trPr>
          <w:trHeight w:val="109"/>
        </w:trPr>
        <w:tc>
          <w:tcPr>
            <w:tcW w:w="4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Adjusted Earnings (Loss) per share – basic and diluted</w:t>
            </w:r>
          </w:p>
        </w:tc>
        <w:tc>
          <w:tcPr>
            <w:tcW w:w="1720" w:type="dxa"/>
            <w:vAlign w:val="bottom"/>
            <w:tcBorders>
              <w:right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Reflects non-cash expenses associated with share-based compensation for equity awards issued to Directors, Management and employees of the Company.</w:t>
      </w:r>
    </w:p>
    <w:p>
      <w:pPr>
        <w:ind w:left="80"/>
        <w:spacing w:after="0"/>
        <w:rPr>
          <w:sz w:val="20"/>
          <w:szCs w:val="20"/>
          <w:color w:val="auto"/>
        </w:rPr>
      </w:pPr>
      <w:r>
        <w:rPr>
          <w:rFonts w:ascii="Arial" w:cs="Arial" w:eastAsia="Arial" w:hAnsi="Arial"/>
          <w:sz w:val="16"/>
          <w:szCs w:val="16"/>
          <w:color w:val="auto"/>
        </w:rPr>
        <w:t>This expense reflects the awards’ fair value recognized for the portion of the equity award which is vesting over the period.</w:t>
      </w:r>
    </w:p>
    <w:p>
      <w:pPr>
        <w:spacing w:after="0" w:line="192" w:lineRule="exact"/>
        <w:rPr>
          <w:sz w:val="20"/>
          <w:szCs w:val="20"/>
          <w:color w:val="auto"/>
        </w:rPr>
      </w:pPr>
    </w:p>
    <w:p>
      <w:pPr>
        <w:jc w:val="both"/>
        <w:ind w:left="80" w:right="20" w:hanging="80"/>
        <w:spacing w:after="0" w:line="187" w:lineRule="auto"/>
        <w:rPr>
          <w:sz w:val="20"/>
          <w:szCs w:val="20"/>
          <w:color w:val="auto"/>
        </w:rPr>
      </w:pPr>
      <w:r>
        <w:rPr>
          <w:rFonts w:ascii="Arial" w:cs="Arial" w:eastAsia="Arial" w:hAnsi="Arial"/>
          <w:sz w:val="27"/>
          <w:szCs w:val="27"/>
          <w:color w:val="auto"/>
          <w:vertAlign w:val="superscript"/>
        </w:rPr>
        <w:t>2</w:t>
      </w:r>
      <w:r>
        <w:rPr>
          <w:rFonts w:ascii="Arial" w:cs="Arial" w:eastAsia="Arial" w:hAnsi="Arial"/>
          <w:sz w:val="16"/>
          <w:szCs w:val="16"/>
          <w:color w:val="auto"/>
        </w:rPr>
        <w:t>Reflects foreign currency remeasurement gains and losses for the period, predominantly impacted by the change in the exchange rate between the US Dollar and the Swiss Franc.</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Expenditures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Adjustments for the three and six months ended June 30, 2018, were CHF 0.3 million and CHF 1.1 million, respectively. These were largely due to share based compensation expenses of CHF 0.7 million and CHF 1.3 million, respectively, predominantly related to the increase in awards since Q2 2017 which were incurring expenses for the full periods in 2018. Additionally, for the three and six months ended June 30, 2018, the Company recorded CHF 0.4 million and CHF 0.2 million in foreign currency gains on cash balances, respectively, compared to CHF 4.0 million and CHF 5.6 million in foreign currency losses on cash balances for the comparable periods in 2017, respectively.</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Further details are available in our corresponding Statements of Cash Flows filed with our Form 6-K, published on the company </w:t>
      </w:r>
      <w:r>
        <w:rPr>
          <w:rFonts w:ascii="Arial" w:cs="Arial" w:eastAsia="Arial" w:hAnsi="Arial"/>
          <w:sz w:val="16"/>
          <w:szCs w:val="16"/>
          <w:i w:val="1"/>
          <w:iCs w:val="1"/>
          <w:u w:val="single" w:color="auto"/>
          <w:color w:val="0000FF"/>
        </w:rPr>
        <w:t>website</w:t>
      </w:r>
      <w:r>
        <w:rPr>
          <w:rFonts w:ascii="Arial" w:cs="Arial" w:eastAsia="Arial" w:hAnsi="Arial"/>
          <w:sz w:val="16"/>
          <w:szCs w:val="16"/>
          <w:i w:val="1"/>
          <w:iCs w:val="1"/>
          <w:color w:val="auto"/>
        </w:rPr>
        <w:t>.</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anti-amyloid-β monoclonal IgG4 antibody that targets monomeric and aggregated forms of amyloid-β, with highest affinity for neurotoxic oligomers. Crenezumab is currently in two Phase 3 clinical studies for AD, under a global program conducted by the collaboration partner Roche/Genentech. Other collaborations include Biogen, Janssen Pharmaceuticals, Nestlé Institute of Health Sciences, Piramal Imaging and Essex Bio-Technology.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5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In Europe</w:t>
            </w:r>
          </w:p>
        </w:tc>
        <w:tc>
          <w:tcPr>
            <w:tcW w:w="5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5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Beatrix Benz</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Lisa Sher</w:t>
            </w:r>
          </w:p>
        </w:tc>
      </w:tr>
      <w:tr>
        <w:trPr>
          <w:trHeight w:val="203"/>
        </w:trPr>
        <w:tc>
          <w:tcPr>
            <w:tcW w:w="5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 Immune Corporate Communications</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AC Immune Investor Relations</w:t>
            </w:r>
          </w:p>
        </w:tc>
      </w:tr>
      <w:tr>
        <w:trPr>
          <w:trHeight w:val="203"/>
        </w:trPr>
        <w:tc>
          <w:tcPr>
            <w:tcW w:w="5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Phone: +41 21 345 91 34</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Phone: +1 970 987 26 54</w:t>
            </w:r>
          </w:p>
        </w:tc>
      </w:tr>
      <w:tr>
        <w:trPr>
          <w:trHeight w:val="217"/>
        </w:trPr>
        <w:tc>
          <w:tcPr>
            <w:tcW w:w="5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E-mail: beatrix.benz@acimmune.com</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E-mail: lisa.sher@acimmune.com</w:t>
            </w: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6"/>
        </w:trPr>
        <w:tc>
          <w:tcPr>
            <w:tcW w:w="5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Nick Miles/Toomas Kull</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Ted Agne</w:t>
            </w:r>
          </w:p>
        </w:tc>
      </w:tr>
      <w:tr>
        <w:trPr>
          <w:trHeight w:val="203"/>
        </w:trPr>
        <w:tc>
          <w:tcPr>
            <w:tcW w:w="5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Cabinet Privé de Conseils s.a.</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Communications Strategy Group Inc.</w:t>
            </w:r>
          </w:p>
        </w:tc>
      </w:tr>
      <w:tr>
        <w:trPr>
          <w:trHeight w:val="203"/>
        </w:trPr>
        <w:tc>
          <w:tcPr>
            <w:tcW w:w="5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Phone: +41 22 552 46 46</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Phone: +1 781 631 3117</w:t>
            </w:r>
          </w:p>
        </w:tc>
      </w:tr>
      <w:tr>
        <w:trPr>
          <w:trHeight w:val="203"/>
        </w:trPr>
        <w:tc>
          <w:tcPr>
            <w:tcW w:w="5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E-mail: miles@cpc-pr.com</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E-mail: edagne@comstratgroup.com</w:t>
            </w:r>
          </w:p>
        </w:tc>
      </w:tr>
      <w:tr>
        <w:trPr>
          <w:trHeight w:val="217"/>
        </w:trPr>
        <w:tc>
          <w:tcPr>
            <w:tcW w:w="552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kull@cpc-pr.com</w:t>
            </w:r>
          </w:p>
        </w:tc>
        <w:tc>
          <w:tcPr>
            <w:tcW w:w="5900" w:type="dxa"/>
            <w:vAlign w:val="bottom"/>
            <w:tcBorders>
              <w:right w:val="single" w:sz="8" w:color="auto"/>
            </w:tcBorders>
          </w:tcPr>
          <w:p>
            <w:pPr>
              <w:spacing w:after="0"/>
              <w:rPr>
                <w:sz w:val="18"/>
                <w:szCs w:val="18"/>
                <w:color w:val="auto"/>
              </w:rPr>
            </w:pP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Further details are available in our corresponding Statements of Cash Flows filed with our Form 6-K, published on the company </w:t>
      </w:r>
      <w:r>
        <w:rPr>
          <w:rFonts w:ascii="Arial" w:cs="Arial" w:eastAsia="Arial" w:hAnsi="Arial"/>
          <w:sz w:val="16"/>
          <w:szCs w:val="16"/>
          <w:i w:val="1"/>
          <w:iCs w:val="1"/>
          <w:u w:val="single" w:color="auto"/>
          <w:color w:val="0000FF"/>
        </w:rPr>
        <w:t>website</w:t>
      </w:r>
      <w:r>
        <w:rPr>
          <w:rFonts w:ascii="Arial" w:cs="Arial" w:eastAsia="Arial" w:hAnsi="Arial"/>
          <w:sz w:val="16"/>
          <w:szCs w:val="16"/>
          <w:i w:val="1"/>
          <w:iCs w:val="1"/>
          <w:color w:val="auto"/>
        </w:rPr>
        <w:t>.</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Letter"/>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3">
    <w:nsid w:val="1BEFD79F"/>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6">
    <w:nsid w:val="4E6AFB66"/>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7">
    <w:nsid w:val="25E45D32"/>
    <w:multiLevelType w:val="hybridMultilevel"/>
    <w:lvl w:ilvl="0">
      <w:lvlJc w:val="left"/>
      <w:lvlText w:val="(%1)"/>
      <w:numFmt w:val="lowerRoman"/>
      <w:start w:val="2"/>
    </w:lvl>
  </w:abstractNum>
  <w:abstractNum w:abstractNumId="8">
    <w:nsid w:val="519B500D"/>
    <w:multiLevelType w:val="hybridMultilevel"/>
    <w:lvl w:ilvl="0">
      <w:lvlJc w:val="left"/>
      <w:lvlText w:val="%1)"/>
      <w:numFmt w:val="lowerLetter"/>
      <w:start w:val="5"/>
    </w:lvl>
  </w:abstractNum>
  <w:abstractNum w:abstractNumId="9">
    <w:nsid w:val="431BD7B7"/>
    <w:multiLevelType w:val="hybridMultilevel"/>
    <w:lvl w:ilvl="0">
      <w:lvlJc w:val="left"/>
      <w:lvlText w:val="%1)"/>
      <w:numFmt w:val="lowerLetter"/>
      <w:start w:val="5"/>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6"/>
    </w:lvl>
  </w:abstractNum>
  <w:abstractNum w:abstractNumId="16">
    <w:nsid w:val="333AB105"/>
    <w:multiLevelType w:val="hybridMultilevel"/>
    <w:lvl w:ilvl="0">
      <w:lvlJc w:val="left"/>
      <w:lvlText w:val="%1."/>
      <w:numFmt w:val="decimal"/>
      <w:start w:val="7"/>
    </w:lvl>
  </w:abstractNum>
  <w:abstractNum w:abstractNumId="17">
    <w:nsid w:val="721DA317"/>
    <w:multiLevelType w:val="hybridMultilevel"/>
    <w:lvl w:ilvl="0">
      <w:lvlJc w:val="left"/>
      <w:lvlText w:val="%1."/>
      <w:numFmt w:val="decimal"/>
      <w:start w:val="8"/>
    </w:lvl>
  </w:abstractNum>
  <w:abstractNum w:abstractNumId="18">
    <w:nsid w:val="2443A858"/>
    <w:multiLevelType w:val="hybridMultilevel"/>
    <w:lvl w:ilvl="0">
      <w:lvlJc w:val="left"/>
      <w:lvlText w:val="%1."/>
      <w:numFmt w:val="decimal"/>
      <w:start w:val="9"/>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bullet"/>
      <w:start w:val="1"/>
    </w:lvl>
  </w:abstractNum>
  <w:abstractNum w:abstractNumId="24">
    <w:nsid w:val="4353D0CD"/>
    <w:multiLevelType w:val="hybridMultilevel"/>
    <w:lvl w:ilvl="0">
      <w:lvlJc w:val="left"/>
      <w:lvlText w:val="1"/>
      <w:numFmt w:val="bullet"/>
      <w:start w:val="1"/>
    </w:lvl>
  </w:abstractNum>
  <w:abstractNum w:abstractNumId="25">
    <w:nsid w:val="B03E0C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2019-12-08T14:27:35Z</dcterms:created>
  <dcterms:modified xsi:type="dcterms:W3CDTF">2019-12-08T14:27:35Z</dcterms:modified>
</cp:coreProperties>
</file>