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4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OR 15d-16 UNDER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AC IMMUNE SA</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100"/>
        <w:spacing w:after="0"/>
        <w:tabs>
          <w:tab w:leader="none" w:pos="3640" w:val="left"/>
          <w:tab w:leader="none" w:pos="53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8890</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26035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360"/>
        <w:spacing w:after="0"/>
        <w:tabs>
          <w:tab w:leader="none" w:pos="5640" w:val="left"/>
          <w:tab w:leader="none" w:pos="68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8890</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26035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360"/>
        <w:spacing w:after="0"/>
        <w:tabs>
          <w:tab w:leader="none" w:pos="5640" w:val="left"/>
          <w:tab w:leader="none" w:pos="68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8890</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26035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368935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Joerg Hornstein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2109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792" w:right="10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0"/>
                <w:szCs w:val="20"/>
                <w:color w:val="auto"/>
              </w:rPr>
            </w:pPr>
          </w:p>
        </w:tc>
      </w:tr>
      <w:tr>
        <w:trPr>
          <w:trHeight w:val="410"/>
        </w:trPr>
        <w:tc>
          <w:tcPr>
            <w:tcW w:w="4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0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1018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 w:type="dxa"/>
            <w:vAlign w:val="bottom"/>
          </w:tcPr>
          <w:p>
            <w:pPr>
              <w:spacing w:after="0"/>
              <w:rPr>
                <w:sz w:val="20"/>
                <w:szCs w:val="20"/>
                <w:color w:val="auto"/>
              </w:rPr>
            </w:pPr>
          </w:p>
        </w:tc>
      </w:tr>
      <w:tr>
        <w:trPr>
          <w:trHeight w:val="191"/>
        </w:trPr>
        <w:tc>
          <w:tcPr>
            <w:tcW w:w="40" w:type="dxa"/>
            <w:vAlign w:val="bottom"/>
          </w:tcPr>
          <w:p>
            <w:pPr>
              <w:spacing w:after="0"/>
              <w:rPr>
                <w:sz w:val="16"/>
                <w:szCs w:val="16"/>
                <w:color w:val="auto"/>
              </w:rPr>
            </w:pPr>
          </w:p>
        </w:tc>
        <w:tc>
          <w:tcPr>
            <w:tcW w:w="1020" w:type="dxa"/>
            <w:vAlign w:val="bottom"/>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w w:val="95"/>
              </w:rPr>
              <w:t>99.1</w:t>
            </w:r>
          </w:p>
        </w:tc>
        <w:tc>
          <w:tcPr>
            <w:tcW w:w="140" w:type="dxa"/>
            <w:vAlign w:val="bottom"/>
          </w:tcPr>
          <w:p>
            <w:pPr>
              <w:spacing w:after="0"/>
              <w:rPr>
                <w:sz w:val="16"/>
                <w:szCs w:val="16"/>
                <w:color w:val="auto"/>
              </w:rPr>
            </w:pPr>
          </w:p>
        </w:tc>
        <w:tc>
          <w:tcPr>
            <w:tcW w:w="10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Interim Condensed Financial Statements (Unaudited) (IFRS) as of and for the Three and Nine Months Ended September 30, 2017</w:t>
            </w:r>
          </w:p>
        </w:tc>
        <w:tc>
          <w:tcPr>
            <w:tcW w:w="40" w:type="dxa"/>
            <w:vAlign w:val="bottom"/>
          </w:tcPr>
          <w:p>
            <w:pPr>
              <w:spacing w:after="0"/>
              <w:rPr>
                <w:sz w:val="16"/>
                <w:szCs w:val="16"/>
                <w:color w:val="auto"/>
              </w:rPr>
            </w:pPr>
          </w:p>
        </w:tc>
      </w:tr>
      <w:tr>
        <w:trPr>
          <w:trHeight w:val="216"/>
        </w:trPr>
        <w:tc>
          <w:tcPr>
            <w:tcW w:w="10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99.2</w:t>
            </w:r>
          </w:p>
        </w:tc>
        <w:tc>
          <w:tcPr>
            <w:tcW w:w="10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0" w:type="dxa"/>
            <w:vAlign w:val="bottom"/>
          </w:tcPr>
          <w:p>
            <w:pPr>
              <w:spacing w:after="0"/>
              <w:rPr>
                <w:sz w:val="18"/>
                <w:szCs w:val="18"/>
                <w:color w:val="auto"/>
              </w:rPr>
            </w:pPr>
          </w:p>
        </w:tc>
      </w:tr>
      <w:tr>
        <w:trPr>
          <w:trHeight w:val="234"/>
        </w:trPr>
        <w:tc>
          <w:tcPr>
            <w:tcW w:w="10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99.3</w:t>
            </w:r>
          </w:p>
        </w:tc>
        <w:tc>
          <w:tcPr>
            <w:tcW w:w="10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Press Release dated November 13, 2017</w:t>
            </w:r>
          </w:p>
        </w:tc>
        <w:tc>
          <w:tcPr>
            <w:tcW w:w="40" w:type="dxa"/>
            <w:vAlign w:val="bottom"/>
          </w:tcPr>
          <w:p>
            <w:pPr>
              <w:spacing w:after="0"/>
              <w:rPr>
                <w:sz w:val="20"/>
                <w:szCs w:val="20"/>
                <w:color w:val="auto"/>
              </w:rPr>
            </w:pPr>
          </w:p>
        </w:tc>
      </w:tr>
      <w:tr>
        <w:trPr>
          <w:trHeight w:val="554"/>
        </w:trPr>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Interim Condensed Financial</w:t>
      </w:r>
    </w:p>
    <w:p>
      <w:pPr>
        <w:spacing w:after="0" w:line="39" w:lineRule="exact"/>
        <w:rPr>
          <w:sz w:val="20"/>
          <w:szCs w:val="20"/>
          <w:color w:val="auto"/>
        </w:rPr>
      </w:pPr>
    </w:p>
    <w:p>
      <w:pPr>
        <w:ind w:right="660"/>
        <w:spacing w:after="0" w:line="250" w:lineRule="auto"/>
        <w:rPr>
          <w:sz w:val="20"/>
          <w:szCs w:val="20"/>
          <w:color w:val="auto"/>
        </w:rPr>
      </w:pPr>
      <w:r>
        <w:rPr>
          <w:rFonts w:ascii="Times New Roman" w:cs="Times New Roman" w:eastAsia="Times New Roman" w:hAnsi="Times New Roman"/>
          <w:sz w:val="32"/>
          <w:szCs w:val="32"/>
          <w:b w:val="1"/>
          <w:bCs w:val="1"/>
          <w:color w:val="auto"/>
        </w:rPr>
        <w:t>Statements (Unaudited) (IFRS) as of and for the three and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1437640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32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32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320" w:type="dxa"/>
            <w:vAlign w:val="bottom"/>
            <w:vMerge w:val="continue"/>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2,660</w:t>
            </w:r>
          </w:p>
        </w:tc>
        <w:tc>
          <w:tcPr>
            <w:tcW w:w="3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117,210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122,781</w:t>
            </w:r>
          </w:p>
        </w:tc>
        <w:tc>
          <w:tcPr>
            <w:tcW w:w="3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125,441</w:t>
            </w:r>
          </w:p>
        </w:tc>
        <w:tc>
          <w:tcPr>
            <w:tcW w:w="3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188,215</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(76,686)</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(46,921)</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112,672</w:t>
            </w:r>
          </w:p>
        </w:tc>
        <w:tc>
          <w:tcPr>
            <w:tcW w:w="3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 long-term</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financing obligation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3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4,543</w:t>
            </w:r>
          </w:p>
        </w:tc>
        <w:tc>
          <w:tcPr>
            <w:tcW w:w="3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8,226</w:t>
            </w:r>
          </w:p>
        </w:tc>
        <w:tc>
          <w:tcPr>
            <w:tcW w:w="3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12,769</w:t>
            </w:r>
          </w:p>
        </w:tc>
        <w:tc>
          <w:tcPr>
            <w:tcW w:w="3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125,441</w:t>
            </w:r>
          </w:p>
        </w:tc>
        <w:tc>
          <w:tcPr>
            <w:tcW w:w="3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Income / (Loss)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92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92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38"/>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 except for share and per share data</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1,074</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w:t>
            </w:r>
          </w:p>
        </w:tc>
        <w:tc>
          <w:tcPr>
            <w:tcW w:w="2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3,834</w:t>
            </w: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3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0" w:type="dxa"/>
            <w:vAlign w:val="bottom"/>
          </w:tcPr>
          <w:p>
            <w:pPr>
              <w:spacing w:after="0"/>
              <w:rPr>
                <w:sz w:val="1"/>
                <w:szCs w:val="1"/>
                <w:color w:val="auto"/>
              </w:rPr>
            </w:pPr>
          </w:p>
        </w:tc>
      </w:tr>
      <w:tr>
        <w:trPr>
          <w:trHeight w:val="24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2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(10,714</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(23,178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(9,640</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(8,076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40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4"/>
                <w:szCs w:val="24"/>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income/(expense), net</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2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3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43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(9,102)</w:t>
            </w:r>
          </w:p>
        </w:tc>
        <w:tc>
          <w:tcPr>
            <w:tcW w:w="2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(30,575)</w:t>
            </w:r>
          </w:p>
        </w:tc>
        <w:tc>
          <w:tcPr>
            <w:tcW w:w="20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(2,329)</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(8,793</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0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Earnings/(loss) per share (EPS):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income/(loss) for the period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to compute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EPS basic and diluted</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57,164,145</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49,543,058</w:t>
            </w: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57,023,032</w:t>
            </w: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47,993,347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 / (Loss)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CHF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Income/(Loss) for the period</w:t>
      </w:r>
    </w:p>
    <w:p>
      <w:pPr>
        <w:spacing w:after="0" w:line="9" w:lineRule="exact"/>
        <w:rPr>
          <w:sz w:val="20"/>
          <w:szCs w:val="20"/>
          <w:color w:val="auto"/>
        </w:rPr>
      </w:pPr>
    </w:p>
    <w:p>
      <w:pPr>
        <w:ind w:left="180" w:right="80" w:hanging="179"/>
        <w:spacing w:after="0" w:line="250" w:lineRule="auto"/>
        <w:rPr>
          <w:sz w:val="20"/>
          <w:szCs w:val="20"/>
          <w:color w:val="auto"/>
        </w:rPr>
      </w:pPr>
      <w:r>
        <w:rPr>
          <w:rFonts w:ascii="Times New Roman" w:cs="Times New Roman" w:eastAsia="Times New Roman" w:hAnsi="Times New Roman"/>
          <w:sz w:val="18"/>
          <w:szCs w:val="18"/>
          <w:color w:val="auto"/>
        </w:rPr>
        <w:t>Other comprehensive loss not to be reclassified to income or loss in subsequent periods (net of tax):</w:t>
      </w:r>
    </w:p>
    <w:p>
      <w:pPr>
        <w:spacing w:after="0" w:line="1" w:lineRule="exact"/>
        <w:rPr>
          <w:sz w:val="20"/>
          <w:szCs w:val="20"/>
          <w:color w:val="auto"/>
        </w:rPr>
      </w:pPr>
    </w:p>
    <w:p>
      <w:pPr>
        <w:ind w:right="1300" w:firstLine="180"/>
        <w:spacing w:after="0" w:line="276" w:lineRule="auto"/>
        <w:rPr>
          <w:sz w:val="20"/>
          <w:szCs w:val="20"/>
          <w:color w:val="auto"/>
        </w:rPr>
      </w:pPr>
      <w:r>
        <w:rPr>
          <w:rFonts w:ascii="Times New Roman" w:cs="Times New Roman" w:eastAsia="Times New Roman" w:hAnsi="Times New Roman"/>
          <w:sz w:val="18"/>
          <w:szCs w:val="18"/>
          <w:color w:val="auto"/>
        </w:rPr>
        <w:t>Re-measurement losses on defined benefit plans Total comprehensive income/(loss), net of tax</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p>
      <w:pPr>
        <w:spacing w:after="0" w:line="4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5715</wp:posOffset>
            </wp:positionV>
            <wp:extent cx="1912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10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19685</wp:posOffset>
            </wp:positionV>
            <wp:extent cx="1912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9" w:lineRule="exact"/>
        <w:rPr>
          <w:sz w:val="20"/>
          <w:szCs w:val="20"/>
          <w:color w:val="auto"/>
        </w:rPr>
      </w:pPr>
    </w:p>
    <w:p>
      <w:pPr>
        <w:jc w:val="both"/>
        <w:ind w:left="38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(8,793)</w:t>
      </w:r>
      <w:r>
        <w:rPr>
          <w:sz w:val="20"/>
          <w:szCs w:val="20"/>
          <w:color w:val="auto"/>
        </w:rPr>
        <w:tab/>
      </w:r>
      <w:r>
        <w:rPr>
          <w:rFonts w:ascii="Times New Roman" w:cs="Times New Roman" w:eastAsia="Times New Roman" w:hAnsi="Times New Roman"/>
          <w:sz w:val="18"/>
          <w:szCs w:val="18"/>
          <w:b w:val="1"/>
          <w:bCs w:val="1"/>
          <w:color w:val="auto"/>
        </w:rPr>
        <w:t>(9,102)</w:t>
      </w:r>
    </w:p>
    <w:p>
      <w:pPr>
        <w:spacing w:after="0" w:line="200" w:lineRule="exact"/>
        <w:rPr>
          <w:sz w:val="20"/>
          <w:szCs w:val="20"/>
          <w:color w:val="auto"/>
        </w:rPr>
      </w:pPr>
    </w:p>
    <w:p>
      <w:pPr>
        <w:spacing w:after="0" w:line="245" w:lineRule="exact"/>
        <w:rPr>
          <w:sz w:val="20"/>
          <w:szCs w:val="20"/>
          <w:color w:val="auto"/>
        </w:rPr>
      </w:pPr>
    </w:p>
    <w:p>
      <w:pPr>
        <w:jc w:val="both"/>
        <w:ind w:left="580"/>
        <w:spacing w:after="0"/>
        <w:tabs>
          <w:tab w:leader="none" w:pos="2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(184)</w:t>
      </w:r>
    </w:p>
    <w:p>
      <w:pPr>
        <w:spacing w:after="0" w:line="41" w:lineRule="exact"/>
        <w:rPr>
          <w:sz w:val="20"/>
          <w:szCs w:val="20"/>
          <w:color w:val="auto"/>
        </w:rPr>
      </w:pPr>
    </w:p>
    <w:p>
      <w:pPr>
        <w:jc w:val="right"/>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(8,793)</w:t>
      </w:r>
      <w:r>
        <w:rPr>
          <w:sz w:val="20"/>
          <w:szCs w:val="20"/>
          <w:color w:val="auto"/>
        </w:rPr>
        <w:tab/>
      </w:r>
      <w:r>
        <w:rPr>
          <w:rFonts w:ascii="Times New Roman" w:cs="Times New Roman" w:eastAsia="Times New Roman" w:hAnsi="Times New Roman"/>
          <w:sz w:val="18"/>
          <w:szCs w:val="18"/>
          <w:b w:val="1"/>
          <w:bCs w:val="1"/>
          <w:color w:val="auto"/>
        </w:rPr>
        <w:t>(9,286)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22860</wp:posOffset>
            </wp:positionV>
            <wp:extent cx="18351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35150" cy="26035"/>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-130810</wp:posOffset>
            </wp:positionV>
            <wp:extent cx="1835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5715</wp:posOffset>
            </wp:positionV>
            <wp:extent cx="18522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12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19685</wp:posOffset>
            </wp:positionV>
            <wp:extent cx="18522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19" w:lineRule="exact"/>
        <w:rPr>
          <w:sz w:val="20"/>
          <w:szCs w:val="20"/>
          <w:color w:val="auto"/>
        </w:rPr>
      </w:pPr>
    </w:p>
    <w:p>
      <w:pPr>
        <w:jc w:val="both"/>
        <w:ind w:left="32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(30,575)</w:t>
      </w:r>
      <w:r>
        <w:rPr>
          <w:sz w:val="20"/>
          <w:szCs w:val="20"/>
          <w:color w:val="auto"/>
        </w:rPr>
        <w:tab/>
      </w:r>
      <w:r>
        <w:rPr>
          <w:rFonts w:ascii="Times New Roman" w:cs="Times New Roman" w:eastAsia="Times New Roman" w:hAnsi="Times New Roman"/>
          <w:sz w:val="18"/>
          <w:szCs w:val="18"/>
          <w:b w:val="1"/>
          <w:bCs w:val="1"/>
          <w:color w:val="auto"/>
        </w:rPr>
        <w:t>(2,329)</w:t>
      </w:r>
    </w:p>
    <w:p>
      <w:pPr>
        <w:spacing w:after="0" w:line="200" w:lineRule="exact"/>
        <w:rPr>
          <w:sz w:val="20"/>
          <w:szCs w:val="20"/>
          <w:color w:val="auto"/>
        </w:rPr>
      </w:pPr>
    </w:p>
    <w:p>
      <w:pPr>
        <w:spacing w:after="0" w:line="245" w:lineRule="exact"/>
        <w:rPr>
          <w:sz w:val="20"/>
          <w:szCs w:val="20"/>
          <w:color w:val="auto"/>
        </w:rPr>
      </w:pPr>
    </w:p>
    <w:p>
      <w:pPr>
        <w:jc w:val="both"/>
        <w:ind w:left="600"/>
        <w:spacing w:after="0"/>
        <w:tabs>
          <w:tab w:leader="none" w:pos="2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(552)</w:t>
      </w:r>
    </w:p>
    <w:p>
      <w:pPr>
        <w:spacing w:after="0" w:line="41" w:lineRule="exact"/>
        <w:rPr>
          <w:sz w:val="20"/>
          <w:szCs w:val="20"/>
          <w:color w:val="auto"/>
        </w:rPr>
      </w:pPr>
    </w:p>
    <w:p>
      <w:pPr>
        <w:jc w:val="right"/>
        <w:ind w:right="4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(30,575)</w:t>
      </w:r>
      <w:r>
        <w:rPr>
          <w:sz w:val="20"/>
          <w:szCs w:val="20"/>
          <w:color w:val="auto"/>
        </w:rPr>
        <w:tab/>
      </w:r>
      <w:r>
        <w:rPr>
          <w:rFonts w:ascii="Times New Roman" w:cs="Times New Roman" w:eastAsia="Times New Roman" w:hAnsi="Times New Roman"/>
          <w:sz w:val="18"/>
          <w:szCs w:val="18"/>
          <w:b w:val="1"/>
          <w:bCs w:val="1"/>
          <w:color w:val="auto"/>
        </w:rPr>
        <w:t>(2,881)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22860</wp:posOffset>
            </wp:positionV>
            <wp:extent cx="17837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715" cy="2603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-130810</wp:posOffset>
            </wp:positionV>
            <wp:extent cx="1783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3">
            <w:col w:w="4960" w:space="720"/>
            <w:col w:w="2540" w:space="660"/>
            <w:col w:w="2540"/>
          </w:cols>
          <w:pgMar w:left="240" w:top="576"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form an integral part of these Interim Condensed Financial Statements (Unaudited).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Changes in Equity</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2016</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928</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110,496</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(40,381)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71,043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4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0"/>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407"/>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preferred Series E extension shares</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13,177</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proceeds from IPO before transaction costs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138</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69,144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2016</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3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187,995</w:t>
            </w:r>
          </w:p>
        </w:tc>
        <w:tc>
          <w:tcPr>
            <w:tcW w:w="3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(42,912</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146,209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CHF thousands</w:t>
            </w:r>
          </w:p>
        </w:tc>
        <w:tc>
          <w:tcPr>
            <w:tcW w:w="16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6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5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3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528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2017</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188,166</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(46,921)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142,380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2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Net loss for the period</w:t>
            </w:r>
          </w:p>
        </w:tc>
        <w:tc>
          <w:tcPr>
            <w:tcW w:w="1260" w:type="dxa"/>
            <w:vAlign w:val="bottom"/>
            <w:tcBorders>
              <w:top w:val="single" w:sz="8" w:color="auto"/>
            </w:tcBorders>
          </w:tcPr>
          <w:p>
            <w:pPr>
              <w:ind w:left="10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(30,575)</w:t>
            </w:r>
          </w:p>
        </w:tc>
        <w:tc>
          <w:tcPr>
            <w:tcW w:w="320" w:type="dxa"/>
            <w:vAlign w:val="bottom"/>
          </w:tcPr>
          <w:p>
            <w:pPr>
              <w:spacing w:after="0"/>
              <w:rPr>
                <w:sz w:val="16"/>
                <w:szCs w:val="16"/>
                <w:color w:val="auto"/>
              </w:rPr>
            </w:pPr>
          </w:p>
        </w:tc>
        <w:tc>
          <w:tcPr>
            <w:tcW w:w="12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(30,575)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26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(30,575</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(30,575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280" w:type="dxa"/>
            <w:vAlign w:val="bottom"/>
            <w:gridSpan w:val="3"/>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restricted share awards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3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188,215</w:t>
            </w:r>
          </w:p>
        </w:tc>
        <w:tc>
          <w:tcPr>
            <w:tcW w:w="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(76,686</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8000" w:type="dxa"/>
            <w:vAlign w:val="bottom"/>
          </w:tcPr>
          <w:p>
            <w:pPr>
              <w:spacing w:after="0"/>
              <w:rPr>
                <w:sz w:val="24"/>
                <w:szCs w:val="24"/>
                <w:color w:val="auto"/>
              </w:rPr>
            </w:pPr>
          </w:p>
        </w:tc>
        <w:tc>
          <w:tcPr>
            <w:tcW w:w="342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4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w:t>
            </w:r>
          </w:p>
        </w:tc>
        <w:tc>
          <w:tcPr>
            <w:tcW w:w="15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0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for the period</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(30,575)</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for the period to net cash flows: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Finance result, net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3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824</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pensions</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long-term debt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(706)</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(2,143)</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3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Deferral of unearned revenue (current)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(481)</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(2,601)</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financing obligation</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(28,445)</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1,359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(28,453)</w:t>
            </w:r>
          </w:p>
        </w:tc>
        <w:tc>
          <w:tcPr>
            <w:tcW w:w="340" w:type="dxa"/>
            <w:vAlign w:val="bottom"/>
          </w:tcPr>
          <w:p>
            <w:pPr>
              <w:spacing w:after="0"/>
              <w:rPr>
                <w:sz w:val="20"/>
                <w:szCs w:val="20"/>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(1,795)</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(1,835)</w:t>
            </w:r>
          </w:p>
        </w:tc>
        <w:tc>
          <w:tcPr>
            <w:tcW w:w="34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preferred Series E shares</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of issue of shares</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shares – option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on issue of shares - option plan</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financing</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4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(30,145)</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81,918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152,210</w:t>
            </w:r>
          </w:p>
        </w:tc>
        <w:tc>
          <w:tcPr>
            <w:tcW w:w="340" w:type="dxa"/>
            <w:vAlign w:val="bottom"/>
          </w:tcPr>
          <w:p>
            <w:pPr>
              <w:spacing w:after="0"/>
              <w:rPr>
                <w:sz w:val="24"/>
                <w:szCs w:val="24"/>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Exchange gain/(loss) on cash and cash equivalents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(4,855)</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September 30</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117,210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157,592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(30,145</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81,918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non-cash increase to long-term financing obligation totaling CHF 98 thousand was recognized in the Balance Sheet with a corresponding increase to finance receivable. Please see Note 7 for further discussion.</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Interim Condensed Financial Statements of AC Immune SA as of and for the three and nine months ended September 30, 2017 were authorized for issuance by the Company’s Audit Committee on November 6, 2017.</w:t>
      </w:r>
    </w:p>
    <w:p>
      <w:pPr>
        <w:spacing w:after="0" w:line="158" w:lineRule="exact"/>
        <w:rPr>
          <w:sz w:val="20"/>
          <w:szCs w:val="20"/>
          <w:color w:val="auto"/>
        </w:rPr>
      </w:pPr>
    </w:p>
    <w:p>
      <w:pPr>
        <w:ind w:right="5640" w:firstLine="8"/>
        <w:spacing w:after="0" w:line="503" w:lineRule="auto"/>
        <w:tabs>
          <w:tab w:leader="none" w:pos="3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These Interim Condensed Financial Statements as of and for the three and nine months ended September 30, 2017 have been prepared in accordance with International Accounting Standard 34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and such financial information should be read in conjunction with the audited financial statements in the Company’s Annual Report on Form 20-F for the year ended December 31,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estimate the fair value of non-vested stock awards (restricted stock and restricted stock units) as being equal to the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 as the awards vest.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76"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licensing and collaboration agreements, (ii) clinical development accruals, (iii) net employee defined benefit liability, (iv) income taxes, and, (v) share-based compensation. Actual results may differ from these estimates. Estimates and underlying assumptions are reviewed on an ongoing basis. Revisions to accounting estimates are recognized in the period in which the estimates are revised.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Consistent with prior years, the Company has not recognized any deferred tax assets relating to tax losses available as the recognition criteria have not been met at the balance sheet date.</w:t>
      </w:r>
    </w:p>
    <w:p>
      <w:pPr>
        <w:spacing w:after="0" w:line="180"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estimated tax expense for the three and nine months ended September 30, 2017 is zero. The estimated tax expense is based on the best estimate of the weighted average annual income tax rate expected for the full financial year to December 31, 2017. As we expect to incur a loss for the full year, we do not anticipate any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financial statements are consistent with those followed in the preparation of the Company’s annual financial statements for the year ended December 31, 2016, except for the adoption of new standards and interpretations effective as of January 1, 2017. The Company has not adopted any other standard, interpretation or amendment that has been issued but is not yet effective.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following pronouncements from the IASB will become effective for future financial reporting periods and have not yet been adopted by AC Immune.</w:t>
      </w:r>
    </w:p>
    <w:p>
      <w:pPr>
        <w:spacing w:after="0" w:line="16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will supersede IAS 39 </w:t>
      </w:r>
      <w:r>
        <w:rPr>
          <w:rFonts w:ascii="Times New Roman" w:cs="Times New Roman" w:eastAsia="Times New Roman" w:hAnsi="Times New Roman"/>
          <w:sz w:val="18"/>
          <w:szCs w:val="18"/>
          <w:i w:val="1"/>
          <w:iCs w:val="1"/>
          <w:color w:val="auto"/>
        </w:rPr>
        <w:t>Financial Instruments: Recognition and Measurement</w:t>
      </w:r>
      <w:r>
        <w:rPr>
          <w:rFonts w:ascii="Times New Roman" w:cs="Times New Roman" w:eastAsia="Times New Roman" w:hAnsi="Times New Roman"/>
          <w:sz w:val="18"/>
          <w:szCs w:val="18"/>
          <w:color w:val="auto"/>
        </w:rPr>
        <w:t xml:space="preserve"> and is effective for annual periods beginning on or after January 1, 2018. IFRS 9 covers classification and measurement of financial assets and financial liabilities, impairment of financial assets and hedge accounting. The Company expects to adopt this standard on January 1, 2018, and while its assessment is currently ongoing, AC Immune does not anticipate IFRS 9 to have a material impact on the financial statements.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provides a new model for lessee accounting in which all leases, other than short-term and small-ticket-item leases, will be accounted for by the recognition on the balance sheet of a right-to-use asset and a lease liability, and the subsequent amortization of the right-to-use asset over the lease term. IFRS 16 will be effective for annual periods beginning on or after January 1, 2019 with early adoption permitted. AC Immune is currently assessing the impact of this standard on its financial statements.</w:t>
      </w:r>
    </w:p>
    <w:p>
      <w:pPr>
        <w:spacing w:after="0" w:line="18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The Company is currently analyzing the impact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amends revenue recognition requirements and establishes principles for reporting information about the nature, amount, timing and uncertainty of revenue and cash flows arising from contracts with customers. The standard replaces IAS 18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IAS 11 </w:t>
      </w:r>
      <w:r>
        <w:rPr>
          <w:rFonts w:ascii="Times New Roman" w:cs="Times New Roman" w:eastAsia="Times New Roman" w:hAnsi="Times New Roman"/>
          <w:sz w:val="18"/>
          <w:szCs w:val="18"/>
          <w:i w:val="1"/>
          <w:iCs w:val="1"/>
          <w:color w:val="auto"/>
        </w:rPr>
        <w:t>Construction Contracts and Related Interpretations</w:t>
      </w:r>
      <w:r>
        <w:rPr>
          <w:rFonts w:ascii="Times New Roman" w:cs="Times New Roman" w:eastAsia="Times New Roman" w:hAnsi="Times New Roman"/>
          <w:sz w:val="18"/>
          <w:szCs w:val="18"/>
          <w:color w:val="auto"/>
        </w:rPr>
        <w:t>. The new standard, as amended, becomes effective for the Company in the first quarter of fiscal year 2018, but allows the Company to adopt early. The Company plans to adopt this accounting standard in the first quarter of fiscal year 2018.</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currently anticipates adopting this standard using the modified retrospective method. Under this method, the cumulative effect of adopting the standard will be recorded to retained earnings on January 1, 2018. We have substantially completed our initial assessment of the effect of this adoption, including a detailed review of all of our contracts to identify potential differences in accounting as a result of the new standard and potential use of the practical expedient regarding contract modifications. The new standard will result in additional revenue-related disclosures in the footnotes to our financial statements. Based on the analyses to date, we do not anticipate a material impact on our total revenues or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interim condensed financial statements have been prepared on the basis that the Company will continue as a going concern after considering the Company’s cash position of CHF 117.2 million as of September 30, 2017.</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 w:name="page11"/>
    <w:bookmarkEnd w:id="10"/>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cash requirements primarily from its successful initial public offering in the third quarter of fiscal 2016, other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 Immune generated revenues of CHF 1.1 million and CHF 3.8 million in the three and nine months ended September 30, 2017,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2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1,074</w:t>
            </w:r>
          </w:p>
        </w:tc>
        <w:tc>
          <w:tcPr>
            <w:tcW w:w="4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2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3,834</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Licensing and collaboration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Alpha-synuclein and TDP-43 PET Imaging Tracers - Collaboration with Biogen</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April 2016 as part of our non-exclusive research collaboration agreement with Biogen International GmbH (“Biogen”), we received CHF 1.5 million for a technology access fee, which was deferred and recognized over a 12-month period. As of September 30, 2017, we have recognized all revenues associated with this access fee.</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April 2017, we began the second year of our collaboration. For the three and nine months ended September 30, 2017, we have recognized CHF 802 thousand and CHF 2.1 million for research contribution and collaboration services,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Tau-PET imaging agent in AD – Collaboration agreement of 2014 with Piramal Imaging</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March 2017, we invoiced Piramal for a EUR 1 million (CHF 1.1 million) milestone related to the initiation of “Part B” of the first-in-man Phase 1 clinical trial for PSP (Progressive Supranuclear Palsy). As we met all performance obligations on reaching the milestone, we have recognized this milestone as revenue in the first quarter of fiscal 2017.</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also entitled to further clinical milestones totaling EUR 6 million should the compound make it through to Phase 3 clinical studies and are further entitled to potential regulatory, commercialization and sales-based milestones totaling EUR 150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Recombinant protein therapeutic candidate – Collaboration with Essex Bio-Technology Limited</w:t>
      </w:r>
    </w:p>
    <w:p>
      <w:pPr>
        <w:spacing w:after="0" w:line="227"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auto"/>
        </w:rPr>
        <w:t>On May 19, 2017, we entered into a Research Project Agreement with Essex Bio-Technology Limited (“Essex”) to develop a recombinant protein therapeutic candidate acting on a unique neuroprotective mechanism for treatment of neurological diseases, such as Alzheimer’s disease and frontotemporal dementia. Essex will provide a joint research commitment as well as financial support to AC Immune for the pre-IND development of the biological agent.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part of this agreement, the Companies have agreed to an initial two-year Research Plan, which intends to develop a basic Fibroblast Growth Factor (“bFGF”) as a therapeutic for the treatment of neurogenerative diseases and to generate novel antibody therapeutics.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Essex will provide support to AC Immune until the selection of a collaboration product by the Joint Steering Committee, up to a maximum of CHF 750 thousand per year. The Company recognized CHF 48 thousand for the three and nine months ended September 30, 2017.</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Continuation of 2015 Grant from the Michael J. Fox Foundation</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September 16, 2017, AC Immune formally signed a grant continuation with the Michael J. Fox Foundation for Parkinson’s Disease research. This grant provides funds for the development of Positron Emission Tomography (PET) tracers for the alpha-synuclein protein, to support the early diagnosis and clinical management of Parkinson’s disease. The Company did not record revenues in the three and nine months ended September 30, 2017 as services had not begun.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Tau Vaccine in AD – Collaboration agreement of 2014 with Janssen Pharmaceuticals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December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84"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agreement also allows for the collaboration to be expanded to a second indication based on the same anti-tau vaccine program and intellectual property related to this program.</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January 2016, we received payments of CHF 1.5 million for pre-payment of research and external research costs for 2016. We recognized the proceeds over a 12-month period on a straight-line basis pursuant to the terms of the collaboration agreement. In May 2016, we received a CHF 4.9 million payment for reaching a clinical milestone in the Phase 1b study. As we met all performance obligations on reaching the milestone, we have recognized this milestone as revenue.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part of this agreement, AC Immune and Janssen have committed to spending CHF 13.8 million in clinical development until the end of Phase 1b. Any remaining commitment not spent on the Phase 1b study will be carried forward to cover additional development costs with Janssen continuing to be responsible for any costs above the stated CHF 13.8 million.</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July 2017, AC Immune and Janssen effected the Second Amendment to its December 2014 License, Development and Commercialization Agreement (“Agreement”). The Amendment allows for the alignment of certain Agreement payment provisions with the new Development Plan and Research Plan activities. ACI and Janssen will jointly share R&amp;D costs until the completion of the first Phase 2 or first Phase 3 trial begins. Under the terms of the agreement, Janssen may terminate the agreement at any time after completion of the Phase 1b clinical study by providing 90 days’ notice to us.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Anti-tau antibody in AD – Collaboration agreement of 2012 with Genentech</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June 2012, we entered into an exclusive global license agreement and research collaboration with Genentech, Inc.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 w:name="page13"/>
    <w:bookmarkEnd w:id="12"/>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To date, we have received payments totaling CHF 45 million including a CHF 14 million milestone recognized in the second quarter of 2016 related to the start of phase 1 clinical trials for this program.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Genentech may terminate the agreement at any time by providing 90 days’ notice to us. In such event, all costs incurred are still refundable.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Anti-Abeta antibody in AD - Collaboration agreement of 2006 with Genentech</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2006, AC Immune signed an exclusive, worldwide licensing agreement for crenezumab, our humanized monoclonal antibody targeting misfolded Abeta. Genentech commenced a first Phase 3 clinical study in the first quarter of fiscal 2016. In February 2017, Genentech started a second Phase 3 clinical trial. If crenezumab receives regulatory approval, we will be entitled to receive royalties that are tied to annual sales volumes with different royalty rates applicable in the U.S. and Europe. These percentage rates range from the high single digits to the mid-teens.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agreement with Genentech, we may become eligible to receive payments totaling up to approximately USD 340 million, excluding royalties.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received total payments of USD 65 million (CHF 70.1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Earnings/(loss) per share</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60" w:type="dxa"/>
            <w:vAlign w:val="bottom"/>
          </w:tcPr>
          <w:p>
            <w:pPr>
              <w:spacing w:after="0"/>
              <w:rPr>
                <w:sz w:val="24"/>
                <w:szCs w:val="24"/>
                <w:color w:val="auto"/>
              </w:rPr>
            </w:pPr>
          </w:p>
        </w:tc>
        <w:tc>
          <w:tcPr>
            <w:tcW w:w="324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9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324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9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 except share and per share data</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191"/>
        </w:trPr>
        <w:tc>
          <w:tcPr>
            <w:tcW w:w="52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attributable to equity holders of the Company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Earnings/(loss) per share (EPS):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earnings/(loss) for the period attributable to equity</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to compute EPS basic and</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attributable to equity holders</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57,164,145</w:t>
            </w:r>
          </w:p>
        </w:tc>
        <w:tc>
          <w:tcPr>
            <w:tcW w:w="2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49,543,058</w:t>
            </w: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57,023,032</w:t>
            </w: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47,993,347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2017 and 2016 basic and diluted earnings per share is based on the weighted average number of shares issued and outstanding. Weighted-average shares outstanding excludes antidilutive shares underlying options, non-vested restricted shares and non-vested restricted share units that totaled 1,277,145 and 1,935,752 from the computation of diluted income (loss) per common share for the three months ended September 30, 2017 and 2016, respectively. Weighted-average shares outstanding exclude antidilutive shares underlying options, non-vested restricted shares and non-vested restricted share units that totaled 1,519,964 and 1,921,010 from the computation of diluted income (loss) per common share for the nine months ended September 30, 2017 and 2016, respectively.</w:t>
      </w:r>
    </w:p>
    <w:p>
      <w:pPr>
        <w:spacing w:after="0" w:line="18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2017, the Company had property, plant and equipment totaling CHF 2.5 million compared to CHF 1.1 million for the year ended December 31, 2016. The Company’s lab equipment balance equaled CHF 1.9 million, computer equipment balance equaled CHF 374 thousand and the rest of the balance related to furniture and leasehold improvements. The Company’s total depreciation expense for the three and nine months ended September 30, 2017 totaled CHF 160 thousand and CHF 400 thousand, respectively.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research and development costs, administrative costs and pension expenses totaling CHF 1.9 million and CHF 1.3 million as of September 30, 2017 and December 31, 2016, respectively.</w:t>
      </w:r>
    </w:p>
    <w:p>
      <w:pPr>
        <w:spacing w:after="0" w:line="1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financing obligation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January 4, 2016 and September 13, 2016 for fiscal years 2016 and 2017,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 AC Immune has accordingly recorded a long-term financing obligation for the total USD 400 thousand (CHF 392 thousand) committed and a corresponding interest accrual of USD 88 thousand (CHF 86 thousand). As AC Immune is yet to receive USD 100 thousand (CHF 98 thousand) as of September 30, 2017 from LuMind, this amount is recorded as a finance receivable within current assets; these outstanding funds are committed for 2017.</w:t>
      </w:r>
    </w:p>
    <w:p>
      <w:pPr>
        <w:spacing w:after="0" w:line="18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receivables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recorded CHF 2.7 million in other current receivables as of September 30, 2017 compared to CHF 517 thousand as of December 31, 2016.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more than CHF 2.1 million outstanding but not yet due from two of its collaboration partners as of September 30, 2017.</w:t>
      </w:r>
    </w:p>
    <w:p>
      <w:pPr>
        <w:spacing w:after="0" w:line="20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result, net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three months ended September 30, 2017, the Company recorded CHF 0.8 million in net financial income compared to CHF 1.0 million in net financial loss for the three month period ended September 30, 2016. The Company incurred a CHF 4.9 million in net financial loss for the nine months ended September 30, 2017 compared to CHF 935 thousand in net financial loss for the nine month period ended September 30,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November 2, 2017, the Company announced that Genentech had dosed the first patient in a Phase 2 clinical trial for Alzheimer’s Disease (AD) with an anti-Tau monoclonal antibody known as RO7105705. Upon the dosing of the first patient in the Phase 2 clinical trial, AC Immune became eligible to receive a milestone payment of CHF 14 million, which is expected to be paid in the fourth quarter of 2017.</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jc w:val="both"/>
        <w:ind w:right="1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and nine months ended September 30, 2017 included as Exhibit 99.1 to this Report on Form 6-K. We also recommend that you read our management’s discussion and analysis and our audited financial statements and the notes thereto, which appear in our Annual Report on Form 20-F for the year ended December 31, 2016 on file with the U.S. Securities and Exchange Commission (the “SEC”).</w:t>
      </w:r>
    </w:p>
    <w:p>
      <w:pPr>
        <w:spacing w:after="0" w:line="180"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all references to “AC Immune” or the “company,” “we,” “our,” “ours,” “us” or similar terms refer to AC Immune SA.</w:t>
      </w:r>
    </w:p>
    <w:p>
      <w:pPr>
        <w:spacing w:after="0" w:line="15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ectPr>
          <w:pgSz w:w="11900" w:h="16838" w:orient="portrait"/>
          <w:cols w:equalWidth="0" w:num="1">
            <w:col w:w="11420"/>
          </w:cols>
          <w:pgMar w:left="240" w:top="360" w:right="239" w:bottom="1440" w:gutter="0" w:footer="0" w:header="0"/>
        </w:sectPr>
      </w:pP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This discussion and analysis is dated as of November 13, 2017.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Property, plant and equipment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1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30, 2017</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31, 2016</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385"/>
        </w:trPr>
        <w:tc>
          <w:tcPr>
            <w:tcW w:w="3540" w:type="dxa"/>
            <w:vAlign w:val="bottom"/>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599</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4,156</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34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32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340" w:type="dxa"/>
            <w:vAlign w:val="bottom"/>
            <w:vMerge w:val="continue"/>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2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3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140" w:space="720"/>
            <w:col w:w="4560"/>
          </w:cols>
          <w:pgMar w:left="240" w:top="360" w:right="239" w:bottom="1440" w:gutter="0" w:footer="0" w:header="0"/>
          <w:type w:val="continuous"/>
        </w:sect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continues to enhance its laboratory equipment to support its research and development functions. This effort has accelerated since the year ended December 31, 2016, with CHF 1.4 million invested in lab equipment representing a 49% increase. This is consistent with the Company’s long term strategic plan. Additionally, the Company’s investments in computers and IT have increased by CHF 301 thousand or 101% with the hiring of new employees and enhancements to its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2017 and 2016</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AC Immune generated revenues of CHF 1.1 million in the three months ended September 30, 2017, a decrease of CHF 259 thousand over the comparable period in 2016. AC Immune generated revenues of CHF 3.8 million in the nine months ended September 30, 2017, a decrease of CHF 18.0 million over the comparable period in 2016.</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 summarizes our revenues during the three and nine months ended September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54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p>
        </w:tc>
        <w:tc>
          <w:tcPr>
            <w:tcW w:w="35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6860" w:type="dxa"/>
            <w:vAlign w:val="bottom"/>
          </w:tcPr>
          <w:p>
            <w:pPr>
              <w:spacing w:after="0"/>
              <w:rPr>
                <w:sz w:val="24"/>
                <w:szCs w:val="24"/>
                <w:color w:val="auto"/>
              </w:rPr>
            </w:pPr>
          </w:p>
        </w:tc>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6860" w:type="dxa"/>
            <w:vAlign w:val="bottom"/>
          </w:tcPr>
          <w:p>
            <w:pPr>
              <w:spacing w:after="0"/>
              <w:rPr>
                <w:sz w:val="24"/>
                <w:szCs w:val="24"/>
                <w:color w:val="auto"/>
              </w:rPr>
            </w:pPr>
          </w:p>
        </w:tc>
        <w:tc>
          <w:tcPr>
            <w:tcW w:w="354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860" w:type="dxa"/>
            <w:vAlign w:val="bottom"/>
          </w:tcPr>
          <w:p>
            <w:pPr>
              <w:spacing w:after="0"/>
              <w:rPr>
                <w:sz w:val="20"/>
                <w:szCs w:val="20"/>
                <w:color w:val="auto"/>
              </w:rPr>
            </w:pPr>
          </w:p>
        </w:tc>
        <w:tc>
          <w:tcPr>
            <w:tcW w:w="35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6860" w:type="dxa"/>
            <w:vAlign w:val="bottom"/>
          </w:tcPr>
          <w:p>
            <w:pPr>
              <w:spacing w:after="0"/>
              <w:rPr>
                <w:sz w:val="24"/>
                <w:szCs w:val="24"/>
                <w:color w:val="auto"/>
              </w:rPr>
            </w:pPr>
          </w:p>
        </w:tc>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3,834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21,784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(17,950)</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2017, the decrease in collaboration revenues compared to the three months ended September 30, 2016 was principally due to recognition of CHF 382 thousand from the technology access fee paid by Biogen that was not repeated in the current fiscal quarter. In the three months ended September 30, 2017, the Company recognized CHF 0.8 million in research contribution revenues related to the Alpha synuclein and TDP-43 PET Imaging Tracers from the Biogen collaboration.</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2017, the decrease in collaboration revenues was principally due to two milestones reached in the comparable period in fiscal 2016. The Company recorded CHF 4.9 million for reaching a clinical milestone in a Phase 1b study in its agreement with Janssen. The Company also recognized CHF 14 million from its Anti-tau antibody agreement with Genentech as the first patient had been injected with the anti-tau antibody. For the nine months ended September 30, 2017, the Company recognized a EUR 1 million (CHF 1.1 million) milestone payment invoiced to Piramal Imaging for the initiation of “Part B” of the first-in-man phase 1 clinical trial for PSP (Progressive Supranuclear Palsy) and CHF 2.7 million from the technology access fee and research contribution revenues related to the Alpha-synuclein and TDP-43 PET Imaging Tracers Biogen collaboration.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in both of our Genentech collaborations. Janssen will be responsible for the full development cost from the completion of the first Phase 2 clinical trial. In addition to these arrangements, we expect that our total future research and development costs will continue to increase over current levels in line with our three-pillar strategy that focuses on Alzheimer`s disease, neuro-orphan indications and diagnostics.</w:t>
      </w:r>
    </w:p>
    <w:p>
      <w:pPr>
        <w:spacing w:after="0" w:line="188"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2017, research and development expenses totaled CHF 8.2 million and CHF 22.5 million, respectively, compared with CHF 7.7 million and CHF 18.7 million for the same periods in 2016, respectively. This represents an increase of CHF 499 thousand and CHF 3.8 million, respectively. The following tables present the research and development expenses during the three and nine months ended September 30, 2017 and 2016:</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54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p>
        </w:tc>
        <w:tc>
          <w:tcPr>
            <w:tcW w:w="35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6860" w:type="dxa"/>
            <w:vAlign w:val="bottom"/>
          </w:tcPr>
          <w:p>
            <w:pPr>
              <w:spacing w:after="0"/>
              <w:rPr>
                <w:sz w:val="24"/>
                <w:szCs w:val="24"/>
                <w:color w:val="auto"/>
              </w:rPr>
            </w:pPr>
          </w:p>
        </w:tc>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expenses(1)</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4"/>
                <w:szCs w:val="24"/>
                <w:color w:val="auto"/>
              </w:rPr>
            </w:pPr>
          </w:p>
        </w:tc>
      </w:tr>
      <w:tr>
        <w:trPr>
          <w:trHeight w:val="24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related costs(2)</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6860" w:type="dxa"/>
            <w:vAlign w:val="bottom"/>
          </w:tcPr>
          <w:p>
            <w:pPr>
              <w:spacing w:after="0"/>
              <w:rPr>
                <w:sz w:val="24"/>
                <w:szCs w:val="24"/>
                <w:color w:val="auto"/>
              </w:rPr>
            </w:pPr>
          </w:p>
        </w:tc>
        <w:tc>
          <w:tcPr>
            <w:tcW w:w="354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860" w:type="dxa"/>
            <w:vAlign w:val="bottom"/>
          </w:tcPr>
          <w:p>
            <w:pPr>
              <w:spacing w:after="0"/>
              <w:rPr>
                <w:sz w:val="20"/>
                <w:szCs w:val="20"/>
                <w:color w:val="auto"/>
              </w:rPr>
            </w:pPr>
          </w:p>
        </w:tc>
        <w:tc>
          <w:tcPr>
            <w:tcW w:w="35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6860" w:type="dxa"/>
            <w:vAlign w:val="bottom"/>
          </w:tcPr>
          <w:p>
            <w:pPr>
              <w:spacing w:after="0"/>
              <w:rPr>
                <w:sz w:val="24"/>
                <w:szCs w:val="24"/>
                <w:color w:val="auto"/>
              </w:rPr>
            </w:pPr>
          </w:p>
        </w:tc>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expenses(1)</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15,684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12,985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24"/>
                <w:szCs w:val="24"/>
                <w:color w:val="auto"/>
              </w:rPr>
            </w:pPr>
          </w:p>
        </w:tc>
      </w:tr>
      <w:tr>
        <w:trPr>
          <w:trHeight w:val="24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related costs(2)</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6,824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expense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w:t>
      </w:r>
    </w:p>
    <w:p>
      <w:pPr>
        <w:spacing w:after="0" w:line="20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programs is primarily driven by the new discovery programs and the two ACI 24 programs. The following tables present the research and development expenses by major development program during the three and nine months ended September 30, 2017 and 2016:</w:t>
      </w:r>
    </w:p>
    <w:p>
      <w:pPr>
        <w:spacing w:after="0" w:line="15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Alzheimer’s disease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Non-Alzheimer’s diseases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Diagnostics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programs</w:t>
      </w:r>
    </w:p>
    <w:p>
      <w:pPr>
        <w:spacing w:after="0" w:line="23" w:lineRule="exact"/>
        <w:rPr>
          <w:sz w:val="20"/>
          <w:szCs w:val="20"/>
          <w:color w:val="auto"/>
        </w:rPr>
      </w:pPr>
    </w:p>
    <w:p>
      <w:pPr>
        <w:ind w:right="2560"/>
        <w:spacing w:after="0" w:line="292" w:lineRule="auto"/>
        <w:rPr>
          <w:sz w:val="20"/>
          <w:szCs w:val="20"/>
          <w:color w:val="auto"/>
        </w:rPr>
      </w:pPr>
      <w:r>
        <w:rPr>
          <w:rFonts w:ascii="Times New Roman" w:cs="Times New Roman" w:eastAsia="Times New Roman" w:hAnsi="Times New Roman"/>
          <w:sz w:val="18"/>
          <w:szCs w:val="18"/>
          <w:color w:val="auto"/>
        </w:rPr>
        <w:t>R&amp;D expenses not allocated to specific programs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385"/>
        </w:trPr>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2,892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3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3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3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For the Nine Months</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9" w:lineRule="exact"/>
        <w:rPr>
          <w:sz w:val="20"/>
          <w:szCs w:val="20"/>
          <w:color w:val="auto"/>
        </w:rPr>
      </w:pPr>
    </w:p>
    <w:p>
      <w:pPr>
        <w:sectPr>
          <w:pgSz w:w="11900" w:h="16838" w:orient="portrait"/>
          <w:cols w:equalWidth="0" w:num="2">
            <w:col w:w="6140" w:space="720"/>
            <w:col w:w="456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Alzheimer’s disease</w:t>
            </w:r>
          </w:p>
        </w:tc>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1"/>
        </w:trPr>
        <w:tc>
          <w:tcPr>
            <w:tcW w:w="6860" w:type="dxa"/>
            <w:vAlign w:val="bottom"/>
            <w:vMerge w:val="continue"/>
          </w:tcPr>
          <w:p>
            <w:pPr>
              <w:spacing w:after="0"/>
              <w:rPr>
                <w:sz w:val="16"/>
                <w:szCs w:val="16"/>
                <w:color w:val="auto"/>
              </w:rPr>
            </w:pPr>
          </w:p>
        </w:tc>
        <w:tc>
          <w:tcPr>
            <w:tcW w:w="140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6,860</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7,470</w:t>
            </w:r>
          </w:p>
        </w:tc>
        <w:tc>
          <w:tcPr>
            <w:tcW w:w="200" w:type="dxa"/>
            <w:vAlign w:val="bottom"/>
          </w:tcPr>
          <w:p>
            <w:pPr>
              <w:spacing w:after="0"/>
              <w:rPr>
                <w:sz w:val="16"/>
                <w:szCs w:val="16"/>
                <w:color w:val="auto"/>
              </w:rPr>
            </w:pPr>
          </w:p>
        </w:tc>
        <w:tc>
          <w:tcPr>
            <w:tcW w:w="1360" w:type="dxa"/>
            <w:vAlign w:val="bottom"/>
            <w:gridSpan w:val="2"/>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Non-Alzheimer’s diseases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Diagnostics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Discovery</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4,738</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2,656</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programs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R&amp;D expenses not allocated to specific programs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CHF 0.6 million decrease in investments in Alzheimer’s disease programs for the nine months ended September 30, 2017, predominantly relates to two different royalty license fees totaling CHF 0.6 million to KU Leuven for AC Immune achieving multiple milestones.</w:t>
      </w:r>
    </w:p>
    <w:p>
      <w:pPr>
        <w:spacing w:after="0" w:line="16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AC Immune also incurred a CHF 0.9 million increase in expenditures in the nine month period for one of its Discovery programs compared to the comparable period in 2016.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including share-based compensation, professional fees including legal and accounting related services and other operating expenses.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amounted to CHF 2.5 million and CHF 7.0 million in the three and nine months ended September 30, 2017 compared with CHF 1.7 million and CHF 4.5 million in the same periods in 2016, respectively. This represents an increase of CHF 0.8 million and CHF 2.6 million for the respective periods. The increase is predominantly associated with operating as a public company, specifically increases to operating and salary related expenses for the three and nine months ended September 30, 2017. The following tables present the general and administrative expenses for the three and nine months ended September 30, 2017 and 2016:</w:t>
      </w:r>
    </w:p>
    <w:p>
      <w:pPr>
        <w:sectPr>
          <w:pgSz w:w="11900" w:h="16838" w:orient="portrait"/>
          <w:cols w:equalWidth="0" w:num="1">
            <w:col w:w="11420"/>
          </w:cols>
          <w:pgMar w:left="240" w:top="5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and related costs(1)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and related costs(1)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p>
      <w:pPr>
        <w:spacing w:after="0" w:line="288" w:lineRule="exact"/>
        <w:rPr>
          <w:sz w:val="20"/>
          <w:szCs w:val="20"/>
          <w:color w:val="auto"/>
        </w:rPr>
      </w:pPr>
    </w:p>
    <w:p>
      <w:pPr>
        <w:ind w:left="340" w:right="2900" w:hanging="332"/>
        <w:spacing w:after="0" w:line="501" w:lineRule="auto"/>
        <w:tabs>
          <w:tab w:leader="none" w:pos="2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share-based compensation expense </w:t>
      </w:r>
      <w:r>
        <w:rPr>
          <w:rFonts w:ascii="Times New Roman" w:cs="Times New Roman" w:eastAsia="Times New Roman" w:hAnsi="Times New Roman"/>
          <w:sz w:val="18"/>
          <w:szCs w:val="18"/>
          <w:i w:val="1"/>
          <w:iCs w:val="1"/>
          <w:color w:val="auto"/>
        </w:rPr>
        <w:t>Related-Party Transactions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 comprise of the Board of Directors and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employee benefits(1)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Post-employment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employee benefits(1)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Post-employment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5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r>
      <w:tr>
        <w:trPr>
          <w:trHeight w:val="385"/>
        </w:trPr>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4"/>
                <w:szCs w:val="24"/>
                <w:color w:val="auto"/>
              </w:rPr>
            </w:pPr>
          </w:p>
        </w:tc>
      </w:tr>
      <w:tr>
        <w:trPr>
          <w:trHeight w:val="234"/>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54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5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auto"/>
            </w:tcBorders>
          </w:tcPr>
          <w:p>
            <w:pPr>
              <w:spacing w:after="0"/>
              <w:rPr>
                <w:sz w:val="19"/>
                <w:szCs w:val="19"/>
                <w:color w:val="auto"/>
              </w:rPr>
            </w:pPr>
          </w:p>
        </w:tc>
      </w:tr>
      <w:tr>
        <w:trPr>
          <w:trHeight w:val="385"/>
        </w:trPr>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4"/>
                <w:szCs w:val="24"/>
                <w:color w:val="auto"/>
              </w:rPr>
            </w:pPr>
          </w:p>
        </w:tc>
      </w:tr>
      <w:tr>
        <w:trPr>
          <w:trHeight w:val="234"/>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4,224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5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4"/>
                <w:szCs w:val="24"/>
                <w:color w:val="auto"/>
              </w:rPr>
            </w:pPr>
          </w:p>
        </w:tc>
      </w:tr>
      <w:tr>
        <w:trPr>
          <w:trHeight w:val="230"/>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54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5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1,860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4"/>
                <w:szCs w:val="24"/>
                <w:color w:val="auto"/>
              </w:rPr>
            </w:pPr>
          </w:p>
        </w:tc>
      </w:tr>
      <w:tr>
        <w:trPr>
          <w:trHeight w:val="230"/>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520"/>
            <w:col w:w="4560"/>
          </w:cols>
          <w:pgMar w:left="240" w:top="578" w:right="239" w:bottom="1440" w:gutter="0" w:footer="0" w:header="0"/>
          <w:type w:val="continuous"/>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type w:val="continuous"/>
        </w:sectPr>
      </w:pPr>
    </w:p>
    <w:bookmarkStart w:id="18" w:name="page19"/>
    <w:bookmarkEnd w:id="18"/>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employee benefits for the three and nine months ended September 30, 2016 were revised to conform to current period presentation. Short-term employee benefits comprise of salaries, bonus, social security and expense allowances.</w:t>
      </w:r>
    </w:p>
    <w:p>
      <w:pPr>
        <w:spacing w:after="0" w:line="16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Company granted 257,916 options for the three and nine months ended September 30, 2017, respectively, to Executive Management of the Company.</w:t>
      </w:r>
    </w:p>
    <w:p>
      <w:pPr>
        <w:spacing w:after="0" w:line="16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2017, the Company granted 125,332 Restricted Stock Units to certain members of the Board of Directors and Executive Management.</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2017, the Company granted 4,023 Restricted Shares as part of a Restricted Share Award to one of our Directors in accordance with our 2016 Stock Option and Incentive Plan.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results,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financial income and expenses during the three and nine months ended September 30, 2017 and 2016:</w:t>
      </w:r>
    </w:p>
    <w:p>
      <w:pPr>
        <w:spacing w:after="0" w:line="22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7" w:lineRule="exact"/>
        <w:rPr>
          <w:sz w:val="20"/>
          <w:szCs w:val="20"/>
          <w:color w:val="auto"/>
        </w:rPr>
      </w:pPr>
    </w:p>
    <w:p>
      <w:pPr>
        <w:ind w:right="2640"/>
        <w:spacing w:after="0" w:line="250" w:lineRule="auto"/>
        <w:rPr>
          <w:sz w:val="20"/>
          <w:szCs w:val="20"/>
          <w:color w:val="auto"/>
        </w:rPr>
      </w:pPr>
      <w:r>
        <w:rPr>
          <w:rFonts w:ascii="Times New Roman" w:cs="Times New Roman" w:eastAsia="Times New Roman" w:hAnsi="Times New Roman"/>
          <w:sz w:val="18"/>
          <w:szCs w:val="18"/>
          <w:color w:val="auto"/>
        </w:rPr>
        <w:t>Foreign currency remeasurement gain/(loss), net Other finance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result,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7" w:lineRule="exact"/>
        <w:rPr>
          <w:sz w:val="20"/>
          <w:szCs w:val="20"/>
          <w:color w:val="auto"/>
        </w:rPr>
      </w:pPr>
    </w:p>
    <w:p>
      <w:pPr>
        <w:ind w:right="2640"/>
        <w:spacing w:after="0" w:line="250" w:lineRule="auto"/>
        <w:rPr>
          <w:sz w:val="20"/>
          <w:szCs w:val="20"/>
          <w:color w:val="auto"/>
        </w:rPr>
      </w:pPr>
      <w:r>
        <w:rPr>
          <w:rFonts w:ascii="Times New Roman" w:cs="Times New Roman" w:eastAsia="Times New Roman" w:hAnsi="Times New Roman"/>
          <w:sz w:val="18"/>
          <w:szCs w:val="18"/>
          <w:color w:val="auto"/>
        </w:rPr>
        <w:t>Foreign currency remeasurement gain/(loss), net Other finance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result, net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8"/>
                <w:szCs w:val="18"/>
                <w:color w:val="auto"/>
              </w:rPr>
            </w:pPr>
          </w:p>
        </w:tc>
      </w:tr>
      <w:tr>
        <w:trPr>
          <w:trHeight w:val="248"/>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54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54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9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(4,116)</w:t>
            </w:r>
          </w:p>
        </w:tc>
      </w:tr>
      <w:tr>
        <w:trPr>
          <w:trHeight w:val="248"/>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140" w:space="720"/>
            <w:col w:w="4560"/>
          </w:cols>
          <w:pgMar w:left="240" w:top="580" w:right="239" w:bottom="1440" w:gutter="0" w:footer="0" w:header="0"/>
          <w:type w:val="continuous"/>
        </w:sect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2017, the Company reported CHF 0.8 million in net financial income and a CHF 4.9 million net financial loss compared with a net financial loss of CHF 1.0 million and CHF 0.9 million in the same periods in 2016, a difference of CHF 1.9 million and CHF 3.9 million, respectively.</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key driver for the higher financial income during the three months ended September 30, 2017 is the change in net foreign currency remeasurement gains and losses. The Company incurred a CHF 0.9 million net finance loss for the prior period compared to a CHF 0.8 million net finance gain for the current period related to foreign currency cash balances due to a strengthening of the USD relative to the CHF in the current period.</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2017, the Company incurred net financial losses related to foreign currency remeasurement of CHF 4.8 million compared to net financial losses of CHF 727 thousand in the prior period, accounting for a CHF 4.1 million variance. This was due primarily to a weakening of the USD compared to the CHF for the first half of 2017.</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6"/>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Earnings/(loss) per share</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60" w:type="dxa"/>
            <w:vAlign w:val="bottom"/>
          </w:tcPr>
          <w:p>
            <w:pPr>
              <w:spacing w:after="0"/>
              <w:rPr>
                <w:sz w:val="24"/>
                <w:szCs w:val="24"/>
                <w:color w:val="auto"/>
              </w:rPr>
            </w:pPr>
          </w:p>
        </w:tc>
        <w:tc>
          <w:tcPr>
            <w:tcW w:w="324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9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324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9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 except share and per share data</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191"/>
        </w:trPr>
        <w:tc>
          <w:tcPr>
            <w:tcW w:w="52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attributable to equity holders of the Company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Earnings/(loss) per share (EPS):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earnings/(loss) for the period attributable to equity</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to compute EPS basic and</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attributable to equity holders</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57,164,145</w:t>
            </w:r>
          </w:p>
        </w:tc>
        <w:tc>
          <w:tcPr>
            <w:tcW w:w="2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49,543,058</w:t>
            </w: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57,023,032</w:t>
            </w: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47,993,347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2017 and 2016 basic and diluted earnings per share is based on the weighted average number of shares issued and outstanding. Weighted-average shares outstanding excludes antidilutive shares underlying options, non-vested restricted shares and non-vested restricted share units that totaled 1,277,145 and 1,935,752 from the computation of diluted income (loss) per common share for the three months ended September 30, 2017 and 2016, respectively. Weighted-average shares outstanding excludes antidilutive shares underlying options, non-vested restricted shares and non-vested restricted share units that totaled 1,519,964 and 1,921,010 from the computation of diluted income (loss) per common share for the nine months ended September 30, 2017 and 2016, respectively.</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operations have been financed primarily by proceeds from the collaboration and license agreements we have with a number of partners (including Genentech, Janssen and Piramal Imaging) research grants awarded to us and net proceeds from the issuance of common shares and preferred shares including the net proceeds raised in our initial public offering (“IPO”) in the third quarter of fiscal 2016. As of September 30, 2017, we had cash and cash equivalents of CHF 117.2 million. In addition, subsequent to the end of our third quarter of fiscal 2017 in November 2017, we became eligible to receive a milestone payment of CHF 14 million upon the dosing of the first patient in a Phase 2 clinical trial for Alzheimer’s disease (AD) the anti-Tau monoclonal antibody RO7105705 under a collaboration agreement with Genentech. This is the third milestone payment under the 2012 strategic collaboration and licensing agreement with Genentech for anti-Tau antibodies for the treatment of AD and other neurodegenerative diseases and is expected to be paid in the fourth quarter of fiscal 2017.</w:t>
      </w:r>
    </w:p>
    <w:p>
      <w:pPr>
        <w:spacing w:after="0" w:line="18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 study, ACI-24 in Down syndrome, our PET imaging candidates focused on alpha-synuclein and TDP-43 which we are developing together with Biogen and a number of research initiatives focused on neurodegenerative orphan diseases other than AD.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54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85"/>
        </w:trPr>
        <w:tc>
          <w:tcPr>
            <w:tcW w:w="354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(28,453)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(29,725)</w:t>
            </w:r>
          </w:p>
        </w:tc>
      </w:tr>
      <w:tr>
        <w:trPr>
          <w:trHeight w:val="216"/>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48"/>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81,259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(81,116)</w:t>
            </w: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(30,145</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140" w:space="720"/>
            <w:col w:w="4560"/>
          </w:cols>
          <w:pgMar w:left="240" w:top="576" w:right="239" w:bottom="1440" w:gutter="0" w:footer="0" w:header="0"/>
        </w:sectPr>
      </w:pPr>
    </w:p>
    <w:p>
      <w:pPr>
        <w:spacing w:after="0" w:line="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CHF 28.5 million for the nine months ended September 30, 2017 compared with net cash provided by operating activities of CHF 1.3 million for the nine months ended September 30, 2016. The change in cash used in operating activities in the first nine months of 2017 was due to (i) the Company’s reporting net loss of CHF 30.6 million for the nine months ended September 30, 2017 compared with net loss of CHF 2.3 million for the same period in 2016 driven by (i) higher milestone revenues in 2016 compared to 2017 (ii) the increase in research and development costs in the first nine months of 2017, and (iii) the net decrease in accounts payable and accrued expenses due to increased research expense payments in the first nine months of 2017 compared to the same period for 2016.</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rose to CHF 1.8 million for the nine months ended September 30, 2017 compared with net cash used in investing activities of CHF 0.6 million in the nine months ended September 30, 2016 due to increased capital expenditures to strengthen our manufacturing and research infrastructure.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CHF 143 thousand for the nine months ended September 30, 2017 compared with net cash provided by financing activities of CHF 81.2 million for the nine months ended September 30, 2016. The decrease is driven by the cash inflow from our Initial Public Offering in the third quarter of fiscal 2016 and our Series E Financing.</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partners obtain regulatory approval of and commercialize our current or any future product candidates. As of September 30, 2017, we had cash balances totaling CHF 117.2 million. The decrease relative to December 31, 2016 is due to an increase in research and development spending on our major discovery and development programs and the strengthening of the company’s infrastructures,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up to the first quarter of 2019.</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21" w:name="page22"/>
    <w:bookmarkEnd w:id="21"/>
    <w:p>
      <w:pPr>
        <w:ind w:right="380"/>
        <w:spacing w:after="0" w:line="282" w:lineRule="auto"/>
        <w:rPr>
          <w:sz w:val="20"/>
          <w:szCs w:val="20"/>
          <w:color w:val="auto"/>
        </w:rPr>
      </w:pPr>
      <w:r>
        <w:rPr>
          <w:rFonts w:ascii="Times New Roman" w:cs="Times New Roman" w:eastAsia="Times New Roman" w:hAnsi="Times New Roman"/>
          <w:sz w:val="18"/>
          <w:szCs w:val="18"/>
          <w:color w:val="auto"/>
        </w:rPr>
        <w:t>to raise additional capital to fund our operations and complete our ongoing and planned clinical studies, funding may not be available to us on acceptable terms, or at all.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2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and protecting our portfolio of intellectual property.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2017,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JOBS Act Exemption</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cease to be an emerging growth company if we have more than USD 1.0 billion in annual revenue, have more than USD 700 million in market value of our common shares held by non-affiliates or issue more than USD 1.0 billion of non-convertible debt over a three-year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operating results, as calculated in accordance with International Financial Reporting Standards, or IFRS, as adopted by the International Accounting Standards Board, we use Adjusted Income (Loss) and Adjusted Earnings (Loss) per share when monitoring and evaluating our operational performance. Adjusted Income (Loss) is defined as income (loss) for the relevant period, as adjusted for certain items that we believe are not indicative of our ongoing operating performance. Adjusted Earnings (Loss) per share is defined as Adjusted Income (Loss) for the relevant period divided by the weighted-average number of shares for such period.</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these measures assist our shareholders because they enhance comparability of our results each period and provide more useful insight into operational results for the period. The Company’s executive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income (loss). The following table reconciles net income (loss) to Adjusted Net Earnings (Loss) and Adjusted Net Earnings (Loss) per share for the periods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Income/(Loss) to Adjusted Income/(Loss)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Earnings/(Loss) Per Share to Adjusted Earnings/(Loss) Per Share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80"/>
        <w:spacing w:after="0" w:line="263" w:lineRule="auto"/>
        <w:rPr>
          <w:sz w:val="20"/>
          <w:szCs w:val="20"/>
          <w:color w:val="auto"/>
        </w:rPr>
      </w:pPr>
      <w:r>
        <w:rPr>
          <w:rFonts w:ascii="Times New Roman" w:cs="Times New Roman" w:eastAsia="Times New Roman" w:hAnsi="Times New Roman"/>
          <w:sz w:val="18"/>
          <w:szCs w:val="18"/>
          <w:color w:val="auto"/>
        </w:rPr>
        <w:t xml:space="preserve">in CHF thousands except for share and per share data </w:t>
      </w:r>
      <w:r>
        <w:rPr>
          <w:rFonts w:ascii="Times New Roman" w:cs="Times New Roman" w:eastAsia="Times New Roman" w:hAnsi="Times New Roman"/>
          <w:sz w:val="18"/>
          <w:szCs w:val="18"/>
          <w:b w:val="1"/>
          <w:bCs w:val="1"/>
          <w:color w:val="auto"/>
        </w:rPr>
        <w:t>Income/(Loss)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share-based payments (a)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currency (gains)/losses (b)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Income/(loss)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Earnings/(Loss) per share – basic and diluted</w:t>
      </w:r>
    </w:p>
    <w:p>
      <w:pPr>
        <w:spacing w:after="0" w:line="3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b w:val="1"/>
          <w:bCs w:val="1"/>
          <w:color w:val="auto"/>
        </w:rPr>
        <w:t>Adjustment to earnings/(loss) per share – basic and diluted Adjusted Earnings (Loss) per share – basic and diluted</w:t>
      </w:r>
    </w:p>
    <w:p>
      <w:pPr>
        <w:spacing w:after="0" w:line="1" w:lineRule="exact"/>
        <w:rPr>
          <w:sz w:val="20"/>
          <w:szCs w:val="20"/>
          <w:color w:val="auto"/>
        </w:rPr>
      </w:pPr>
    </w:p>
    <w:p>
      <w:pPr>
        <w:ind w:left="180" w:right="20" w:hanging="179"/>
        <w:spacing w:after="0" w:line="276" w:lineRule="auto"/>
        <w:rPr>
          <w:sz w:val="20"/>
          <w:szCs w:val="20"/>
          <w:color w:val="auto"/>
        </w:rPr>
      </w:pPr>
      <w:r>
        <w:rPr>
          <w:rFonts w:ascii="Times New Roman" w:cs="Times New Roman" w:eastAsia="Times New Roman" w:hAnsi="Times New Roman"/>
          <w:sz w:val="18"/>
          <w:szCs w:val="18"/>
          <w:color w:val="auto"/>
        </w:rPr>
        <w:t>Weighted-average number of shares used to compute Adjusted Earnings (Loss) per share – basic and diluted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1912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52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1912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(9,102)</w:t>
            </w:r>
          </w:p>
        </w:tc>
      </w:tr>
      <w:tr>
        <w:trPr>
          <w:trHeight w:val="407"/>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4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24"/>
                <w:szCs w:val="24"/>
                <w:color w:val="auto"/>
              </w:rPr>
            </w:pPr>
          </w:p>
        </w:tc>
      </w:tr>
      <w:tr>
        <w:trPr>
          <w:trHeight w:val="248"/>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tcPr>
          <w:p>
            <w:pPr>
              <w:spacing w:after="0"/>
              <w:rPr>
                <w:sz w:val="21"/>
                <w:szCs w:val="21"/>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(9,023</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26"/>
        </w:trPr>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18"/>
                <w:szCs w:val="18"/>
                <w:color w:val="auto"/>
              </w:rPr>
            </w:pPr>
          </w:p>
        </w:tc>
      </w:tr>
      <w:tr>
        <w:trPr>
          <w:trHeight w:val="210"/>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12"/>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57,164,145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49,453,058</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Nine Months</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8522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50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8522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(30,575)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(2,329)</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4,843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(24,908</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26"/>
        </w:trPr>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2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320" w:type="dxa"/>
            <w:vAlign w:val="bottom"/>
            <w:vMerge w:val="continue"/>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57,023,032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47,993,347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3">
            <w:col w:w="4540" w:space="720"/>
            <w:col w:w="2960" w:space="280"/>
            <w:col w:w="2920"/>
          </w:cols>
          <w:pgMar w:left="240" w:top="580" w:right="239" w:bottom="1440" w:gutter="0" w:footer="0" w:header="0"/>
          <w:type w:val="continuous"/>
        </w:sectPr>
      </w:pPr>
    </w:p>
    <w:p>
      <w:pPr>
        <w:ind w:left="640" w:right="400" w:hanging="321"/>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61" w:lineRule="exact"/>
        <w:rPr>
          <w:rFonts w:ascii="Times New Roman" w:cs="Times New Roman" w:eastAsia="Times New Roman" w:hAnsi="Times New Roman"/>
          <w:sz w:val="18"/>
          <w:szCs w:val="18"/>
          <w:color w:val="auto"/>
        </w:rPr>
      </w:pPr>
    </w:p>
    <w:p>
      <w:pPr>
        <w:ind w:left="640" w:right="20" w:hanging="321"/>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foreign currency remeasurement gains and losses for the period, predominantly impacted by the change in the exchange rate between the US Dollar and the Swiss Franc.</w:t>
      </w:r>
    </w:p>
    <w:p>
      <w:pPr>
        <w:spacing w:after="0" w:line="162" w:lineRule="exact"/>
        <w:rPr>
          <w:sz w:val="20"/>
          <w:szCs w:val="20"/>
          <w:color w:val="auto"/>
        </w:rPr>
      </w:pPr>
    </w:p>
    <w:p>
      <w:pPr>
        <w:ind w:firstLine="168"/>
        <w:spacing w:after="0" w:line="258" w:lineRule="auto"/>
        <w:rPr>
          <w:sz w:val="20"/>
          <w:szCs w:val="20"/>
          <w:color w:val="auto"/>
        </w:rPr>
      </w:pPr>
      <w:r>
        <w:rPr>
          <w:rFonts w:ascii="Times New Roman" w:cs="Times New Roman" w:eastAsia="Times New Roman" w:hAnsi="Times New Roman"/>
          <w:sz w:val="18"/>
          <w:szCs w:val="18"/>
          <w:color w:val="auto"/>
        </w:rPr>
        <w:t>Adjustments for the three and nine months ended September 30, 2017 were CHF 230 thousand in net gains and CHF 5.7 million in net losses, respectively. These were largely due to foreign currency remeasurement gains and losses of CHF 800 thousand and CHF 4.8 million, respectively, predominantly related to the cash balance of the Company as a result of a weakening of the US Dollar against the Swiss Franc for most of the first half of the year offset by gains in the third quarter. The Company also recorded CHF 0.6 million and CHF 0.8 million for the three and nine months, respectively, for share-based compensation expenses.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 Looking Statements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t>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described under the sections in the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680845" cy="531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08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Reports Third Quarter 2017 Financial Results and Corporate Update</w:t>
      </w:r>
    </w:p>
    <w:p>
      <w:pPr>
        <w:spacing w:after="0" w:line="19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C00000"/>
        </w:rPr>
      </w:pPr>
      <w:r>
        <w:rPr>
          <w:rFonts w:ascii="Arial" w:cs="Arial" w:eastAsia="Arial" w:hAnsi="Arial"/>
          <w:sz w:val="18"/>
          <w:szCs w:val="18"/>
          <w:b w:val="1"/>
          <w:bCs w:val="1"/>
          <w:color w:val="auto"/>
        </w:rPr>
        <w:t>Expansion of pipeline with two new antibodies against proteins alpha-synuclein and TDP-43</w:t>
      </w:r>
    </w:p>
    <w:p>
      <w:pPr>
        <w:spacing w:after="0" w:line="32" w:lineRule="exact"/>
        <w:rPr>
          <w:rFonts w:ascii="Times New Roman" w:cs="Times New Roman" w:eastAsia="Times New Roman" w:hAnsi="Times New Roman"/>
          <w:sz w:val="18"/>
          <w:szCs w:val="18"/>
          <w:color w:val="C00000"/>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C00000"/>
        </w:rPr>
      </w:pPr>
      <w:r>
        <w:rPr>
          <w:rFonts w:ascii="Arial" w:cs="Arial" w:eastAsia="Arial" w:hAnsi="Arial"/>
          <w:sz w:val="18"/>
          <w:szCs w:val="18"/>
          <w:b w:val="1"/>
          <w:bCs w:val="1"/>
          <w:color w:val="auto"/>
        </w:rPr>
        <w:t>Recruitment of first cohort completed for anti-beta vaccine targeting Alzheimer’s symptoms in adults with Down syndrome</w:t>
      </w:r>
    </w:p>
    <w:p>
      <w:pPr>
        <w:spacing w:after="0" w:line="8" w:lineRule="exact"/>
        <w:rPr>
          <w:rFonts w:ascii="Times New Roman" w:cs="Times New Roman" w:eastAsia="Times New Roman" w:hAnsi="Times New Roman"/>
          <w:sz w:val="18"/>
          <w:szCs w:val="18"/>
          <w:color w:val="C00000"/>
        </w:rPr>
      </w:pPr>
    </w:p>
    <w:p>
      <w:pPr>
        <w:ind w:left="260" w:hanging="252"/>
        <w:spacing w:after="0" w:line="259" w:lineRule="auto"/>
        <w:tabs>
          <w:tab w:leader="none" w:pos="260" w:val="left"/>
        </w:tabs>
        <w:numPr>
          <w:ilvl w:val="0"/>
          <w:numId w:val="14"/>
        </w:numPr>
        <w:rPr>
          <w:rFonts w:ascii="Times New Roman" w:cs="Times New Roman" w:eastAsia="Times New Roman" w:hAnsi="Times New Roman"/>
          <w:sz w:val="18"/>
          <w:szCs w:val="18"/>
          <w:color w:val="C00000"/>
        </w:rPr>
      </w:pPr>
      <w:r>
        <w:rPr>
          <w:rFonts w:ascii="Arial" w:cs="Arial" w:eastAsia="Arial" w:hAnsi="Arial"/>
          <w:sz w:val="18"/>
          <w:szCs w:val="18"/>
          <w:b w:val="1"/>
          <w:bCs w:val="1"/>
          <w:color w:val="auto"/>
        </w:rPr>
        <w:t>Strong cash position of CHF 117.2 million (USD 120.9 million) provides resources to advance pipeline of nine therapeutic and three diagnostic candidates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Lausanne, Switzerland, November 13, 2017 </w:t>
      </w:r>
      <w:r>
        <w:rPr>
          <w:rFonts w:ascii="Arial" w:cs="Arial" w:eastAsia="Arial" w:hAnsi="Arial"/>
          <w:sz w:val="18"/>
          <w:szCs w:val="18"/>
          <w:color w:val="auto"/>
        </w:rPr>
        <w:t>– AC Immune SA (NASDAQ: ACIU), a Swiss-based, clinical 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broad pipeline focused on neurodegenerative diseases, today announced financial results for the third-quarter ended September 30, 2017.</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Prof. Andrea Pfeifer, CEO of AC Immune, commented: </w:t>
      </w:r>
      <w:r>
        <w:rPr>
          <w:rFonts w:ascii="Arial" w:cs="Arial" w:eastAsia="Arial" w:hAnsi="Arial"/>
          <w:sz w:val="18"/>
          <w:szCs w:val="18"/>
          <w:color w:val="auto"/>
        </w:rPr>
        <w:t>“Our third quarter was highlighted by our pipeline expansion with two new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alpha-synuclein and TDP-43, and completion of recruitment of the first cohort in a trial in adults with Down syndrome. Studying populations predisposed to Alzheimer’s and broadening our pipeline into other diseases characterized by misfolding proteins are integral to the Company’s business strategy. We look forward to providing additional updates at investor and scientific conferences, as well as continued news during the remainder of 2017 and 2018.”</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Data – Unaudited (CHF million</w:t>
      </w:r>
      <w:r>
        <w:rPr>
          <w:rFonts w:ascii="Arial" w:cs="Arial" w:eastAsia="Arial" w:hAnsi="Arial"/>
          <w:sz w:val="30"/>
          <w:szCs w:val="30"/>
          <w:b w:val="1"/>
          <w:bCs w:val="1"/>
          <w:u w:val="single" w:color="auto"/>
          <w:color w:val="auto"/>
          <w:vertAlign w:val="superscript"/>
        </w:rPr>
        <w:t>1</w:t>
      </w:r>
      <w:r>
        <w:rPr>
          <w:rFonts w:ascii="Arial" w:cs="Arial" w:eastAsia="Arial" w:hAnsi="Arial"/>
          <w:sz w:val="18"/>
          <w:szCs w:val="18"/>
          <w:b w:val="1"/>
          <w:bCs w:val="1"/>
          <w:color w:val="auto"/>
        </w:rPr>
        <w:t>)</w:t>
      </w:r>
    </w:p>
    <w:tbl>
      <w:tblPr>
        <w:tblLayout w:type="fixed"/>
        <w:tblInd w:w="10" w:type="dxa"/>
        <w:tblCellMar>
          <w:top w:w="0" w:type="dxa"/>
          <w:left w:w="0" w:type="dxa"/>
          <w:bottom w:w="0" w:type="dxa"/>
          <w:right w:w="0" w:type="dxa"/>
        </w:tblCellMar>
      </w:tblPr>
      <w:tr>
        <w:trPr>
          <w:trHeight w:val="198"/>
        </w:trPr>
        <w:tc>
          <w:tcPr>
            <w:tcW w:w="5620" w:type="dxa"/>
            <w:vAlign w:val="bottom"/>
            <w:tcBorders>
              <w:top w:val="single" w:sz="8" w:color="auto"/>
              <w:left w:val="single" w:sz="8" w:color="auto"/>
              <w:right w:val="single" w:sz="8" w:color="auto"/>
            </w:tcBorders>
          </w:tcPr>
          <w:p>
            <w:pPr>
              <w:spacing w:after="0"/>
              <w:rPr>
                <w:sz w:val="17"/>
                <w:szCs w:val="17"/>
                <w:color w:val="auto"/>
              </w:rPr>
            </w:pPr>
          </w:p>
        </w:tc>
        <w:tc>
          <w:tcPr>
            <w:tcW w:w="2920" w:type="dxa"/>
            <w:vAlign w:val="bottom"/>
            <w:tcBorders>
              <w:top w:val="single" w:sz="8" w:color="auto"/>
            </w:tcBorders>
            <w:gridSpan w:val="2"/>
          </w:tcPr>
          <w:p>
            <w:pPr>
              <w:jc w:val="right"/>
              <w:ind w:right="190"/>
              <w:spacing w:after="0" w:line="198" w:lineRule="exact"/>
              <w:rPr>
                <w:sz w:val="20"/>
                <w:szCs w:val="20"/>
                <w:color w:val="auto"/>
              </w:rPr>
            </w:pPr>
            <w:r>
              <w:rPr>
                <w:rFonts w:ascii="Arial" w:cs="Arial" w:eastAsia="Arial" w:hAnsi="Arial"/>
                <w:sz w:val="18"/>
                <w:szCs w:val="18"/>
                <w:b w:val="1"/>
                <w:bCs w:val="1"/>
                <w:color w:val="auto"/>
              </w:rPr>
              <w:t>For the three months ended</w:t>
            </w:r>
          </w:p>
        </w:tc>
        <w:tc>
          <w:tcPr>
            <w:tcW w:w="20" w:type="dxa"/>
            <w:vAlign w:val="bottom"/>
            <w:tcBorders>
              <w:top w:val="single" w:sz="8" w:color="auto"/>
            </w:tcBorders>
            <w:shd w:val="clear" w:color="auto" w:fill="000000"/>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40" w:type="dxa"/>
            <w:vAlign w:val="bottom"/>
            <w:tcBorders>
              <w:top w:val="single" w:sz="8" w:color="auto"/>
              <w:right w:val="single" w:sz="8" w:color="auto"/>
            </w:tcBorders>
            <w:gridSpan w:val="2"/>
          </w:tcPr>
          <w:p>
            <w:pPr>
              <w:jc w:val="right"/>
              <w:ind w:right="170"/>
              <w:spacing w:after="0" w:line="198" w:lineRule="exact"/>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7"/>
        </w:trPr>
        <w:tc>
          <w:tcPr>
            <w:tcW w:w="5620" w:type="dxa"/>
            <w:vAlign w:val="bottom"/>
            <w:tcBorders>
              <w:left w:val="single" w:sz="8" w:color="auto"/>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Borders>
              <w:bottom w:val="single" w:sz="8" w:color="auto"/>
            </w:tcBorders>
            <w:shd w:val="clear" w:color="auto" w:fill="000000"/>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tcPr>
          <w:p>
            <w:pPr>
              <w:jc w:val="right"/>
              <w:ind w:right="510"/>
              <w:spacing w:after="0" w:line="173" w:lineRule="exact"/>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490"/>
              <w:spacing w:after="0" w:line="173" w:lineRule="exact"/>
              <w:rPr>
                <w:sz w:val="20"/>
                <w:szCs w:val="20"/>
                <w:color w:val="auto"/>
              </w:rPr>
            </w:pPr>
            <w:r>
              <w:rPr>
                <w:rFonts w:ascii="Arial" w:cs="Arial" w:eastAsia="Arial" w:hAnsi="Arial"/>
                <w:sz w:val="18"/>
                <w:szCs w:val="18"/>
                <w:b w:val="1"/>
                <w:bCs w:val="1"/>
                <w:color w:val="auto"/>
              </w:rPr>
              <w:t>2016</w:t>
            </w:r>
          </w:p>
        </w:tc>
        <w:tc>
          <w:tcPr>
            <w:tcW w:w="20" w:type="dxa"/>
            <w:vAlign w:val="bottom"/>
            <w:shd w:val="clear" w:color="auto" w:fill="000000"/>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right w:val="single" w:sz="8" w:color="auto"/>
            </w:tcBorders>
          </w:tcPr>
          <w:p>
            <w:pPr>
              <w:jc w:val="right"/>
              <w:ind w:right="510"/>
              <w:spacing w:after="0" w:line="173" w:lineRule="exact"/>
              <w:rPr>
                <w:sz w:val="20"/>
                <w:szCs w:val="20"/>
                <w:color w:val="auto"/>
              </w:rPr>
            </w:pPr>
            <w:r>
              <w:rPr>
                <w:rFonts w:ascii="Arial" w:cs="Arial" w:eastAsia="Arial" w:hAnsi="Arial"/>
                <w:sz w:val="18"/>
                <w:szCs w:val="18"/>
                <w:b w:val="1"/>
                <w:bCs w:val="1"/>
                <w:color w:val="auto"/>
              </w:rPr>
              <w:t>2017</w:t>
            </w:r>
          </w:p>
        </w:tc>
        <w:tc>
          <w:tcPr>
            <w:tcW w:w="1400" w:type="dxa"/>
            <w:vAlign w:val="bottom"/>
            <w:tcBorders>
              <w:right w:val="single" w:sz="8" w:color="auto"/>
            </w:tcBorders>
          </w:tcPr>
          <w:p>
            <w:pPr>
              <w:jc w:val="right"/>
              <w:ind w:right="410"/>
              <w:spacing w:after="0" w:line="173"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5"/>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Revenues</w:t>
            </w:r>
          </w:p>
        </w:tc>
        <w:tc>
          <w:tcPr>
            <w:tcW w:w="14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000000"/>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3.8</w:t>
            </w:r>
          </w:p>
        </w:tc>
        <w:tc>
          <w:tcPr>
            <w:tcW w:w="14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R&amp;D expenses</w:t>
            </w:r>
          </w:p>
        </w:tc>
        <w:tc>
          <w:tcPr>
            <w:tcW w:w="14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8.2</w:t>
            </w:r>
          </w:p>
        </w:tc>
        <w:tc>
          <w:tcPr>
            <w:tcW w:w="14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shd w:val="clear" w:color="auto" w:fill="000000"/>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22.5</w:t>
            </w:r>
          </w:p>
        </w:tc>
        <w:tc>
          <w:tcPr>
            <w:tcW w:w="1400" w:type="dxa"/>
            <w:vAlign w:val="bottom"/>
            <w:tcBorders>
              <w:bottom w:val="single" w:sz="8" w:color="auto"/>
              <w:right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G&amp;A expenses</w:t>
            </w:r>
          </w:p>
        </w:tc>
        <w:tc>
          <w:tcPr>
            <w:tcW w:w="14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2.5</w:t>
            </w:r>
          </w:p>
        </w:tc>
        <w:tc>
          <w:tcPr>
            <w:tcW w:w="14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000000"/>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7.0</w:t>
            </w:r>
          </w:p>
        </w:tc>
        <w:tc>
          <w:tcPr>
            <w:tcW w:w="1400" w:type="dxa"/>
            <w:vAlign w:val="bottom"/>
            <w:tcBorders>
              <w:bottom w:val="single" w:sz="8" w:color="auto"/>
              <w:right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Income (Loss) for the period</w:t>
            </w:r>
          </w:p>
        </w:tc>
        <w:tc>
          <w:tcPr>
            <w:tcW w:w="1480" w:type="dxa"/>
            <w:vAlign w:val="bottom"/>
            <w:tcBorders>
              <w:bottom w:val="single" w:sz="8" w:color="auto"/>
              <w:right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(8.8)</w:t>
            </w:r>
          </w:p>
        </w:tc>
        <w:tc>
          <w:tcPr>
            <w:tcW w:w="14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(9.1)</w:t>
            </w:r>
          </w:p>
        </w:tc>
        <w:tc>
          <w:tcPr>
            <w:tcW w:w="20" w:type="dxa"/>
            <w:vAlign w:val="bottom"/>
            <w:tcBorders>
              <w:bottom w:val="single" w:sz="8" w:color="auto"/>
            </w:tcBorders>
            <w:shd w:val="clear" w:color="auto" w:fill="000000"/>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(30.6)</w:t>
            </w:r>
          </w:p>
        </w:tc>
        <w:tc>
          <w:tcPr>
            <w:tcW w:w="14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3"/>
        </w:trPr>
        <w:tc>
          <w:tcPr>
            <w:tcW w:w="5620" w:type="dxa"/>
            <w:vAlign w:val="bottom"/>
            <w:tcBorders>
              <w:left w:val="single" w:sz="8" w:color="auto"/>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Adjustments:</w:t>
            </w:r>
          </w:p>
        </w:tc>
        <w:tc>
          <w:tcPr>
            <w:tcW w:w="1480" w:type="dxa"/>
            <w:vAlign w:val="bottom"/>
            <w:tcBorders>
              <w:right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auto"/>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Non-Cash share-based compensation</w:t>
            </w:r>
          </w:p>
        </w:tc>
        <w:tc>
          <w:tcPr>
            <w:tcW w:w="148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0.6</w:t>
            </w:r>
          </w:p>
        </w:tc>
        <w:tc>
          <w:tcPr>
            <w:tcW w:w="14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0.2</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0.8</w:t>
            </w:r>
          </w:p>
        </w:tc>
        <w:tc>
          <w:tcPr>
            <w:tcW w:w="140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5"/>
        </w:trPr>
        <w:tc>
          <w:tcPr>
            <w:tcW w:w="562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Foreign currency remeasurement (Gains)/Losses</w:t>
            </w:r>
          </w:p>
        </w:tc>
        <w:tc>
          <w:tcPr>
            <w:tcW w:w="14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000000"/>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4.8</w:t>
            </w:r>
          </w:p>
        </w:tc>
        <w:tc>
          <w:tcPr>
            <w:tcW w:w="14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line="236" w:lineRule="exact"/>
              <w:rPr>
                <w:sz w:val="20"/>
                <w:szCs w:val="20"/>
                <w:color w:val="auto"/>
              </w:rPr>
            </w:pPr>
            <w:r>
              <w:rPr>
                <w:rFonts w:ascii="Arial" w:cs="Arial" w:eastAsia="Arial" w:hAnsi="Arial"/>
                <w:sz w:val="17"/>
                <w:szCs w:val="17"/>
                <w:color w:val="auto"/>
              </w:rPr>
              <w:t>Adjusted Income (Loss)</w:t>
            </w:r>
            <w:r>
              <w:rPr>
                <w:rFonts w:ascii="Arial" w:cs="Arial" w:eastAsia="Arial" w:hAnsi="Arial"/>
                <w:sz w:val="27"/>
                <w:szCs w:val="27"/>
                <w:color w:val="auto"/>
                <w:vertAlign w:val="superscript"/>
              </w:rPr>
              <w:t>2</w:t>
            </w:r>
          </w:p>
        </w:tc>
        <w:tc>
          <w:tcPr>
            <w:tcW w:w="14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(9.0)</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shd w:val="clear" w:color="auto" w:fill="000000"/>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(25.0)</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EPS – basic and diluted</w:t>
            </w:r>
          </w:p>
        </w:tc>
        <w:tc>
          <w:tcPr>
            <w:tcW w:w="1480" w:type="dxa"/>
            <w:vAlign w:val="bottom"/>
            <w:tcBorders>
              <w:bottom w:val="single" w:sz="8" w:color="auto"/>
              <w:right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(0.15)</w:t>
            </w:r>
          </w:p>
        </w:tc>
        <w:tc>
          <w:tcPr>
            <w:tcW w:w="14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(0.18)</w:t>
            </w:r>
          </w:p>
        </w:tc>
        <w:tc>
          <w:tcPr>
            <w:tcW w:w="20" w:type="dxa"/>
            <w:vAlign w:val="bottom"/>
            <w:tcBorders>
              <w:bottom w:val="single" w:sz="8" w:color="auto"/>
            </w:tcBorders>
            <w:shd w:val="clear" w:color="auto" w:fill="000000"/>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(0.54)</w:t>
            </w:r>
          </w:p>
        </w:tc>
        <w:tc>
          <w:tcPr>
            <w:tcW w:w="14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line="236" w:lineRule="exact"/>
              <w:rPr>
                <w:sz w:val="20"/>
                <w:szCs w:val="20"/>
                <w:color w:val="auto"/>
              </w:rPr>
            </w:pPr>
            <w:r>
              <w:rPr>
                <w:rFonts w:ascii="Arial" w:cs="Arial" w:eastAsia="Arial" w:hAnsi="Arial"/>
                <w:sz w:val="17"/>
                <w:szCs w:val="17"/>
                <w:color w:val="auto"/>
              </w:rPr>
              <w:t>Adjusted EPS – basic and diluted</w:t>
            </w:r>
            <w:r>
              <w:rPr>
                <w:rFonts w:ascii="Arial" w:cs="Arial" w:eastAsia="Arial" w:hAnsi="Arial"/>
                <w:sz w:val="27"/>
                <w:szCs w:val="27"/>
                <w:color w:val="auto"/>
                <w:vertAlign w:val="superscript"/>
              </w:rPr>
              <w:t>2</w:t>
            </w:r>
          </w:p>
        </w:tc>
        <w:tc>
          <w:tcPr>
            <w:tcW w:w="14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(0.16)</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(0.16)</w:t>
            </w:r>
          </w:p>
        </w:tc>
        <w:tc>
          <w:tcPr>
            <w:tcW w:w="20" w:type="dxa"/>
            <w:vAlign w:val="bottom"/>
            <w:tcBorders>
              <w:bottom w:val="single" w:sz="8" w:color="auto"/>
            </w:tcBorders>
            <w:shd w:val="clear" w:color="auto" w:fill="000000"/>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(0.44)</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71"/>
        </w:trPr>
        <w:tc>
          <w:tcPr>
            <w:tcW w:w="5620" w:type="dxa"/>
            <w:vAlign w:val="bottom"/>
            <w:tcBorders>
              <w:left w:val="single" w:sz="8" w:color="auto"/>
              <w:right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gridSpan w:val="3"/>
          </w:tcPr>
          <w:p>
            <w:pPr>
              <w:ind w:left="1160"/>
              <w:spacing w:after="0" w:line="171" w:lineRule="exact"/>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5620" w:type="dxa"/>
            <w:vAlign w:val="bottom"/>
            <w:tcBorders>
              <w:left w:val="single" w:sz="8" w:color="auto"/>
              <w:right w:val="single" w:sz="8" w:color="auto"/>
            </w:tcBorders>
          </w:tcPr>
          <w:p>
            <w:pPr>
              <w:spacing w:after="0"/>
              <w:rPr>
                <w:sz w:val="2"/>
                <w:szCs w:val="2"/>
                <w:color w:val="auto"/>
              </w:rPr>
            </w:pPr>
          </w:p>
        </w:tc>
        <w:tc>
          <w:tcPr>
            <w:tcW w:w="2920" w:type="dxa"/>
            <w:vAlign w:val="bottom"/>
            <w:gridSpan w:val="2"/>
            <w:vMerge w:val="restart"/>
          </w:tcPr>
          <w:p>
            <w:pPr>
              <w:jc w:val="right"/>
              <w:ind w:right="470"/>
              <w:spacing w:after="0"/>
              <w:rPr>
                <w:sz w:val="20"/>
                <w:szCs w:val="20"/>
                <w:color w:val="auto"/>
              </w:rPr>
            </w:pPr>
            <w:r>
              <w:rPr>
                <w:rFonts w:ascii="Arial" w:cs="Arial" w:eastAsia="Arial" w:hAnsi="Arial"/>
                <w:sz w:val="18"/>
                <w:szCs w:val="18"/>
                <w:b w:val="1"/>
                <w:bCs w:val="1"/>
                <w:color w:val="auto"/>
              </w:rPr>
              <w:t>September 30, 2017</w:t>
            </w:r>
          </w:p>
        </w:tc>
        <w:tc>
          <w:tcPr>
            <w:tcW w:w="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2640" w:type="dxa"/>
            <w:vAlign w:val="bottom"/>
            <w:tcBorders>
              <w:right w:val="single" w:sz="8" w:color="auto"/>
            </w:tcBorders>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line="20" w:lineRule="exact"/>
              <w:rPr>
                <w:sz w:val="1"/>
                <w:szCs w:val="1"/>
                <w:color w:val="auto"/>
              </w:rPr>
            </w:pPr>
          </w:p>
        </w:tc>
      </w:tr>
      <w:tr>
        <w:trPr>
          <w:trHeight w:val="203"/>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2640" w:type="dxa"/>
            <w:vAlign w:val="bottom"/>
            <w:tcBorders>
              <w:bottom w:val="single" w:sz="8" w:color="auto"/>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117.2</w:t>
            </w:r>
          </w:p>
        </w:tc>
        <w:tc>
          <w:tcPr>
            <w:tcW w:w="20" w:type="dxa"/>
            <w:vAlign w:val="bottom"/>
            <w:tcBorders>
              <w:bottom w:val="single" w:sz="8" w:color="auto"/>
            </w:tcBorders>
            <w:shd w:val="clear" w:color="auto" w:fill="000000"/>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Total shareholders’ equity</w:t>
            </w:r>
          </w:p>
        </w:tc>
        <w:tc>
          <w:tcPr>
            <w:tcW w:w="14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112.7</w:t>
            </w:r>
          </w:p>
        </w:tc>
        <w:tc>
          <w:tcPr>
            <w:tcW w:w="20" w:type="dxa"/>
            <w:vAlign w:val="bottom"/>
            <w:tcBorders>
              <w:bottom w:val="single" w:sz="8" w:color="auto"/>
            </w:tcBorders>
            <w:shd w:val="clear" w:color="auto" w:fill="000000"/>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Key financial data in CHF million except for share and per share data.</w:t>
      </w:r>
    </w:p>
    <w:p>
      <w:pPr>
        <w:spacing w:after="0" w:line="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Income (Loss) and Adjusted EPS are non-IFRS measures. See “Non-IFRS Financial Measures” below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Revenues fluctuate as a result of the timing of signing new collaboration agreements, the timing of milestone achievements, and the size of each milestone payment.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 Immune generated revenues of CHF 1.0 million in the three months ended September 30, 2017, a decrease of CHF 0.3 million over the comparable period in 2016. For the nine months ended September 30, 2017, AC Immune recorded revenues of CHF 3.8 million, a decrease of CHF 18.0 million from CHF 21.8 million in the same period of 2016.</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5" w:name="page26"/>
    <w:bookmarkEnd w:id="25"/>
    <w:p>
      <w:pPr>
        <w:jc w:val="both"/>
        <w:spacing w:after="0" w:line="243" w:lineRule="auto"/>
        <w:rPr>
          <w:sz w:val="20"/>
          <w:szCs w:val="20"/>
          <w:color w:val="auto"/>
        </w:rPr>
      </w:pPr>
      <w:r>
        <w:rPr>
          <w:rFonts w:ascii="Arial" w:cs="Arial" w:eastAsia="Arial" w:hAnsi="Arial"/>
          <w:sz w:val="18"/>
          <w:szCs w:val="18"/>
          <w:color w:val="auto"/>
        </w:rPr>
        <w:t>For the nine months ended September 30, 2017, the decrease in collaboration revenues was principally due to the recognition of two milestones reached in the first nine months of 2016 related to the anti-Tau antibody agreement with Genentech and the anti-Tau vaccine agreement with Janssen. Revenues in the first nine months of 2017 were mainly driven by a EUR 1 million (CHF 1.1 million) milestone from Piramal Imaging for the initiation of the Phase 1 clinical trial in the orphan indication of Progressive Supranuclear Palsy (PSP), and the recognition of CHF 2.7 million in research contribution revenues related to the alpha-synuclein and TDP-43 PET tracer collaboration with Biogen.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For the three and nine months ended September 30, 2017, research and development expenses totaled CHF 8.2 million and CHF 22.5 million, respectively, compared with CHF 7.7 million and CHF 18.7 million for the same periods in 2016.</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increase was primarily driven by further investment in the two anti-Abeta ACI-24 vaccine programs in Alzheimer’s disease and Down syndrome, in programs focused on Parkinson’s disease such as alpha-synuclein PET imaging, and in discovery programs for neurodegenerative orphan indications. The R&amp;D investment also reflects the addition of new hires brought on board to accelerate the development of proprietary and partnered pipeline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(G&amp;A) Expenses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General and administrative expenses amounted to CHF 2.5 million and CHF 7.0 million in the three and nine months ended September 30, 2017 compared with CHF 1.7 million and CHF 4.5 million in the same periods in 2016, respectively. The increase is predominantly due to increased operating expenses as the Company was publicly traded for the first nine months of 2017 and not in the comparable 2016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Loss for the period</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the three and nine months ended September 30, 2017, the Company had a net loss after taxes of CHF 8.8 million and CHF 30.6 million compared with net loss of CHF 9.1 million and CHF 2.3 million for the same periods in 2016. The decline in profitability is attributable to the decreased revenues for the periods as a result of prior milestone achievements and an increase in R&amp;D and G&amp;A expenses as outlined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September 30, 2017 AC Immune had total cash of CHF 117.2 million compared to CHF 152.2 million as of December 31, 2016. The decrease of CHF 35 million is principally due to the net loss of CHF 30.6 million for the nine month period. Net cash flows used in operating activities were CHF 28.4 million, due to the higher investments in our major discovery and development programs and the strengthening of the Company’s infrastructure, systems and organization during our first year as a publicly-traded company. Further details are available in our corresponding Statements of Cash Flows filed with our Form 6-K.</w:t>
      </w:r>
    </w:p>
    <w:p>
      <w:pPr>
        <w:spacing w:after="0" w:line="161" w:lineRule="exact"/>
        <w:rPr>
          <w:sz w:val="20"/>
          <w:szCs w:val="20"/>
          <w:color w:val="auto"/>
        </w:rPr>
      </w:pPr>
    </w:p>
    <w:p>
      <w:pPr>
        <w:ind w:right="4940"/>
        <w:spacing w:after="0" w:line="248" w:lineRule="auto"/>
        <w:rPr>
          <w:sz w:val="20"/>
          <w:szCs w:val="20"/>
          <w:color w:val="auto"/>
        </w:rPr>
      </w:pPr>
      <w:r>
        <w:rPr>
          <w:rFonts w:ascii="Arial" w:cs="Arial" w:eastAsia="Arial" w:hAnsi="Arial"/>
          <w:sz w:val="18"/>
          <w:szCs w:val="18"/>
          <w:b w:val="1"/>
          <w:bCs w:val="1"/>
          <w:u w:val="single" w:color="auto"/>
          <w:color w:val="auto"/>
        </w:rPr>
        <w:t xml:space="preserve">Third Quarter 2017 Company Highlights </w:t>
      </w:r>
      <w:r>
        <w:rPr>
          <w:rFonts w:ascii="Arial" w:cs="Arial" w:eastAsia="Arial" w:hAnsi="Arial"/>
          <w:sz w:val="18"/>
          <w:szCs w:val="18"/>
          <w:b w:val="1"/>
          <w:bCs w:val="1"/>
          <w:color w:val="auto"/>
        </w:rPr>
        <w:t>ACI-24 – anti-Abeta vaccine in Phase 1b in individuals with Down syndrome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Together with our prestigious partners recruitment was completed for the low-dose cohort in a Phase 1b trial targeting Alzheimer’s disease-like characteristics in individuals with Down syndrome. The study evaluates the safety, tolerability and immunogenicity of the anti-Abeta vaccine ACI-24 and is being funded through a grant from The US National Institute on Ageing and an additional grant from the LuMind Research Down Syndrome Foundation. Interim results are expected in 2018.</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Pipeline expansion with new antibodies against alpha-synuclein and TDP-43</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discovery marks the advancement of our business strategy by targeting pathological proteins involved in Alzheimer’s and Parkinson’s, beyond Abeta and Tau. These two antibodies might potentially also address significant neurodegenerative and orphan indications. Alpha-Synuclein is an established target for Parkinson’s disease and other Lewy body diseases while TDP-43 is a recently identified target of growing interest for neuro-orphan indications such as Frontotemporal Lobar Degeneration. Both antibodies were discovered using the Company’s proprietary SupraAntigen platform which has already generated four products in clinical development including Crenezumab our lead product candidate that is partnered with Genentech/Roche in Phase 3 for Alzheimer’s.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Continuation of 2015 Grant from The Michael J. Fox Foundation for Parkinson’s Research</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October 2017 the Company announced it has been awarded a continuation of a February 2015 research grant from the Michael J. Fox Foundation for Parkinson’s Research (MJFF). This provides funds for the development of Positron Emission Tomography (PET) tracers for the alpha-synuclein protein, to support the early diagnosis and clinical management of Parkinson’s disease. AC Immune has been collaborating on this biomarker program with Biogen, since April 2016. AC Immune expects to move the program into clinical development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Subsequent events</w:t>
      </w:r>
      <w:r>
        <w:rPr>
          <w:rFonts w:ascii="Arial" w:cs="Arial" w:eastAsia="Arial" w:hAnsi="Arial"/>
          <w:sz w:val="18"/>
          <w:szCs w:val="18"/>
          <w:b w:val="1"/>
          <w:bCs w:val="1"/>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Anti-Tau antibody - Genentech moved into Phase 2 triggering milestone</w:t>
      </w:r>
    </w:p>
    <w:p>
      <w:pPr>
        <w:jc w:val="both"/>
        <w:spacing w:after="0"/>
        <w:rPr>
          <w:sz w:val="20"/>
          <w:szCs w:val="20"/>
          <w:color w:val="auto"/>
        </w:rPr>
      </w:pPr>
      <w:r>
        <w:rPr>
          <w:rFonts w:ascii="Arial" w:cs="Arial" w:eastAsia="Arial" w:hAnsi="Arial"/>
          <w:sz w:val="18"/>
          <w:szCs w:val="18"/>
          <w:color w:val="auto"/>
        </w:rPr>
        <w:t>In November 2017, AC Immune became eligible to receive a milestone payment of CHF 14 million upon the dosing of the first patient in a Phase 2 clinical trial for Alzheimer’s disease (AD) the anti-Tau monoclonal antibody RO7105705 under a collaboration agreement with Genentech. This is the third milestone payment under the 2012 strategic collaboration and licensing agreement with Genentech for anti-Tau antibodies for the treatment of AD and other neurodegenerative diseases and is expected to be paid in the fourth quarter of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Non-IFRS Financial Measures</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 (Loss) and Adjusted Earnings (Loss) per share when monitoring and evaluating our operational performance. Adjusted Income (Loss) is defined as income (loss) for the relevant period, as adjusted for certain items that we believe are not indicative of our ongoing operating performance. Adjusted Earnings (Loss) per share is defined as Adjusted Income (Loss) for the relevant period divided by the weighted-average number of shares for such period.</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substitute for our IFRS financial measures and should be read in conjunction with AC Immune’s financial statements prepared in accordance with IFRS. The most directly comparable IFRS measure to these non-IFRS measures is net income (loss). The following table reconciles net income (loss) to Adjusted Net Earnings (Loss) and Adjusted Net Earnings (Loss) per share for the periods presented: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Reconciliation of Income/(Loss) to Adjusted Income/(Loss)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Earnings/(Loss) Per Share to Adjusted Earnings/(Loss)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24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For the three months</w:t>
            </w:r>
          </w:p>
        </w:tc>
        <w:tc>
          <w:tcPr>
            <w:tcW w:w="2920" w:type="dxa"/>
            <w:vAlign w:val="bottom"/>
            <w:gridSpan w:val="3"/>
          </w:tcPr>
          <w:p>
            <w:pPr>
              <w:jc w:val="right"/>
              <w:ind w:right="570"/>
              <w:spacing w:after="0"/>
              <w:rPr>
                <w:sz w:val="20"/>
                <w:szCs w:val="20"/>
                <w:color w:val="auto"/>
              </w:rPr>
            </w:pPr>
            <w:r>
              <w:rPr>
                <w:rFonts w:ascii="Arial" w:cs="Arial" w:eastAsia="Arial" w:hAnsi="Arial"/>
                <w:sz w:val="18"/>
                <w:szCs w:val="18"/>
                <w:color w:val="auto"/>
              </w:rPr>
              <w:t>For the nine months</w:t>
            </w:r>
          </w:p>
        </w:tc>
        <w:tc>
          <w:tcPr>
            <w:tcW w:w="0" w:type="dxa"/>
            <w:vAlign w:val="bottom"/>
          </w:tcPr>
          <w:p>
            <w:pPr>
              <w:spacing w:after="0"/>
              <w:rPr>
                <w:sz w:val="1"/>
                <w:szCs w:val="1"/>
                <w:color w:val="auto"/>
              </w:rPr>
            </w:pPr>
          </w:p>
        </w:tc>
      </w:tr>
      <w:tr>
        <w:trPr>
          <w:trHeight w:val="225"/>
        </w:trPr>
        <w:tc>
          <w:tcPr>
            <w:tcW w:w="5260" w:type="dxa"/>
            <w:vAlign w:val="bottom"/>
          </w:tcPr>
          <w:p>
            <w:pPr>
              <w:spacing w:after="0"/>
              <w:rPr>
                <w:sz w:val="19"/>
                <w:szCs w:val="19"/>
                <w:color w:val="auto"/>
              </w:rPr>
            </w:pPr>
          </w:p>
        </w:tc>
        <w:tc>
          <w:tcPr>
            <w:tcW w:w="3240" w:type="dxa"/>
            <w:vAlign w:val="bottom"/>
            <w:gridSpan w:val="4"/>
          </w:tcPr>
          <w:p>
            <w:pPr>
              <w:jc w:val="center"/>
              <w:ind w:right="220"/>
              <w:spacing w:after="0"/>
              <w:rPr>
                <w:sz w:val="20"/>
                <w:szCs w:val="20"/>
                <w:color w:val="auto"/>
              </w:rPr>
            </w:pPr>
            <w:r>
              <w:rPr>
                <w:rFonts w:ascii="Arial" w:cs="Arial" w:eastAsia="Arial" w:hAnsi="Arial"/>
                <w:sz w:val="18"/>
                <w:szCs w:val="18"/>
                <w:color w:val="auto"/>
              </w:rPr>
              <w:t>ended September 30,</w:t>
            </w:r>
          </w:p>
        </w:tc>
        <w:tc>
          <w:tcPr>
            <w:tcW w:w="2920" w:type="dxa"/>
            <w:vAlign w:val="bottom"/>
            <w:gridSpan w:val="3"/>
          </w:tcPr>
          <w:p>
            <w:pPr>
              <w:jc w:val="right"/>
              <w:ind w:right="510"/>
              <w:spacing w:after="0"/>
              <w:rPr>
                <w:sz w:val="20"/>
                <w:szCs w:val="20"/>
                <w:color w:val="auto"/>
              </w:rPr>
            </w:pPr>
            <w:r>
              <w:rPr>
                <w:rFonts w:ascii="Arial" w:cs="Arial" w:eastAsia="Arial" w:hAnsi="Arial"/>
                <w:sz w:val="18"/>
                <w:szCs w:val="18"/>
                <w:color w:val="auto"/>
              </w:rPr>
              <w:t>ended September 30,</w:t>
            </w:r>
          </w:p>
        </w:tc>
        <w:tc>
          <w:tcPr>
            <w:tcW w:w="0" w:type="dxa"/>
            <w:vAlign w:val="bottom"/>
          </w:tcPr>
          <w:p>
            <w:pPr>
              <w:spacing w:after="0"/>
              <w:rPr>
                <w:sz w:val="1"/>
                <w:szCs w:val="1"/>
                <w:color w:val="auto"/>
              </w:rPr>
            </w:pPr>
          </w:p>
        </w:tc>
      </w:tr>
      <w:tr>
        <w:trPr>
          <w:trHeight w:val="210"/>
        </w:trPr>
        <w:tc>
          <w:tcPr>
            <w:tcW w:w="5260" w:type="dxa"/>
            <w:vAlign w:val="bottom"/>
            <w:vMerge w:val="restart"/>
          </w:tcPr>
          <w:p>
            <w:pPr>
              <w:spacing w:after="0"/>
              <w:rPr>
                <w:sz w:val="20"/>
                <w:szCs w:val="20"/>
                <w:color w:val="auto"/>
              </w:rPr>
            </w:pPr>
            <w:r>
              <w:rPr>
                <w:rFonts w:ascii="Arial" w:cs="Arial" w:eastAsia="Arial" w:hAnsi="Arial"/>
                <w:sz w:val="18"/>
                <w:szCs w:val="18"/>
                <w:color w:val="auto"/>
              </w:rPr>
              <w:t>in CHF thousands except for share and per share data</w:t>
            </w:r>
          </w:p>
        </w:tc>
        <w:tc>
          <w:tcPr>
            <w:tcW w:w="14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Income/(Loss)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(30,575)</w:t>
            </w: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173"/>
        </w:trPr>
        <w:tc>
          <w:tcPr>
            <w:tcW w:w="5260" w:type="dxa"/>
            <w:vAlign w:val="bottom"/>
          </w:tcPr>
          <w:p>
            <w:pPr>
              <w:spacing w:after="0" w:line="173" w:lineRule="exact"/>
              <w:rPr>
                <w:sz w:val="20"/>
                <w:szCs w:val="20"/>
                <w:color w:val="auto"/>
              </w:rPr>
            </w:pPr>
            <w:r>
              <w:rPr>
                <w:rFonts w:ascii="Arial" w:cs="Arial" w:eastAsia="Arial" w:hAnsi="Arial"/>
                <w:sz w:val="18"/>
                <w:szCs w:val="18"/>
                <w:color w:val="auto"/>
              </w:rPr>
              <w:t>Adjustments:</w:t>
            </w: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Non-cash share-based</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payments (a)</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570</w:t>
            </w:r>
          </w:p>
        </w:tc>
        <w:tc>
          <w:tcPr>
            <w:tcW w:w="22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200</w:t>
            </w:r>
          </w:p>
        </w:tc>
        <w:tc>
          <w:tcPr>
            <w:tcW w:w="22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824</w:t>
            </w:r>
          </w:p>
        </w:tc>
        <w:tc>
          <w:tcPr>
            <w:tcW w:w="20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5"/>
        </w:trPr>
        <w:tc>
          <w:tcPr>
            <w:tcW w:w="5260" w:type="dxa"/>
            <w:vAlign w:val="bottom"/>
          </w:tcPr>
          <w:p>
            <w:pPr>
              <w:spacing w:after="0"/>
              <w:rPr>
                <w:sz w:val="20"/>
                <w:szCs w:val="20"/>
                <w:color w:val="auto"/>
              </w:rPr>
            </w:pPr>
            <w:r>
              <w:rPr>
                <w:rFonts w:ascii="Arial" w:cs="Arial" w:eastAsia="Arial" w:hAnsi="Arial"/>
                <w:sz w:val="18"/>
                <w:szCs w:val="18"/>
                <w:color w:val="auto"/>
              </w:rPr>
              <w:t>Foreign currency (gains)/losses (b)</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4,843</w:t>
            </w: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Adjusted Income/(loss)</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(9,023)</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(7,970)</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(24,908)</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Earnings/(Loss) per share – basic and diluted</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Adjustment to earnings/(loss) per share – basic and diluted</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0.10</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73"/>
        </w:trPr>
        <w:tc>
          <w:tcPr>
            <w:tcW w:w="5260" w:type="dxa"/>
            <w:vAlign w:val="bottom"/>
          </w:tcPr>
          <w:p>
            <w:pPr>
              <w:spacing w:after="0" w:line="173" w:lineRule="exact"/>
              <w:rPr>
                <w:sz w:val="20"/>
                <w:szCs w:val="20"/>
                <w:color w:val="auto"/>
              </w:rPr>
            </w:pPr>
            <w:r>
              <w:rPr>
                <w:rFonts w:ascii="Arial" w:cs="Arial" w:eastAsia="Arial" w:hAnsi="Arial"/>
                <w:sz w:val="18"/>
                <w:szCs w:val="18"/>
                <w:color w:val="auto"/>
              </w:rPr>
              <w:t>Adjusted Earnings (Loss) per share – basic and diluted</w:t>
            </w:r>
          </w:p>
        </w:tc>
        <w:tc>
          <w:tcPr>
            <w:tcW w:w="1400" w:type="dxa"/>
            <w:vAlign w:val="bottom"/>
          </w:tcPr>
          <w:p>
            <w:pPr>
              <w:jc w:val="right"/>
              <w:spacing w:after="0" w:line="173" w:lineRule="exact"/>
              <w:rPr>
                <w:sz w:val="20"/>
                <w:szCs w:val="20"/>
                <w:color w:val="auto"/>
              </w:rPr>
            </w:pPr>
            <w:r>
              <w:rPr>
                <w:rFonts w:ascii="Arial" w:cs="Arial" w:eastAsia="Arial" w:hAnsi="Arial"/>
                <w:sz w:val="18"/>
                <w:szCs w:val="18"/>
                <w:color w:val="auto"/>
              </w:rPr>
              <w:t>(0.16)</w:t>
            </w:r>
          </w:p>
        </w:tc>
        <w:tc>
          <w:tcPr>
            <w:tcW w:w="220" w:type="dxa"/>
            <w:vAlign w:val="bottom"/>
          </w:tcPr>
          <w:p>
            <w:pPr>
              <w:spacing w:after="0"/>
              <w:rPr>
                <w:sz w:val="15"/>
                <w:szCs w:val="15"/>
                <w:color w:val="auto"/>
              </w:rPr>
            </w:pPr>
          </w:p>
        </w:tc>
        <w:tc>
          <w:tcPr>
            <w:tcW w:w="1400" w:type="dxa"/>
            <w:vAlign w:val="bottom"/>
          </w:tcPr>
          <w:p>
            <w:pPr>
              <w:jc w:val="right"/>
              <w:spacing w:after="0" w:line="173" w:lineRule="exact"/>
              <w:rPr>
                <w:sz w:val="20"/>
                <w:szCs w:val="20"/>
                <w:color w:val="auto"/>
              </w:rPr>
            </w:pPr>
            <w:r>
              <w:rPr>
                <w:rFonts w:ascii="Arial" w:cs="Arial" w:eastAsia="Arial" w:hAnsi="Arial"/>
                <w:sz w:val="18"/>
                <w:szCs w:val="18"/>
                <w:color w:val="auto"/>
              </w:rPr>
              <w:t>(0.16)</w:t>
            </w:r>
          </w:p>
        </w:tc>
        <w:tc>
          <w:tcPr>
            <w:tcW w:w="220" w:type="dxa"/>
            <w:vAlign w:val="bottom"/>
          </w:tcPr>
          <w:p>
            <w:pPr>
              <w:spacing w:after="0"/>
              <w:rPr>
                <w:sz w:val="15"/>
                <w:szCs w:val="15"/>
                <w:color w:val="auto"/>
              </w:rPr>
            </w:pPr>
          </w:p>
        </w:tc>
        <w:tc>
          <w:tcPr>
            <w:tcW w:w="1360" w:type="dxa"/>
            <w:vAlign w:val="bottom"/>
          </w:tcPr>
          <w:p>
            <w:pPr>
              <w:jc w:val="right"/>
              <w:spacing w:after="0" w:line="173" w:lineRule="exact"/>
              <w:rPr>
                <w:sz w:val="20"/>
                <w:szCs w:val="20"/>
                <w:color w:val="auto"/>
              </w:rPr>
            </w:pPr>
            <w:r>
              <w:rPr>
                <w:rFonts w:ascii="Arial" w:cs="Arial" w:eastAsia="Arial" w:hAnsi="Arial"/>
                <w:sz w:val="18"/>
                <w:szCs w:val="18"/>
                <w:color w:val="auto"/>
              </w:rPr>
              <w:t>(0.44)</w:t>
            </w:r>
          </w:p>
        </w:tc>
        <w:tc>
          <w:tcPr>
            <w:tcW w:w="200" w:type="dxa"/>
            <w:vAlign w:val="bottom"/>
          </w:tcPr>
          <w:p>
            <w:pPr>
              <w:spacing w:after="0"/>
              <w:rPr>
                <w:sz w:val="15"/>
                <w:szCs w:val="15"/>
                <w:color w:val="auto"/>
              </w:rPr>
            </w:pPr>
          </w:p>
        </w:tc>
        <w:tc>
          <w:tcPr>
            <w:tcW w:w="1360" w:type="dxa"/>
            <w:vAlign w:val="bottom"/>
          </w:tcPr>
          <w:p>
            <w:pPr>
              <w:jc w:val="right"/>
              <w:spacing w:after="0" w:line="17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
        </w:trPr>
        <w:tc>
          <w:tcPr>
            <w:tcW w:w="5260" w:type="dxa"/>
            <w:vAlign w:val="bottom"/>
            <w:vMerge w:val="restart"/>
          </w:tcPr>
          <w:p>
            <w:pPr>
              <w:spacing w:after="0" w:line="202" w:lineRule="exact"/>
              <w:rPr>
                <w:sz w:val="20"/>
                <w:szCs w:val="20"/>
                <w:color w:val="auto"/>
              </w:rPr>
            </w:pPr>
            <w:r>
              <w:rPr>
                <w:rFonts w:ascii="Arial" w:cs="Arial" w:eastAsia="Arial" w:hAnsi="Arial"/>
                <w:sz w:val="18"/>
                <w:szCs w:val="18"/>
                <w:color w:val="auto"/>
              </w:rPr>
              <w:t>Weighted-average number of shares used to compute</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2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260" w:type="dxa"/>
            <w:vAlign w:val="bottom"/>
          </w:tcPr>
          <w:p>
            <w:pPr>
              <w:ind w:left="180"/>
              <w:spacing w:after="0"/>
              <w:rPr>
                <w:sz w:val="20"/>
                <w:szCs w:val="20"/>
                <w:color w:val="auto"/>
              </w:rPr>
            </w:pPr>
            <w:r>
              <w:rPr>
                <w:rFonts w:ascii="Arial" w:cs="Arial" w:eastAsia="Arial" w:hAnsi="Arial"/>
                <w:sz w:val="18"/>
                <w:szCs w:val="18"/>
                <w:color w:val="auto"/>
              </w:rPr>
              <w:t>Adjusted Earnings (Loss) per share – basic and diluted</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57,164,145</w:t>
            </w:r>
          </w:p>
        </w:tc>
        <w:tc>
          <w:tcPr>
            <w:tcW w:w="220" w:type="dxa"/>
            <w:vAlign w:val="bottom"/>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49,453,058</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57,023,032</w:t>
            </w:r>
          </w:p>
        </w:tc>
        <w:tc>
          <w:tcPr>
            <w:tcW w:w="200" w:type="dxa"/>
            <w:vAlign w:val="bottom"/>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47,993,347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20" w:hanging="312"/>
        <w:spacing w:after="0" w:line="255"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50"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Expenditures</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Adjustments for the three and nine months ended September 30, 2017 were CHF 0.2 million in net gains and CHF 5.7 million in net losses, respectively. These were largely due to foreign currency remeasurement gains and losses of CHF 0.8 million and CHF 4.8 million, respectively, predominantly related to the cash balance of the Company as a result of a weakening of the US Dollar against the Swiss Franc for most of the first half of the year offset by gains in the third quarter. The Company also recorded CHF 0.6 million and CHF 0.8 million for the three and nine months, respectively, for share-based compensation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AC Immune is a clinical stage Swiss-based biopharmaceutical company focused on neurodegenerative diseases with four product candidates in clinical trials. The Company designs, discovers and develops therapeutic and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The most advanced of these is crenezumab, an anti-Abeta antibody in Phase 3 clinical studies for AD that is being conducted by the collaboration partner Genentech. Other collaborations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28" w:name="page29"/>
    <w:bookmarkEnd w:id="28"/>
    <w:p>
      <w:pPr>
        <w:ind w:right="1640"/>
        <w:spacing w:after="0" w:line="469" w:lineRule="auto"/>
        <w:rPr>
          <w:sz w:val="20"/>
          <w:szCs w:val="20"/>
          <w:color w:val="auto"/>
        </w:rPr>
      </w:pPr>
      <w:r>
        <w:rPr>
          <w:rFonts w:ascii="Arial" w:cs="Arial" w:eastAsia="Arial" w:hAnsi="Arial"/>
          <w:sz w:val="18"/>
          <w:szCs w:val="18"/>
          <w:color w:val="auto"/>
        </w:rPr>
        <w:t xml:space="preserve">include Biogen, Janssen Pharmaceuticals, Nestlé Institute of Health Sciences, Piramal Imaging and Essex Bio-Technology. </w:t>
      </w:r>
      <w:r>
        <w:rPr>
          <w:rFonts w:ascii="Arial" w:cs="Arial" w:eastAsia="Arial" w:hAnsi="Arial"/>
          <w:sz w:val="18"/>
          <w:szCs w:val="18"/>
          <w:b w:val="1"/>
          <w:bCs w:val="1"/>
          <w:color w:val="auto"/>
        </w:rPr>
        <w:t>Forward looking statements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80" w:type="dxa"/>
            <w:vAlign w:val="bottom"/>
            <w:tcBorders>
              <w:top w:val="single" w:sz="8" w:color="auto"/>
              <w:left w:val="single" w:sz="8" w:color="auto"/>
            </w:tcBorders>
          </w:tcPr>
          <w:p>
            <w:pPr>
              <w:spacing w:after="0"/>
              <w:rPr>
                <w:sz w:val="19"/>
                <w:szCs w:val="19"/>
                <w:color w:val="auto"/>
              </w:rPr>
            </w:pPr>
          </w:p>
        </w:tc>
        <w:tc>
          <w:tcPr>
            <w:tcW w:w="488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b w:val="1"/>
                <w:bCs w:val="1"/>
                <w:color w:val="auto"/>
              </w:rPr>
              <w:t>In Europe</w:t>
            </w:r>
          </w:p>
        </w:tc>
        <w:tc>
          <w:tcPr>
            <w:tcW w:w="53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In the US</w:t>
            </w:r>
          </w:p>
        </w:tc>
        <w:tc>
          <w:tcPr>
            <w:tcW w:w="1140" w:type="dxa"/>
            <w:vAlign w:val="bottom"/>
          </w:tcPr>
          <w:p>
            <w:pPr>
              <w:spacing w:after="0"/>
              <w:rPr>
                <w:sz w:val="19"/>
                <w:szCs w:val="19"/>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Eva Schier</w:t>
            </w:r>
          </w:p>
        </w:tc>
        <w:tc>
          <w:tcPr>
            <w:tcW w:w="5320" w:type="dxa"/>
            <w:vAlign w:val="bottom"/>
            <w:tcBorders>
              <w:right w:val="single" w:sz="8" w:color="auto"/>
            </w:tcBorders>
            <w:gridSpan w:val="4"/>
          </w:tcPr>
          <w:p>
            <w:pPr>
              <w:ind w:left="40"/>
              <w:spacing w:after="0" w:line="202" w:lineRule="exact"/>
              <w:rPr>
                <w:sz w:val="20"/>
                <w:szCs w:val="20"/>
                <w:color w:val="auto"/>
              </w:rPr>
            </w:pPr>
            <w:r>
              <w:rPr>
                <w:rFonts w:ascii="Arial" w:cs="Arial" w:eastAsia="Arial" w:hAnsi="Arial"/>
                <w:sz w:val="18"/>
                <w:szCs w:val="18"/>
                <w:color w:val="auto"/>
              </w:rPr>
              <w:t>Lisa Sher</w:t>
            </w:r>
          </w:p>
        </w:tc>
        <w:tc>
          <w:tcPr>
            <w:tcW w:w="1140" w:type="dxa"/>
            <w:vAlign w:val="bottom"/>
          </w:tcPr>
          <w:p>
            <w:pPr>
              <w:spacing w:after="0"/>
              <w:rPr>
                <w:sz w:val="17"/>
                <w:szCs w:val="17"/>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AC Immune Corporate Communications</w:t>
            </w:r>
          </w:p>
        </w:tc>
        <w:tc>
          <w:tcPr>
            <w:tcW w:w="5320" w:type="dxa"/>
            <w:vAlign w:val="bottom"/>
            <w:tcBorders>
              <w:right w:val="single" w:sz="8" w:color="auto"/>
            </w:tcBorders>
            <w:gridSpan w:val="4"/>
          </w:tcPr>
          <w:p>
            <w:pPr>
              <w:ind w:left="40"/>
              <w:spacing w:after="0" w:line="202" w:lineRule="exact"/>
              <w:rPr>
                <w:sz w:val="20"/>
                <w:szCs w:val="20"/>
                <w:color w:val="auto"/>
              </w:rPr>
            </w:pPr>
            <w:r>
              <w:rPr>
                <w:rFonts w:ascii="Arial" w:cs="Arial" w:eastAsia="Arial" w:hAnsi="Arial"/>
                <w:sz w:val="18"/>
                <w:szCs w:val="18"/>
                <w:color w:val="auto"/>
              </w:rPr>
              <w:t>AC Immune Investor Relations</w:t>
            </w:r>
          </w:p>
        </w:tc>
        <w:tc>
          <w:tcPr>
            <w:tcW w:w="1140" w:type="dxa"/>
            <w:vAlign w:val="bottom"/>
          </w:tcPr>
          <w:p>
            <w:pPr>
              <w:spacing w:after="0"/>
              <w:rPr>
                <w:sz w:val="17"/>
                <w:szCs w:val="17"/>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Phone: +41 21 345 91 34</w:t>
            </w:r>
          </w:p>
        </w:tc>
        <w:tc>
          <w:tcPr>
            <w:tcW w:w="5320" w:type="dxa"/>
            <w:vAlign w:val="bottom"/>
            <w:tcBorders>
              <w:right w:val="single" w:sz="8" w:color="auto"/>
            </w:tcBorders>
            <w:gridSpan w:val="4"/>
          </w:tcPr>
          <w:p>
            <w:pPr>
              <w:ind w:left="40"/>
              <w:spacing w:after="0" w:line="202" w:lineRule="exact"/>
              <w:rPr>
                <w:sz w:val="20"/>
                <w:szCs w:val="20"/>
                <w:color w:val="auto"/>
              </w:rPr>
            </w:pPr>
            <w:r>
              <w:rPr>
                <w:rFonts w:ascii="Arial" w:cs="Arial" w:eastAsia="Arial" w:hAnsi="Arial"/>
                <w:sz w:val="18"/>
                <w:szCs w:val="18"/>
                <w:color w:val="auto"/>
              </w:rPr>
              <w:t>Phone: +1 970 987 26 54</w:t>
            </w:r>
          </w:p>
        </w:tc>
        <w:tc>
          <w:tcPr>
            <w:tcW w:w="1140" w:type="dxa"/>
            <w:vAlign w:val="bottom"/>
          </w:tcPr>
          <w:p>
            <w:pPr>
              <w:spacing w:after="0"/>
              <w:rPr>
                <w:sz w:val="17"/>
                <w:szCs w:val="17"/>
                <w:color w:val="auto"/>
              </w:rPr>
            </w:pPr>
          </w:p>
        </w:tc>
      </w:tr>
      <w:tr>
        <w:trPr>
          <w:trHeight w:val="198"/>
        </w:trPr>
        <w:tc>
          <w:tcPr>
            <w:tcW w:w="8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gridSpan w:val="5"/>
          </w:tcPr>
          <w:p>
            <w:pPr>
              <w:spacing w:after="0" w:line="199" w:lineRule="exact"/>
              <w:rPr>
                <w:sz w:val="20"/>
                <w:szCs w:val="20"/>
                <w:color w:val="auto"/>
              </w:rPr>
            </w:pPr>
            <w:r>
              <w:rPr>
                <w:rFonts w:ascii="Arial" w:cs="Arial" w:eastAsia="Arial" w:hAnsi="Arial"/>
                <w:sz w:val="18"/>
                <w:szCs w:val="18"/>
                <w:color w:val="auto"/>
              </w:rPr>
              <w:t>E-mail: eva.schier@acimmune.com</w:t>
            </w:r>
          </w:p>
        </w:tc>
        <w:tc>
          <w:tcPr>
            <w:tcW w:w="5320" w:type="dxa"/>
            <w:vAlign w:val="bottom"/>
            <w:tcBorders>
              <w:right w:val="single" w:sz="8" w:color="auto"/>
            </w:tcBorders>
            <w:gridSpan w:val="4"/>
          </w:tcPr>
          <w:p>
            <w:pPr>
              <w:ind w:left="40"/>
              <w:spacing w:after="0" w:line="199" w:lineRule="exact"/>
              <w:rPr>
                <w:sz w:val="20"/>
                <w:szCs w:val="20"/>
                <w:color w:val="auto"/>
              </w:rPr>
            </w:pPr>
            <w:r>
              <w:rPr>
                <w:rFonts w:ascii="Arial" w:cs="Arial" w:eastAsia="Arial" w:hAnsi="Arial"/>
                <w:sz w:val="18"/>
                <w:szCs w:val="18"/>
                <w:color w:val="auto"/>
              </w:rPr>
              <w:t>E-mail: lisa.sher@acimmune.com</w:t>
            </w:r>
          </w:p>
        </w:tc>
        <w:tc>
          <w:tcPr>
            <w:tcW w:w="1140" w:type="dxa"/>
            <w:vAlign w:val="bottom"/>
          </w:tcPr>
          <w:p>
            <w:pPr>
              <w:spacing w:after="0"/>
              <w:rPr>
                <w:sz w:val="17"/>
                <w:szCs w:val="17"/>
                <w:color w:val="auto"/>
              </w:rPr>
            </w:pPr>
          </w:p>
        </w:tc>
      </w:tr>
      <w:tr>
        <w:trPr>
          <w:trHeight w:val="88"/>
        </w:trPr>
        <w:tc>
          <w:tcPr>
            <w:tcW w:w="80" w:type="dxa"/>
            <w:vAlign w:val="bottom"/>
            <w:tcBorders>
              <w:left w:val="single" w:sz="8" w:color="auto"/>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60" w:type="dxa"/>
            <w:vAlign w:val="bottom"/>
            <w:tcBorders>
              <w:top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1140" w:type="dxa"/>
            <w:vAlign w:val="bottom"/>
          </w:tcPr>
          <w:p>
            <w:pPr>
              <w:spacing w:after="0"/>
              <w:rPr>
                <w:sz w:val="7"/>
                <w:szCs w:val="7"/>
                <w:color w:val="auto"/>
              </w:rPr>
            </w:pPr>
          </w:p>
        </w:tc>
      </w:tr>
      <w:tr>
        <w:trPr>
          <w:trHeight w:val="227"/>
        </w:trPr>
        <w:tc>
          <w:tcPr>
            <w:tcW w:w="80" w:type="dxa"/>
            <w:vAlign w:val="bottom"/>
            <w:tcBorders>
              <w:left w:val="single" w:sz="8" w:color="auto"/>
            </w:tcBorders>
          </w:tcPr>
          <w:p>
            <w:pPr>
              <w:spacing w:after="0"/>
              <w:rPr>
                <w:sz w:val="19"/>
                <w:szCs w:val="19"/>
                <w:color w:val="auto"/>
              </w:rPr>
            </w:pPr>
          </w:p>
        </w:tc>
        <w:tc>
          <w:tcPr>
            <w:tcW w:w="48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Nick Miles /Toomas Kull</w:t>
            </w:r>
          </w:p>
        </w:tc>
        <w:tc>
          <w:tcPr>
            <w:tcW w:w="53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Ted Agne</w:t>
            </w:r>
          </w:p>
        </w:tc>
        <w:tc>
          <w:tcPr>
            <w:tcW w:w="1140" w:type="dxa"/>
            <w:vAlign w:val="bottom"/>
          </w:tcPr>
          <w:p>
            <w:pPr>
              <w:spacing w:after="0"/>
              <w:rPr>
                <w:sz w:val="19"/>
                <w:szCs w:val="19"/>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Cabinet Privé de Conseils s.a.</w:t>
            </w:r>
          </w:p>
        </w:tc>
        <w:tc>
          <w:tcPr>
            <w:tcW w:w="5320" w:type="dxa"/>
            <w:vAlign w:val="bottom"/>
            <w:tcBorders>
              <w:right w:val="single" w:sz="8" w:color="auto"/>
            </w:tcBorders>
            <w:gridSpan w:val="4"/>
          </w:tcPr>
          <w:p>
            <w:pPr>
              <w:ind w:left="40"/>
              <w:spacing w:after="0" w:line="202" w:lineRule="exact"/>
              <w:rPr>
                <w:sz w:val="20"/>
                <w:szCs w:val="20"/>
                <w:color w:val="auto"/>
              </w:rPr>
            </w:pPr>
            <w:r>
              <w:rPr>
                <w:rFonts w:ascii="Arial" w:cs="Arial" w:eastAsia="Arial" w:hAnsi="Arial"/>
                <w:sz w:val="18"/>
                <w:szCs w:val="18"/>
                <w:color w:val="auto"/>
              </w:rPr>
              <w:t>The Communications Strategy Group Inc.</w:t>
            </w:r>
          </w:p>
        </w:tc>
        <w:tc>
          <w:tcPr>
            <w:tcW w:w="1140" w:type="dxa"/>
            <w:vAlign w:val="bottom"/>
          </w:tcPr>
          <w:p>
            <w:pPr>
              <w:spacing w:after="0"/>
              <w:rPr>
                <w:sz w:val="17"/>
                <w:szCs w:val="17"/>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Phone: +41 22 552 46 46</w:t>
            </w:r>
          </w:p>
        </w:tc>
        <w:tc>
          <w:tcPr>
            <w:tcW w:w="5320" w:type="dxa"/>
            <w:vAlign w:val="bottom"/>
            <w:tcBorders>
              <w:right w:val="single" w:sz="8" w:color="auto"/>
            </w:tcBorders>
            <w:gridSpan w:val="4"/>
          </w:tcPr>
          <w:p>
            <w:pPr>
              <w:ind w:left="40"/>
              <w:spacing w:after="0" w:line="202" w:lineRule="exact"/>
              <w:rPr>
                <w:sz w:val="20"/>
                <w:szCs w:val="20"/>
                <w:color w:val="auto"/>
              </w:rPr>
            </w:pPr>
            <w:r>
              <w:rPr>
                <w:rFonts w:ascii="Arial" w:cs="Arial" w:eastAsia="Arial" w:hAnsi="Arial"/>
                <w:sz w:val="18"/>
                <w:szCs w:val="18"/>
                <w:color w:val="auto"/>
              </w:rPr>
              <w:t>Phone: +1 781 631 3117</w:t>
            </w:r>
          </w:p>
        </w:tc>
        <w:tc>
          <w:tcPr>
            <w:tcW w:w="1140" w:type="dxa"/>
            <w:vAlign w:val="bottom"/>
          </w:tcPr>
          <w:p>
            <w:pPr>
              <w:spacing w:after="0"/>
              <w:rPr>
                <w:sz w:val="17"/>
                <w:szCs w:val="17"/>
                <w:color w:val="auto"/>
              </w:rPr>
            </w:pPr>
          </w:p>
        </w:tc>
      </w:tr>
      <w:tr>
        <w:trPr>
          <w:trHeight w:val="198"/>
        </w:trPr>
        <w:tc>
          <w:tcPr>
            <w:tcW w:w="8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gridSpan w:val="5"/>
          </w:tcPr>
          <w:p>
            <w:pPr>
              <w:spacing w:after="0" w:line="199" w:lineRule="exact"/>
              <w:rPr>
                <w:sz w:val="20"/>
                <w:szCs w:val="20"/>
                <w:color w:val="auto"/>
              </w:rPr>
            </w:pPr>
            <w:r>
              <w:rPr>
                <w:rFonts w:ascii="Arial" w:cs="Arial" w:eastAsia="Arial" w:hAnsi="Arial"/>
                <w:sz w:val="18"/>
                <w:szCs w:val="18"/>
                <w:color w:val="auto"/>
              </w:rPr>
              <w:t>E-mail: miles@cpc-pr.com</w:t>
            </w:r>
          </w:p>
        </w:tc>
        <w:tc>
          <w:tcPr>
            <w:tcW w:w="5320" w:type="dxa"/>
            <w:vAlign w:val="bottom"/>
            <w:tcBorders>
              <w:right w:val="single" w:sz="8" w:color="auto"/>
            </w:tcBorders>
            <w:gridSpan w:val="4"/>
          </w:tcPr>
          <w:p>
            <w:pPr>
              <w:ind w:left="40"/>
              <w:spacing w:after="0" w:line="199" w:lineRule="exact"/>
              <w:rPr>
                <w:sz w:val="20"/>
                <w:szCs w:val="20"/>
                <w:color w:val="auto"/>
              </w:rPr>
            </w:pPr>
            <w:r>
              <w:rPr>
                <w:rFonts w:ascii="Arial" w:cs="Arial" w:eastAsia="Arial" w:hAnsi="Arial"/>
                <w:sz w:val="18"/>
                <w:szCs w:val="18"/>
                <w:color w:val="auto"/>
              </w:rPr>
              <w:t>E-mail: edagne@comstratgroup.com</w:t>
            </w:r>
          </w:p>
        </w:tc>
        <w:tc>
          <w:tcPr>
            <w:tcW w:w="1140" w:type="dxa"/>
            <w:vAlign w:val="bottom"/>
          </w:tcPr>
          <w:p>
            <w:pPr>
              <w:spacing w:after="0"/>
              <w:rPr>
                <w:sz w:val="17"/>
                <w:szCs w:val="17"/>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600" w:type="dxa"/>
            <w:vAlign w:val="bottom"/>
          </w:tcPr>
          <w:p>
            <w:pPr>
              <w:spacing w:after="0" w:line="182" w:lineRule="exact"/>
              <w:rPr>
                <w:sz w:val="20"/>
                <w:szCs w:val="20"/>
                <w:color w:val="auto"/>
              </w:rPr>
            </w:pPr>
            <w:r>
              <w:rPr>
                <w:rFonts w:ascii="Arial" w:cs="Arial" w:eastAsia="Arial" w:hAnsi="Arial"/>
                <w:sz w:val="18"/>
                <w:szCs w:val="18"/>
                <w:color w:val="auto"/>
                <w:w w:val="79"/>
              </w:rPr>
              <w:t>kull@cpc</w:t>
            </w:r>
          </w:p>
        </w:tc>
        <w:tc>
          <w:tcPr>
            <w:tcW w:w="148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8"/>
                <w:szCs w:val="18"/>
                <w:color w:val="auto"/>
              </w:rPr>
              <w:t>-pr.com</w:t>
            </w:r>
          </w:p>
        </w:tc>
        <w:tc>
          <w:tcPr>
            <w:tcW w:w="2800" w:type="dxa"/>
            <w:vAlign w:val="bottom"/>
            <w:tcBorders>
              <w:right w:val="single" w:sz="8" w:color="auto"/>
            </w:tcBorders>
            <w:gridSpan w:val="2"/>
          </w:tcPr>
          <w:p>
            <w:pPr>
              <w:spacing w:after="0"/>
              <w:rPr>
                <w:sz w:val="15"/>
                <w:szCs w:val="15"/>
                <w:color w:val="auto"/>
              </w:rPr>
            </w:pPr>
          </w:p>
        </w:tc>
        <w:tc>
          <w:tcPr>
            <w:tcW w:w="660" w:type="dxa"/>
            <w:vAlign w:val="bottom"/>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r>
      <w:tr>
        <w:trPr>
          <w:trHeight w:val="88"/>
        </w:trPr>
        <w:tc>
          <w:tcPr>
            <w:tcW w:w="80" w:type="dxa"/>
            <w:vAlign w:val="bottom"/>
            <w:tcBorders>
              <w:left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1140" w:type="dxa"/>
            <w:vAlign w:val="bottom"/>
          </w:tcPr>
          <w:p>
            <w:pPr>
              <w:spacing w:after="0"/>
              <w:rPr>
                <w:sz w:val="7"/>
                <w:szCs w:val="7"/>
                <w:color w:val="auto"/>
              </w:rPr>
            </w:pPr>
          </w:p>
        </w:tc>
      </w:tr>
      <w:tr>
        <w:trPr>
          <w:trHeight w:val="534"/>
        </w:trPr>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6"/>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8"/>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2019-12-08T04:06:07Z</dcterms:created>
  <dcterms:modified xsi:type="dcterms:W3CDTF">2019-12-08T04:06:07Z</dcterms:modified>
</cp:coreProperties>
</file>