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333-224694</w:t>
      </w:r>
    </w:p>
    <w:p>
      <w:pPr>
        <w:spacing w:after="0" w:line="211" w:lineRule="exact"/>
        <w:rPr>
          <w:sz w:val="24"/>
          <w:szCs w:val="24"/>
          <w:color w:val="auto"/>
        </w:rPr>
      </w:pPr>
    </w:p>
    <w:p>
      <w:pPr>
        <w:ind w:right="160" w:firstLine="324"/>
        <w:spacing w:after="0" w:line="259" w:lineRule="auto"/>
        <w:rPr>
          <w:sz w:val="20"/>
          <w:szCs w:val="20"/>
          <w:color w:val="auto"/>
        </w:rPr>
      </w:pPr>
      <w:r>
        <w:rPr>
          <w:rFonts w:ascii="Arial" w:cs="Arial" w:eastAsia="Arial" w:hAnsi="Arial"/>
          <w:sz w:val="18"/>
          <w:szCs w:val="18"/>
          <w:color w:val="FF0000"/>
        </w:rPr>
        <w:t>The information in this preliminary prospectus supplement is not complete and may be changed. A registration statement relating to these securities has been declared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83"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EB0029"/>
        </w:rPr>
        <w:t>SUBJECT TO COMPLETION, DATED JULY 17,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142875</wp:posOffset>
            </wp:positionV>
            <wp:extent cx="1724025"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7,391,305 Common Shares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Subscription Rights to Purchase up to 8,500,000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20" w:firstLine="416"/>
        <w:spacing w:after="0" w:line="257" w:lineRule="auto"/>
        <w:rPr>
          <w:sz w:val="20"/>
          <w:szCs w:val="20"/>
          <w:color w:val="auto"/>
        </w:rPr>
      </w:pPr>
      <w:r>
        <w:rPr>
          <w:rFonts w:ascii="Arial" w:cs="Arial" w:eastAsia="Arial" w:hAnsi="Arial"/>
          <w:sz w:val="18"/>
          <w:szCs w:val="18"/>
          <w:color w:val="auto"/>
        </w:rPr>
        <w:t>We are offering 7,391,305 of our common shares as part of this offering (the “Public Offering”). In addition, we have granted the underwriters an option for a period of 30 days from the date of this prospectus supplement to purchase up to 1,108,695 additional shares from us at the public offering price of the common shares offered hereby (the “Offering Price”) less underwriting discounts and commissions. Our common shares trade on The Nasdaq Global Market under the trading symbol “ACIU”. On July 16, 2018, the last sale price of our common shares as reported on The Nasdaq Global Market was $12.35 per share.</w:t>
      </w:r>
    </w:p>
    <w:p>
      <w:pPr>
        <w:spacing w:after="0" w:line="188" w:lineRule="exact"/>
        <w:rPr>
          <w:sz w:val="24"/>
          <w:szCs w:val="24"/>
          <w:color w:val="auto"/>
        </w:rPr>
      </w:pPr>
    </w:p>
    <w:p>
      <w:pPr>
        <w:ind w:right="20" w:firstLine="416"/>
        <w:spacing w:after="0" w:line="287" w:lineRule="auto"/>
        <w:rPr>
          <w:sz w:val="20"/>
          <w:szCs w:val="20"/>
          <w:color w:val="auto"/>
        </w:rPr>
      </w:pPr>
      <w:r>
        <w:rPr>
          <w:rFonts w:ascii="Arial" w:cs="Arial" w:eastAsia="Arial" w:hAnsi="Arial"/>
          <w:sz w:val="16"/>
          <w:szCs w:val="16"/>
          <w:color w:val="auto"/>
        </w:rPr>
        <w:t xml:space="preserve">Under Swiss law and pursuant to the resolution by the extraordinary shareholders’ meeting held on April 27, 2018, our existing shareholders are entitled to statutory pre-emptive subscription rights to subscribe for any new issuance of common shares and, thus, the common shares offered hereby, in proportion to their existing shareholdings. As a result, we will commence, concurrently with the Public Offering, a pre-emptive subscription rights offering to our existing shareholders who held common shares after close of trading on The Nasdaq Global Market on July 2, 2018 (“Record Shareholders,” and the close of trading on The Nasdaq Global Market on July 2, 2018, the “Record Date”). Such Record Shareholders will have the opportunity to subscribe for up to 8,500,000 of the common shares offered hereby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at the Offering Price (the “First Rights Offering”). The subscription period in respect of the First Rights Offering will begin at 4:00 p.m. (New York City time) on July 17, 2018 and will expire at 4:00 p.m. (New York City time) on July 18, 2018. If and to the extent the pre-emptive subscription rights have not been validly exercised by the Record Shareholders during the subscription period in the First Rights Offering, the remaining common shares will be available for allocation to institutional investors in the Public Offering. If the underwriters do not exercise their option to purchase additional common shares allocated to institutional investors in the Public Offering, the corresponding number of common shares will be transferred back to the Company and will become our treasury shares. See “Subscription Rights Offerings.”</w:t>
      </w:r>
    </w:p>
    <w:p>
      <w:pPr>
        <w:spacing w:after="0" w:line="173" w:lineRule="exact"/>
        <w:rPr>
          <w:sz w:val="24"/>
          <w:szCs w:val="24"/>
          <w:color w:val="auto"/>
        </w:rPr>
      </w:pPr>
    </w:p>
    <w:p>
      <w:pPr>
        <w:ind w:right="80" w:firstLine="416"/>
        <w:spacing w:after="0" w:line="279" w:lineRule="auto"/>
        <w:rPr>
          <w:sz w:val="20"/>
          <w:szCs w:val="20"/>
          <w:color w:val="auto"/>
        </w:rPr>
      </w:pPr>
      <w:r>
        <w:rPr>
          <w:rFonts w:ascii="Arial" w:cs="Arial" w:eastAsia="Arial" w:hAnsi="Arial"/>
          <w:sz w:val="17"/>
          <w:szCs w:val="17"/>
          <w:color w:val="auto"/>
        </w:rPr>
        <w:t>We also intend to commence a second subscription rights offering (the “Second Rights Offering”) to Record Shareholders who will have opportunity to subscribe for up to 1,500,000 common shares at the Offering Price. The Second Rights Offering will only begin if the Public Offering is completed and is expected to begin at 3:00 a.m. (New York City time) on July 20, 2018 and to expire at 4:00 p.m. (New York City time) on July 27, 2018. The Second Rights Offering will be made by means of a separate prospectus supplement. See “Subscription Rights Offerings.”</w:t>
      </w:r>
    </w:p>
    <w:p>
      <w:pPr>
        <w:spacing w:after="0" w:line="167" w:lineRule="exact"/>
        <w:rPr>
          <w:sz w:val="24"/>
          <w:szCs w:val="24"/>
          <w:color w:val="auto"/>
        </w:rPr>
      </w:pPr>
    </w:p>
    <w:p>
      <w:pPr>
        <w:ind w:right="340" w:firstLine="416"/>
        <w:spacing w:after="0" w:line="266"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are subject to reduced public company reporting requirements. See “Prospectus Supplement Summary—Implications of Being an Emerging Growth Company” and “—Implications of Being a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right="160" w:firstLine="405"/>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 beginning on page S-10 of this prospectus supplement.</w:t>
      </w:r>
    </w:p>
    <w:p>
      <w:pPr>
        <w:spacing w:after="0" w:line="199" w:lineRule="exact"/>
        <w:rPr>
          <w:sz w:val="24"/>
          <w:szCs w:val="24"/>
          <w:color w:val="auto"/>
        </w:rPr>
      </w:pPr>
    </w:p>
    <w:p>
      <w:pPr>
        <w:ind w:firstLine="416"/>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6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286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2860" w:type="dxa"/>
            <w:vAlign w:val="bottom"/>
          </w:tcPr>
          <w:p>
            <w:pPr>
              <w:spacing w:after="0"/>
              <w:rPr>
                <w:sz w:val="16"/>
                <w:szCs w:val="16"/>
                <w:color w:val="auto"/>
              </w:rPr>
            </w:pPr>
          </w:p>
        </w:tc>
        <w:tc>
          <w:tcPr>
            <w:tcW w:w="1140" w:type="dxa"/>
            <w:vAlign w:val="bottom"/>
          </w:tcPr>
          <w:p>
            <w:pPr>
              <w:jc w:val="right"/>
              <w:ind w:right="950"/>
              <w:spacing w:after="0" w:line="195"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6"/>
                <w:szCs w:val="16"/>
                <w:color w:val="auto"/>
              </w:rPr>
            </w:pPr>
          </w:p>
        </w:tc>
        <w:tc>
          <w:tcPr>
            <w:tcW w:w="1140" w:type="dxa"/>
            <w:vAlign w:val="bottom"/>
          </w:tcPr>
          <w:p>
            <w:pPr>
              <w:jc w:val="right"/>
              <w:ind w:right="977"/>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40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40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details regarding other items of underwriting compensation.</w:t>
      </w:r>
    </w:p>
    <w:p>
      <w:pPr>
        <w:spacing w:after="0" w:line="225"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Delivery of the common shares is expected to be made on or about , 2018. We have granted the underwriters an option for a period of 30 days from the date of this prospectus supplement to purchase up to 1,108,695 additional shares from us at the Offering Price less underwriting discounts and</w:t>
      </w:r>
    </w:p>
    <w:tbl>
      <w:tblPr>
        <w:tblLayout w:type="fixed"/>
        <w:tblInd w:w="0" w:type="dxa"/>
        <w:tblCellMar>
          <w:top w:w="0" w:type="dxa"/>
          <w:left w:w="0" w:type="dxa"/>
          <w:bottom w:w="0" w:type="dxa"/>
          <w:right w:w="0" w:type="dxa"/>
        </w:tblCellMar>
      </w:tblPr>
      <w:tr>
        <w:trPr>
          <w:trHeight w:val="202"/>
        </w:trPr>
        <w:tc>
          <w:tcPr>
            <w:tcW w:w="10080" w:type="dxa"/>
            <w:vAlign w:val="bottom"/>
            <w:gridSpan w:val="3"/>
          </w:tcPr>
          <w:p>
            <w:pPr>
              <w:spacing w:after="0" w:line="202" w:lineRule="exact"/>
              <w:rPr>
                <w:sz w:val="20"/>
                <w:szCs w:val="20"/>
                <w:color w:val="auto"/>
              </w:rPr>
            </w:pPr>
            <w:r>
              <w:rPr>
                <w:rFonts w:ascii="Arial" w:cs="Arial" w:eastAsia="Arial" w:hAnsi="Arial"/>
                <w:sz w:val="18"/>
                <w:szCs w:val="18"/>
                <w:color w:val="auto"/>
                <w:w w:val="96"/>
              </w:rPr>
              <w:t>commissions. If the underwriters exercise their option in full, the total underwriting discounts and commissions payable by us will be</w:t>
            </w:r>
          </w:p>
        </w:tc>
        <w:tc>
          <w:tcPr>
            <w:tcW w:w="1340" w:type="dxa"/>
            <w:vAlign w:val="bottom"/>
          </w:tcPr>
          <w:p>
            <w:pPr>
              <w:ind w:left="480"/>
              <w:spacing w:after="0" w:line="202" w:lineRule="exact"/>
              <w:rPr>
                <w:sz w:val="20"/>
                <w:szCs w:val="20"/>
                <w:color w:val="auto"/>
              </w:rPr>
            </w:pPr>
            <w:r>
              <w:rPr>
                <w:rFonts w:ascii="Arial" w:cs="Arial" w:eastAsia="Arial" w:hAnsi="Arial"/>
                <w:sz w:val="18"/>
                <w:szCs w:val="18"/>
                <w:color w:val="auto"/>
              </w:rPr>
              <w:t>, and the</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w w:val="97"/>
              </w:rPr>
              <w:t>total proceeds to us, before expenses, will be $</w:t>
            </w:r>
          </w:p>
        </w:tc>
        <w:tc>
          <w:tcPr>
            <w:tcW w:w="3180" w:type="dxa"/>
            <w:vAlign w:val="bottom"/>
          </w:tcPr>
          <w:p>
            <w:pPr>
              <w:jc w:val="right"/>
              <w:ind w:right="2744"/>
              <w:spacing w:after="0"/>
              <w:rPr>
                <w:sz w:val="20"/>
                <w:szCs w:val="20"/>
                <w:color w:val="auto"/>
              </w:rPr>
            </w:pPr>
            <w:r>
              <w:rPr>
                <w:rFonts w:ascii="Arial" w:cs="Arial" w:eastAsia="Arial" w:hAnsi="Arial"/>
                <w:sz w:val="18"/>
                <w:szCs w:val="18"/>
                <w:color w:val="auto"/>
              </w:rPr>
              <w:t>.</w:t>
            </w:r>
          </w:p>
        </w:tc>
        <w:tc>
          <w:tcPr>
            <w:tcW w:w="3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3660" w:type="dxa"/>
            <w:vAlign w:val="bottom"/>
            <w:tcBorders>
              <w:bottom w:val="single" w:sz="8" w:color="auto"/>
            </w:tcBorders>
          </w:tcPr>
          <w:p>
            <w:pPr>
              <w:spacing w:after="0"/>
              <w:rPr>
                <w:sz w:val="19"/>
                <w:szCs w:val="19"/>
                <w:color w:val="auto"/>
              </w:rPr>
            </w:pPr>
          </w:p>
        </w:tc>
        <w:tc>
          <w:tcPr>
            <w:tcW w:w="6420" w:type="dxa"/>
            <w:vAlign w:val="bottom"/>
            <w:tcBorders>
              <w:bottom w:val="single" w:sz="8" w:color="auto"/>
            </w:tcBorders>
            <w:gridSpan w:val="2"/>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439"/>
        </w:trPr>
        <w:tc>
          <w:tcPr>
            <w:tcW w:w="3660" w:type="dxa"/>
            <w:vAlign w:val="bottom"/>
          </w:tcPr>
          <w:p>
            <w:pPr>
              <w:spacing w:after="0"/>
              <w:rPr>
                <w:sz w:val="24"/>
                <w:szCs w:val="24"/>
                <w:color w:val="auto"/>
              </w:rPr>
            </w:pPr>
          </w:p>
        </w:tc>
        <w:tc>
          <w:tcPr>
            <w:tcW w:w="6420" w:type="dxa"/>
            <w:vAlign w:val="bottom"/>
            <w:gridSpan w:val="2"/>
          </w:tcPr>
          <w:p>
            <w:pPr>
              <w:jc w:val="center"/>
              <w:ind w:right="2221"/>
              <w:spacing w:after="0"/>
              <w:rPr>
                <w:sz w:val="20"/>
                <w:szCs w:val="20"/>
                <w:color w:val="auto"/>
              </w:rPr>
            </w:pPr>
            <w:r>
              <w:rPr>
                <w:rFonts w:ascii="Arial" w:cs="Arial" w:eastAsia="Arial" w:hAnsi="Arial"/>
                <w:sz w:val="18"/>
                <w:szCs w:val="18"/>
                <w:b w:val="1"/>
                <w:bCs w:val="1"/>
                <w:i w:val="1"/>
                <w:iCs w:val="1"/>
                <w:color w:val="auto"/>
                <w:w w:val="89"/>
              </w:rPr>
              <w:t>Joint Book-Running Managers</w:t>
            </w:r>
          </w:p>
        </w:tc>
        <w:tc>
          <w:tcPr>
            <w:tcW w:w="1340" w:type="dxa"/>
            <w:vAlign w:val="bottom"/>
          </w:tcPr>
          <w:p>
            <w:pPr>
              <w:spacing w:after="0"/>
              <w:rPr>
                <w:sz w:val="24"/>
                <w:szCs w:val="24"/>
                <w:color w:val="auto"/>
              </w:rPr>
            </w:pPr>
          </w:p>
        </w:tc>
      </w:tr>
      <w:tr>
        <w:trPr>
          <w:trHeight w:val="281"/>
        </w:trPr>
        <w:tc>
          <w:tcPr>
            <w:tcW w:w="3660" w:type="dxa"/>
            <w:vAlign w:val="bottom"/>
          </w:tcPr>
          <w:p>
            <w:pPr>
              <w:ind w:left="1500"/>
              <w:spacing w:after="0"/>
              <w:rPr>
                <w:sz w:val="20"/>
                <w:szCs w:val="20"/>
                <w:color w:val="auto"/>
              </w:rPr>
            </w:pPr>
            <w:r>
              <w:rPr>
                <w:rFonts w:ascii="Arial" w:cs="Arial" w:eastAsia="Arial" w:hAnsi="Arial"/>
                <w:sz w:val="22"/>
                <w:szCs w:val="22"/>
                <w:b w:val="1"/>
                <w:bCs w:val="1"/>
                <w:color w:val="auto"/>
              </w:rPr>
              <w:t>Jefferies</w:t>
            </w:r>
          </w:p>
        </w:tc>
        <w:tc>
          <w:tcPr>
            <w:tcW w:w="3180" w:type="dxa"/>
            <w:vAlign w:val="bottom"/>
          </w:tcPr>
          <w:p>
            <w:pPr>
              <w:jc w:val="center"/>
              <w:ind w:left="844"/>
              <w:spacing w:after="0"/>
              <w:rPr>
                <w:sz w:val="20"/>
                <w:szCs w:val="20"/>
                <w:color w:val="auto"/>
              </w:rPr>
            </w:pPr>
            <w:r>
              <w:rPr>
                <w:rFonts w:ascii="Arial" w:cs="Arial" w:eastAsia="Arial" w:hAnsi="Arial"/>
                <w:sz w:val="22"/>
                <w:szCs w:val="22"/>
                <w:b w:val="1"/>
                <w:bCs w:val="1"/>
                <w:color w:val="auto"/>
                <w:w w:val="92"/>
              </w:rPr>
              <w:t>Leerink Partners</w:t>
            </w:r>
          </w:p>
        </w:tc>
        <w:tc>
          <w:tcPr>
            <w:tcW w:w="4580" w:type="dxa"/>
            <w:vAlign w:val="bottom"/>
            <w:gridSpan w:val="2"/>
          </w:tcPr>
          <w:p>
            <w:pPr>
              <w:ind w:left="1680"/>
              <w:spacing w:after="0"/>
              <w:rPr>
                <w:sz w:val="20"/>
                <w:szCs w:val="20"/>
                <w:color w:val="auto"/>
              </w:rPr>
            </w:pPr>
            <w:r>
              <w:rPr>
                <w:rFonts w:ascii="Arial" w:cs="Arial" w:eastAsia="Arial" w:hAnsi="Arial"/>
                <w:sz w:val="22"/>
                <w:szCs w:val="22"/>
                <w:b w:val="1"/>
                <w:bCs w:val="1"/>
                <w:color w:val="auto"/>
              </w:rPr>
              <w:t>UBS Investment Bank</w:t>
            </w:r>
          </w:p>
        </w:tc>
      </w:tr>
      <w:tr>
        <w:trPr>
          <w:trHeight w:val="395"/>
        </w:trPr>
        <w:tc>
          <w:tcPr>
            <w:tcW w:w="3660" w:type="dxa"/>
            <w:vAlign w:val="bottom"/>
          </w:tcPr>
          <w:p>
            <w:pPr>
              <w:spacing w:after="0"/>
              <w:rPr>
                <w:sz w:val="24"/>
                <w:szCs w:val="24"/>
                <w:color w:val="auto"/>
              </w:rPr>
            </w:pPr>
          </w:p>
        </w:tc>
        <w:tc>
          <w:tcPr>
            <w:tcW w:w="3180" w:type="dxa"/>
            <w:vAlign w:val="bottom"/>
          </w:tcPr>
          <w:p>
            <w:pPr>
              <w:jc w:val="center"/>
              <w:ind w:left="824"/>
              <w:spacing w:after="0"/>
              <w:rPr>
                <w:sz w:val="20"/>
                <w:szCs w:val="20"/>
                <w:color w:val="auto"/>
              </w:rPr>
            </w:pPr>
            <w:r>
              <w:rPr>
                <w:rFonts w:ascii="Arial" w:cs="Arial" w:eastAsia="Arial" w:hAnsi="Arial"/>
                <w:sz w:val="18"/>
                <w:szCs w:val="18"/>
                <w:b w:val="1"/>
                <w:bCs w:val="1"/>
                <w:i w:val="1"/>
                <w:iCs w:val="1"/>
                <w:color w:val="auto"/>
                <w:w w:val="90"/>
              </w:rPr>
              <w:t>Lead Manager</w:t>
            </w:r>
          </w:p>
        </w:tc>
        <w:tc>
          <w:tcPr>
            <w:tcW w:w="3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1"/>
        </w:trPr>
        <w:tc>
          <w:tcPr>
            <w:tcW w:w="3660" w:type="dxa"/>
            <w:vAlign w:val="bottom"/>
          </w:tcPr>
          <w:p>
            <w:pPr>
              <w:spacing w:after="0"/>
              <w:rPr>
                <w:sz w:val="24"/>
                <w:szCs w:val="24"/>
                <w:color w:val="auto"/>
              </w:rPr>
            </w:pPr>
          </w:p>
        </w:tc>
        <w:tc>
          <w:tcPr>
            <w:tcW w:w="3180" w:type="dxa"/>
            <w:vAlign w:val="bottom"/>
          </w:tcPr>
          <w:p>
            <w:pPr>
              <w:jc w:val="center"/>
              <w:ind w:left="844"/>
              <w:spacing w:after="0"/>
              <w:rPr>
                <w:sz w:val="20"/>
                <w:szCs w:val="20"/>
                <w:color w:val="auto"/>
              </w:rPr>
            </w:pPr>
            <w:r>
              <w:rPr>
                <w:rFonts w:ascii="Arial" w:cs="Arial" w:eastAsia="Arial" w:hAnsi="Arial"/>
                <w:sz w:val="22"/>
                <w:szCs w:val="22"/>
                <w:b w:val="1"/>
                <w:bCs w:val="1"/>
                <w:color w:val="auto"/>
                <w:w w:val="94"/>
              </w:rPr>
              <w:t>H.C. Wainwright &amp; Co.</w:t>
            </w:r>
          </w:p>
        </w:tc>
        <w:tc>
          <w:tcPr>
            <w:tcW w:w="3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3660" w:type="dxa"/>
            <w:vAlign w:val="bottom"/>
          </w:tcPr>
          <w:p>
            <w:pPr>
              <w:spacing w:after="0"/>
              <w:rPr>
                <w:sz w:val="24"/>
                <w:szCs w:val="24"/>
                <w:color w:val="auto"/>
              </w:rPr>
            </w:pPr>
          </w:p>
        </w:tc>
        <w:tc>
          <w:tcPr>
            <w:tcW w:w="3180" w:type="dxa"/>
            <w:vAlign w:val="bottom"/>
          </w:tcPr>
          <w:p>
            <w:pPr>
              <w:jc w:val="right"/>
              <w:ind w:right="404"/>
              <w:spacing w:after="0"/>
              <w:rPr>
                <w:sz w:val="20"/>
                <w:szCs w:val="20"/>
                <w:color w:val="auto"/>
              </w:rPr>
            </w:pPr>
            <w:r>
              <w:rPr>
                <w:rFonts w:ascii="Arial" w:cs="Arial" w:eastAsia="Arial" w:hAnsi="Arial"/>
                <w:sz w:val="18"/>
                <w:szCs w:val="18"/>
                <w:b w:val="1"/>
                <w:bCs w:val="1"/>
                <w:color w:val="auto"/>
              </w:rPr>
              <w:t>The date of this prospectus is</w:t>
            </w:r>
          </w:p>
        </w:tc>
        <w:tc>
          <w:tcPr>
            <w:tcW w:w="3240" w:type="dxa"/>
            <w:vAlign w:val="bottom"/>
          </w:tcPr>
          <w:p>
            <w:pPr>
              <w:jc w:val="right"/>
              <w:ind w:right="2661"/>
              <w:spacing w:after="0"/>
              <w:rPr>
                <w:sz w:val="20"/>
                <w:szCs w:val="20"/>
                <w:color w:val="auto"/>
              </w:rPr>
            </w:pPr>
            <w:r>
              <w:rPr>
                <w:rFonts w:ascii="Arial" w:cs="Arial" w:eastAsia="Arial" w:hAnsi="Arial"/>
                <w:sz w:val="18"/>
                <w:szCs w:val="18"/>
                <w:b w:val="1"/>
                <w:bCs w:val="1"/>
                <w:color w:val="auto"/>
                <w:w w:val="91"/>
              </w:rPr>
              <w:t>, 2018</w:t>
            </w:r>
          </w:p>
        </w:tc>
        <w:tc>
          <w:tcPr>
            <w:tcW w:w="1340" w:type="dxa"/>
            <w:vAlign w:val="bottom"/>
          </w:tcPr>
          <w:p>
            <w:pPr>
              <w:spacing w:after="0"/>
              <w:rPr>
                <w:sz w:val="24"/>
                <w:szCs w:val="24"/>
                <w:color w:val="auto"/>
              </w:rPr>
            </w:pPr>
          </w:p>
        </w:tc>
      </w:tr>
      <w:tr>
        <w:trPr>
          <w:trHeight w:val="527"/>
        </w:trPr>
        <w:tc>
          <w:tcPr>
            <w:tcW w:w="36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160" w:type="dxa"/>
            <w:vAlign w:val="bottom"/>
            <w:gridSpan w:val="8"/>
          </w:tcPr>
          <w:p>
            <w:pPr>
              <w:jc w:val="center"/>
              <w:ind w:right="428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gridSpan w:val="8"/>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0" w:type="dxa"/>
            <w:vAlign w:val="bottom"/>
          </w:tcPr>
          <w:p>
            <w:pPr>
              <w:jc w:val="center"/>
              <w:ind w:right="3850"/>
              <w:spacing w:after="0"/>
              <w:rPr>
                <w:sz w:val="20"/>
                <w:szCs w:val="20"/>
                <w:color w:val="auto"/>
              </w:rPr>
            </w:pPr>
            <w:r>
              <w:rPr>
                <w:rFonts w:ascii="Arial" w:cs="Arial" w:eastAsia="Arial" w:hAnsi="Arial"/>
                <w:sz w:val="18"/>
                <w:szCs w:val="18"/>
                <w:b w:val="1"/>
                <w:bCs w:val="1"/>
                <w:color w:val="auto"/>
                <w:w w:val="97"/>
              </w:rPr>
              <w:t>PROSPECTUS SUPPLEMENT</w:t>
            </w:r>
          </w:p>
        </w:tc>
        <w:tc>
          <w:tcPr>
            <w:tcW w:w="340" w:type="dxa"/>
            <w:vAlign w:val="bottom"/>
            <w:tcBorders>
              <w:top w:val="single" w:sz="8" w:color="auto"/>
            </w:tcBorders>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00" w:type="dxa"/>
            <w:vAlign w:val="bottom"/>
            <w:tcBorders>
              <w:bottom w:val="single" w:sz="8" w:color="0000EE"/>
            </w:tcBorders>
            <w:gridSpan w:val="26"/>
            <w:shd w:val="clear" w:color="auto" w:fill="D5EAEA"/>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Presentation of Financial Information</w:t>
              </w:r>
            </w:hyperlink>
          </w:p>
        </w:tc>
        <w:tc>
          <w:tcPr>
            <w:tcW w:w="1560" w:type="dxa"/>
            <w:vAlign w:val="bottom"/>
            <w:tcBorders>
              <w:bottom w:val="single" w:sz="8" w:color="D5EAEA"/>
            </w:tcBorders>
            <w:gridSpan w:val="6"/>
            <w:shd w:val="clear" w:color="auto" w:fill="D5EAEA"/>
          </w:tcPr>
          <w:p>
            <w:pPr>
              <w:spacing w:after="0"/>
              <w:rPr>
                <w:sz w:val="17"/>
                <w:szCs w:val="17"/>
                <w:color w:val="auto"/>
              </w:rPr>
            </w:pPr>
          </w:p>
        </w:tc>
        <w:tc>
          <w:tcPr>
            <w:tcW w:w="6800" w:type="dxa"/>
            <w:vAlign w:val="bottom"/>
            <w:tcBorders>
              <w:bottom w:val="single" w:sz="8" w:color="D5EAEA"/>
            </w:tcBorders>
            <w:shd w:val="clear" w:color="auto" w:fill="D5EAEA"/>
          </w:tcPr>
          <w:p>
            <w:pPr>
              <w:spacing w:after="0"/>
              <w:rPr>
                <w:sz w:val="17"/>
                <w:szCs w:val="17"/>
                <w:color w:val="auto"/>
              </w:rPr>
            </w:pPr>
          </w:p>
        </w:tc>
        <w:tc>
          <w:tcPr>
            <w:tcW w:w="40" w:type="dxa"/>
            <w:vAlign w:val="bottom"/>
            <w:tcBorders>
              <w:bottom w:val="single" w:sz="8" w:color="D5EAEA"/>
            </w:tcBorders>
            <w:shd w:val="clear" w:color="auto" w:fill="D5EAEA"/>
          </w:tcPr>
          <w:p>
            <w:pPr>
              <w:spacing w:after="0"/>
              <w:rPr>
                <w:sz w:val="17"/>
                <w:szCs w:val="17"/>
                <w:color w:val="auto"/>
              </w:rPr>
            </w:pPr>
          </w:p>
        </w:tc>
        <w:tc>
          <w:tcPr>
            <w:tcW w:w="40" w:type="dxa"/>
            <w:vAlign w:val="bottom"/>
            <w:tcBorders>
              <w:bottom w:val="single" w:sz="8" w:color="D5EAEA"/>
            </w:tcBorders>
            <w:shd w:val="clear" w:color="auto" w:fill="D5EAEA"/>
          </w:tcPr>
          <w:p>
            <w:pPr>
              <w:spacing w:after="0"/>
              <w:rPr>
                <w:sz w:val="17"/>
                <w:szCs w:val="17"/>
                <w:color w:val="auto"/>
              </w:rPr>
            </w:pPr>
          </w:p>
        </w:tc>
        <w:tc>
          <w:tcPr>
            <w:tcW w:w="260" w:type="dxa"/>
            <w:vAlign w:val="bottom"/>
            <w:tcBorders>
              <w:bottom w:val="single" w:sz="8" w:color="0000EE"/>
            </w:tcBorders>
            <w:gridSpan w:val="4"/>
            <w:shd w:val="clear" w:color="auto" w:fill="D5EAEA"/>
          </w:tcPr>
          <w:p>
            <w:pPr>
              <w:jc w:val="right"/>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Trademarks</w:t>
              </w:r>
            </w:hyperlink>
          </w:p>
        </w:tc>
        <w:tc>
          <w:tcPr>
            <w:tcW w:w="6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4"/>
          </w:tcPr>
          <w:p>
            <w:pPr>
              <w:jc w:val="right"/>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40" w:type="dxa"/>
            <w:vAlign w:val="bottom"/>
            <w:tcBorders>
              <w:bottom w:val="single" w:sz="8" w:color="0000EE"/>
            </w:tcBorders>
            <w:gridSpan w:val="25"/>
            <w:shd w:val="clear" w:color="auto" w:fill="D5EAEA"/>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1720" w:type="dxa"/>
            <w:vAlign w:val="bottom"/>
            <w:tcBorders>
              <w:bottom w:val="single" w:sz="8" w:color="D5EAEA"/>
            </w:tcBorders>
            <w:gridSpan w:val="7"/>
            <w:shd w:val="clear" w:color="auto" w:fill="D5EAEA"/>
          </w:tcPr>
          <w:p>
            <w:pPr>
              <w:spacing w:after="0"/>
              <w:rPr>
                <w:sz w:val="17"/>
                <w:szCs w:val="17"/>
                <w:color w:val="auto"/>
              </w:rPr>
            </w:pPr>
          </w:p>
        </w:tc>
        <w:tc>
          <w:tcPr>
            <w:tcW w:w="6800" w:type="dxa"/>
            <w:vAlign w:val="bottom"/>
            <w:tcBorders>
              <w:bottom w:val="single" w:sz="8" w:color="D5EAEA"/>
            </w:tcBorders>
            <w:shd w:val="clear" w:color="auto" w:fill="D5EAEA"/>
          </w:tcPr>
          <w:p>
            <w:pPr>
              <w:spacing w:after="0"/>
              <w:rPr>
                <w:sz w:val="17"/>
                <w:szCs w:val="17"/>
                <w:color w:val="auto"/>
              </w:rPr>
            </w:pPr>
          </w:p>
        </w:tc>
        <w:tc>
          <w:tcPr>
            <w:tcW w:w="40" w:type="dxa"/>
            <w:vAlign w:val="bottom"/>
            <w:tcBorders>
              <w:bottom w:val="single" w:sz="8" w:color="D5EAEA"/>
            </w:tcBorders>
            <w:shd w:val="clear" w:color="auto" w:fill="D5EAEA"/>
          </w:tcPr>
          <w:p>
            <w:pPr>
              <w:spacing w:after="0"/>
              <w:rPr>
                <w:sz w:val="17"/>
                <w:szCs w:val="17"/>
                <w:color w:val="auto"/>
              </w:rPr>
            </w:pPr>
          </w:p>
        </w:tc>
        <w:tc>
          <w:tcPr>
            <w:tcW w:w="40" w:type="dxa"/>
            <w:vAlign w:val="bottom"/>
            <w:tcBorders>
              <w:bottom w:val="single" w:sz="8" w:color="D5EAEA"/>
            </w:tcBorders>
            <w:shd w:val="clear" w:color="auto" w:fill="D5EAEA"/>
          </w:tcPr>
          <w:p>
            <w:pPr>
              <w:spacing w:after="0"/>
              <w:rPr>
                <w:sz w:val="17"/>
                <w:szCs w:val="17"/>
                <w:color w:val="auto"/>
              </w:rPr>
            </w:pPr>
          </w:p>
        </w:tc>
        <w:tc>
          <w:tcPr>
            <w:tcW w:w="260" w:type="dxa"/>
            <w:vAlign w:val="bottom"/>
            <w:tcBorders>
              <w:bottom w:val="single" w:sz="8" w:color="0000EE"/>
            </w:tcBorders>
            <w:gridSpan w:val="4"/>
            <w:shd w:val="clear" w:color="auto" w:fill="D5EAEA"/>
          </w:tcPr>
          <w:p>
            <w:pPr>
              <w:jc w:val="right"/>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Special Note Regarding Forward-Looking Statements</w:t>
              </w:r>
            </w:hyperlink>
          </w:p>
        </w:tc>
        <w:tc>
          <w:tcPr>
            <w:tcW w:w="6800" w:type="dxa"/>
            <w:vAlign w:val="bottom"/>
          </w:tcPr>
          <w:p>
            <w:pPr>
              <w:spacing w:after="0"/>
              <w:rPr>
                <w:sz w:val="15"/>
                <w:szCs w:val="15"/>
                <w:color w:val="auto"/>
              </w:rPr>
            </w:pPr>
          </w:p>
        </w:tc>
        <w:tc>
          <w:tcPr>
            <w:tcW w:w="340" w:type="dxa"/>
            <w:vAlign w:val="bottom"/>
            <w:gridSpan w:val="6"/>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S-iv</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20" w:type="dxa"/>
            <w:vAlign w:val="bottom"/>
            <w:tcBorders>
              <w:bottom w:val="single" w:sz="8" w:color="0000EE"/>
            </w:tcBorders>
            <w:gridSpan w:val="21"/>
            <w:shd w:val="clear" w:color="auto" w:fill="D5EAEA"/>
          </w:tcPr>
          <w:p>
            <w:pPr>
              <w:spacing w:after="0" w:line="17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Prospectus Supplement Summary</w:t>
              </w:r>
            </w:hyperlink>
          </w:p>
        </w:tc>
        <w:tc>
          <w:tcPr>
            <w:tcW w:w="1840" w:type="dxa"/>
            <w:vAlign w:val="bottom"/>
            <w:tcBorders>
              <w:bottom w:val="single" w:sz="8" w:color="D5EAEA"/>
            </w:tcBorders>
            <w:gridSpan w:val="11"/>
            <w:shd w:val="clear" w:color="auto" w:fill="D5EAEA"/>
          </w:tcPr>
          <w:p>
            <w:pPr>
              <w:spacing w:after="0"/>
              <w:rPr>
                <w:sz w:val="17"/>
                <w:szCs w:val="17"/>
                <w:color w:val="auto"/>
              </w:rPr>
            </w:pPr>
          </w:p>
        </w:tc>
        <w:tc>
          <w:tcPr>
            <w:tcW w:w="6800" w:type="dxa"/>
            <w:vAlign w:val="bottom"/>
            <w:tcBorders>
              <w:bottom w:val="single" w:sz="8" w:color="D5EAEA"/>
            </w:tcBorders>
            <w:shd w:val="clear" w:color="auto" w:fill="D5EAEA"/>
          </w:tcPr>
          <w:p>
            <w:pPr>
              <w:spacing w:after="0"/>
              <w:rPr>
                <w:sz w:val="17"/>
                <w:szCs w:val="17"/>
                <w:color w:val="auto"/>
              </w:rPr>
            </w:pPr>
          </w:p>
        </w:tc>
        <w:tc>
          <w:tcPr>
            <w:tcW w:w="40" w:type="dxa"/>
            <w:vAlign w:val="bottom"/>
            <w:tcBorders>
              <w:bottom w:val="single" w:sz="8" w:color="D5EAEA"/>
            </w:tcBorders>
            <w:shd w:val="clear" w:color="auto" w:fill="D5EAEA"/>
          </w:tcPr>
          <w:p>
            <w:pPr>
              <w:spacing w:after="0"/>
              <w:rPr>
                <w:sz w:val="17"/>
                <w:szCs w:val="17"/>
                <w:color w:val="auto"/>
              </w:rPr>
            </w:pPr>
          </w:p>
        </w:tc>
        <w:tc>
          <w:tcPr>
            <w:tcW w:w="40" w:type="dxa"/>
            <w:vAlign w:val="bottom"/>
            <w:tcBorders>
              <w:bottom w:val="single" w:sz="8" w:color="D5EAEA"/>
            </w:tcBorders>
            <w:shd w:val="clear" w:color="auto" w:fill="D5EAEA"/>
          </w:tcPr>
          <w:p>
            <w:pPr>
              <w:spacing w:after="0"/>
              <w:rPr>
                <w:sz w:val="17"/>
                <w:szCs w:val="17"/>
                <w:color w:val="auto"/>
              </w:rPr>
            </w:pPr>
          </w:p>
        </w:tc>
        <w:tc>
          <w:tcPr>
            <w:tcW w:w="20" w:type="dxa"/>
            <w:vAlign w:val="bottom"/>
            <w:tcBorders>
              <w:bottom w:val="single" w:sz="8" w:color="D5EAEA"/>
            </w:tcBorders>
            <w:shd w:val="clear" w:color="auto" w:fill="D5EAEA"/>
          </w:tcPr>
          <w:p>
            <w:pPr>
              <w:spacing w:after="0"/>
              <w:rPr>
                <w:sz w:val="17"/>
                <w:szCs w:val="17"/>
                <w:color w:val="auto"/>
              </w:rPr>
            </w:pPr>
          </w:p>
        </w:tc>
        <w:tc>
          <w:tcPr>
            <w:tcW w:w="240" w:type="dxa"/>
            <w:vAlign w:val="bottom"/>
            <w:tcBorders>
              <w:bottom w:val="single" w:sz="8" w:color="0000EE"/>
            </w:tcBorders>
            <w:gridSpan w:val="3"/>
            <w:shd w:val="clear" w:color="auto" w:fill="D5EAEA"/>
          </w:tcPr>
          <w:p>
            <w:pPr>
              <w:jc w:val="right"/>
              <w:spacing w:after="0" w:line="176" w:lineRule="exact"/>
              <w:rPr>
                <w:rFonts w:ascii="Arial" w:cs="Arial" w:eastAsia="Arial" w:hAnsi="Arial"/>
                <w:sz w:val="18"/>
                <w:szCs w:val="18"/>
                <w:color w:val="0000EE"/>
                <w:w w:val="78"/>
              </w:rPr>
            </w:pPr>
            <w:hyperlink w:anchor="page8">
              <w:r>
                <w:rPr>
                  <w:rFonts w:ascii="Arial" w:cs="Arial" w:eastAsia="Arial" w:hAnsi="Arial"/>
                  <w:sz w:val="18"/>
                  <w:szCs w:val="18"/>
                  <w:color w:val="0000EE"/>
                  <w:w w:val="78"/>
                </w:rPr>
                <w:t>S-1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The Offering</w:t>
              </w:r>
            </w:hyperlink>
          </w:p>
        </w:tc>
        <w:tc>
          <w:tcPr>
            <w:tcW w:w="6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jc w:val="right"/>
              <w:spacing w:after="0" w:line="176" w:lineRule="exact"/>
              <w:rPr>
                <w:rFonts w:ascii="Arial" w:cs="Arial" w:eastAsia="Arial" w:hAnsi="Arial"/>
                <w:sz w:val="18"/>
                <w:szCs w:val="18"/>
                <w:color w:val="0000EE"/>
                <w:w w:val="78"/>
              </w:rPr>
            </w:pPr>
            <w:hyperlink w:anchor="page13">
              <w:r>
                <w:rPr>
                  <w:rFonts w:ascii="Arial" w:cs="Arial" w:eastAsia="Arial" w:hAnsi="Arial"/>
                  <w:sz w:val="18"/>
                  <w:szCs w:val="18"/>
                  <w:color w:val="0000EE"/>
                  <w:w w:val="78"/>
                </w:rPr>
                <w:t>S-6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5"/>
            <w:shd w:val="clear" w:color="auto" w:fill="D5EAEA"/>
          </w:tcPr>
          <w:p>
            <w:pPr>
              <w:spacing w:after="0" w:line="17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3360" w:type="dxa"/>
            <w:vAlign w:val="bottom"/>
            <w:tcBorders>
              <w:bottom w:val="single" w:sz="8" w:color="D5EAEA"/>
            </w:tcBorders>
            <w:gridSpan w:val="27"/>
            <w:shd w:val="clear" w:color="auto" w:fill="D5EAEA"/>
          </w:tcPr>
          <w:p>
            <w:pPr>
              <w:spacing w:after="0"/>
              <w:rPr>
                <w:sz w:val="17"/>
                <w:szCs w:val="17"/>
                <w:color w:val="auto"/>
              </w:rPr>
            </w:pPr>
          </w:p>
        </w:tc>
        <w:tc>
          <w:tcPr>
            <w:tcW w:w="6800" w:type="dxa"/>
            <w:vAlign w:val="bottom"/>
            <w:tcBorders>
              <w:bottom w:val="single" w:sz="8" w:color="D5EAEA"/>
            </w:tcBorders>
            <w:shd w:val="clear" w:color="auto" w:fill="D5EAEA"/>
          </w:tcPr>
          <w:p>
            <w:pPr>
              <w:spacing w:after="0"/>
              <w:rPr>
                <w:sz w:val="17"/>
                <w:szCs w:val="17"/>
                <w:color w:val="auto"/>
              </w:rPr>
            </w:pPr>
          </w:p>
        </w:tc>
        <w:tc>
          <w:tcPr>
            <w:tcW w:w="340" w:type="dxa"/>
            <w:vAlign w:val="bottom"/>
            <w:tcBorders>
              <w:bottom w:val="single" w:sz="8" w:color="0000EE"/>
            </w:tcBorders>
            <w:gridSpan w:val="6"/>
            <w:shd w:val="clear" w:color="auto" w:fill="D5EAEA"/>
          </w:tcPr>
          <w:p>
            <w:pPr>
              <w:jc w:val="right"/>
              <w:spacing w:after="0" w:line="17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S-10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6800" w:type="dxa"/>
            <w:vAlign w:val="bottom"/>
          </w:tcPr>
          <w:p>
            <w:pPr>
              <w:spacing w:after="0"/>
              <w:rPr>
                <w:sz w:val="15"/>
                <w:szCs w:val="15"/>
                <w:color w:val="auto"/>
              </w:rPr>
            </w:pPr>
          </w:p>
        </w:tc>
        <w:tc>
          <w:tcPr>
            <w:tcW w:w="340" w:type="dxa"/>
            <w:vAlign w:val="bottom"/>
            <w:gridSpan w:val="6"/>
          </w:tcPr>
          <w:p>
            <w:pPr>
              <w:jc w:val="right"/>
              <w:spacing w:after="0" w:line="17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60" w:type="dxa"/>
            <w:vAlign w:val="bottom"/>
            <w:gridSpan w:val="32"/>
            <w:shd w:val="clear" w:color="auto" w:fill="D5EAEA"/>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Dividend Policy</w:t>
              </w:r>
            </w:hyperlink>
          </w:p>
        </w:tc>
        <w:tc>
          <w:tcPr>
            <w:tcW w:w="6800" w:type="dxa"/>
            <w:vAlign w:val="bottom"/>
            <w:shd w:val="clear" w:color="auto" w:fill="D5EAEA"/>
          </w:tcPr>
          <w:p>
            <w:pPr>
              <w:spacing w:after="0"/>
              <w:rPr>
                <w:sz w:val="17"/>
                <w:szCs w:val="17"/>
                <w:color w:val="auto"/>
              </w:rPr>
            </w:pPr>
          </w:p>
        </w:tc>
        <w:tc>
          <w:tcPr>
            <w:tcW w:w="340" w:type="dxa"/>
            <w:vAlign w:val="bottom"/>
            <w:gridSpan w:val="6"/>
            <w:shd w:val="clear" w:color="auto" w:fill="D5EAEA"/>
          </w:tcPr>
          <w:p>
            <w:pPr>
              <w:jc w:val="right"/>
              <w:spacing w:after="0" w:line="17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S-21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Capitalization</w:t>
              </w:r>
            </w:hyperlink>
          </w:p>
        </w:tc>
        <w:tc>
          <w:tcPr>
            <w:tcW w:w="3100" w:type="dxa"/>
            <w:vAlign w:val="bottom"/>
            <w:tcBorders>
              <w:top w:val="single" w:sz="8" w:color="D5EAEA"/>
            </w:tcBorders>
            <w:gridSpan w:val="23"/>
          </w:tcPr>
          <w:p>
            <w:pPr>
              <w:spacing w:after="0"/>
              <w:rPr>
                <w:sz w:val="15"/>
                <w:szCs w:val="15"/>
                <w:color w:val="auto"/>
              </w:rPr>
            </w:pPr>
          </w:p>
        </w:tc>
        <w:tc>
          <w:tcPr>
            <w:tcW w:w="6800" w:type="dxa"/>
            <w:vAlign w:val="bottom"/>
            <w:tcBorders>
              <w:top w:val="single" w:sz="8" w:color="D5EAEA"/>
            </w:tcBorders>
          </w:tcPr>
          <w:p>
            <w:pPr>
              <w:spacing w:after="0"/>
              <w:rPr>
                <w:sz w:val="15"/>
                <w:szCs w:val="15"/>
                <w:color w:val="auto"/>
              </w:rPr>
            </w:pPr>
          </w:p>
        </w:tc>
        <w:tc>
          <w:tcPr>
            <w:tcW w:w="340" w:type="dxa"/>
            <w:vAlign w:val="bottom"/>
            <w:tcBorders>
              <w:top w:val="single" w:sz="8" w:color="0000EE"/>
            </w:tcBorders>
            <w:gridSpan w:val="6"/>
          </w:tcPr>
          <w:p>
            <w:pPr>
              <w:jc w:val="right"/>
              <w:spacing w:after="0" w:line="17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S-22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60" w:type="dxa"/>
            <w:vAlign w:val="bottom"/>
            <w:gridSpan w:val="32"/>
            <w:shd w:val="clear" w:color="auto" w:fill="D5EAEA"/>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Dilution</w:t>
              </w:r>
            </w:hyperlink>
          </w:p>
        </w:tc>
        <w:tc>
          <w:tcPr>
            <w:tcW w:w="6800" w:type="dxa"/>
            <w:vAlign w:val="bottom"/>
            <w:shd w:val="clear" w:color="auto" w:fill="D5EAEA"/>
          </w:tcPr>
          <w:p>
            <w:pPr>
              <w:spacing w:after="0"/>
              <w:rPr>
                <w:sz w:val="15"/>
                <w:szCs w:val="15"/>
                <w:color w:val="auto"/>
              </w:rPr>
            </w:pPr>
          </w:p>
        </w:tc>
        <w:tc>
          <w:tcPr>
            <w:tcW w:w="340" w:type="dxa"/>
            <w:vAlign w:val="bottom"/>
            <w:gridSpan w:val="6"/>
            <w:shd w:val="clear" w:color="auto" w:fill="D5EAEA"/>
          </w:tcPr>
          <w:p>
            <w:pPr>
              <w:jc w:val="right"/>
              <w:spacing w:after="0" w:line="17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S-23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680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Subscription Rights Offerings</w:t>
              </w:r>
            </w:hyperlink>
          </w:p>
        </w:tc>
        <w:tc>
          <w:tcPr>
            <w:tcW w:w="6800" w:type="dxa"/>
            <w:vAlign w:val="bottom"/>
          </w:tcPr>
          <w:p>
            <w:pPr>
              <w:spacing w:after="0"/>
              <w:rPr>
                <w:sz w:val="15"/>
                <w:szCs w:val="15"/>
                <w:color w:val="auto"/>
              </w:rPr>
            </w:pPr>
          </w:p>
        </w:tc>
        <w:tc>
          <w:tcPr>
            <w:tcW w:w="340" w:type="dxa"/>
            <w:vAlign w:val="bottom"/>
            <w:gridSpan w:val="6"/>
          </w:tcPr>
          <w:p>
            <w:pPr>
              <w:jc w:val="right"/>
              <w:spacing w:after="0" w:line="17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S-24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00" w:type="dxa"/>
            <w:vAlign w:val="bottom"/>
            <w:tcBorders>
              <w:bottom w:val="single" w:sz="8" w:color="0000EE"/>
            </w:tcBorders>
            <w:gridSpan w:val="20"/>
            <w:shd w:val="clear" w:color="auto" w:fill="D5EAEA"/>
          </w:tcPr>
          <w:p>
            <w:pPr>
              <w:spacing w:after="0" w:line="17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Price Range of Common Shares</w:t>
              </w:r>
            </w:hyperlink>
          </w:p>
        </w:tc>
        <w:tc>
          <w:tcPr>
            <w:tcW w:w="1960" w:type="dxa"/>
            <w:vAlign w:val="bottom"/>
            <w:tcBorders>
              <w:bottom w:val="single" w:sz="8" w:color="D5EAEA"/>
            </w:tcBorders>
            <w:gridSpan w:val="12"/>
            <w:shd w:val="clear" w:color="auto" w:fill="D5EAEA"/>
          </w:tcPr>
          <w:p>
            <w:pPr>
              <w:spacing w:after="0"/>
              <w:rPr>
                <w:sz w:val="17"/>
                <w:szCs w:val="17"/>
                <w:color w:val="auto"/>
              </w:rPr>
            </w:pPr>
          </w:p>
        </w:tc>
        <w:tc>
          <w:tcPr>
            <w:tcW w:w="6800" w:type="dxa"/>
            <w:vAlign w:val="bottom"/>
            <w:tcBorders>
              <w:bottom w:val="single" w:sz="8" w:color="D5EAEA"/>
            </w:tcBorders>
            <w:shd w:val="clear" w:color="auto" w:fill="D5EAEA"/>
          </w:tcPr>
          <w:p>
            <w:pPr>
              <w:spacing w:after="0"/>
              <w:rPr>
                <w:sz w:val="17"/>
                <w:szCs w:val="17"/>
                <w:color w:val="auto"/>
              </w:rPr>
            </w:pPr>
          </w:p>
        </w:tc>
        <w:tc>
          <w:tcPr>
            <w:tcW w:w="340" w:type="dxa"/>
            <w:vAlign w:val="bottom"/>
            <w:tcBorders>
              <w:bottom w:val="single" w:sz="8" w:color="0000EE"/>
            </w:tcBorders>
            <w:gridSpan w:val="6"/>
            <w:shd w:val="clear" w:color="auto" w:fill="D5EAEA"/>
          </w:tcPr>
          <w:p>
            <w:pPr>
              <w:jc w:val="right"/>
              <w:spacing w:after="0" w:line="17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S-27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Tax Considerations</w:t>
              </w:r>
            </w:hyperlink>
          </w:p>
        </w:tc>
        <w:tc>
          <w:tcPr>
            <w:tcW w:w="6800" w:type="dxa"/>
            <w:vAlign w:val="bottom"/>
          </w:tcPr>
          <w:p>
            <w:pPr>
              <w:spacing w:after="0"/>
              <w:rPr>
                <w:sz w:val="15"/>
                <w:szCs w:val="15"/>
                <w:color w:val="auto"/>
              </w:rPr>
            </w:pPr>
          </w:p>
        </w:tc>
        <w:tc>
          <w:tcPr>
            <w:tcW w:w="340" w:type="dxa"/>
            <w:vAlign w:val="bottom"/>
            <w:gridSpan w:val="6"/>
          </w:tcPr>
          <w:p>
            <w:pPr>
              <w:jc w:val="right"/>
              <w:spacing w:after="0" w:line="176" w:lineRule="exact"/>
              <w:rPr>
                <w:rFonts w:ascii="Arial" w:cs="Arial" w:eastAsia="Arial" w:hAnsi="Arial"/>
                <w:sz w:val="18"/>
                <w:szCs w:val="18"/>
                <w:color w:val="0000EE"/>
                <w:w w:val="84"/>
              </w:rPr>
            </w:pPr>
            <w:hyperlink w:anchor="page35">
              <w:r>
                <w:rPr>
                  <w:rFonts w:ascii="Arial" w:cs="Arial" w:eastAsia="Arial" w:hAnsi="Arial"/>
                  <w:sz w:val="18"/>
                  <w:szCs w:val="18"/>
                  <w:color w:val="0000EE"/>
                  <w:w w:val="84"/>
                </w:rPr>
                <w:t>S-28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tcBorders>
              <w:bottom w:val="single" w:sz="8" w:color="0000EE"/>
            </w:tcBorders>
            <w:gridSpan w:val="7"/>
            <w:shd w:val="clear" w:color="auto" w:fill="D5EAEA"/>
          </w:tcPr>
          <w:p>
            <w:pPr>
              <w:spacing w:after="0" w:line="17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Underwriting</w:t>
              </w:r>
            </w:hyperlink>
          </w:p>
        </w:tc>
        <w:tc>
          <w:tcPr>
            <w:tcW w:w="3300" w:type="dxa"/>
            <w:vAlign w:val="bottom"/>
            <w:tcBorders>
              <w:bottom w:val="single" w:sz="8" w:color="D5EAEA"/>
            </w:tcBorders>
            <w:gridSpan w:val="25"/>
            <w:shd w:val="clear" w:color="auto" w:fill="D5EAEA"/>
          </w:tcPr>
          <w:p>
            <w:pPr>
              <w:spacing w:after="0"/>
              <w:rPr>
                <w:sz w:val="17"/>
                <w:szCs w:val="17"/>
                <w:color w:val="auto"/>
              </w:rPr>
            </w:pPr>
          </w:p>
        </w:tc>
        <w:tc>
          <w:tcPr>
            <w:tcW w:w="6800" w:type="dxa"/>
            <w:vAlign w:val="bottom"/>
            <w:tcBorders>
              <w:bottom w:val="single" w:sz="8" w:color="D5EAEA"/>
            </w:tcBorders>
            <w:shd w:val="clear" w:color="auto" w:fill="D5EAEA"/>
          </w:tcPr>
          <w:p>
            <w:pPr>
              <w:spacing w:after="0"/>
              <w:rPr>
                <w:sz w:val="17"/>
                <w:szCs w:val="17"/>
                <w:color w:val="auto"/>
              </w:rPr>
            </w:pPr>
          </w:p>
        </w:tc>
        <w:tc>
          <w:tcPr>
            <w:tcW w:w="340" w:type="dxa"/>
            <w:vAlign w:val="bottom"/>
            <w:tcBorders>
              <w:bottom w:val="single" w:sz="8" w:color="0000EE"/>
            </w:tcBorders>
            <w:gridSpan w:val="6"/>
            <w:shd w:val="clear" w:color="auto" w:fill="D5EAEA"/>
          </w:tcPr>
          <w:p>
            <w:pPr>
              <w:jc w:val="right"/>
              <w:spacing w:after="0" w:line="17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S-35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6800" w:type="dxa"/>
            <w:vAlign w:val="bottom"/>
          </w:tcPr>
          <w:p>
            <w:pPr>
              <w:spacing w:after="0"/>
              <w:rPr>
                <w:sz w:val="15"/>
                <w:szCs w:val="15"/>
                <w:color w:val="auto"/>
              </w:rPr>
            </w:pPr>
          </w:p>
        </w:tc>
        <w:tc>
          <w:tcPr>
            <w:tcW w:w="340" w:type="dxa"/>
            <w:vAlign w:val="bottom"/>
            <w:gridSpan w:val="6"/>
          </w:tcPr>
          <w:p>
            <w:pPr>
              <w:jc w:val="right"/>
              <w:spacing w:after="0" w:line="176" w:lineRule="exact"/>
              <w:rPr>
                <w:rFonts w:ascii="Arial" w:cs="Arial" w:eastAsia="Arial" w:hAnsi="Arial"/>
                <w:sz w:val="18"/>
                <w:szCs w:val="18"/>
                <w:color w:val="0000EE"/>
                <w:w w:val="84"/>
              </w:rPr>
            </w:pPr>
            <w:hyperlink w:anchor="page51">
              <w:r>
                <w:rPr>
                  <w:rFonts w:ascii="Arial" w:cs="Arial" w:eastAsia="Arial" w:hAnsi="Arial"/>
                  <w:sz w:val="18"/>
                  <w:szCs w:val="18"/>
                  <w:color w:val="0000EE"/>
                  <w:w w:val="84"/>
                </w:rPr>
                <w:t>S-44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Experts</w:t>
              </w:r>
            </w:hyperlink>
          </w:p>
        </w:tc>
        <w:tc>
          <w:tcPr>
            <w:tcW w:w="3720" w:type="dxa"/>
            <w:vAlign w:val="bottom"/>
            <w:tcBorders>
              <w:bottom w:val="single" w:sz="8" w:color="D5EAEA"/>
            </w:tcBorders>
            <w:gridSpan w:val="31"/>
            <w:shd w:val="clear" w:color="auto" w:fill="D5EAEA"/>
          </w:tcPr>
          <w:p>
            <w:pPr>
              <w:spacing w:after="0"/>
              <w:rPr>
                <w:sz w:val="17"/>
                <w:szCs w:val="17"/>
                <w:color w:val="auto"/>
              </w:rPr>
            </w:pPr>
          </w:p>
        </w:tc>
        <w:tc>
          <w:tcPr>
            <w:tcW w:w="6800" w:type="dxa"/>
            <w:vAlign w:val="bottom"/>
            <w:tcBorders>
              <w:bottom w:val="single" w:sz="8" w:color="D5EAEA"/>
            </w:tcBorders>
            <w:shd w:val="clear" w:color="auto" w:fill="D5EAEA"/>
          </w:tcPr>
          <w:p>
            <w:pPr>
              <w:spacing w:after="0"/>
              <w:rPr>
                <w:sz w:val="17"/>
                <w:szCs w:val="17"/>
                <w:color w:val="auto"/>
              </w:rPr>
            </w:pPr>
          </w:p>
        </w:tc>
        <w:tc>
          <w:tcPr>
            <w:tcW w:w="340" w:type="dxa"/>
            <w:vAlign w:val="bottom"/>
            <w:tcBorders>
              <w:bottom w:val="single" w:sz="8" w:color="0000EE"/>
            </w:tcBorders>
            <w:gridSpan w:val="6"/>
            <w:shd w:val="clear" w:color="auto" w:fill="D5EAEA"/>
          </w:tcPr>
          <w:p>
            <w:pPr>
              <w:jc w:val="right"/>
              <w:spacing w:after="0" w:line="176" w:lineRule="exact"/>
              <w:rPr>
                <w:rFonts w:ascii="Arial" w:cs="Arial" w:eastAsia="Arial" w:hAnsi="Arial"/>
                <w:sz w:val="18"/>
                <w:szCs w:val="18"/>
                <w:color w:val="0000EE"/>
                <w:w w:val="84"/>
              </w:rPr>
            </w:pPr>
            <w:hyperlink w:anchor="page51">
              <w:r>
                <w:rPr>
                  <w:rFonts w:ascii="Arial" w:cs="Arial" w:eastAsia="Arial" w:hAnsi="Arial"/>
                  <w:sz w:val="18"/>
                  <w:szCs w:val="18"/>
                  <w:color w:val="0000EE"/>
                  <w:w w:val="84"/>
                </w:rPr>
                <w:t>S-44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Where You Can Find More Information</w:t>
              </w:r>
            </w:hyperlink>
          </w:p>
        </w:tc>
        <w:tc>
          <w:tcPr>
            <w:tcW w:w="6800" w:type="dxa"/>
            <w:vAlign w:val="bottom"/>
          </w:tcPr>
          <w:p>
            <w:pPr>
              <w:spacing w:after="0"/>
              <w:rPr>
                <w:sz w:val="15"/>
                <w:szCs w:val="15"/>
                <w:color w:val="auto"/>
              </w:rPr>
            </w:pPr>
          </w:p>
        </w:tc>
        <w:tc>
          <w:tcPr>
            <w:tcW w:w="340" w:type="dxa"/>
            <w:vAlign w:val="bottom"/>
            <w:gridSpan w:val="6"/>
          </w:tcPr>
          <w:p>
            <w:pPr>
              <w:jc w:val="right"/>
              <w:spacing w:after="0" w:line="176" w:lineRule="exact"/>
              <w:rPr>
                <w:rFonts w:ascii="Arial" w:cs="Arial" w:eastAsia="Arial" w:hAnsi="Arial"/>
                <w:sz w:val="18"/>
                <w:szCs w:val="18"/>
                <w:color w:val="0000EE"/>
                <w:w w:val="84"/>
              </w:rPr>
            </w:pPr>
            <w:hyperlink w:anchor="page51">
              <w:r>
                <w:rPr>
                  <w:rFonts w:ascii="Arial" w:cs="Arial" w:eastAsia="Arial" w:hAnsi="Arial"/>
                  <w:sz w:val="18"/>
                  <w:szCs w:val="18"/>
                  <w:color w:val="0000EE"/>
                  <w:w w:val="84"/>
                </w:rPr>
                <w:t>S-44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tcBorders>
              <w:bottom w:val="single" w:sz="8" w:color="0000EE"/>
            </w:tcBorders>
            <w:gridSpan w:val="16"/>
            <w:shd w:val="clear" w:color="auto" w:fill="D5EAEA"/>
          </w:tcPr>
          <w:p>
            <w:pPr>
              <w:spacing w:after="0" w:line="17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Incorporation By Reference</w:t>
              </w:r>
            </w:hyperlink>
          </w:p>
        </w:tc>
        <w:tc>
          <w:tcPr>
            <w:tcW w:w="2260" w:type="dxa"/>
            <w:vAlign w:val="bottom"/>
            <w:tcBorders>
              <w:bottom w:val="single" w:sz="8" w:color="D5EAEA"/>
            </w:tcBorders>
            <w:gridSpan w:val="16"/>
            <w:shd w:val="clear" w:color="auto" w:fill="D5EAEA"/>
          </w:tcPr>
          <w:p>
            <w:pPr>
              <w:spacing w:after="0"/>
              <w:rPr>
                <w:sz w:val="17"/>
                <w:szCs w:val="17"/>
                <w:color w:val="auto"/>
              </w:rPr>
            </w:pPr>
          </w:p>
        </w:tc>
        <w:tc>
          <w:tcPr>
            <w:tcW w:w="6800" w:type="dxa"/>
            <w:vAlign w:val="bottom"/>
            <w:tcBorders>
              <w:bottom w:val="single" w:sz="8" w:color="D5EAEA"/>
            </w:tcBorders>
            <w:shd w:val="clear" w:color="auto" w:fill="D5EAEA"/>
          </w:tcPr>
          <w:p>
            <w:pPr>
              <w:spacing w:after="0"/>
              <w:rPr>
                <w:sz w:val="17"/>
                <w:szCs w:val="17"/>
                <w:color w:val="auto"/>
              </w:rPr>
            </w:pPr>
          </w:p>
        </w:tc>
        <w:tc>
          <w:tcPr>
            <w:tcW w:w="340" w:type="dxa"/>
            <w:vAlign w:val="bottom"/>
            <w:tcBorders>
              <w:bottom w:val="single" w:sz="8" w:color="0000EE"/>
            </w:tcBorders>
            <w:gridSpan w:val="6"/>
            <w:shd w:val="clear" w:color="auto" w:fill="D5EAEA"/>
          </w:tcPr>
          <w:p>
            <w:pPr>
              <w:jc w:val="right"/>
              <w:spacing w:after="0" w:line="176" w:lineRule="exact"/>
              <w:rPr>
                <w:rFonts w:ascii="Arial" w:cs="Arial" w:eastAsia="Arial" w:hAnsi="Arial"/>
                <w:sz w:val="18"/>
                <w:szCs w:val="18"/>
                <w:color w:val="0000EE"/>
                <w:w w:val="84"/>
              </w:rPr>
            </w:pPr>
            <w:hyperlink w:anchor="page51">
              <w:r>
                <w:rPr>
                  <w:rFonts w:ascii="Arial" w:cs="Arial" w:eastAsia="Arial" w:hAnsi="Arial"/>
                  <w:sz w:val="18"/>
                  <w:szCs w:val="18"/>
                  <w:color w:val="0000EE"/>
                  <w:w w:val="84"/>
                </w:rPr>
                <w:t>S-44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Statutory Financial Statements</w:t>
              </w:r>
            </w:hyperlink>
          </w:p>
        </w:tc>
        <w:tc>
          <w:tcPr>
            <w:tcW w:w="6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jc w:val="right"/>
              <w:spacing w:after="0" w:line="176" w:lineRule="exact"/>
              <w:rPr>
                <w:rFonts w:ascii="Arial" w:cs="Arial" w:eastAsia="Arial" w:hAnsi="Arial"/>
                <w:sz w:val="18"/>
                <w:szCs w:val="18"/>
                <w:color w:val="0000EE"/>
                <w:w w:val="81"/>
              </w:rPr>
            </w:pPr>
            <w:hyperlink w:anchor="page53">
              <w:r>
                <w:rPr>
                  <w:rFonts w:ascii="Arial" w:cs="Arial" w:eastAsia="Arial" w:hAnsi="Arial"/>
                  <w:sz w:val="18"/>
                  <w:szCs w:val="18"/>
                  <w:color w:val="0000EE"/>
                  <w:w w:val="81"/>
                </w:rPr>
                <w:t>F-1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680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40" w:type="dxa"/>
            <w:vAlign w:val="bottom"/>
            <w:gridSpan w:val="7"/>
          </w:tcPr>
          <w:p>
            <w:pPr>
              <w:jc w:val="center"/>
              <w:ind w:right="4280"/>
              <w:spacing w:after="0"/>
              <w:rPr>
                <w:sz w:val="20"/>
                <w:szCs w:val="20"/>
                <w:color w:val="auto"/>
              </w:rPr>
            </w:pPr>
            <w:r>
              <w:rPr>
                <w:rFonts w:ascii="Arial" w:cs="Arial" w:eastAsia="Arial" w:hAnsi="Arial"/>
                <w:sz w:val="18"/>
                <w:szCs w:val="18"/>
                <w:b w:val="1"/>
                <w:bCs w:val="1"/>
                <w:color w:val="auto"/>
                <w:w w:val="95"/>
              </w:rPr>
              <w:t>PROSPECTUS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680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About This Prospectus</w:t>
              </w:r>
            </w:hyperlink>
          </w:p>
        </w:tc>
        <w:tc>
          <w:tcPr>
            <w:tcW w:w="7140" w:type="dxa"/>
            <w:vAlign w:val="bottom"/>
            <w:gridSpan w:val="7"/>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7"/>
            <w:shd w:val="clear" w:color="auto" w:fill="D5EAEA"/>
          </w:tcPr>
          <w:p>
            <w:pPr>
              <w:spacing w:after="0" w:line="17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Where You Can Find More Information</w:t>
              </w:r>
            </w:hyperlink>
          </w:p>
        </w:tc>
        <w:tc>
          <w:tcPr>
            <w:tcW w:w="1400" w:type="dxa"/>
            <w:vAlign w:val="bottom"/>
            <w:gridSpan w:val="5"/>
            <w:shd w:val="clear" w:color="auto" w:fill="D5EAEA"/>
          </w:tcPr>
          <w:p>
            <w:pPr>
              <w:spacing w:after="0"/>
              <w:rPr>
                <w:sz w:val="15"/>
                <w:szCs w:val="15"/>
                <w:color w:val="auto"/>
              </w:rPr>
            </w:pPr>
          </w:p>
        </w:tc>
        <w:tc>
          <w:tcPr>
            <w:tcW w:w="7140" w:type="dxa"/>
            <w:vAlign w:val="bottom"/>
            <w:gridSpan w:val="7"/>
            <w:shd w:val="clear" w:color="auto" w:fill="D5EAEA"/>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680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Special Note Regarding Forward-Looking Statements</w:t>
              </w:r>
            </w:hyperlink>
          </w:p>
        </w:tc>
        <w:tc>
          <w:tcPr>
            <w:tcW w:w="7140" w:type="dxa"/>
            <w:vAlign w:val="bottom"/>
            <w:gridSpan w:val="7"/>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9"/>
            <w:shd w:val="clear" w:color="auto" w:fill="D5EAEA"/>
          </w:tcPr>
          <w:p>
            <w:pPr>
              <w:spacing w:after="0" w:line="17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AC Immune SA</w:t>
              </w:r>
            </w:hyperlink>
          </w:p>
        </w:tc>
        <w:tc>
          <w:tcPr>
            <w:tcW w:w="3100" w:type="dxa"/>
            <w:vAlign w:val="bottom"/>
            <w:gridSpan w:val="23"/>
            <w:shd w:val="clear" w:color="auto" w:fill="D5EAEA"/>
          </w:tcPr>
          <w:p>
            <w:pPr>
              <w:spacing w:after="0"/>
              <w:rPr>
                <w:sz w:val="15"/>
                <w:szCs w:val="15"/>
                <w:color w:val="auto"/>
              </w:rPr>
            </w:pPr>
          </w:p>
        </w:tc>
        <w:tc>
          <w:tcPr>
            <w:tcW w:w="7140" w:type="dxa"/>
            <w:vAlign w:val="bottom"/>
            <w:gridSpan w:val="7"/>
            <w:shd w:val="clear" w:color="auto" w:fill="D5EAEA"/>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680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9"/>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3100" w:type="dxa"/>
            <w:vAlign w:val="bottom"/>
            <w:gridSpan w:val="23"/>
          </w:tcPr>
          <w:p>
            <w:pPr>
              <w:spacing w:after="0"/>
              <w:rPr>
                <w:sz w:val="15"/>
                <w:szCs w:val="15"/>
                <w:color w:val="auto"/>
              </w:rPr>
            </w:pPr>
          </w:p>
        </w:tc>
        <w:tc>
          <w:tcPr>
            <w:tcW w:w="7140" w:type="dxa"/>
            <w:vAlign w:val="bottom"/>
            <w:gridSpan w:val="7"/>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60" w:type="dxa"/>
            <w:vAlign w:val="bottom"/>
            <w:gridSpan w:val="32"/>
            <w:shd w:val="clear" w:color="auto" w:fill="D5EAEA"/>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Ratio of Earnings to Fixed Charges</w:t>
              </w:r>
            </w:hyperlink>
          </w:p>
        </w:tc>
        <w:tc>
          <w:tcPr>
            <w:tcW w:w="7140" w:type="dxa"/>
            <w:vAlign w:val="bottom"/>
            <w:gridSpan w:val="7"/>
            <w:shd w:val="clear" w:color="auto" w:fill="D5EAEA"/>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680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gridSpan w:val="24"/>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Use of Proceeds</w:t>
              </w:r>
            </w:hyperlink>
          </w:p>
        </w:tc>
        <w:tc>
          <w:tcPr>
            <w:tcW w:w="1740" w:type="dxa"/>
            <w:vAlign w:val="bottom"/>
            <w:gridSpan w:val="8"/>
          </w:tcPr>
          <w:p>
            <w:pPr>
              <w:spacing w:after="0"/>
              <w:rPr>
                <w:sz w:val="15"/>
                <w:szCs w:val="15"/>
                <w:color w:val="auto"/>
              </w:rPr>
            </w:pPr>
          </w:p>
        </w:tc>
        <w:tc>
          <w:tcPr>
            <w:tcW w:w="7140" w:type="dxa"/>
            <w:vAlign w:val="bottom"/>
            <w:gridSpan w:val="7"/>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60" w:type="dxa"/>
            <w:vAlign w:val="bottom"/>
            <w:gridSpan w:val="31"/>
            <w:shd w:val="clear" w:color="auto" w:fill="D5EAEA"/>
          </w:tcPr>
          <w:p>
            <w:pPr>
              <w:spacing w:after="0" w:line="17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Description of Share Capital and Articles of Association</w:t>
              </w:r>
            </w:hyperlink>
          </w:p>
        </w:tc>
        <w:tc>
          <w:tcPr>
            <w:tcW w:w="200" w:type="dxa"/>
            <w:vAlign w:val="bottom"/>
            <w:shd w:val="clear" w:color="auto" w:fill="D5EAEA"/>
          </w:tcPr>
          <w:p>
            <w:pPr>
              <w:spacing w:after="0"/>
              <w:rPr>
                <w:sz w:val="15"/>
                <w:szCs w:val="15"/>
                <w:color w:val="auto"/>
              </w:rPr>
            </w:pPr>
          </w:p>
        </w:tc>
        <w:tc>
          <w:tcPr>
            <w:tcW w:w="7140" w:type="dxa"/>
            <w:vAlign w:val="bottom"/>
            <w:gridSpan w:val="7"/>
            <w:shd w:val="clear" w:color="auto" w:fill="D5EAEA"/>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440" w:type="dxa"/>
            <w:vAlign w:val="bottom"/>
            <w:tcBorders>
              <w:top w:val="single" w:sz="8" w:color="0000EE"/>
            </w:tcBorders>
            <w:shd w:val="clear" w:color="auto" w:fill="D5EAEA"/>
          </w:tcPr>
          <w:p>
            <w:pPr>
              <w:spacing w:after="0" w:line="20" w:lineRule="exact"/>
              <w:rPr>
                <w:sz w:val="1"/>
                <w:szCs w:val="1"/>
                <w:color w:val="auto"/>
              </w:rPr>
            </w:pPr>
          </w:p>
        </w:tc>
        <w:tc>
          <w:tcPr>
            <w:tcW w:w="3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680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60" w:type="dxa"/>
            <w:vAlign w:val="bottom"/>
            <w:gridSpan w:val="31"/>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Comparison of Swiss Law and Delaware Law</w:t>
              </w:r>
            </w:hyperlink>
          </w:p>
        </w:tc>
        <w:tc>
          <w:tcPr>
            <w:tcW w:w="200" w:type="dxa"/>
            <w:vAlign w:val="bottom"/>
          </w:tcPr>
          <w:p>
            <w:pPr>
              <w:spacing w:after="0"/>
              <w:rPr>
                <w:sz w:val="15"/>
                <w:szCs w:val="15"/>
                <w:color w:val="auto"/>
              </w:rPr>
            </w:pPr>
          </w:p>
        </w:tc>
        <w:tc>
          <w:tcPr>
            <w:tcW w:w="7140" w:type="dxa"/>
            <w:vAlign w:val="bottom"/>
            <w:gridSpan w:val="7"/>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14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18"/>
            <w:shd w:val="clear" w:color="auto" w:fill="D5EAEA"/>
          </w:tcPr>
          <w:p>
            <w:pPr>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Description of Debt Securities</w:t>
              </w:r>
            </w:hyperlink>
          </w:p>
        </w:tc>
        <w:tc>
          <w:tcPr>
            <w:tcW w:w="2080" w:type="dxa"/>
            <w:vAlign w:val="bottom"/>
            <w:tcBorders>
              <w:bottom w:val="single" w:sz="8" w:color="D5EAEA"/>
            </w:tcBorders>
            <w:gridSpan w:val="14"/>
            <w:shd w:val="clear" w:color="auto" w:fill="D5EAEA"/>
          </w:tcPr>
          <w:p>
            <w:pPr>
              <w:spacing w:after="0"/>
              <w:rPr>
                <w:sz w:val="17"/>
                <w:szCs w:val="17"/>
                <w:color w:val="auto"/>
              </w:rPr>
            </w:pPr>
          </w:p>
        </w:tc>
        <w:tc>
          <w:tcPr>
            <w:tcW w:w="6960" w:type="dxa"/>
            <w:vAlign w:val="bottom"/>
            <w:tcBorders>
              <w:bottom w:val="single" w:sz="8" w:color="D5EAEA"/>
            </w:tcBorders>
            <w:gridSpan w:val="5"/>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Warrants</w:t>
              </w:r>
            </w:hyperlink>
          </w:p>
        </w:tc>
        <w:tc>
          <w:tcPr>
            <w:tcW w:w="7140" w:type="dxa"/>
            <w:vAlign w:val="bottom"/>
            <w:gridSpan w:val="7"/>
          </w:tcPr>
          <w:p>
            <w:pPr>
              <w:jc w:val="right"/>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60" w:type="dxa"/>
            <w:vAlign w:val="bottom"/>
            <w:tcBorders>
              <w:bottom w:val="single" w:sz="8" w:color="0000EE"/>
            </w:tcBorders>
            <w:gridSpan w:val="22"/>
            <w:shd w:val="clear" w:color="auto" w:fill="D5EAEA"/>
          </w:tcPr>
          <w:p>
            <w:pPr>
              <w:spacing w:after="0" w:line="17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Description of Purchase Contracts</w:t>
              </w:r>
            </w:hyperlink>
          </w:p>
        </w:tc>
        <w:tc>
          <w:tcPr>
            <w:tcW w:w="1800" w:type="dxa"/>
            <w:vAlign w:val="bottom"/>
            <w:tcBorders>
              <w:bottom w:val="single" w:sz="8" w:color="D5EAEA"/>
            </w:tcBorders>
            <w:gridSpan w:val="10"/>
            <w:shd w:val="clear" w:color="auto" w:fill="D5EAEA"/>
          </w:tcPr>
          <w:p>
            <w:pPr>
              <w:spacing w:after="0"/>
              <w:rPr>
                <w:sz w:val="17"/>
                <w:szCs w:val="17"/>
                <w:color w:val="auto"/>
              </w:rPr>
            </w:pPr>
          </w:p>
        </w:tc>
        <w:tc>
          <w:tcPr>
            <w:tcW w:w="6960" w:type="dxa"/>
            <w:vAlign w:val="bottom"/>
            <w:tcBorders>
              <w:bottom w:val="single" w:sz="8" w:color="D5EAEA"/>
            </w:tcBorders>
            <w:gridSpan w:val="5"/>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Description of Units</w:t>
              </w:r>
            </w:hyperlink>
          </w:p>
        </w:tc>
        <w:tc>
          <w:tcPr>
            <w:tcW w:w="7140" w:type="dxa"/>
            <w:vAlign w:val="bottom"/>
            <w:gridSpan w:val="7"/>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tcBorders>
              <w:bottom w:val="single" w:sz="8" w:color="0000EE"/>
            </w:tcBorders>
            <w:gridSpan w:val="23"/>
            <w:shd w:val="clear" w:color="auto" w:fill="D5EAEA"/>
          </w:tcPr>
          <w:p>
            <w:pPr>
              <w:spacing w:after="0" w:line="17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Description of Subscription Rights</w:t>
              </w:r>
            </w:hyperlink>
          </w:p>
        </w:tc>
        <w:tc>
          <w:tcPr>
            <w:tcW w:w="1760" w:type="dxa"/>
            <w:vAlign w:val="bottom"/>
            <w:tcBorders>
              <w:bottom w:val="single" w:sz="8" w:color="D5EAEA"/>
            </w:tcBorders>
            <w:gridSpan w:val="9"/>
            <w:shd w:val="clear" w:color="auto" w:fill="D5EAEA"/>
          </w:tcPr>
          <w:p>
            <w:pPr>
              <w:spacing w:after="0"/>
              <w:rPr>
                <w:sz w:val="17"/>
                <w:szCs w:val="17"/>
                <w:color w:val="auto"/>
              </w:rPr>
            </w:pPr>
          </w:p>
        </w:tc>
        <w:tc>
          <w:tcPr>
            <w:tcW w:w="6960" w:type="dxa"/>
            <w:vAlign w:val="bottom"/>
            <w:tcBorders>
              <w:bottom w:val="single" w:sz="8" w:color="D5EAEA"/>
            </w:tcBorders>
            <w:gridSpan w:val="5"/>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Plan of Distribution</w:t>
              </w:r>
            </w:hyperlink>
          </w:p>
        </w:tc>
        <w:tc>
          <w:tcPr>
            <w:tcW w:w="7140" w:type="dxa"/>
            <w:vAlign w:val="bottom"/>
            <w:gridSpan w:val="7"/>
          </w:tcPr>
          <w:p>
            <w:pPr>
              <w:jc w:val="right"/>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80" w:type="dxa"/>
            <w:vAlign w:val="bottom"/>
            <w:tcBorders>
              <w:bottom w:val="single" w:sz="8" w:color="0000EE"/>
            </w:tcBorders>
            <w:gridSpan w:val="29"/>
            <w:shd w:val="clear" w:color="auto" w:fill="D5EAEA"/>
          </w:tcPr>
          <w:p>
            <w:pPr>
              <w:spacing w:after="0" w:line="17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Incorporation of Certain Information By Reference</w:t>
              </w:r>
            </w:hyperlink>
          </w:p>
        </w:tc>
        <w:tc>
          <w:tcPr>
            <w:tcW w:w="580" w:type="dxa"/>
            <w:vAlign w:val="bottom"/>
            <w:tcBorders>
              <w:bottom w:val="single" w:sz="8" w:color="D5EAEA"/>
            </w:tcBorders>
            <w:gridSpan w:val="3"/>
            <w:shd w:val="clear" w:color="auto" w:fill="D5EAEA"/>
          </w:tcPr>
          <w:p>
            <w:pPr>
              <w:spacing w:after="0"/>
              <w:rPr>
                <w:sz w:val="17"/>
                <w:szCs w:val="17"/>
                <w:color w:val="auto"/>
              </w:rPr>
            </w:pPr>
          </w:p>
        </w:tc>
        <w:tc>
          <w:tcPr>
            <w:tcW w:w="6960" w:type="dxa"/>
            <w:vAlign w:val="bottom"/>
            <w:tcBorders>
              <w:bottom w:val="single" w:sz="8" w:color="D5EAEA"/>
            </w:tcBorders>
            <w:gridSpan w:val="5"/>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Enforcement of Judgments</w:t>
              </w:r>
            </w:hyperlink>
          </w:p>
        </w:tc>
        <w:tc>
          <w:tcPr>
            <w:tcW w:w="7140" w:type="dxa"/>
            <w:vAlign w:val="bottom"/>
            <w:gridSpan w:val="7"/>
          </w:tcPr>
          <w:p>
            <w:pPr>
              <w:jc w:val="right"/>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60" w:type="dxa"/>
            <w:vAlign w:val="bottom"/>
            <w:gridSpan w:val="32"/>
            <w:shd w:val="clear" w:color="auto" w:fill="D5EAEA"/>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Expenses</w:t>
              </w:r>
            </w:hyperlink>
          </w:p>
        </w:tc>
        <w:tc>
          <w:tcPr>
            <w:tcW w:w="7140" w:type="dxa"/>
            <w:vAlign w:val="bottom"/>
            <w:gridSpan w:val="7"/>
            <w:shd w:val="clear" w:color="auto" w:fill="D5EAEA"/>
          </w:tcPr>
          <w:p>
            <w:pPr>
              <w:jc w:val="right"/>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680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60" w:type="dxa"/>
            <w:vAlign w:val="bottom"/>
            <w:gridSpan w:val="32"/>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Legal Matters</w:t>
              </w:r>
            </w:hyperlink>
          </w:p>
        </w:tc>
        <w:tc>
          <w:tcPr>
            <w:tcW w:w="7140" w:type="dxa"/>
            <w:vAlign w:val="bottom"/>
            <w:gridSpan w:val="7"/>
          </w:tcPr>
          <w:p>
            <w:pPr>
              <w:jc w:val="right"/>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60" w:type="dxa"/>
            <w:vAlign w:val="bottom"/>
            <w:gridSpan w:val="32"/>
            <w:shd w:val="clear" w:color="auto" w:fill="D5EAEA"/>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Experts</w:t>
              </w:r>
            </w:hyperlink>
          </w:p>
        </w:tc>
        <w:tc>
          <w:tcPr>
            <w:tcW w:w="7140" w:type="dxa"/>
            <w:vAlign w:val="bottom"/>
            <w:gridSpan w:val="7"/>
            <w:shd w:val="clear" w:color="auto" w:fill="D5EAEA"/>
          </w:tcPr>
          <w:p>
            <w:pPr>
              <w:jc w:val="right"/>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680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-5899785</wp:posOffset>
            </wp:positionV>
            <wp:extent cx="7246620" cy="5900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590042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right="100" w:firstLine="415"/>
        <w:spacing w:after="0" w:line="287" w:lineRule="auto"/>
        <w:rPr>
          <w:sz w:val="20"/>
          <w:szCs w:val="20"/>
          <w:color w:val="auto"/>
        </w:rPr>
      </w:pPr>
      <w:r>
        <w:rPr>
          <w:rFonts w:ascii="Arial" w:cs="Arial" w:eastAsia="Arial" w:hAnsi="Arial"/>
          <w:sz w:val="16"/>
          <w:szCs w:val="16"/>
          <w:color w:val="auto"/>
        </w:rPr>
        <w:t>Our financial statements incorporated by reference herein are presented in Swiss Francs and in accordance with International Financial Reporting Standards, or IFRS, as issued by the International Accounting Standards Board, or IASB. None of the financial statements included in this prospectus supplement or incorporated by reference herein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0.9738 to CHF 1.00, the official exchange rate quoted as of December 29, 2017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 Our statutory (non-IFRS) financial statements for the year ending December 31, 2017, are included in this prospectus supplement for information purposes only. Unless explicitly mentioned otherwise herein, all references to our financial statements in this prospectus supplement are references to our IFRS financial statements exclusively.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firstLine="415"/>
        <w:spacing w:after="0" w:line="273" w:lineRule="auto"/>
        <w:rPr>
          <w:sz w:val="20"/>
          <w:szCs w:val="20"/>
          <w:color w:val="auto"/>
        </w:rPr>
      </w:pPr>
      <w:r>
        <w:rPr>
          <w:rFonts w:ascii="Arial" w:cs="Arial" w:eastAsia="Arial" w:hAnsi="Arial"/>
          <w:sz w:val="17"/>
          <w:szCs w:val="17"/>
          <w:color w:val="auto"/>
        </w:rPr>
        <w:t>The Company owns various trademark registrations and applications, and unregistered trademarks, including Morphomer™, SupraAntigen™ and its corporate logo. All other trademarks, trade names and service marks of other companies appearing in this prospectus supplement are the property of their respective owners. Solely for convenience, the trademarks and trade names in this prospectus supplement may be referred to without the © and ™ symbols, but such references should not be construed as any indicator that their respective owners will not assert, to the fullest extent under applicable law, their rights thereto. The Company does not intend to use or display other companies’ trademarks and trade names to imply a relationship with, or endorsement or sponsorship of the Company by, any other companies.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00" w:firstLine="415"/>
        <w:spacing w:after="0" w:line="264"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w:t>
      </w:r>
    </w:p>
    <w:p>
      <w:pPr>
        <w:spacing w:after="0" w:line="181"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Before buying any of our securities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7"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8" w:lineRule="exact"/>
        <w:rPr>
          <w:sz w:val="20"/>
          <w:szCs w:val="20"/>
          <w:color w:val="auto"/>
        </w:rPr>
      </w:pPr>
    </w:p>
    <w:p>
      <w:pPr>
        <w:ind w:firstLine="416"/>
        <w:spacing w:after="0" w:line="312"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and any related free writing prospectus filed by us with the SEC. We have not, and the underwriters have not, authorized anyone to provide you with different information. If anyone provides you with different or inconsistent information, you should not rely on it. This prospectus supplement does not constitute an offer to sell or the solicitation of an offer</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70" w:lineRule="exact"/>
        <w:rPr>
          <w:sz w:val="20"/>
          <w:szCs w:val="20"/>
          <w:color w:val="auto"/>
        </w:rPr>
      </w:pPr>
    </w:p>
    <w:p>
      <w:pPr>
        <w:ind w:right="200" w:firstLine="41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supplement to “AC Immune” or the “Company,” “we,” “our,” “ours,” “us” or similar terms refer to AC Immune SA, a Swiss stock corporation.</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380" w:firstLine="415"/>
        <w:spacing w:after="0" w:line="291" w:lineRule="auto"/>
        <w:rPr>
          <w:sz w:val="20"/>
          <w:szCs w:val="20"/>
          <w:color w:val="auto"/>
        </w:rPr>
      </w:pPr>
      <w:r>
        <w:rPr>
          <w:rFonts w:ascii="Arial" w:cs="Arial" w:eastAsia="Arial" w:hAnsi="Arial"/>
          <w:sz w:val="16"/>
          <w:szCs w:val="16"/>
          <w:color w:val="auto"/>
        </w:rPr>
        <w:t>This prospectus supplement contains statements that constitute forward-looking statements. All statements other than statements of historical facts contained in this prospectus supplement,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within the meaning of Section 27A of the Securities Act of 1933, as amended, or the Securities Act, and Section 21E of the Exchange Act of 1934, as amended, or the Exchange Act. Many of the forward-looking statements contained in this prospectus supplement can be identified by the use of forward-looking words such as “anticipate,” “believe,” “could,” “expect,” “should,” “plan,” “intend,” “estimate,” “will” and “potential,” among others.</w:t>
      </w:r>
    </w:p>
    <w:p>
      <w:pPr>
        <w:spacing w:after="0" w:line="167" w:lineRule="exact"/>
        <w:rPr>
          <w:sz w:val="20"/>
          <w:szCs w:val="20"/>
          <w:color w:val="auto"/>
        </w:rPr>
      </w:pPr>
    </w:p>
    <w:p>
      <w:pPr>
        <w:ind w:right="140" w:firstLine="41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supplement. These risks and uncertainties include factors relating to:</w:t>
      </w:r>
    </w:p>
    <w:p>
      <w:pPr>
        <w:spacing w:after="0" w:line="188" w:lineRule="exact"/>
        <w:rPr>
          <w:sz w:val="20"/>
          <w:szCs w:val="20"/>
          <w:color w:val="auto"/>
        </w:rPr>
      </w:pPr>
    </w:p>
    <w:p>
      <w:pPr>
        <w:ind w:left="1060" w:right="80" w:hanging="323"/>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success of our and our collaboration partners’ clinical studies, and our and their ability to obtain regulatory approval and to commercialize crenezumab, our anti-Tau antibody candidate, ACI-24, ACI-35, and our Tau-PET tracer as well as alpha-synuclein-PET tracer candidate;</w:t>
      </w:r>
    </w:p>
    <w:p>
      <w:pPr>
        <w:spacing w:after="0" w:line="123" w:lineRule="exact"/>
        <w:rPr>
          <w:rFonts w:ascii="Arial" w:cs="Arial" w:eastAsia="Arial" w:hAnsi="Arial"/>
          <w:sz w:val="16"/>
          <w:szCs w:val="16"/>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Morphomer proprietary technology platform and its success in building additional product candidates for our pipeline;</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conduct outside the United States in the future;</w:t>
      </w:r>
    </w:p>
    <w:p>
      <w:pPr>
        <w:spacing w:after="0" w:line="17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1060" w:right="84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7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These forward-looking statements speak only as of the date of this prospectus supplement and are subject to a number of risks, uncertainties and assumptions described under the section in this prospectus supplement entitled “Risk Factors” and elsewhere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16140" cy="644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140" cy="6444615"/>
                    </a:xfrm>
                    <a:prstGeom prst="rect">
                      <a:avLst/>
                    </a:prstGeom>
                    <a:noFill/>
                  </pic:spPr>
                </pic:pic>
              </a:graphicData>
            </a:graphic>
          </wp:anchor>
        </w:drawing>
      </w:r>
    </w:p>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120" w:right="20" w:firstLine="401"/>
        <w:spacing w:after="0" w:line="276"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of investing in our common shares discussed under “Risk Factors” beginning on page S-10 of this prospectus supplement, along with our consolidated financial statements and notes to those consolidated financial statements and the other information incorporated by reference in this prospectus supplement.</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100" w:firstLine="324"/>
        <w:spacing w:after="0" w:line="255" w:lineRule="auto"/>
        <w:rPr>
          <w:sz w:val="20"/>
          <w:szCs w:val="20"/>
          <w:color w:val="auto"/>
        </w:rPr>
      </w:pPr>
      <w:r>
        <w:rPr>
          <w:rFonts w:ascii="Arial" w:cs="Arial" w:eastAsia="Arial" w:hAnsi="Arial"/>
          <w:sz w:val="18"/>
          <w:szCs w:val="18"/>
          <w:color w:val="auto"/>
        </w:rPr>
        <w:t>We are a clinical stage biopharmaceutical company focused on neurodegenerative diseases with five product candidates in clinical trials. We leverage our two proprietary technology platforms to discover, design and develop novel, proprietary small molecules, antibodies and vaccines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225" w:right="4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16140" cy="656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6564630"/>
                    </a:xfrm>
                    <a:prstGeom prst="rect">
                      <a:avLst/>
                    </a:prstGeom>
                    <a:noFill/>
                  </pic:spPr>
                </pic:pic>
              </a:graphicData>
            </a:graphic>
          </wp:anchor>
        </w:drawing>
      </w:r>
    </w:p>
    <w:p>
      <w:pPr>
        <w:spacing w:after="0" w:line="179" w:lineRule="exact"/>
        <w:rPr>
          <w:sz w:val="20"/>
          <w:szCs w:val="20"/>
          <w:color w:val="auto"/>
        </w:rPr>
      </w:pPr>
    </w:p>
    <w:p>
      <w:pPr>
        <w:ind w:left="100" w:right="160" w:firstLine="324"/>
        <w:spacing w:after="0" w:line="257" w:lineRule="auto"/>
        <w:rPr>
          <w:sz w:val="20"/>
          <w:szCs w:val="20"/>
          <w:color w:val="auto"/>
        </w:rPr>
      </w:pPr>
      <w:r>
        <w:rPr>
          <w:rFonts w:ascii="Arial" w:cs="Arial" w:eastAsia="Arial" w:hAnsi="Arial"/>
          <w:sz w:val="18"/>
          <w:szCs w:val="18"/>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 There remains a significant unmet medical need for reliable and accurate diagnostics to enable early diagnosis and disease-modifying treatments that slow the progress of neurodegenerative diseases.</w:t>
      </w:r>
    </w:p>
    <w:p>
      <w:pPr>
        <w:spacing w:after="0" w:line="188" w:lineRule="exact"/>
        <w:rPr>
          <w:sz w:val="20"/>
          <w:szCs w:val="20"/>
          <w:color w:val="auto"/>
        </w:rPr>
      </w:pPr>
    </w:p>
    <w:p>
      <w:pPr>
        <w:ind w:left="100" w:right="100" w:firstLine="324"/>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Prof.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left="100" w:right="400" w:firstLine="324"/>
        <w:spacing w:after="0" w:line="264" w:lineRule="auto"/>
        <w:rPr>
          <w:sz w:val="20"/>
          <w:szCs w:val="20"/>
          <w:color w:val="auto"/>
        </w:rPr>
      </w:pPr>
      <w:r>
        <w:rPr>
          <w:rFonts w:ascii="Arial" w:cs="Arial" w:eastAsia="Arial" w:hAnsi="Arial"/>
          <w:sz w:val="18"/>
          <w:szCs w:val="18"/>
          <w:color w:val="auto"/>
        </w:rPr>
        <w:t>Our goal is to become a global leader in precision medicine for the treatment of neurodegenerative diseases. To that aim we are executing a clear business strategy around three pillars: (i) Alzheimer’s disease, (ii) other significant neurodegenerative diseases and neuro-orphan indications, and (iii) diagnostics.</w:t>
      </w:r>
    </w:p>
    <w:p>
      <w:pPr>
        <w:spacing w:after="0" w:line="181" w:lineRule="exact"/>
        <w:rPr>
          <w:sz w:val="20"/>
          <w:szCs w:val="20"/>
          <w:color w:val="auto"/>
        </w:rPr>
      </w:pPr>
    </w:p>
    <w:p>
      <w:pPr>
        <w:ind w:left="100" w:right="160" w:firstLine="324"/>
        <w:spacing w:after="0" w:line="277" w:lineRule="auto"/>
        <w:rPr>
          <w:sz w:val="20"/>
          <w:szCs w:val="20"/>
          <w:color w:val="auto"/>
        </w:rPr>
      </w:pPr>
      <w:r>
        <w:rPr>
          <w:rFonts w:ascii="Arial" w:cs="Arial" w:eastAsia="Arial" w:hAnsi="Arial"/>
          <w:sz w:val="18"/>
          <w:szCs w:val="18"/>
          <w:color w:val="auto"/>
        </w:rPr>
        <w:t>The first pillar is Alzheimer’s disease, where we are developing best-in-class late stage assets, preventive or therapeutic vaccines in partnership or as fully owned assets and where we are working to establish a pipeline of disease modifying small molecules.</w:t>
      </w:r>
    </w:p>
    <w:p>
      <w:pPr>
        <w:spacing w:after="0" w:line="170" w:lineRule="exact"/>
        <w:rPr>
          <w:sz w:val="20"/>
          <w:szCs w:val="20"/>
          <w:color w:val="auto"/>
        </w:rPr>
      </w:pPr>
    </w:p>
    <w:p>
      <w:pPr>
        <w:ind w:left="100" w:right="400" w:firstLine="324"/>
        <w:spacing w:after="0" w:line="342" w:lineRule="auto"/>
        <w:rPr>
          <w:sz w:val="20"/>
          <w:szCs w:val="20"/>
          <w:color w:val="auto"/>
        </w:rPr>
      </w:pPr>
      <w:r>
        <w:rPr>
          <w:rFonts w:ascii="Arial" w:cs="Arial" w:eastAsia="Arial" w:hAnsi="Arial"/>
          <w:sz w:val="16"/>
          <w:szCs w:val="16"/>
          <w:color w:val="auto"/>
        </w:rPr>
        <w:t>The second pillar is other non-AD neurodegenerative diseases and neuro-orphan indications, where we aim to discover therapeutic treatments for Parkinson’s disease and leverage our AD therapeutics in Down syndrome, progressive supranuclear palsy (PSP) and other neuro-orphan diseases.</w:t>
      </w:r>
    </w:p>
    <w:p>
      <w:pPr>
        <w:spacing w:after="0" w:line="124" w:lineRule="exact"/>
        <w:rPr>
          <w:sz w:val="20"/>
          <w:szCs w:val="20"/>
          <w:color w:val="auto"/>
        </w:rPr>
      </w:pPr>
    </w:p>
    <w:p>
      <w:pPr>
        <w:ind w:left="100" w:firstLine="324"/>
        <w:spacing w:after="0" w:line="277" w:lineRule="auto"/>
        <w:rPr>
          <w:sz w:val="20"/>
          <w:szCs w:val="20"/>
          <w:color w:val="auto"/>
        </w:rPr>
      </w:pPr>
      <w:r>
        <w:rPr>
          <w:rFonts w:ascii="Arial" w:cs="Arial" w:eastAsia="Arial" w:hAnsi="Arial"/>
          <w:sz w:val="18"/>
          <w:szCs w:val="18"/>
          <w:color w:val="auto"/>
        </w:rPr>
        <w:t>The third pillar is represented by diagnostics, where we accelerate the diagnostic pipeline to late stage development and use the diagnostics to improve clinical trials and to establish external partnerships.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Key elements of our strategy continue to include:</w:t>
      </w:r>
    </w:p>
    <w:p>
      <w:pPr>
        <w:spacing w:after="0" w:line="225" w:lineRule="exact"/>
        <w:rPr>
          <w:sz w:val="20"/>
          <w:szCs w:val="20"/>
          <w:color w:val="auto"/>
        </w:rPr>
      </w:pPr>
    </w:p>
    <w:p>
      <w:pPr>
        <w:ind w:left="100" w:right="220" w:firstLine="324"/>
        <w:spacing w:after="0" w:line="277" w:lineRule="auto"/>
        <w:rPr>
          <w:sz w:val="20"/>
          <w:szCs w:val="20"/>
          <w:color w:val="auto"/>
        </w:rPr>
      </w:pPr>
      <w:r>
        <w:rPr>
          <w:rFonts w:ascii="Arial" w:cs="Arial" w:eastAsia="Arial" w:hAnsi="Arial"/>
          <w:sz w:val="18"/>
          <w:szCs w:val="18"/>
          <w:i w:val="1"/>
          <w:iCs w:val="1"/>
          <w:color w:val="auto"/>
        </w:rPr>
        <w:t>Advancing our product candidates, in partnership or alone, from clinical development to regulatory approval and potential commercialization. Our product candidates include:</w:t>
      </w:r>
    </w:p>
    <w:p>
      <w:pPr>
        <w:spacing w:after="0" w:line="166" w:lineRule="exact"/>
        <w:rPr>
          <w:sz w:val="20"/>
          <w:szCs w:val="20"/>
          <w:color w:val="auto"/>
        </w:rPr>
      </w:pPr>
    </w:p>
    <w:p>
      <w:pPr>
        <w:ind w:left="740" w:right="80" w:hanging="318"/>
        <w:spacing w:after="0" w:line="26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Crenezumab</w:t>
      </w:r>
      <w:r>
        <w:rPr>
          <w:rFonts w:ascii="Arial" w:cs="Arial" w:eastAsia="Arial" w:hAnsi="Arial"/>
          <w:sz w:val="18"/>
          <w:szCs w:val="18"/>
          <w:color w:val="auto"/>
        </w:rPr>
        <w:t>. Our collaboration partner, Genentech, will advance crenezumab through Phase 3 clinical studies and seek regulatory approval.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crenezumab’s efficacy, coupled with its safety profile, has the potential to become a best-in-class disease-modifying treatment for AD.</w:t>
      </w:r>
    </w:p>
    <w:p>
      <w:pPr>
        <w:spacing w:after="0" w:line="176" w:lineRule="exact"/>
        <w:rPr>
          <w:rFonts w:ascii="Arial" w:cs="Arial" w:eastAsia="Arial" w:hAnsi="Arial"/>
          <w:sz w:val="18"/>
          <w:szCs w:val="18"/>
          <w:color w:val="auto"/>
        </w:rPr>
      </w:pPr>
    </w:p>
    <w:p>
      <w:pPr>
        <w:ind w:left="740" w:hanging="318"/>
        <w:spacing w:after="0" w:line="274"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ACI-24</w:t>
      </w:r>
      <w:r>
        <w:rPr>
          <w:rFonts w:ascii="Arial" w:cs="Arial" w:eastAsia="Arial" w:hAnsi="Arial"/>
          <w:sz w:val="17"/>
          <w:szCs w:val="17"/>
          <w:color w:val="auto"/>
        </w:rPr>
        <w:t>. We will continue to advance ACI-24 through a Phase 2 clinical study in people with AD. In the first quarter of 2018, we reported the</w:t>
      </w:r>
      <w:r>
        <w:rPr>
          <w:rFonts w:ascii="Arial" w:cs="Arial" w:eastAsia="Arial" w:hAnsi="Arial"/>
          <w:sz w:val="17"/>
          <w:szCs w:val="17"/>
          <w:b w:val="1"/>
          <w:bCs w:val="1"/>
          <w:color w:val="auto"/>
        </w:rPr>
        <w:t xml:space="preserve"> </w:t>
      </w:r>
      <w:r>
        <w:rPr>
          <w:rFonts w:ascii="Arial" w:cs="Arial" w:eastAsia="Arial" w:hAnsi="Arial"/>
          <w:sz w:val="17"/>
          <w:szCs w:val="17"/>
          <w:color w:val="auto"/>
        </w:rPr>
        <w:t>safety data from our ongoing Phase 1/2a clinical study to evaluate the safety, tolerability, immunogenicity and biomarker endpoints in people with mild to moderate AD. Our Phase 1b clinical study of ACI-24 in people with Down syndrome is intended to assess safety and started in December 2015. We expect to present interim data from our Phase 1b clinical study in 2018. We have received the necessary approvals to begin our Phase 2 clinical study in patients with mild Alzheimer’s disease and expect to start screening our first patient in the third quarter of 2018. We own the global rights to ACI-24 and we intend to continue to develop ACI-24 in-house as a therapeutic candidate.</w:t>
      </w:r>
    </w:p>
    <w:p>
      <w:pPr>
        <w:spacing w:after="0" w:line="173" w:lineRule="exact"/>
        <w:rPr>
          <w:rFonts w:ascii="Arial" w:cs="Arial" w:eastAsia="Arial" w:hAnsi="Arial"/>
          <w:sz w:val="17"/>
          <w:szCs w:val="17"/>
          <w:color w:val="auto"/>
        </w:rPr>
      </w:pPr>
    </w:p>
    <w:p>
      <w:pPr>
        <w:ind w:left="740" w:right="440" w:hanging="318"/>
        <w:spacing w:after="0" w:line="313"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ACI-35</w:t>
      </w:r>
      <w:r>
        <w:rPr>
          <w:rFonts w:ascii="Arial" w:cs="Arial" w:eastAsia="Arial" w:hAnsi="Arial"/>
          <w:sz w:val="17"/>
          <w:szCs w:val="17"/>
          <w:color w:val="auto"/>
        </w:rPr>
        <w:t>. The Phase 1b clinical study delivered encouraging interim results. We and Janssen Pharmaceuticals will move the anti-Tau vaccine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forward through the next phase of development; this is supported by scientific advice from regulatory authorities.</w:t>
      </w: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16140" cy="6033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140" cy="603313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740" w:right="20" w:hanging="318"/>
        <w:spacing w:after="0" w:line="282"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Our Anti-Tau antibody candidate</w:t>
      </w:r>
      <w:r>
        <w:rPr>
          <w:rFonts w:ascii="Arial" w:cs="Arial" w:eastAsia="Arial" w:hAnsi="Arial"/>
          <w:sz w:val="18"/>
          <w:szCs w:val="18"/>
          <w:color w:val="auto"/>
        </w:rPr>
        <w:t>. Our collaboration partner, Genentech, is advancing an anti-Tau antibody candidate through a Phase 2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study, which started in the fourth quarter of 2017.</w:t>
      </w:r>
    </w:p>
    <w:p>
      <w:pPr>
        <w:spacing w:after="0" w:line="161" w:lineRule="exact"/>
        <w:rPr>
          <w:rFonts w:ascii="Arial" w:cs="Arial" w:eastAsia="Arial" w:hAnsi="Arial"/>
          <w:sz w:val="18"/>
          <w:szCs w:val="18"/>
          <w:color w:val="auto"/>
        </w:rPr>
      </w:pPr>
    </w:p>
    <w:p>
      <w:pPr>
        <w:ind w:left="740" w:right="540" w:hanging="318"/>
        <w:spacing w:after="0" w:line="26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Diagnostic candidates</w:t>
      </w:r>
      <w:r>
        <w:rPr>
          <w:rFonts w:ascii="Arial" w:cs="Arial" w:eastAsia="Arial" w:hAnsi="Arial"/>
          <w:sz w:val="18"/>
          <w:szCs w:val="18"/>
          <w:color w:val="auto"/>
        </w:rPr>
        <w:t>. In addition to the above product candidates, we will continue to develop our complementary diagnostic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for Tau, alpha-synuclein and TDP-43 to advance these through clinical development, either independently or with collaboration partners.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Expanding into other neurodegenerative and neuro-orphan diseases</w:t>
      </w:r>
    </w:p>
    <w:p>
      <w:pPr>
        <w:spacing w:after="0" w:line="225" w:lineRule="exact"/>
        <w:rPr>
          <w:sz w:val="20"/>
          <w:szCs w:val="20"/>
          <w:color w:val="auto"/>
        </w:rPr>
      </w:pPr>
    </w:p>
    <w:p>
      <w:pPr>
        <w:ind w:left="100" w:right="300" w:firstLine="324"/>
        <w:spacing w:after="0" w:line="257" w:lineRule="auto"/>
        <w:rPr>
          <w:sz w:val="20"/>
          <w:szCs w:val="20"/>
          <w:color w:val="auto"/>
        </w:rPr>
      </w:pPr>
      <w:r>
        <w:rPr>
          <w:rFonts w:ascii="Arial" w:cs="Arial" w:eastAsia="Arial" w:hAnsi="Arial"/>
          <w:sz w:val="18"/>
          <w:szCs w:val="18"/>
          <w:color w:val="auto"/>
        </w:rPr>
        <w:t>We will continue to leverage our proprietary technology platforms to develop product candidates that share the same disease targets like misfolded Abeta, Tau, alpha-synuclein and TDP-43 proteins, which are the key features of many neurodegenerative diseases. We pursue selected neuro-orphan indications, such as progressive supranuclear palsy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Accelerating the advancement of our diagnostic portfolio</w:t>
      </w:r>
    </w:p>
    <w:p>
      <w:pPr>
        <w:spacing w:after="0" w:line="225" w:lineRule="exact"/>
        <w:rPr>
          <w:sz w:val="20"/>
          <w:szCs w:val="20"/>
          <w:color w:val="auto"/>
        </w:rPr>
      </w:pPr>
    </w:p>
    <w:p>
      <w:pPr>
        <w:ind w:left="100" w:firstLine="324"/>
        <w:spacing w:after="0" w:line="293" w:lineRule="auto"/>
        <w:rPr>
          <w:sz w:val="20"/>
          <w:szCs w:val="20"/>
          <w:color w:val="auto"/>
        </w:rPr>
      </w:pPr>
      <w:r>
        <w:rPr>
          <w:rFonts w:ascii="Arial" w:cs="Arial" w:eastAsia="Arial" w:hAnsi="Arial"/>
          <w:sz w:val="16"/>
          <w:szCs w:val="16"/>
          <w:color w:val="auto"/>
        </w:rPr>
        <w:t>We are also developing a complementary diagnostics portfolio. We currently have three diagnostics candidates in our pipeline that we developed using our Morphomer platform that targets Tau (enabling study expected in 2018), alpha-synuclein (enabling study expected in the first half of 2018 and lead selection expected in 2018) and TDP-43 (lead selection expected in 2018). Our Tau-PET imaging agent is currently undergoing Phase 1 studies and we are working with our partner, Piramal Imaging, to advance this product candidate through the clinical development process. We expect to undertake a longitudinal study of our Tau-PET imaging agent in 2018. We are also developing PET imaging diagnostics for diseases resulting from the misfolding of alpha-synuclein and TDP-43 proteins. We expect to start the Phase 1 clinical trial for our alpha-synuclein-PET tracer in the second half of 2018.</w:t>
      </w:r>
    </w:p>
    <w:p>
      <w:pPr>
        <w:spacing w:after="0" w:line="165" w:lineRule="exact"/>
        <w:rPr>
          <w:sz w:val="20"/>
          <w:szCs w:val="20"/>
          <w:color w:val="auto"/>
        </w:rPr>
      </w:pPr>
    </w:p>
    <w:p>
      <w:pPr>
        <w:ind w:left="100" w:right="40" w:firstLine="324"/>
        <w:spacing w:after="0" w:line="291" w:lineRule="auto"/>
        <w:rPr>
          <w:sz w:val="20"/>
          <w:szCs w:val="20"/>
          <w:color w:val="auto"/>
        </w:rPr>
      </w:pPr>
      <w:r>
        <w:rPr>
          <w:rFonts w:ascii="Arial" w:cs="Arial" w:eastAsia="Arial" w:hAnsi="Arial"/>
          <w:sz w:val="16"/>
          <w:szCs w:val="16"/>
          <w:color w:val="auto"/>
        </w:rPr>
        <w:t>We are leveraging the duality of our therapeutic and diagnostic approaches to seek to become the leader in precision treatment of neurodegenerative diseases. The goal of precision medicine is to deliver optimally targeted and timed interventions tailored to an individual's molecular drivers of disease.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Strategically collaborating or selectively partnering for the development and commercialization of product candidates</w:t>
      </w:r>
    </w:p>
    <w:p>
      <w:pPr>
        <w:spacing w:after="0" w:line="225" w:lineRule="exact"/>
        <w:rPr>
          <w:sz w:val="20"/>
          <w:szCs w:val="20"/>
          <w:color w:val="auto"/>
        </w:rPr>
      </w:pPr>
    </w:p>
    <w:p>
      <w:pPr>
        <w:ind w:left="100" w:firstLine="324"/>
        <w:spacing w:after="0" w:line="272" w:lineRule="auto"/>
        <w:rPr>
          <w:sz w:val="20"/>
          <w:szCs w:val="20"/>
          <w:color w:val="auto"/>
        </w:rPr>
      </w:pPr>
      <w:r>
        <w:rPr>
          <w:rFonts w:ascii="Arial" w:cs="Arial" w:eastAsia="Arial" w:hAnsi="Arial"/>
          <w:sz w:val="17"/>
          <w:szCs w:val="17"/>
          <w:color w:val="auto"/>
        </w:rPr>
        <w:t>Historically, we have 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16140" cy="5878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140" cy="5878830"/>
                    </a:xfrm>
                    <a:prstGeom prst="rect">
                      <a:avLst/>
                    </a:prstGeom>
                    <a:noFill/>
                  </pic:spPr>
                </pic:pic>
              </a:graphicData>
            </a:graphic>
          </wp:anchor>
        </w:drawing>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120" w:right="120" w:firstLine="396"/>
        <w:spacing w:after="0" w:line="264"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The information contained on our website is not a part of this prospectus supplement.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20" w:right="80" w:firstLine="396"/>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Section 404 of the Sarbanes-Oxley Act of 2002.</w:t>
      </w:r>
    </w:p>
    <w:p>
      <w:pPr>
        <w:spacing w:after="0" w:line="187" w:lineRule="exact"/>
        <w:rPr>
          <w:sz w:val="20"/>
          <w:szCs w:val="20"/>
          <w:color w:val="auto"/>
        </w:rPr>
      </w:pPr>
    </w:p>
    <w:p>
      <w:pPr>
        <w:ind w:left="120" w:firstLine="396"/>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$1.07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our initial public offering (2016). We may choose to take advantage of some but not all of these reduced burdens. For example, Section 107 of the JOBS Act provides that an emerging growth company can use the extended transition period provided in Section 7(a)(2)(B) of the Securities Act for complying with new or revised accounting standards. However, given that we currently report and expect to continue to report under IFRS, we have irrevocably elected not to avail ourselves of this extended transition period and, as a result, we will adopt new or revised accounting standards on the relevant dates on which adoption of such standards is required by the IASB.</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29" w:lineRule="exact"/>
        <w:rPr>
          <w:sz w:val="20"/>
          <w:szCs w:val="20"/>
          <w:color w:val="auto"/>
        </w:rPr>
      </w:pPr>
    </w:p>
    <w:p>
      <w:pPr>
        <w:ind w:left="120" w:right="40" w:firstLine="396"/>
        <w:spacing w:after="0" w:line="312" w:lineRule="auto"/>
        <w:rPr>
          <w:sz w:val="20"/>
          <w:szCs w:val="20"/>
          <w:color w:val="auto"/>
        </w:rPr>
      </w:pPr>
      <w:r>
        <w:rPr>
          <w:rFonts w:ascii="Arial" w:cs="Arial" w:eastAsia="Arial" w:hAnsi="Arial"/>
          <w:sz w:val="16"/>
          <w:szCs w:val="16"/>
          <w:color w:val="auto"/>
        </w:rPr>
        <w:t>We are also considered a “foreign private issuer.” Accordingly, we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47" w:lineRule="exact"/>
        <w:rPr>
          <w:sz w:val="20"/>
          <w:szCs w:val="20"/>
          <w:color w:val="auto"/>
        </w:rPr>
      </w:pPr>
    </w:p>
    <w:p>
      <w:pPr>
        <w:ind w:left="740" w:right="380" w:hanging="31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740" w:right="220" w:hanging="31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740" w:right="140" w:hanging="318"/>
        <w:spacing w:after="0" w:line="26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ind w:left="120" w:right="180" w:firstLine="401"/>
        <w:spacing w:after="0" w:line="342" w:lineRule="auto"/>
        <w:rPr>
          <w:sz w:val="20"/>
          <w:szCs w:val="20"/>
          <w:color w:val="auto"/>
        </w:rPr>
      </w:pPr>
      <w:r>
        <w:rPr>
          <w:rFonts w:ascii="Arial" w:cs="Arial" w:eastAsia="Arial" w:hAnsi="Arial"/>
          <w:sz w:val="16"/>
          <w:szCs w:val="16"/>
          <w:color w:val="auto"/>
        </w:rPr>
        <w:t>Although as a foreign private issuer we will not be required to file periodic reports and financial statements with the SEC as frequently or as promptly as U.S. companies whose securities are registered under the Exchange Act, we report our results of operations voluntarily on a quarterly basis.</w:t>
      </w: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25" w:right="39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16140" cy="664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664210"/>
                    </a:xfrm>
                    <a:prstGeom prst="rect">
                      <a:avLst/>
                    </a:prstGeom>
                    <a:noFill/>
                  </pic:spPr>
                </pic:pic>
              </a:graphicData>
            </a:graphic>
          </wp:anchor>
        </w:drawing>
      </w:r>
    </w:p>
    <w:p>
      <w:pPr>
        <w:spacing w:after="0" w:line="179" w:lineRule="exact"/>
        <w:rPr>
          <w:sz w:val="20"/>
          <w:szCs w:val="20"/>
          <w:color w:val="auto"/>
        </w:rPr>
      </w:pPr>
    </w:p>
    <w:p>
      <w:pPr>
        <w:ind w:left="120" w:right="20" w:firstLine="396"/>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120" w:hanging="2"/>
        <w:spacing w:after="0" w:line="261"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majority of our executive officers or directors are U.S. citizens or residents, (ii) more than 50% of our assets are located in the United States or (iii) our business is administered principally in the United States.</w:t>
      </w:r>
    </w:p>
    <w:p>
      <w:pPr>
        <w:spacing w:after="0" w:line="37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25" w:right="4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16140" cy="6307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140" cy="6307455"/>
                    </a:xfrm>
                    <a:prstGeom prst="rect">
                      <a:avLst/>
                    </a:prstGeom>
                    <a:noFill/>
                  </pic:spPr>
                </pic:pic>
              </a:graphicData>
            </a:graphic>
          </wp:anchor>
        </w:drawing>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20" w:right="140" w:firstLine="396"/>
        <w:spacing w:after="0" w:line="259"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supplement. This summary is not complete and does not contain all the information you should consider before investing in our securities. You should carefully read this entire prospectus supplement before investing in our securities including “Risk Factors” and our financial statements included in this prospectus supplement or incorporated by reference herein.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Pr>
          <w:p>
            <w:pPr>
              <w:ind w:left="140"/>
              <w:spacing w:after="0"/>
              <w:rPr>
                <w:sz w:val="20"/>
                <w:szCs w:val="20"/>
                <w:color w:val="auto"/>
              </w:rPr>
            </w:pPr>
            <w:r>
              <w:rPr>
                <w:rFonts w:ascii="Arial" w:cs="Arial" w:eastAsia="Arial" w:hAnsi="Arial"/>
                <w:sz w:val="18"/>
                <w:szCs w:val="18"/>
                <w:b w:val="1"/>
                <w:bCs w:val="1"/>
                <w:color w:val="auto"/>
              </w:rPr>
              <w:t>Common shares offered by us</w:t>
            </w:r>
          </w:p>
        </w:tc>
        <w:tc>
          <w:tcPr>
            <w:tcW w:w="7480" w:type="dxa"/>
            <w:vAlign w:val="bottom"/>
          </w:tcPr>
          <w:p>
            <w:pPr>
              <w:ind w:left="920"/>
              <w:spacing w:after="0"/>
              <w:rPr>
                <w:sz w:val="20"/>
                <w:szCs w:val="20"/>
                <w:color w:val="auto"/>
              </w:rPr>
            </w:pPr>
            <w:r>
              <w:rPr>
                <w:rFonts w:ascii="Arial" w:cs="Arial" w:eastAsia="Arial" w:hAnsi="Arial"/>
                <w:sz w:val="18"/>
                <w:szCs w:val="18"/>
                <w:color w:val="auto"/>
                <w:w w:val="98"/>
              </w:rPr>
              <w:t>At the extraordinary shareholders’ meeting held on April 27, 2018, our shareholders</w:t>
            </w:r>
          </w:p>
        </w:tc>
        <w:tc>
          <w:tcPr>
            <w:tcW w:w="60" w:type="dxa"/>
            <w:vAlign w:val="bottom"/>
          </w:tcPr>
          <w:p>
            <w:pPr>
              <w:spacing w:after="0"/>
              <w:rPr>
                <w:sz w:val="19"/>
                <w:szCs w:val="19"/>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rPr>
              <w:t>approved an ordinary capital increase of up to 8,500,000 common shares, and an</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6"/>
              </w:rPr>
              <w:t>ordinary capital increase of up to 1,500,000 common shares. The Public Offering and</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9"/>
              </w:rPr>
              <w:t>the First Rights Offering described below will be carried out based on the approved</w:t>
            </w:r>
          </w:p>
        </w:tc>
        <w:tc>
          <w:tcPr>
            <w:tcW w:w="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rPr>
              <w:t>capital increase with respect to up to 8,500,000 common shares.</w:t>
            </w:r>
          </w:p>
        </w:tc>
        <w:tc>
          <w:tcPr>
            <w:tcW w:w="60" w:type="dxa"/>
            <w:vAlign w:val="bottom"/>
          </w:tcPr>
          <w:p>
            <w:pPr>
              <w:spacing w:after="0"/>
              <w:rPr>
                <w:sz w:val="20"/>
                <w:szCs w:val="20"/>
                <w:color w:val="auto"/>
              </w:rPr>
            </w:pPr>
          </w:p>
        </w:tc>
      </w:tr>
      <w:tr>
        <w:trPr>
          <w:trHeight w:val="418"/>
        </w:trPr>
        <w:tc>
          <w:tcPr>
            <w:tcW w:w="3880" w:type="dxa"/>
            <w:vAlign w:val="bottom"/>
          </w:tcPr>
          <w:p>
            <w:pPr>
              <w:spacing w:after="0"/>
              <w:rPr>
                <w:sz w:val="24"/>
                <w:szCs w:val="24"/>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3"/>
              </w:rPr>
              <w:t>The Public Offering consists of the sale by us of 7,391,305 of our newly issued common</w:t>
            </w:r>
          </w:p>
        </w:tc>
        <w:tc>
          <w:tcPr>
            <w:tcW w:w="60" w:type="dxa"/>
            <w:vAlign w:val="bottom"/>
          </w:tcPr>
          <w:p>
            <w:pPr>
              <w:spacing w:after="0"/>
              <w:rPr>
                <w:sz w:val="24"/>
                <w:szCs w:val="24"/>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7"/>
              </w:rPr>
              <w:t>shares (the “Firm Shares”). Concurrently with the Public Offering, we will commence</w:t>
            </w:r>
          </w:p>
        </w:tc>
        <w:tc>
          <w:tcPr>
            <w:tcW w:w="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rPr>
              <w:t>the First Rights Offering described below.</w:t>
            </w:r>
          </w:p>
        </w:tc>
        <w:tc>
          <w:tcPr>
            <w:tcW w:w="60" w:type="dxa"/>
            <w:vAlign w:val="bottom"/>
          </w:tcPr>
          <w:p>
            <w:pPr>
              <w:spacing w:after="0"/>
              <w:rPr>
                <w:sz w:val="20"/>
                <w:szCs w:val="20"/>
                <w:color w:val="auto"/>
              </w:rPr>
            </w:pPr>
          </w:p>
        </w:tc>
      </w:tr>
      <w:tr>
        <w:trPr>
          <w:trHeight w:val="418"/>
        </w:trPr>
        <w:tc>
          <w:tcPr>
            <w:tcW w:w="3880" w:type="dxa"/>
            <w:vAlign w:val="bottom"/>
          </w:tcPr>
          <w:p>
            <w:pPr>
              <w:ind w:left="140"/>
              <w:spacing w:after="0"/>
              <w:rPr>
                <w:sz w:val="20"/>
                <w:szCs w:val="20"/>
                <w:color w:val="auto"/>
              </w:rPr>
            </w:pPr>
            <w:r>
              <w:rPr>
                <w:rFonts w:ascii="Arial" w:cs="Arial" w:eastAsia="Arial" w:hAnsi="Arial"/>
                <w:sz w:val="18"/>
                <w:szCs w:val="18"/>
                <w:b w:val="1"/>
                <w:bCs w:val="1"/>
                <w:color w:val="auto"/>
              </w:rPr>
              <w:t>Option to purchase additional shares</w:t>
            </w:r>
          </w:p>
        </w:tc>
        <w:tc>
          <w:tcPr>
            <w:tcW w:w="7480" w:type="dxa"/>
            <w:vAlign w:val="bottom"/>
          </w:tcPr>
          <w:p>
            <w:pPr>
              <w:ind w:left="920"/>
              <w:spacing w:after="0"/>
              <w:rPr>
                <w:sz w:val="20"/>
                <w:szCs w:val="20"/>
                <w:color w:val="auto"/>
              </w:rPr>
            </w:pPr>
            <w:r>
              <w:rPr>
                <w:rFonts w:ascii="Arial" w:cs="Arial" w:eastAsia="Arial" w:hAnsi="Arial"/>
                <w:sz w:val="18"/>
                <w:szCs w:val="18"/>
                <w:color w:val="auto"/>
                <w:w w:val="99"/>
              </w:rPr>
              <w:t>We have granted to the underwriters an option, which is exercisable within 30 days</w:t>
            </w:r>
          </w:p>
        </w:tc>
        <w:tc>
          <w:tcPr>
            <w:tcW w:w="60" w:type="dxa"/>
            <w:vAlign w:val="bottom"/>
          </w:tcPr>
          <w:p>
            <w:pPr>
              <w:spacing w:after="0"/>
              <w:rPr>
                <w:sz w:val="24"/>
                <w:szCs w:val="24"/>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4"/>
              </w:rPr>
              <w:t>from the date of this prospectus supplement, to purchase up to an additional 1,108,695</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6"/>
              </w:rPr>
              <w:t>of our newly issued common shares (the “Option Shares” and, together with the Firm</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8"/>
              </w:rPr>
              <w:t>Shares, the “Offered Shares”) at the Offering Price, less underwriting discounts and</w:t>
            </w:r>
          </w:p>
        </w:tc>
        <w:tc>
          <w:tcPr>
            <w:tcW w:w="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rPr>
              <w:t>commissions. See “Underwriting” for more information.</w:t>
            </w:r>
          </w:p>
        </w:tc>
        <w:tc>
          <w:tcPr>
            <w:tcW w:w="60" w:type="dxa"/>
            <w:vAlign w:val="bottom"/>
          </w:tcPr>
          <w:p>
            <w:pPr>
              <w:spacing w:after="0"/>
              <w:rPr>
                <w:sz w:val="20"/>
                <w:szCs w:val="20"/>
                <w:color w:val="auto"/>
              </w:rPr>
            </w:pPr>
          </w:p>
        </w:tc>
      </w:tr>
      <w:tr>
        <w:trPr>
          <w:trHeight w:val="418"/>
        </w:trPr>
        <w:tc>
          <w:tcPr>
            <w:tcW w:w="3880" w:type="dxa"/>
            <w:vAlign w:val="bottom"/>
          </w:tcPr>
          <w:p>
            <w:pPr>
              <w:ind w:left="140"/>
              <w:spacing w:after="0"/>
              <w:rPr>
                <w:sz w:val="20"/>
                <w:szCs w:val="20"/>
                <w:color w:val="auto"/>
              </w:rPr>
            </w:pPr>
            <w:r>
              <w:rPr>
                <w:rFonts w:ascii="Arial" w:cs="Arial" w:eastAsia="Arial" w:hAnsi="Arial"/>
                <w:sz w:val="18"/>
                <w:szCs w:val="18"/>
                <w:b w:val="1"/>
                <w:bCs w:val="1"/>
                <w:color w:val="auto"/>
              </w:rPr>
              <w:t>Offered Shares</w:t>
            </w:r>
          </w:p>
        </w:tc>
        <w:tc>
          <w:tcPr>
            <w:tcW w:w="7480" w:type="dxa"/>
            <w:vAlign w:val="bottom"/>
          </w:tcPr>
          <w:p>
            <w:pPr>
              <w:ind w:left="920"/>
              <w:spacing w:after="0"/>
              <w:rPr>
                <w:sz w:val="20"/>
                <w:szCs w:val="20"/>
                <w:color w:val="auto"/>
              </w:rPr>
            </w:pPr>
            <w:r>
              <w:rPr>
                <w:rFonts w:ascii="Arial" w:cs="Arial" w:eastAsia="Arial" w:hAnsi="Arial"/>
                <w:sz w:val="18"/>
                <w:szCs w:val="18"/>
                <w:color w:val="auto"/>
              </w:rPr>
              <w:t>The Offered Shares will have a nominal value of CHF 0.02 each. We will issue the</w:t>
            </w:r>
          </w:p>
        </w:tc>
        <w:tc>
          <w:tcPr>
            <w:tcW w:w="60" w:type="dxa"/>
            <w:vAlign w:val="bottom"/>
          </w:tcPr>
          <w:p>
            <w:pPr>
              <w:spacing w:after="0"/>
              <w:rPr>
                <w:sz w:val="24"/>
                <w:szCs w:val="24"/>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7"/>
              </w:rPr>
              <w:t>Offered Shares in an ordinary share capital increase against cash contributions. The</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5"/>
              </w:rPr>
              <w:t xml:space="preserve">Offered Shares will be fully fungible and rank </w:t>
            </w:r>
            <w:r>
              <w:rPr>
                <w:rFonts w:ascii="Arial" w:cs="Arial" w:eastAsia="Arial" w:hAnsi="Arial"/>
                <w:sz w:val="18"/>
                <w:szCs w:val="18"/>
                <w:i w:val="1"/>
                <w:iCs w:val="1"/>
                <w:color w:val="auto"/>
                <w:w w:val="95"/>
              </w:rPr>
              <w:t>pari passu</w:t>
            </w:r>
            <w:r>
              <w:rPr>
                <w:rFonts w:ascii="Arial" w:cs="Arial" w:eastAsia="Arial" w:hAnsi="Arial"/>
                <w:sz w:val="18"/>
                <w:szCs w:val="18"/>
                <w:color w:val="auto"/>
                <w:w w:val="95"/>
              </w:rPr>
              <w:t xml:space="preserve"> in all respects with each other</w:t>
            </w:r>
          </w:p>
        </w:tc>
        <w:tc>
          <w:tcPr>
            <w:tcW w:w="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rPr>
              <w:t>and with all of our existing shares.</w:t>
            </w:r>
          </w:p>
        </w:tc>
        <w:tc>
          <w:tcPr>
            <w:tcW w:w="60" w:type="dxa"/>
            <w:vAlign w:val="bottom"/>
          </w:tcPr>
          <w:p>
            <w:pPr>
              <w:spacing w:after="0"/>
              <w:rPr>
                <w:sz w:val="20"/>
                <w:szCs w:val="20"/>
                <w:color w:val="auto"/>
              </w:rPr>
            </w:pPr>
          </w:p>
        </w:tc>
      </w:tr>
      <w:tr>
        <w:trPr>
          <w:trHeight w:val="418"/>
        </w:trPr>
        <w:tc>
          <w:tcPr>
            <w:tcW w:w="3880" w:type="dxa"/>
            <w:vAlign w:val="bottom"/>
          </w:tcPr>
          <w:p>
            <w:pPr>
              <w:spacing w:after="0"/>
              <w:rPr>
                <w:sz w:val="24"/>
                <w:szCs w:val="24"/>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4"/>
              </w:rPr>
              <w:t>The Offered Shares will be issued as uncertificated securities (</w:t>
            </w:r>
            <w:r>
              <w:rPr>
                <w:rFonts w:ascii="Arial" w:cs="Arial" w:eastAsia="Arial" w:hAnsi="Arial"/>
                <w:sz w:val="18"/>
                <w:szCs w:val="18"/>
                <w:i w:val="1"/>
                <w:iCs w:val="1"/>
                <w:color w:val="auto"/>
                <w:w w:val="94"/>
              </w:rPr>
              <w:t>droits-valeurs</w:t>
            </w:r>
            <w:r>
              <w:rPr>
                <w:rFonts w:ascii="Arial" w:cs="Arial" w:eastAsia="Arial" w:hAnsi="Arial"/>
                <w:sz w:val="18"/>
                <w:szCs w:val="18"/>
                <w:color w:val="auto"/>
                <w:w w:val="94"/>
              </w:rPr>
              <w:t>, within the</w:t>
            </w:r>
          </w:p>
        </w:tc>
        <w:tc>
          <w:tcPr>
            <w:tcW w:w="60" w:type="dxa"/>
            <w:vAlign w:val="bottom"/>
          </w:tcPr>
          <w:p>
            <w:pPr>
              <w:spacing w:after="0"/>
              <w:rPr>
                <w:sz w:val="24"/>
                <w:szCs w:val="24"/>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4"/>
              </w:rPr>
              <w:t>meaning of Article 973c of the Swiss Code of Obligations) and, when administered by a</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rPr>
              <w:t>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within the meaning of the Federal Act on</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rPr>
              <w:t>Intermediated Securities, “FISA”), qualify as intermediated securities (</w:t>
            </w:r>
            <w:r>
              <w:rPr>
                <w:rFonts w:ascii="Arial" w:cs="Arial" w:eastAsia="Arial" w:hAnsi="Arial"/>
                <w:sz w:val="18"/>
                <w:szCs w:val="18"/>
                <w:i w:val="1"/>
                <w:iCs w:val="1"/>
                <w:color w:val="auto"/>
              </w:rPr>
              <w:t>titres</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i w:val="1"/>
                <w:iCs w:val="1"/>
                <w:color w:val="auto"/>
                <w:w w:val="95"/>
              </w:rPr>
              <w:t>intermédiés</w:t>
            </w:r>
            <w:r>
              <w:rPr>
                <w:rFonts w:ascii="Arial" w:cs="Arial" w:eastAsia="Arial" w:hAnsi="Arial"/>
                <w:sz w:val="18"/>
                <w:szCs w:val="18"/>
                <w:color w:val="auto"/>
                <w:w w:val="95"/>
              </w:rPr>
              <w:t>, within the meaning of the FISA). The Offered Shares will be registered in</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rPr>
              <w:t>the Company’s non-public register of uncertificated securities (</w:t>
            </w:r>
            <w:r>
              <w:rPr>
                <w:rFonts w:ascii="Arial" w:cs="Arial" w:eastAsia="Arial" w:hAnsi="Arial"/>
                <w:sz w:val="18"/>
                <w:szCs w:val="18"/>
                <w:i w:val="1"/>
                <w:iCs w:val="1"/>
                <w:color w:val="auto"/>
              </w:rPr>
              <w:t>registre des droits-</w:t>
            </w:r>
          </w:p>
        </w:tc>
        <w:tc>
          <w:tcPr>
            <w:tcW w:w="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7480" w:type="dxa"/>
            <w:vAlign w:val="bottom"/>
          </w:tcPr>
          <w:p>
            <w:pPr>
              <w:ind w:left="920"/>
              <w:spacing w:after="0"/>
              <w:rPr>
                <w:sz w:val="20"/>
                <w:szCs w:val="20"/>
                <w:color w:val="auto"/>
              </w:rPr>
            </w:pPr>
            <w:r>
              <w:rPr>
                <w:rFonts w:ascii="Arial" w:cs="Arial" w:eastAsia="Arial" w:hAnsi="Arial"/>
                <w:sz w:val="18"/>
                <w:szCs w:val="18"/>
                <w:i w:val="1"/>
                <w:iCs w:val="1"/>
                <w:color w:val="auto"/>
              </w:rPr>
              <w:t>valeurs</w:t>
            </w: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418"/>
        </w:trPr>
        <w:tc>
          <w:tcPr>
            <w:tcW w:w="3880" w:type="dxa"/>
            <w:vAlign w:val="bottom"/>
          </w:tcPr>
          <w:p>
            <w:pPr>
              <w:ind w:left="140"/>
              <w:spacing w:after="0"/>
              <w:rPr>
                <w:sz w:val="20"/>
                <w:szCs w:val="20"/>
                <w:color w:val="auto"/>
              </w:rPr>
            </w:pPr>
            <w:r>
              <w:rPr>
                <w:rFonts w:ascii="Arial" w:cs="Arial" w:eastAsia="Arial" w:hAnsi="Arial"/>
                <w:sz w:val="18"/>
                <w:szCs w:val="18"/>
                <w:b w:val="1"/>
                <w:bCs w:val="1"/>
                <w:color w:val="auto"/>
              </w:rPr>
              <w:t>First Rights Offering</w:t>
            </w:r>
          </w:p>
        </w:tc>
        <w:tc>
          <w:tcPr>
            <w:tcW w:w="7480" w:type="dxa"/>
            <w:vAlign w:val="bottom"/>
          </w:tcPr>
          <w:p>
            <w:pPr>
              <w:ind w:left="920"/>
              <w:spacing w:after="0"/>
              <w:rPr>
                <w:sz w:val="20"/>
                <w:szCs w:val="20"/>
                <w:color w:val="auto"/>
              </w:rPr>
            </w:pPr>
            <w:r>
              <w:rPr>
                <w:rFonts w:ascii="Arial" w:cs="Arial" w:eastAsia="Arial" w:hAnsi="Arial"/>
                <w:sz w:val="18"/>
                <w:szCs w:val="18"/>
                <w:color w:val="auto"/>
              </w:rPr>
              <w:t>Under Swiss law and pursuant to the resolution by the extraordinary shareholders’</w:t>
            </w:r>
          </w:p>
        </w:tc>
        <w:tc>
          <w:tcPr>
            <w:tcW w:w="60" w:type="dxa"/>
            <w:vAlign w:val="bottom"/>
          </w:tcPr>
          <w:p>
            <w:pPr>
              <w:spacing w:after="0"/>
              <w:rPr>
                <w:sz w:val="24"/>
                <w:szCs w:val="24"/>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6"/>
              </w:rPr>
              <w:t>meeting held on April 27, 2018, our existing shareholders are entitled to statutory pre-</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5"/>
              </w:rPr>
              <w:t>emptive subscription rights to subscribe for any new issuance of common shares and,</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6"/>
              </w:rPr>
              <w:t>thus, the Offered Shares, in proportion to their existing shareholdings. As a result, we</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6"/>
              </w:rPr>
              <w:t>will commence a pre-emptive subscription rights offering to our Record Shareholders,</w:t>
            </w:r>
          </w:p>
        </w:tc>
        <w:tc>
          <w:tcPr>
            <w:tcW w:w="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480" w:type="dxa"/>
            <w:vAlign w:val="bottom"/>
          </w:tcPr>
          <w:p>
            <w:pPr>
              <w:ind w:left="920"/>
              <w:spacing w:after="0"/>
              <w:rPr>
                <w:sz w:val="20"/>
                <w:szCs w:val="20"/>
                <w:color w:val="auto"/>
              </w:rPr>
            </w:pPr>
            <w:r>
              <w:rPr>
                <w:rFonts w:ascii="Arial" w:cs="Arial" w:eastAsia="Arial" w:hAnsi="Arial"/>
                <w:sz w:val="18"/>
                <w:szCs w:val="18"/>
                <w:color w:val="auto"/>
                <w:w w:val="95"/>
              </w:rPr>
              <w:t xml:space="preserve">who will have the opportunity to subscribe for up to 8,500,000 Offered Shares on a </w:t>
            </w:r>
            <w:r>
              <w:rPr>
                <w:rFonts w:ascii="Arial" w:cs="Arial" w:eastAsia="Arial" w:hAnsi="Arial"/>
                <w:sz w:val="18"/>
                <w:szCs w:val="18"/>
                <w:i w:val="1"/>
                <w:iCs w:val="1"/>
                <w:color w:val="auto"/>
                <w:w w:val="95"/>
              </w:rPr>
              <w:t>pro</w:t>
            </w:r>
          </w:p>
        </w:tc>
        <w:tc>
          <w:tcPr>
            <w:tcW w:w="60" w:type="dxa"/>
            <w:vAlign w:val="bottom"/>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7480" w:type="dxa"/>
            <w:vAlign w:val="bottom"/>
          </w:tcPr>
          <w:p>
            <w:pPr>
              <w:ind w:left="920"/>
              <w:spacing w:after="0"/>
              <w:rPr>
                <w:sz w:val="20"/>
                <w:szCs w:val="20"/>
                <w:color w:val="auto"/>
              </w:rPr>
            </w:pPr>
            <w:r>
              <w:rPr>
                <w:rFonts w:ascii="Arial" w:cs="Arial" w:eastAsia="Arial" w:hAnsi="Arial"/>
                <w:sz w:val="18"/>
                <w:szCs w:val="18"/>
                <w:i w:val="1"/>
                <w:iCs w:val="1"/>
                <w:color w:val="auto"/>
              </w:rPr>
              <w:t xml:space="preserve">rata </w:t>
            </w:r>
            <w:r>
              <w:rPr>
                <w:rFonts w:ascii="Arial" w:cs="Arial" w:eastAsia="Arial" w:hAnsi="Arial"/>
                <w:sz w:val="18"/>
                <w:szCs w:val="18"/>
                <w:color w:val="auto"/>
              </w:rPr>
              <w:t>basis at</w:t>
            </w:r>
          </w:p>
        </w:tc>
        <w:tc>
          <w:tcPr>
            <w:tcW w:w="60" w:type="dxa"/>
            <w:vAlign w:val="bottom"/>
          </w:tcPr>
          <w:p>
            <w:pPr>
              <w:spacing w:after="0"/>
              <w:rPr>
                <w:sz w:val="20"/>
                <w:szCs w:val="20"/>
                <w:color w:val="auto"/>
              </w:rPr>
            </w:pPr>
          </w:p>
        </w:tc>
      </w:tr>
      <w:tr>
        <w:trPr>
          <w:trHeight w:val="415"/>
        </w:trPr>
        <w:tc>
          <w:tcPr>
            <w:tcW w:w="38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28"/>
        </w:trPr>
        <w:tc>
          <w:tcPr>
            <w:tcW w:w="388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S-6</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16140" cy="659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140" cy="659892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40"/>
        <w:spacing w:after="0" w:line="282" w:lineRule="auto"/>
        <w:rPr>
          <w:sz w:val="20"/>
          <w:szCs w:val="20"/>
          <w:color w:val="auto"/>
        </w:rPr>
      </w:pPr>
      <w:r>
        <w:rPr>
          <w:rFonts w:ascii="Arial" w:cs="Arial" w:eastAsia="Arial" w:hAnsi="Arial"/>
          <w:sz w:val="18"/>
          <w:szCs w:val="18"/>
          <w:b w:val="1"/>
          <w:bCs w:val="1"/>
          <w:color w:val="auto"/>
        </w:rPr>
        <w:t>Common shares to be outstanding immediately after this offering</w:t>
      </w:r>
    </w:p>
    <w:p>
      <w:pPr>
        <w:spacing w:after="0" w:line="162" w:lineRule="exact"/>
        <w:rPr>
          <w:sz w:val="20"/>
          <w:szCs w:val="20"/>
          <w:color w:val="auto"/>
        </w:rPr>
      </w:pPr>
    </w:p>
    <w:p>
      <w:pPr>
        <w:ind w:left="140" w:right="80"/>
        <w:spacing w:after="0" w:line="282" w:lineRule="auto"/>
        <w:rPr>
          <w:sz w:val="20"/>
          <w:szCs w:val="20"/>
          <w:color w:val="auto"/>
        </w:rPr>
      </w:pPr>
      <w:r>
        <w:rPr>
          <w:rFonts w:ascii="Arial" w:cs="Arial" w:eastAsia="Arial" w:hAnsi="Arial"/>
          <w:sz w:val="18"/>
          <w:szCs w:val="18"/>
          <w:b w:val="1"/>
          <w:bCs w:val="1"/>
          <w:color w:val="auto"/>
        </w:rPr>
        <w:t>Allocation of rights under the First Rights Offering and subscription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Offering Price. Offered Shares for which our Record Shareholders exercise their pre-emptive subscription rights will not be available for allocation in the Public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“Subscription Rights Offerings”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64,753,995 common shares.</w:t>
      </w:r>
    </w:p>
    <w:p>
      <w:pPr>
        <w:spacing w:after="0" w:line="200" w:lineRule="exact"/>
        <w:rPr>
          <w:sz w:val="20"/>
          <w:szCs w:val="20"/>
          <w:color w:val="auto"/>
        </w:rPr>
      </w:pPr>
    </w:p>
    <w:p>
      <w:pPr>
        <w:spacing w:after="0" w:line="241"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Each Record Shareholder will be entitled to one pre-emptive subscription right for each existing common share held by such Record Shareholder on the Record Date, and may subscribe for one Offered Share for every 6.74 pre-emptive subscription rights held by such Record Shareholder in the First Rights Offering.</w:t>
      </w:r>
    </w:p>
    <w:p>
      <w:pPr>
        <w:spacing w:after="0" w:line="167" w:lineRule="exact"/>
        <w:rPr>
          <w:sz w:val="20"/>
          <w:szCs w:val="20"/>
          <w:color w:val="auto"/>
        </w:rPr>
      </w:pPr>
    </w:p>
    <w:p>
      <w:pPr>
        <w:sectPr>
          <w:pgSz w:w="11900" w:h="16838" w:orient="portrait"/>
          <w:cols w:equalWidth="0" w:num="2">
            <w:col w:w="4480" w:space="320"/>
            <w:col w:w="6620"/>
          </w:cols>
          <w:pgMar w:left="240" w:top="225"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580" w:type="dxa"/>
            <w:vAlign w:val="bottom"/>
          </w:tcPr>
          <w:p>
            <w:pPr>
              <w:ind w:left="140"/>
              <w:spacing w:after="0"/>
              <w:rPr>
                <w:sz w:val="20"/>
                <w:szCs w:val="20"/>
                <w:color w:val="auto"/>
              </w:rPr>
            </w:pPr>
            <w:r>
              <w:rPr>
                <w:rFonts w:ascii="Arial" w:cs="Arial" w:eastAsia="Arial" w:hAnsi="Arial"/>
                <w:sz w:val="18"/>
                <w:szCs w:val="18"/>
                <w:b w:val="1"/>
                <w:bCs w:val="1"/>
                <w:color w:val="auto"/>
              </w:rPr>
              <w:t>Subscription period for the First Rights Offering</w:t>
            </w:r>
          </w:p>
        </w:tc>
        <w:tc>
          <w:tcPr>
            <w:tcW w:w="6780" w:type="dxa"/>
            <w:vAlign w:val="bottom"/>
          </w:tcPr>
          <w:p>
            <w:pPr>
              <w:ind w:left="220"/>
              <w:spacing w:after="0"/>
              <w:rPr>
                <w:sz w:val="20"/>
                <w:szCs w:val="20"/>
                <w:color w:val="auto"/>
              </w:rPr>
            </w:pPr>
            <w:r>
              <w:rPr>
                <w:rFonts w:ascii="Arial" w:cs="Arial" w:eastAsia="Arial" w:hAnsi="Arial"/>
                <w:sz w:val="18"/>
                <w:szCs w:val="18"/>
                <w:color w:val="auto"/>
              </w:rPr>
              <w:t>The subscription period for Record Shareholders to exercise their pre-emptive</w:t>
            </w:r>
          </w:p>
        </w:tc>
        <w:tc>
          <w:tcPr>
            <w:tcW w:w="60" w:type="dxa"/>
            <w:vAlign w:val="bottom"/>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6"/>
              </w:rPr>
              <w:t>subscription rights to acquire Offered Shares pursuant to the First Rights Offering will</w:t>
            </w:r>
          </w:p>
        </w:tc>
        <w:tc>
          <w:tcPr>
            <w:tcW w:w="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7"/>
              </w:rPr>
              <w:t>begin concurrently with the Public Offering at 4:00 p.m. (New York City time) on July</w:t>
            </w:r>
          </w:p>
        </w:tc>
        <w:tc>
          <w:tcPr>
            <w:tcW w:w="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17, 2018 and will expire at 4:00 p.m. (New York City time) on July 18, 2018.</w:t>
            </w:r>
          </w:p>
        </w:tc>
        <w:tc>
          <w:tcPr>
            <w:tcW w:w="60" w:type="dxa"/>
            <w:vAlign w:val="bottom"/>
          </w:tcPr>
          <w:p>
            <w:pPr>
              <w:spacing w:after="0"/>
              <w:rPr>
                <w:sz w:val="20"/>
                <w:szCs w:val="20"/>
                <w:color w:val="auto"/>
              </w:rPr>
            </w:pPr>
          </w:p>
        </w:tc>
      </w:tr>
      <w:tr>
        <w:trPr>
          <w:trHeight w:val="418"/>
        </w:trPr>
        <w:tc>
          <w:tcPr>
            <w:tcW w:w="4580" w:type="dxa"/>
            <w:vAlign w:val="bottom"/>
          </w:tcPr>
          <w:p>
            <w:pPr>
              <w:spacing w:after="0"/>
              <w:rPr>
                <w:sz w:val="24"/>
                <w:szCs w:val="24"/>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Each exercise of pre-emptive subscription rights in the First Rights Offering will be</w:t>
            </w:r>
          </w:p>
        </w:tc>
        <w:tc>
          <w:tcPr>
            <w:tcW w:w="60" w:type="dxa"/>
            <w:vAlign w:val="bottom"/>
          </w:tcPr>
          <w:p>
            <w:pPr>
              <w:spacing w:after="0"/>
              <w:rPr>
                <w:sz w:val="24"/>
                <w:szCs w:val="24"/>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6"/>
              </w:rPr>
              <w:t>effective at the Offering Price, will be irrevocable and may not be cancelled, modified,</w:t>
            </w:r>
          </w:p>
        </w:tc>
        <w:tc>
          <w:tcPr>
            <w:tcW w:w="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rescinded or withdrawn.</w:t>
            </w:r>
          </w:p>
        </w:tc>
        <w:tc>
          <w:tcPr>
            <w:tcW w:w="60" w:type="dxa"/>
            <w:vAlign w:val="bottom"/>
          </w:tcPr>
          <w:p>
            <w:pPr>
              <w:spacing w:after="0"/>
              <w:rPr>
                <w:sz w:val="20"/>
                <w:szCs w:val="20"/>
                <w:color w:val="auto"/>
              </w:rPr>
            </w:pPr>
          </w:p>
        </w:tc>
      </w:tr>
      <w:tr>
        <w:trPr>
          <w:trHeight w:val="418"/>
        </w:trPr>
        <w:tc>
          <w:tcPr>
            <w:tcW w:w="4580" w:type="dxa"/>
            <w:vAlign w:val="bottom"/>
          </w:tcPr>
          <w:p>
            <w:pPr>
              <w:ind w:left="140"/>
              <w:spacing w:after="0"/>
              <w:rPr>
                <w:sz w:val="20"/>
                <w:szCs w:val="20"/>
                <w:color w:val="auto"/>
              </w:rPr>
            </w:pPr>
            <w:r>
              <w:rPr>
                <w:rFonts w:ascii="Arial" w:cs="Arial" w:eastAsia="Arial" w:hAnsi="Arial"/>
                <w:sz w:val="18"/>
                <w:szCs w:val="18"/>
                <w:b w:val="1"/>
                <w:bCs w:val="1"/>
                <w:color w:val="auto"/>
                <w:w w:val="95"/>
              </w:rPr>
              <w:t>Determination of Offering Price and subscription price</w:t>
            </w:r>
          </w:p>
        </w:tc>
        <w:tc>
          <w:tcPr>
            <w:tcW w:w="6780" w:type="dxa"/>
            <w:vAlign w:val="bottom"/>
          </w:tcPr>
          <w:p>
            <w:pPr>
              <w:ind w:left="220"/>
              <w:spacing w:after="0"/>
              <w:rPr>
                <w:sz w:val="20"/>
                <w:szCs w:val="20"/>
                <w:color w:val="auto"/>
              </w:rPr>
            </w:pPr>
            <w:r>
              <w:rPr>
                <w:rFonts w:ascii="Arial" w:cs="Arial" w:eastAsia="Arial" w:hAnsi="Arial"/>
                <w:sz w:val="18"/>
                <w:szCs w:val="18"/>
                <w:color w:val="auto"/>
              </w:rPr>
              <w:t>The Offering Price will be determined by us and the underwriters after the close of</w:t>
            </w:r>
          </w:p>
        </w:tc>
        <w:tc>
          <w:tcPr>
            <w:tcW w:w="60" w:type="dxa"/>
            <w:vAlign w:val="bottom"/>
          </w:tcPr>
          <w:p>
            <w:pPr>
              <w:spacing w:after="0"/>
              <w:rPr>
                <w:sz w:val="24"/>
                <w:szCs w:val="24"/>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6"/>
              </w:rPr>
              <w:t>trading on The Nasdaq Global Market on July 18, 2018, on the basis of the number of</w:t>
            </w:r>
          </w:p>
        </w:tc>
        <w:tc>
          <w:tcPr>
            <w:tcW w:w="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6"/>
              </w:rPr>
              <w:t>common shares for which pre-emptive subscription rights have been exercised in the</w:t>
            </w:r>
          </w:p>
        </w:tc>
        <w:tc>
          <w:tcPr>
            <w:tcW w:w="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First Rights Offering, investor demand resulting from an accelerated book-building</w:t>
            </w:r>
          </w:p>
        </w:tc>
        <w:tc>
          <w:tcPr>
            <w:tcW w:w="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3"/>
              </w:rPr>
              <w:t>procedure, the price on The Nasdaq Global Market for our existing common shares and</w:t>
            </w:r>
          </w:p>
        </w:tc>
        <w:tc>
          <w:tcPr>
            <w:tcW w:w="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6"/>
              </w:rPr>
              <w:t>prevailing market conditions, as further described in the “Underwriting” section of this</w:t>
            </w:r>
          </w:p>
        </w:tc>
        <w:tc>
          <w:tcPr>
            <w:tcW w:w="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6"/>
              </w:rPr>
              <w:t>prospectus supplement. In no event will the Offering Price exceed a 10% premium to</w:t>
            </w:r>
          </w:p>
        </w:tc>
        <w:tc>
          <w:tcPr>
            <w:tcW w:w="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4"/>
              </w:rPr>
              <w:t>the last sale price of our common shares as reported on The Nasdaq Global Market on</w:t>
            </w:r>
          </w:p>
        </w:tc>
        <w:tc>
          <w:tcPr>
            <w:tcW w:w="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July 16, 2018.</w:t>
            </w:r>
          </w:p>
        </w:tc>
        <w:tc>
          <w:tcPr>
            <w:tcW w:w="60" w:type="dxa"/>
            <w:vAlign w:val="bottom"/>
          </w:tcPr>
          <w:p>
            <w:pPr>
              <w:spacing w:after="0"/>
              <w:rPr>
                <w:sz w:val="20"/>
                <w:szCs w:val="20"/>
                <w:color w:val="auto"/>
              </w:rPr>
            </w:pPr>
          </w:p>
        </w:tc>
      </w:tr>
      <w:tr>
        <w:trPr>
          <w:trHeight w:val="418"/>
        </w:trPr>
        <w:tc>
          <w:tcPr>
            <w:tcW w:w="4580" w:type="dxa"/>
            <w:vAlign w:val="bottom"/>
          </w:tcPr>
          <w:p>
            <w:pPr>
              <w:spacing w:after="0"/>
              <w:rPr>
                <w:sz w:val="24"/>
                <w:szCs w:val="24"/>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5"/>
              </w:rPr>
              <w:t>The subscription price per common share for the First Rights Offering and the Second</w:t>
            </w:r>
          </w:p>
        </w:tc>
        <w:tc>
          <w:tcPr>
            <w:tcW w:w="60" w:type="dxa"/>
            <w:vAlign w:val="bottom"/>
          </w:tcPr>
          <w:p>
            <w:pPr>
              <w:spacing w:after="0"/>
              <w:rPr>
                <w:sz w:val="24"/>
                <w:szCs w:val="24"/>
                <w:color w:val="auto"/>
              </w:rPr>
            </w:pPr>
          </w:p>
        </w:tc>
      </w:tr>
      <w:tr>
        <w:trPr>
          <w:trHeight w:val="230"/>
        </w:trPr>
        <w:tc>
          <w:tcPr>
            <w:tcW w:w="4580" w:type="dxa"/>
            <w:vAlign w:val="bottom"/>
          </w:tcPr>
          <w:p>
            <w:pPr>
              <w:spacing w:after="0"/>
              <w:rPr>
                <w:sz w:val="20"/>
                <w:szCs w:val="20"/>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Rights Offering will be equal to the Offering Price.</w:t>
            </w:r>
          </w:p>
        </w:tc>
        <w:tc>
          <w:tcPr>
            <w:tcW w:w="60" w:type="dxa"/>
            <w:vAlign w:val="bottom"/>
          </w:tcPr>
          <w:p>
            <w:pPr>
              <w:spacing w:after="0"/>
              <w:rPr>
                <w:sz w:val="20"/>
                <w:szCs w:val="20"/>
                <w:color w:val="auto"/>
              </w:rPr>
            </w:pPr>
          </w:p>
        </w:tc>
      </w:tr>
      <w:tr>
        <w:trPr>
          <w:trHeight w:val="418"/>
        </w:trPr>
        <w:tc>
          <w:tcPr>
            <w:tcW w:w="4580" w:type="dxa"/>
            <w:vAlign w:val="bottom"/>
          </w:tcPr>
          <w:p>
            <w:pPr>
              <w:ind w:left="140"/>
              <w:spacing w:after="0"/>
              <w:rPr>
                <w:sz w:val="20"/>
                <w:szCs w:val="20"/>
                <w:color w:val="auto"/>
              </w:rPr>
            </w:pPr>
            <w:r>
              <w:rPr>
                <w:rFonts w:ascii="Arial" w:cs="Arial" w:eastAsia="Arial" w:hAnsi="Arial"/>
                <w:sz w:val="18"/>
                <w:szCs w:val="18"/>
                <w:b w:val="1"/>
                <w:bCs w:val="1"/>
                <w:color w:val="auto"/>
              </w:rPr>
              <w:t>No fractional common shares</w:t>
            </w:r>
          </w:p>
        </w:tc>
        <w:tc>
          <w:tcPr>
            <w:tcW w:w="6780" w:type="dxa"/>
            <w:vAlign w:val="bottom"/>
          </w:tcPr>
          <w:p>
            <w:pPr>
              <w:ind w:left="220"/>
              <w:spacing w:after="0"/>
              <w:rPr>
                <w:sz w:val="20"/>
                <w:szCs w:val="20"/>
                <w:color w:val="auto"/>
              </w:rPr>
            </w:pPr>
            <w:r>
              <w:rPr>
                <w:rFonts w:ascii="Arial" w:cs="Arial" w:eastAsia="Arial" w:hAnsi="Arial"/>
                <w:sz w:val="18"/>
                <w:szCs w:val="18"/>
                <w:color w:val="auto"/>
                <w:w w:val="98"/>
              </w:rPr>
              <w:t>We will accept subscriptions for whole Offered Shares only and will round down any</w:t>
            </w:r>
          </w:p>
        </w:tc>
        <w:tc>
          <w:tcPr>
            <w:tcW w:w="60" w:type="dxa"/>
            <w:vAlign w:val="bottom"/>
          </w:tcPr>
          <w:p>
            <w:pPr>
              <w:spacing w:after="0"/>
              <w:rPr>
                <w:sz w:val="24"/>
                <w:szCs w:val="24"/>
                <w:color w:val="auto"/>
              </w:rPr>
            </w:pPr>
          </w:p>
        </w:tc>
      </w:tr>
      <w:tr>
        <w:trPr>
          <w:trHeight w:val="216"/>
        </w:trPr>
        <w:tc>
          <w:tcPr>
            <w:tcW w:w="4580" w:type="dxa"/>
            <w:vAlign w:val="bottom"/>
          </w:tcPr>
          <w:p>
            <w:pPr>
              <w:spacing w:after="0"/>
              <w:rPr>
                <w:sz w:val="18"/>
                <w:szCs w:val="18"/>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w w:val="98"/>
              </w:rPr>
              <w:t>subscription submitted for fractional Offered Shares to the nearest whole number of</w:t>
            </w:r>
          </w:p>
        </w:tc>
        <w:tc>
          <w:tcPr>
            <w:tcW w:w="6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Offered Shares.</w:t>
            </w:r>
          </w:p>
        </w:tc>
        <w:tc>
          <w:tcPr>
            <w:tcW w:w="60" w:type="dxa"/>
            <w:vAlign w:val="bottom"/>
          </w:tcPr>
          <w:p>
            <w:pPr>
              <w:spacing w:after="0"/>
              <w:rPr>
                <w:sz w:val="20"/>
                <w:szCs w:val="20"/>
                <w:color w:val="auto"/>
              </w:rPr>
            </w:pPr>
          </w:p>
        </w:tc>
      </w:tr>
      <w:tr>
        <w:trPr>
          <w:trHeight w:val="418"/>
        </w:trPr>
        <w:tc>
          <w:tcPr>
            <w:tcW w:w="4580" w:type="dxa"/>
            <w:vAlign w:val="bottom"/>
          </w:tcPr>
          <w:p>
            <w:pPr>
              <w:ind w:left="140"/>
              <w:spacing w:after="0"/>
              <w:rPr>
                <w:sz w:val="20"/>
                <w:szCs w:val="20"/>
                <w:color w:val="auto"/>
              </w:rPr>
            </w:pPr>
            <w:r>
              <w:rPr>
                <w:rFonts w:ascii="Arial" w:cs="Arial" w:eastAsia="Arial" w:hAnsi="Arial"/>
                <w:sz w:val="18"/>
                <w:szCs w:val="18"/>
                <w:b w:val="1"/>
                <w:bCs w:val="1"/>
                <w:color w:val="auto"/>
              </w:rPr>
              <w:t>No rights trading</w:t>
            </w:r>
          </w:p>
        </w:tc>
        <w:tc>
          <w:tcPr>
            <w:tcW w:w="6780" w:type="dxa"/>
            <w:vAlign w:val="bottom"/>
          </w:tcPr>
          <w:p>
            <w:pPr>
              <w:ind w:left="220"/>
              <w:spacing w:after="0"/>
              <w:rPr>
                <w:sz w:val="20"/>
                <w:szCs w:val="20"/>
                <w:color w:val="auto"/>
              </w:rPr>
            </w:pPr>
            <w:r>
              <w:rPr>
                <w:rFonts w:ascii="Arial" w:cs="Arial" w:eastAsia="Arial" w:hAnsi="Arial"/>
                <w:sz w:val="18"/>
                <w:szCs w:val="18"/>
                <w:color w:val="auto"/>
                <w:w w:val="99"/>
              </w:rPr>
              <w:t>The pre-emptive subscription rights will not be listed on any securities exchange or</w:t>
            </w:r>
          </w:p>
        </w:tc>
        <w:tc>
          <w:tcPr>
            <w:tcW w:w="60" w:type="dxa"/>
            <w:vAlign w:val="bottom"/>
          </w:tcPr>
          <w:p>
            <w:pPr>
              <w:spacing w:after="0"/>
              <w:rPr>
                <w:sz w:val="24"/>
                <w:szCs w:val="24"/>
                <w:color w:val="auto"/>
              </w:rPr>
            </w:pPr>
          </w:p>
        </w:tc>
      </w:tr>
      <w:tr>
        <w:trPr>
          <w:trHeight w:val="230"/>
        </w:trPr>
        <w:tc>
          <w:tcPr>
            <w:tcW w:w="4580" w:type="dxa"/>
            <w:vAlign w:val="bottom"/>
          </w:tcPr>
          <w:p>
            <w:pPr>
              <w:spacing w:after="0"/>
              <w:rPr>
                <w:sz w:val="20"/>
                <w:szCs w:val="20"/>
                <w:color w:val="auto"/>
              </w:rPr>
            </w:pPr>
          </w:p>
        </w:tc>
        <w:tc>
          <w:tcPr>
            <w:tcW w:w="6780" w:type="dxa"/>
            <w:vAlign w:val="bottom"/>
          </w:tcPr>
          <w:p>
            <w:pPr>
              <w:ind w:left="220"/>
              <w:spacing w:after="0"/>
              <w:rPr>
                <w:sz w:val="20"/>
                <w:szCs w:val="20"/>
                <w:color w:val="auto"/>
              </w:rPr>
            </w:pPr>
            <w:r>
              <w:rPr>
                <w:rFonts w:ascii="Arial" w:cs="Arial" w:eastAsia="Arial" w:hAnsi="Arial"/>
                <w:sz w:val="18"/>
                <w:szCs w:val="18"/>
                <w:color w:val="auto"/>
              </w:rPr>
              <w:t>tradeable.</w:t>
            </w:r>
          </w:p>
        </w:tc>
        <w:tc>
          <w:tcPr>
            <w:tcW w:w="60" w:type="dxa"/>
            <w:vAlign w:val="bottom"/>
          </w:tcPr>
          <w:p>
            <w:pPr>
              <w:spacing w:after="0"/>
              <w:rPr>
                <w:sz w:val="20"/>
                <w:szCs w:val="20"/>
                <w:color w:val="auto"/>
              </w:rPr>
            </w:pPr>
          </w:p>
        </w:tc>
      </w:tr>
      <w:tr>
        <w:trPr>
          <w:trHeight w:val="432"/>
        </w:trPr>
        <w:tc>
          <w:tcPr>
            <w:tcW w:w="4580" w:type="dxa"/>
            <w:vAlign w:val="bottom"/>
          </w:tcPr>
          <w:p>
            <w:pPr>
              <w:ind w:left="140"/>
              <w:spacing w:after="0"/>
              <w:rPr>
                <w:sz w:val="20"/>
                <w:szCs w:val="20"/>
                <w:color w:val="auto"/>
              </w:rPr>
            </w:pPr>
            <w:r>
              <w:rPr>
                <w:rFonts w:ascii="Arial" w:cs="Arial" w:eastAsia="Arial" w:hAnsi="Arial"/>
                <w:sz w:val="18"/>
                <w:szCs w:val="18"/>
                <w:b w:val="1"/>
                <w:bCs w:val="1"/>
                <w:color w:val="auto"/>
              </w:rPr>
              <w:t>Use of unsubscribed common shares</w:t>
            </w:r>
          </w:p>
        </w:tc>
        <w:tc>
          <w:tcPr>
            <w:tcW w:w="6780" w:type="dxa"/>
            <w:vAlign w:val="bottom"/>
          </w:tcPr>
          <w:p>
            <w:pPr>
              <w:ind w:left="220"/>
              <w:spacing w:after="0"/>
              <w:rPr>
                <w:sz w:val="20"/>
                <w:szCs w:val="20"/>
                <w:color w:val="auto"/>
              </w:rPr>
            </w:pPr>
            <w:r>
              <w:rPr>
                <w:rFonts w:ascii="Arial" w:cs="Arial" w:eastAsia="Arial" w:hAnsi="Arial"/>
                <w:sz w:val="18"/>
                <w:szCs w:val="18"/>
                <w:color w:val="auto"/>
              </w:rPr>
              <w:t>At the expiration of the subscription period of the First Rights</w:t>
            </w:r>
          </w:p>
        </w:tc>
        <w:tc>
          <w:tcPr>
            <w:tcW w:w="60" w:type="dxa"/>
            <w:vAlign w:val="bottom"/>
          </w:tcPr>
          <w:p>
            <w:pPr>
              <w:spacing w:after="0"/>
              <w:rPr>
                <w:sz w:val="24"/>
                <w:szCs w:val="24"/>
                <w:color w:val="auto"/>
              </w:rPr>
            </w:pPr>
          </w:p>
        </w:tc>
      </w:tr>
      <w:tr>
        <w:trPr>
          <w:trHeight w:val="415"/>
        </w:trPr>
        <w:tc>
          <w:tcPr>
            <w:tcW w:w="458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28"/>
        </w:trPr>
        <w:tc>
          <w:tcPr>
            <w:tcW w:w="458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S-7</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651"/>
        </w:trPr>
        <w:tc>
          <w:tcPr>
            <w:tcW w:w="4200" w:type="dxa"/>
            <w:vAlign w:val="bottom"/>
            <w:tcBorders>
              <w:top w:val="single" w:sz="8" w:color="auto"/>
              <w:left w:val="single" w:sz="8" w:color="auto"/>
            </w:tcBorders>
          </w:tcPr>
          <w:p>
            <w:pPr>
              <w:spacing w:after="0"/>
              <w:rPr>
                <w:sz w:val="24"/>
                <w:szCs w:val="24"/>
                <w:color w:val="auto"/>
              </w:rPr>
            </w:pPr>
          </w:p>
        </w:tc>
        <w:tc>
          <w:tcPr>
            <w:tcW w:w="716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Offering, the Company will issue up to 8,500,000 common shares, including up to</w:t>
            </w:r>
          </w:p>
        </w:tc>
        <w:tc>
          <w:tcPr>
            <w:tcW w:w="60" w:type="dxa"/>
            <w:vAlign w:val="bottom"/>
          </w:tcPr>
          <w:p>
            <w:pPr>
              <w:spacing w:after="0"/>
              <w:rPr>
                <w:sz w:val="24"/>
                <w:szCs w:val="24"/>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1,108,695 common shares for which the underwriters have an option exercisable within</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30 days of this prospectus supplement. Any pre-emptive subscription rights that have</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not been validly exercised during the subscription period of the First Rights Offering</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will expire and become null and void without compensation. The Offered Shares for</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which Record Shareholders did not exercise their statutory pre-emptive subscription</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rights will be available for allocation to institutional investors in the Public Offering. If</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the underwriters do not exercise their option to purchase additional common shares</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allocated to institutional investors in the Public Offering, the corresponding number of</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common shares will be transferred back to the Company and will become our treasury</w:t>
            </w:r>
          </w:p>
        </w:tc>
        <w:tc>
          <w:tcPr>
            <w:tcW w:w="60" w:type="dxa"/>
            <w:vAlign w:val="bottom"/>
          </w:tcPr>
          <w:p>
            <w:pPr>
              <w:spacing w:after="0"/>
              <w:rPr>
                <w:sz w:val="18"/>
                <w:szCs w:val="18"/>
                <w:color w:val="auto"/>
              </w:rPr>
            </w:pPr>
          </w:p>
        </w:tc>
      </w:tr>
      <w:tr>
        <w:trPr>
          <w:trHeight w:val="230"/>
        </w:trPr>
        <w:tc>
          <w:tcPr>
            <w:tcW w:w="420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r>
      <w:tr>
        <w:trPr>
          <w:trHeight w:val="418"/>
        </w:trPr>
        <w:tc>
          <w:tcPr>
            <w:tcW w:w="420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Issuance and delivery of new common shares</w:t>
            </w: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After expiration of the subscription period, the Offered Shares which have been validly</w:t>
            </w:r>
          </w:p>
        </w:tc>
        <w:tc>
          <w:tcPr>
            <w:tcW w:w="60" w:type="dxa"/>
            <w:vAlign w:val="bottom"/>
          </w:tcPr>
          <w:p>
            <w:pPr>
              <w:spacing w:after="0"/>
              <w:rPr>
                <w:sz w:val="24"/>
                <w:szCs w:val="24"/>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9"/>
              </w:rPr>
              <w:t>subscribed and paid for in accordance with the terms of the Public Offering or First</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Rights Offering will be, upon registration of the corresponding share capital increase</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9"/>
              </w:rPr>
              <w:t>into the Commercial Register of the Canton of Vaud, validly issued. The delivery of</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Offered Shares shall be carried out by Computershare Trust Company, N.A. acting as</w:t>
            </w:r>
          </w:p>
        </w:tc>
        <w:tc>
          <w:tcPr>
            <w:tcW w:w="60" w:type="dxa"/>
            <w:vAlign w:val="bottom"/>
          </w:tcPr>
          <w:p>
            <w:pPr>
              <w:spacing w:after="0"/>
              <w:rPr>
                <w:sz w:val="18"/>
                <w:szCs w:val="18"/>
                <w:color w:val="auto"/>
              </w:rPr>
            </w:pPr>
          </w:p>
        </w:tc>
      </w:tr>
      <w:tr>
        <w:trPr>
          <w:trHeight w:val="230"/>
        </w:trPr>
        <w:tc>
          <w:tcPr>
            <w:tcW w:w="420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transfer agent and registrar for our common shares.</w:t>
            </w:r>
          </w:p>
        </w:tc>
        <w:tc>
          <w:tcPr>
            <w:tcW w:w="60" w:type="dxa"/>
            <w:vAlign w:val="bottom"/>
          </w:tcPr>
          <w:p>
            <w:pPr>
              <w:spacing w:after="0"/>
              <w:rPr>
                <w:sz w:val="20"/>
                <w:szCs w:val="20"/>
                <w:color w:val="auto"/>
              </w:rPr>
            </w:pPr>
          </w:p>
        </w:tc>
      </w:tr>
      <w:tr>
        <w:trPr>
          <w:trHeight w:val="418"/>
        </w:trPr>
        <w:tc>
          <w:tcPr>
            <w:tcW w:w="420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Use of Proceeds</w:t>
            </w: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5"/>
              </w:rPr>
              <w:t>We estimate that the net proceeds to us from this offering will be approximately $85.1</w:t>
            </w:r>
          </w:p>
        </w:tc>
        <w:tc>
          <w:tcPr>
            <w:tcW w:w="60" w:type="dxa"/>
            <w:vAlign w:val="bottom"/>
          </w:tcPr>
          <w:p>
            <w:pPr>
              <w:spacing w:after="0"/>
              <w:rPr>
                <w:sz w:val="24"/>
                <w:szCs w:val="24"/>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million, based on the assumed public offering price per share of $12.35, which was the</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3"/>
              </w:rPr>
              <w:t>last sale price of our common shares as reported on The Nasdaq Global Market on July</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16, 2018, after deducting underwriting discounts and commissions and estimated</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offering expenses payable by us. We intend to use the net proceeds from this offering,</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8"/>
              </w:rPr>
              <w:t>together with our other cash resources, primarily to fund research and development</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expenses for our clinical and pre-clinical research and development activities and for</w:t>
            </w:r>
          </w:p>
        </w:tc>
        <w:tc>
          <w:tcPr>
            <w:tcW w:w="60" w:type="dxa"/>
            <w:vAlign w:val="bottom"/>
          </w:tcPr>
          <w:p>
            <w:pPr>
              <w:spacing w:after="0"/>
              <w:rPr>
                <w:sz w:val="18"/>
                <w:szCs w:val="18"/>
                <w:color w:val="auto"/>
              </w:rPr>
            </w:pPr>
          </w:p>
        </w:tc>
      </w:tr>
      <w:tr>
        <w:trPr>
          <w:trHeight w:val="230"/>
        </w:trPr>
        <w:tc>
          <w:tcPr>
            <w:tcW w:w="420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working capital and general corporate purposes. See “Use of Proceeds.”</w:t>
            </w:r>
          </w:p>
        </w:tc>
        <w:tc>
          <w:tcPr>
            <w:tcW w:w="60" w:type="dxa"/>
            <w:vAlign w:val="bottom"/>
          </w:tcPr>
          <w:p>
            <w:pPr>
              <w:spacing w:after="0"/>
              <w:rPr>
                <w:sz w:val="20"/>
                <w:szCs w:val="20"/>
                <w:color w:val="auto"/>
              </w:rPr>
            </w:pPr>
          </w:p>
        </w:tc>
      </w:tr>
      <w:tr>
        <w:trPr>
          <w:trHeight w:val="418"/>
        </w:trPr>
        <w:tc>
          <w:tcPr>
            <w:tcW w:w="420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Intention to commence second rights offering</w:t>
            </w: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4"/>
              </w:rPr>
              <w:t>If the Public Offering is completed, we also intend to commence a second subscription</w:t>
            </w:r>
          </w:p>
        </w:tc>
        <w:tc>
          <w:tcPr>
            <w:tcW w:w="60" w:type="dxa"/>
            <w:vAlign w:val="bottom"/>
          </w:tcPr>
          <w:p>
            <w:pPr>
              <w:spacing w:after="0"/>
              <w:rPr>
                <w:sz w:val="24"/>
                <w:szCs w:val="24"/>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rights offering for Record Shareholders who will have the opportunity to subscribe for</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up to 1,500,000 common shares at the Offering Price. We expect the Second Rights</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Offering to begin at 3:00 a.m. (New York City time) on July 20, 2018 and to expire at</w:t>
            </w:r>
          </w:p>
        </w:tc>
        <w:tc>
          <w:tcPr>
            <w:tcW w:w="60" w:type="dxa"/>
            <w:vAlign w:val="bottom"/>
          </w:tcPr>
          <w:p>
            <w:pPr>
              <w:spacing w:after="0"/>
              <w:rPr>
                <w:sz w:val="18"/>
                <w:szCs w:val="18"/>
                <w:color w:val="auto"/>
              </w:rPr>
            </w:pPr>
          </w:p>
        </w:tc>
      </w:tr>
      <w:tr>
        <w:trPr>
          <w:trHeight w:val="216"/>
        </w:trPr>
        <w:tc>
          <w:tcPr>
            <w:tcW w:w="420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4:00 a.m. (New York City time) on July 27, 2018. The Second Rights Offering will be</w:t>
            </w:r>
          </w:p>
        </w:tc>
        <w:tc>
          <w:tcPr>
            <w:tcW w:w="60" w:type="dxa"/>
            <w:vAlign w:val="bottom"/>
          </w:tcPr>
          <w:p>
            <w:pPr>
              <w:spacing w:after="0"/>
              <w:rPr>
                <w:sz w:val="18"/>
                <w:szCs w:val="18"/>
                <w:color w:val="auto"/>
              </w:rPr>
            </w:pPr>
          </w:p>
        </w:tc>
      </w:tr>
      <w:tr>
        <w:trPr>
          <w:trHeight w:val="230"/>
        </w:trPr>
        <w:tc>
          <w:tcPr>
            <w:tcW w:w="420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made by means of a separate prospectus supplement.</w:t>
            </w:r>
          </w:p>
        </w:tc>
        <w:tc>
          <w:tcPr>
            <w:tcW w:w="60" w:type="dxa"/>
            <w:vAlign w:val="bottom"/>
          </w:tcPr>
          <w:p>
            <w:pPr>
              <w:spacing w:after="0"/>
              <w:rPr>
                <w:sz w:val="20"/>
                <w:szCs w:val="20"/>
                <w:color w:val="auto"/>
              </w:rPr>
            </w:pPr>
          </w:p>
        </w:tc>
      </w:tr>
      <w:tr>
        <w:trPr>
          <w:trHeight w:val="432"/>
        </w:trPr>
        <w:tc>
          <w:tcPr>
            <w:tcW w:w="4200" w:type="dxa"/>
            <w:vAlign w:val="bottom"/>
            <w:tcBorders>
              <w:left w:val="single" w:sz="8" w:color="auto"/>
            </w:tcBorders>
          </w:tcPr>
          <w:p>
            <w:pPr>
              <w:spacing w:after="0"/>
              <w:rPr>
                <w:sz w:val="24"/>
                <w:szCs w:val="24"/>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See “Subscription Rights Offerings.”</w:t>
            </w:r>
          </w:p>
        </w:tc>
        <w:tc>
          <w:tcPr>
            <w:tcW w:w="60" w:type="dxa"/>
            <w:vAlign w:val="bottom"/>
          </w:tcPr>
          <w:p>
            <w:pPr>
              <w:spacing w:after="0"/>
              <w:rPr>
                <w:sz w:val="24"/>
                <w:szCs w:val="24"/>
                <w:color w:val="auto"/>
              </w:rPr>
            </w:pPr>
          </w:p>
        </w:tc>
      </w:tr>
      <w:tr>
        <w:trPr>
          <w:trHeight w:val="418"/>
        </w:trPr>
        <w:tc>
          <w:tcPr>
            <w:tcW w:w="420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Risk Factors</w:t>
            </w: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You should read the “Risk Factors” section of this prospectus supplement for a</w:t>
            </w:r>
          </w:p>
        </w:tc>
        <w:tc>
          <w:tcPr>
            <w:tcW w:w="60" w:type="dxa"/>
            <w:vAlign w:val="bottom"/>
          </w:tcPr>
          <w:p>
            <w:pPr>
              <w:spacing w:after="0"/>
              <w:rPr>
                <w:sz w:val="24"/>
                <w:szCs w:val="24"/>
                <w:color w:val="auto"/>
              </w:rPr>
            </w:pPr>
          </w:p>
        </w:tc>
      </w:tr>
      <w:tr>
        <w:trPr>
          <w:trHeight w:val="230"/>
        </w:trPr>
        <w:tc>
          <w:tcPr>
            <w:tcW w:w="420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6"/>
              </w:rPr>
              <w:t>discussion of factors to consider carefully before deciding to purchase our securities.</w:t>
            </w:r>
          </w:p>
        </w:tc>
        <w:tc>
          <w:tcPr>
            <w:tcW w:w="60" w:type="dxa"/>
            <w:vAlign w:val="bottom"/>
          </w:tcPr>
          <w:p>
            <w:pPr>
              <w:spacing w:after="0"/>
              <w:rPr>
                <w:sz w:val="20"/>
                <w:szCs w:val="20"/>
                <w:color w:val="auto"/>
              </w:rPr>
            </w:pPr>
          </w:p>
        </w:tc>
      </w:tr>
      <w:tr>
        <w:trPr>
          <w:trHeight w:val="432"/>
        </w:trPr>
        <w:tc>
          <w:tcPr>
            <w:tcW w:w="420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Nasdaq Global Market Symbol</w:t>
            </w:r>
          </w:p>
        </w:tc>
        <w:tc>
          <w:tcPr>
            <w:tcW w:w="716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“ACIU”</w:t>
            </w:r>
          </w:p>
        </w:tc>
        <w:tc>
          <w:tcPr>
            <w:tcW w:w="60" w:type="dxa"/>
            <w:vAlign w:val="bottom"/>
          </w:tcPr>
          <w:p>
            <w:pPr>
              <w:spacing w:after="0"/>
              <w:rPr>
                <w:sz w:val="24"/>
                <w:szCs w:val="24"/>
                <w:color w:val="auto"/>
              </w:rPr>
            </w:pPr>
          </w:p>
        </w:tc>
      </w:tr>
      <w:tr>
        <w:trPr>
          <w:trHeight w:val="415"/>
        </w:trPr>
        <w:tc>
          <w:tcPr>
            <w:tcW w:w="4200" w:type="dxa"/>
            <w:vAlign w:val="bottom"/>
            <w:tcBorders>
              <w:left w:val="single" w:sz="8" w:color="auto"/>
              <w:bottom w:val="single" w:sz="8" w:color="auto"/>
            </w:tcBorders>
          </w:tcPr>
          <w:p>
            <w:pPr>
              <w:spacing w:after="0"/>
              <w:rPr>
                <w:sz w:val="24"/>
                <w:szCs w:val="24"/>
                <w:color w:val="auto"/>
              </w:rPr>
            </w:pPr>
          </w:p>
        </w:tc>
        <w:tc>
          <w:tcPr>
            <w:tcW w:w="7160" w:type="dxa"/>
            <w:vAlign w:val="bottom"/>
            <w:tcBorders>
              <w:bottom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28"/>
        </w:trPr>
        <w:tc>
          <w:tcPr>
            <w:tcW w:w="420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S-8</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16140" cy="2447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140" cy="2447925"/>
                    </a:xfrm>
                    <a:prstGeom prst="rect">
                      <a:avLst/>
                    </a:prstGeom>
                    <a:noFill/>
                  </pic:spPr>
                </pic:pic>
              </a:graphicData>
            </a:graphic>
          </wp:anchor>
        </w:drawing>
      </w:r>
    </w:p>
    <w:p>
      <w:pPr>
        <w:spacing w:after="0" w:line="179" w:lineRule="exact"/>
        <w:rPr>
          <w:sz w:val="20"/>
          <w:szCs w:val="20"/>
          <w:color w:val="auto"/>
        </w:rPr>
      </w:pPr>
    </w:p>
    <w:p>
      <w:pPr>
        <w:ind w:left="120" w:right="160" w:firstLine="396"/>
        <w:spacing w:after="0" w:line="257" w:lineRule="auto"/>
        <w:rPr>
          <w:sz w:val="20"/>
          <w:szCs w:val="20"/>
          <w:color w:val="auto"/>
        </w:rPr>
      </w:pPr>
      <w:r>
        <w:rPr>
          <w:rFonts w:ascii="Arial" w:cs="Arial" w:eastAsia="Arial" w:hAnsi="Arial"/>
          <w:sz w:val="18"/>
          <w:szCs w:val="18"/>
          <w:color w:val="auto"/>
        </w:rPr>
        <w:t>As of the date of this prospectus supplement, our issued share capital registered in the commercial register of the Canton of Vaud is CHF 1,147,253.80, consisting of 57,362,690 common shares with a nominal value of CHF 0.02 each. The number of our common shares to be outstanding immediately after this offering is based on 57,362,690 common shares outstanding as of March 31, 2018, but excludes 1,594,943 of our common shares issuable upon the exercise of options, non-vested restricted shares and non-vested restricted share units outstanding under our existing equity incentive plans at a weighted-average exercise price of CHF 3.52 per common share.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Unless otherwise indicated, all information contained in this prospectus supplement also reflects and assumes:</w:t>
      </w:r>
    </w:p>
    <w:p>
      <w:pPr>
        <w:spacing w:after="0" w:line="225" w:lineRule="exact"/>
        <w:rPr>
          <w:sz w:val="20"/>
          <w:szCs w:val="20"/>
          <w:color w:val="auto"/>
        </w:rPr>
      </w:pPr>
    </w:p>
    <w:p>
      <w:pPr>
        <w:ind w:left="740" w:hanging="31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public offering price per share of $12.35, which was the last sale price of our common shares as reported on The Nasdaq Global Market on July 16, 2018;</w:t>
      </w:r>
    </w:p>
    <w:p>
      <w:pPr>
        <w:spacing w:after="0" w:line="170" w:lineRule="exact"/>
        <w:rPr>
          <w:rFonts w:ascii="Arial" w:cs="Arial" w:eastAsia="Arial" w:hAnsi="Arial"/>
          <w:sz w:val="18"/>
          <w:szCs w:val="18"/>
          <w:color w:val="auto"/>
        </w:rPr>
      </w:pPr>
    </w:p>
    <w:p>
      <w:pPr>
        <w:ind w:left="740" w:right="520" w:hanging="31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subscription rights offered to existing shareholders pursuant to the First Rights Offering and the Second Rights Offering described above; and</w:t>
      </w:r>
    </w:p>
    <w:p>
      <w:pPr>
        <w:spacing w:after="0" w:line="170" w:lineRule="exact"/>
        <w:rPr>
          <w:rFonts w:ascii="Arial" w:cs="Arial" w:eastAsia="Arial" w:hAnsi="Arial"/>
          <w:sz w:val="18"/>
          <w:szCs w:val="18"/>
          <w:color w:val="auto"/>
        </w:rPr>
      </w:pPr>
    </w:p>
    <w:p>
      <w:pPr>
        <w:ind w:left="740" w:right="380" w:hanging="31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option granted to the underwriters to purchase up to an additional 1,108,695 of our common shares in connection with the offering at the Offering Price, less underwriting discounts and commissions.</w:t>
      </w: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25" w:right="4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15"/>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supplement before making an investment in our securities. Our business, financial condition or results of operations could be materially and adversely affected if any of these risks occurs, and as a result, the market price of our common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173" w:lineRule="exact"/>
        <w:rPr>
          <w:sz w:val="20"/>
          <w:szCs w:val="20"/>
          <w:color w:val="auto"/>
        </w:rPr>
      </w:pPr>
    </w:p>
    <w:p>
      <w:pPr>
        <w:ind w:right="320" w:firstLine="415"/>
        <w:spacing w:after="0" w:line="259" w:lineRule="auto"/>
        <w:rPr>
          <w:sz w:val="20"/>
          <w:szCs w:val="20"/>
          <w:color w:val="auto"/>
        </w:rPr>
      </w:pPr>
      <w:r>
        <w:rPr>
          <w:rFonts w:ascii="Arial" w:cs="Arial" w:eastAsia="Arial" w:hAnsi="Arial"/>
          <w:sz w:val="18"/>
          <w:szCs w:val="18"/>
          <w:i w:val="1"/>
          <w:iCs w:val="1"/>
          <w:color w:val="auto"/>
        </w:rPr>
        <w:t>For a discussion of additional risks related to our business, our relationship with third parties, our intellectual property, our financial condition and capital requirements, or our regulatory environment, see the section titled “Risk Factors” in our Annual Report on Form 20-F for the fiscal year ended December 31, 2017, and our other filings with the Securities and Exchange Commission that are also incorporated by reference into this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 the Public Offering and the First Rights Offering</w:t>
      </w:r>
    </w:p>
    <w:p>
      <w:pPr>
        <w:spacing w:after="0" w:line="229" w:lineRule="exact"/>
        <w:rPr>
          <w:sz w:val="20"/>
          <w:szCs w:val="20"/>
          <w:color w:val="auto"/>
        </w:rPr>
      </w:pPr>
    </w:p>
    <w:p>
      <w:pPr>
        <w:ind w:left="180" w:right="60"/>
        <w:spacing w:after="0" w:line="264" w:lineRule="auto"/>
        <w:rPr>
          <w:sz w:val="20"/>
          <w:szCs w:val="20"/>
          <w:color w:val="auto"/>
        </w:rPr>
      </w:pPr>
      <w:r>
        <w:rPr>
          <w:rFonts w:ascii="Arial" w:cs="Arial" w:eastAsia="Arial" w:hAnsi="Arial"/>
          <w:sz w:val="18"/>
          <w:szCs w:val="18"/>
          <w:b w:val="1"/>
          <w:bCs w:val="1"/>
          <w:i w:val="1"/>
          <w:iCs w:val="1"/>
          <w:color w:val="auto"/>
        </w:rPr>
        <w:t>If you subscribe for Offered Shares in the First Rights Offering prior to our publication of the Offering Price, such subscription will be binding and irrevocable even though the Offering Price subsequently determined may be different, perhaps materially, than the price of our common shares on The Nasdaq Global Market.</w:t>
      </w:r>
    </w:p>
    <w:p>
      <w:pPr>
        <w:spacing w:after="0" w:line="18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Offering Price will be determined by us and the underwriters after the close of trading on The Nasdaq Global Market on July 18, 2018, on the basis of the number of Offered Shares for which pre-emptive subscription rights have been exercised in the First Rights Offering, investor demand resulting from an accelerated book-building procedure, the price on The Nasdaq Global Market for our existing common shares and prevailing market conditions, as further described in the “Underwriting” section of this prospectus supplement. In no event will the Offering Price exceed a 10% premium to the last sale price of our common shares as reported on The Nasdaq Global Market on July 16, 2018.</w:t>
      </w:r>
    </w:p>
    <w:p>
      <w:pPr>
        <w:spacing w:after="0" w:line="1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Subscriptions for Offered Shares pursuant to the exercise of the pre-emptive subscription rights in the First Rights Offering will be binding and irrevocable even though the Offering Price will not have been established at the time of such exercise, and the Offering Price may be different, perhaps materially, than the price of the Company’s common shares on The Nasdaq Global Market. The Company cannot assure Record Shareholders that the price on The Nasdaq Global Market will not decline below the Offering Price and that, following the exercise of the pre-emptive subscription rights in the First Rights Offering, shareholders will be able to sell the Offered Shares at a price equal to or greater than the Offering Price.</w:t>
      </w:r>
    </w:p>
    <w:p>
      <w:pPr>
        <w:spacing w:after="0" w:line="173"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If you fail to exercise your pre-emptive subscription rights, your pre-emptive subscription rights will lapse without compensation and result in dilution of your shareholding.</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pre-emptive subscription rights of Record Shareholders who fail to exercise their pre-emptive subscription rights prior to the end of the subscription period will expire and become null and void, and Record Shareholders will not receive any compensation for them. The proportionate ownership and voting interest in our Company of Record Shareholders who fail (or are unable) to exercise their pre-emptive subscription rights will be diluted. We will receive the net proceeds of any sale of Offered Shares in respect of which any Record Shareholder does not validly exercise its rights. Even if a Record Shareholder timely exercises its pre-emptive subscriptions rights, such Record Shareholder and its broker will be responsible for complying with the requirements of the underwriters in order to have such rights honored.</w:t>
      </w:r>
    </w:p>
    <w:p>
      <w:pPr>
        <w:spacing w:after="0" w:line="193"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Because shareholders’ resolutions regarding a capital increase may be challenged, it is not certain that the share capital increase in connection with the offering will occur when anticipated.</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issuance of the Offered Shares requires registration of the share capital increase with the commercial register of the Canton of Vaud. The Public Offering and the First Rights Offering are based upon the resolution regarding an ordinary capital increase that was approved at the extraordinary shareholders’ meeting held on April 27, 2018. All shareholders’ resolutions of Swiss corporations are subject to a possible challenge pursuant to articles 706 and 706a of</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Swiss Code of Obligations. The right to challenge lapses if the action is not brought within two months of the shareholders' meeting. In connection with such a challenge, the registration of the capital increase in the commercial register may be blocked and therefore prevent or delay the completion of an offering such as the Public Offering and the First Rights Offering, including a delay in the settlement. Therefore, although the resolution of the shareholders to increase the share capital is scheduled to be registered with the commercial register in a timely manner, such registration may, for reasons beyond our control, not take place in time to enable the Offered Shares to be traded on a timely basis. Consequently, investors may suffer losses, in particular, if they entered into short selling transactions and are unable to meet their obligations to deliver Offered Shares.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Shareholders may not be able to exercise pre-emptive subscription rights.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Under laws and regulations of jurisdictions outside Switzerland, including the European Economic Area, Record Shareholders in those jurisdictions may not be able to exercise or sell their pre-emptive subscription rights unless we take action to register or otherwise qualify the First Rights Offering under the laws of that jurisdiction. If Record Shareholders in such jurisdictions are unable to exercise or sell their pre-emptive subscription rights, their ownership interest in us would be diluted. Furthermore, the short subscription period may create a logistical challenge for Record Shareholders to exercise their statutory pre-emptive subscription rights. Furthermore, the underwriters may withdraw, cancel or modify any orders of a Record Shareholder who has elected to participate in the First Rights Offering if such Record Shareholder, or its bank, broker or other intermediary, respectively, does not have a brokerage account with any of the underwriters or any of their respective affiliates which prevents the ability of the underwriters to timely verify the eligibility of such Record Shareholder or to execute the order from such Record Shareholder. The pre-emptive subscription rights of any Record Shareholder that is not permitted or unable to exercise such rights during the subscription period will expire and become null and void, and such Record Shareholder will not receive any compensation in respect of any such unexercised or invalid rights.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22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 seller attacks and trading in our common shares by non-fundamental investors such as hedge funds and others who may enter and exit positions in our common shares frequently and suddenly, causing increased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 term, decline in the market price of our common stock.</w:t>
      </w:r>
    </w:p>
    <w:p>
      <w:pPr>
        <w:spacing w:after="0" w:line="187" w:lineRule="exact"/>
        <w:rPr>
          <w:sz w:val="20"/>
          <w:szCs w:val="20"/>
          <w:color w:val="auto"/>
        </w:rPr>
      </w:pPr>
    </w:p>
    <w:p>
      <w:pPr>
        <w:ind w:left="180" w:right="460"/>
        <w:spacing w:after="0" w:line="277" w:lineRule="auto"/>
        <w:rPr>
          <w:sz w:val="20"/>
          <w:szCs w:val="20"/>
          <w:color w:val="auto"/>
        </w:rPr>
      </w:pPr>
      <w:r>
        <w:rPr>
          <w:rFonts w:ascii="Arial" w:cs="Arial" w:eastAsia="Arial" w:hAnsi="Arial"/>
          <w:sz w:val="18"/>
          <w:szCs w:val="18"/>
          <w:b w:val="1"/>
          <w:bCs w:val="1"/>
          <w:i w:val="1"/>
          <w:iCs w:val="1"/>
          <w:color w:val="auto"/>
        </w:rPr>
        <w:t>There is only a limited free float of our common shares; this may have a negative impact on the liquidity of and the market price for our common shares.</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 of the date hereof, shareholders reported as each controlling 5% or more of our common shares will, in the aggregate, hold approximately 51.3% of our common shares. The limited free float may have a negative impact on the liquidity of our common shares and result in a low trading volume of our common shares, which could adversely affect the price of our common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Certain of our existing shareholders exercise significant control over us, and your interests may conflict with the interests of our existing shareholders.</w:t>
      </w:r>
    </w:p>
    <w:p>
      <w:pPr>
        <w:spacing w:after="0" w:line="26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As of March 31, 2018, certain principal shareholders as well as our executive officers and directors together beneficially owned approximately 60.5%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26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We will be required to file an amendment to our registration statement on Form F-3 on or prior to August 27, 2018 to register up to 18,041,000 common shares held by one of our shareholders pursuant to these rights. In addition, we have adopted a new omnibus equity incentive plan under which we have the discretion to grant a broad range of equity-based awards to eligible participants. These shares were registered pursuant to the registration statement on Form S-8 that we filed with SEC and, therefore, can be freely sold in the public market upon issuance, subject to volume limitations applicable to affiliates.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225"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The Offering Price will be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Based on the assumed public offering price of $12.35 per common share (the last reported sale price of our common shares on The Nasdaq Global Market on July 16, 2018), you will experience immediate dilution of $9.32(CHF 8.89) per common share, representing the difference between our as adjusted net tangible book value per common share after giving effect to this offering and the Offering Price. To the extent outstanding options or warrants are exercised, you will incur further dilution. See “Dilution.”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broad discretion in the use of our cash and cash equivalents and may not use them effectively.</w:t>
      </w:r>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Our management will have broad discretion in the application of our cash and cash equivalents.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 We regularly review the designation of each program as core or seed, and terminate those programs which do not meet our development criteria.</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Under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jurisdictions.</w:t>
      </w:r>
    </w:p>
    <w:p>
      <w:pPr>
        <w:spacing w:after="0" w:line="21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w:t>
      </w:r>
    </w:p>
    <w:p>
      <w:pPr>
        <w:spacing w:after="0" w:line="211"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We are organized under the laws of Switzerland. There can be no assurance that Swiss law will not change in the future or that it will serve to protect investors in a similar fashion afforded under corporate law principles in the U.S., which could adversely affect the rights of investors.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Any ordinary share capital increase resolution preserving pre-emptive subscription rights requires a simple majority of the votes cast at the shareholders’ meeting regardless of abstentions and empty or invalid votes and shall be implemented within three months.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8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As of December 31, 2017, the Company has CHF 179.4 million of reserves from capital contributions and CHF 1,146,983.80 of issued share capital (consisting of 57,349,190 common shares each with a nominal value of CHF 0.02 and no preferred shares) on its audited statutory balance sheet.</w:t>
      </w:r>
    </w:p>
    <w:p>
      <w:pPr>
        <w:spacing w:after="0" w:line="16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expect the aggregate of these amounts (less the lowest legally possible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7"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tax law or other restrictions. In addition, over the long term, the amount of par value available to us for nominal value reductions or reserves from capital contributions available to us to pay out as distributions is limited. If we are unable to make a distribution through a reduction in nominal value or out of reserves from capital contributions, we may not be able to make distributions without subjecting our shareholders to Swiss withholding taxes.</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Under present Swiss tax laws, repurchases of shares for the purposes of cancellation are treated as a partial liquidation subject to 35% Swiss withholding tax on the difference between the repurchase price and the nominal value of the shares except, since January 1, 2011, to the extent attributable to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if any, and to the extent that, the repurchase of shares is out of retained earnings or other taxable reserves. No partial liquidation treatment applies and no withholding tax is triggered if the shares are not repurchased</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cancellation but held by the Company as treasury shares. However, should Company not resell such treasury shares within six years, the withholding tax becomes due at the end of the six year period.</w:t>
      </w:r>
    </w:p>
    <w:p>
      <w:pPr>
        <w:spacing w:after="0" w:line="170" w:lineRule="exact"/>
        <w:rPr>
          <w:sz w:val="20"/>
          <w:szCs w:val="20"/>
          <w:color w:val="auto"/>
        </w:rPr>
      </w:pPr>
    </w:p>
    <w:p>
      <w:pPr>
        <w:ind w:left="180" w:right="56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70"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225" w:lineRule="exact"/>
        <w:rPr>
          <w:sz w:val="20"/>
          <w:szCs w:val="20"/>
          <w:color w:val="auto"/>
        </w:rPr>
      </w:pPr>
    </w:p>
    <w:p>
      <w:pPr>
        <w:jc w:val="both"/>
        <w:ind w:right="360" w:firstLine="324"/>
        <w:spacing w:after="0" w:line="288"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w:t>
      </w:r>
    </w:p>
    <w:p>
      <w:pPr>
        <w:ind w:right="60"/>
        <w:spacing w:after="0" w:line="254" w:lineRule="auto"/>
        <w:rPr>
          <w:sz w:val="20"/>
          <w:szCs w:val="20"/>
          <w:color w:val="auto"/>
        </w:rPr>
      </w:pPr>
      <w:r>
        <w:rPr>
          <w:rFonts w:ascii="Arial" w:cs="Arial" w:eastAsia="Arial" w:hAnsi="Arial"/>
          <w:sz w:val="18"/>
          <w:szCs w:val="18"/>
          <w:color w:val="auto"/>
        </w:rPr>
        <w:t>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See “Tax Considerations—Swiss Tax Considerations” for a summary of certain Swiss tax consequences regarding dividends distributed to holders of our common shares.</w:t>
      </w:r>
    </w:p>
    <w:p>
      <w:pPr>
        <w:spacing w:after="0" w:line="190"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Shareholders in countries with a currency other than Swiss Francs face additional investment risks from currency exchange rate fluctuations in connection with their holding of our common shares.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Francs against such other currency.</w:t>
      </w:r>
    </w:p>
    <w:p>
      <w:pPr>
        <w:spacing w:after="0" w:line="181"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be subject to U.S. proxy rules and are subject to Exchange Act reporting obligations that, to some extent, are more lenient and less frequent than those of a U.S. domestic public company.</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73"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Although Swiss law also requires that we adopt a compensation committee, we follow home country requirements with respect to such committee and our compensation, nomination and governance committee is tasked with certain director nomination and governance responsibilities.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above, you may not have the same protections afforded to shareholders of companies that are not foreign private issuers.</w:t>
      </w:r>
    </w:p>
    <w:p>
      <w:pPr>
        <w:spacing w:after="0" w:line="237"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2019 (or the end of our second fiscal quarter in any subsequent fiscal year), which would require us to comply with all of the periodic disclosure and current reporting requirements of the Exchange Act applicable to U.S. domestic issuers as of January 1, 2019 (or the first day of the fiscal year immediately succeeding the end of such second quarter).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1"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We could be an “emerging growth company” until the end of our fiscal year 2021, although circumstances could cause us to lose that status earlier, including if the market value of our common shares held by non-affiliates exceeds $700 million as of any June 30 (the end of our second fiscal quarter) before the end of our fiscal year 2021, in which case we would no longer be an “emerging growth company” as of the following December 31 (our fiscal year end). We cannot predict if</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47"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incur additional costs and we may not manage to comply with our internal control procedures and corporate governance structures.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a public company, we incur additional legal, insurance, accounting and other expenses that we did not incur as a private company. For example, as a public company, we needed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158" w:lineRule="exact"/>
        <w:rPr>
          <w:sz w:val="20"/>
          <w:szCs w:val="20"/>
          <w:color w:val="auto"/>
        </w:rPr>
      </w:pPr>
    </w:p>
    <w:p>
      <w:pPr>
        <w:ind w:left="180" w:right="2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8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9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the end of our fiscal year 2021.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70"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 increase in our tax rate could occur, which could adversely affect our financial results.</w:t>
      </w:r>
    </w:p>
    <w:p>
      <w:pPr>
        <w:spacing w:after="0" w:line="22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The Swiss Federal government had proposed changes to align Swiss corporate taxation with international recommendations but voters in Switzerland voted against such proposals in a national referendum on February 12, 2017. On June 6, 2018, the Swiss Federal Council has published the draft bill of the new tax reform named “Tax Proposal 17” (</w:t>
      </w:r>
      <w:r>
        <w:rPr>
          <w:rFonts w:ascii="Arial" w:cs="Arial" w:eastAsia="Arial" w:hAnsi="Arial"/>
          <w:sz w:val="17"/>
          <w:szCs w:val="17"/>
          <w:i w:val="1"/>
          <w:iCs w:val="1"/>
          <w:color w:val="auto"/>
        </w:rPr>
        <w:t>Steuervorlage 17</w:t>
      </w:r>
      <w:r>
        <w:rPr>
          <w:rFonts w:ascii="Arial" w:cs="Arial" w:eastAsia="Arial" w:hAnsi="Arial"/>
          <w:sz w:val="17"/>
          <w:szCs w:val="17"/>
          <w:color w:val="auto"/>
        </w:rPr>
        <w:t>) and the accompanying report (</w:t>
      </w:r>
      <w:r>
        <w:rPr>
          <w:rFonts w:ascii="Arial" w:cs="Arial" w:eastAsia="Arial" w:hAnsi="Arial"/>
          <w:sz w:val="17"/>
          <w:szCs w:val="17"/>
          <w:i w:val="1"/>
          <w:iCs w:val="1"/>
          <w:color w:val="auto"/>
        </w:rPr>
        <w:t>Botschaft</w:t>
      </w:r>
      <w:r>
        <w:rPr>
          <w:rFonts w:ascii="Arial" w:cs="Arial" w:eastAsia="Arial" w:hAnsi="Arial"/>
          <w:sz w:val="17"/>
          <w:szCs w:val="17"/>
          <w:color w:val="auto"/>
        </w:rPr>
        <w:t>) that is currently being debated by the Swiss Parliament. Thus, uncertainty will continue about the future level of Swiss Federal corporate income taxes that may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apply to us until revised proposals are put forward and gain acceptance. The Tax Proposal 17 is expected to come into force no earlier than January 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Tax Proposal 17 includes – amongst other measures – the following measures:</w:t>
      </w:r>
    </w:p>
    <w:p>
      <w:pPr>
        <w:spacing w:after="0" w:line="21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repealing the status companies at the cantonal level as well as certain tax practices at the federal level, including transitional measures;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introducing a mandatory patent box regime at the cantonal level;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introducing an optional R&amp;D “super deduction” at the cantonal level.</w:t>
      </w:r>
    </w:p>
    <w:p>
      <w:pPr>
        <w:spacing w:after="0" w:line="21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2017, the voters of the Canton of Vaud have approved a change of the Vaud cantonal tax law which includes, among other changes, a reduction of the combined effective Swiss income tax rate from currently 20.5% to 13.8%. The government of the Canton of Vaud has proposed to implement early such corporate tax reform in the Canton of Vaud on January 1, 2019 independent from the entry into force of the Tax Proposal 17.</w:t>
      </w:r>
    </w:p>
    <w:p>
      <w:pPr>
        <w:spacing w:after="0" w:line="16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expect that, if these measure come into force, it is likely that our combined effective Swiss income tax rate would decline from approximately 20.5% to 13.8%.</w:t>
      </w:r>
    </w:p>
    <w:p>
      <w:pPr>
        <w:spacing w:after="0" w:line="170" w:lineRule="exact"/>
        <w:rPr>
          <w:sz w:val="20"/>
          <w:szCs w:val="20"/>
          <w:color w:val="auto"/>
        </w:rPr>
      </w:pPr>
    </w:p>
    <w:p>
      <w:pPr>
        <w:ind w:left="18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2017, and we do not expect to be a PFIC in the immediately foreseeable future, if we were a PFIC U.S. shareholders may be subject to adverse U.S. federal income tax consequences.</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2017 taxable year and do not expect to be a PFIC in the immediately foreseeable future. However, there can be no assurance that the IRS will agree with our conclusion. In addition, whether we will be a PFIC in 2018 or any future years is uncertain because, among other things, (i) we currently own, a substantial amount of passive assets, including cash, (ii) the amount and composition of our income as passive or non-passive may vary substantially over time, and (iii)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7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firstLine="8"/>
        <w:spacing w:after="0" w:line="261"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see the section in this prospectus supplement entitled “Tax Considerations.”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15"/>
        <w:spacing w:after="0" w:line="257" w:lineRule="auto"/>
        <w:rPr>
          <w:sz w:val="20"/>
          <w:szCs w:val="20"/>
          <w:color w:val="auto"/>
        </w:rPr>
      </w:pPr>
      <w:r>
        <w:rPr>
          <w:rFonts w:ascii="Arial" w:cs="Arial" w:eastAsia="Arial" w:hAnsi="Arial"/>
          <w:sz w:val="18"/>
          <w:szCs w:val="18"/>
          <w:color w:val="auto"/>
        </w:rPr>
        <w:t>We estimate that the net proceeds to us from the Public Offering and the First Rights Offering will be approximately $85.1 million, based on the assumed public offering price of $12.35 per share, which was the closing price of our common shares on The Nasdaq Global Market on July 16, 2018, after deducting underwriting discounts and commissions and estimated offering expenses payable by us. If the underwriters exercise in full their option to purchase additional shares, we estimate that the net proceeds from the offering will be approximately $98.0 million after deducting underwriting discounts and commissions and estimated offering expenses payable by us.</w:t>
      </w:r>
    </w:p>
    <w:p>
      <w:pPr>
        <w:spacing w:after="0" w:line="188" w:lineRule="exact"/>
        <w:rPr>
          <w:sz w:val="20"/>
          <w:szCs w:val="20"/>
          <w:color w:val="auto"/>
        </w:rPr>
      </w:pPr>
    </w:p>
    <w:p>
      <w:pPr>
        <w:ind w:right="260" w:firstLine="416"/>
        <w:spacing w:after="0" w:line="279" w:lineRule="auto"/>
        <w:rPr>
          <w:sz w:val="20"/>
          <w:szCs w:val="20"/>
          <w:color w:val="auto"/>
        </w:rPr>
      </w:pPr>
      <w:r>
        <w:rPr>
          <w:rFonts w:ascii="Arial" w:cs="Arial" w:eastAsia="Arial" w:hAnsi="Arial"/>
          <w:sz w:val="17"/>
          <w:szCs w:val="17"/>
          <w:color w:val="auto"/>
        </w:rPr>
        <w:t>A $1.00 increase (decrease) in the assumed public offering price of $12.35 per share, which was the last reported sale price of our common shares on The Nasdaq Global Market on July 16, 2018, would increase (decrease) the net proceeds to us from the Public Offering and the First Rights Offering by approximately $6.9 million, assuming the number of shares offered by us, as set forth on the cover page of this prospectus, remains the same and after deducting estimated underwriting discounts and commissions and estimated offering expenses payable by us.</w:t>
      </w:r>
    </w:p>
    <w:p>
      <w:pPr>
        <w:spacing w:after="0" w:line="171"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As of March 31, 2018, we had cash and cash equivalents of CHF 109.7 million. We anticipate that we will use our existing liquidity and the net proceeds from the Public Offering and the First Rights Offering primarily to fund research and development expenses for our clinical and pre-clinical research and development activities and for working capital and general corporate purposes.</w:t>
      </w:r>
    </w:p>
    <w:p>
      <w:pPr>
        <w:spacing w:after="0" w:line="181"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However, due to the uncertainties inherent in the product development process, it is difficult to estimate with certainty the exact amounts of the net proceeds from the Public Offering and the First Rights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the Public Offering and the First Rights Offering, and investors will be relying on our judgment regarding the application of the net proceeds. In addition, we might decide to postpone or not pursue certain pre-clinical activities or clinical studies if the net proceeds from the Public Offering and the First Rights Offering and our other sources of cash are less than expected.</w:t>
      </w:r>
    </w:p>
    <w:p>
      <w:pPr>
        <w:spacing w:after="0" w:line="167" w:lineRule="exact"/>
        <w:rPr>
          <w:sz w:val="20"/>
          <w:szCs w:val="20"/>
          <w:color w:val="auto"/>
        </w:rPr>
      </w:pPr>
    </w:p>
    <w:p>
      <w:pPr>
        <w:jc w:val="both"/>
        <w:ind w:right="700" w:firstLine="416"/>
        <w:spacing w:after="0" w:line="264" w:lineRule="auto"/>
        <w:rPr>
          <w:sz w:val="20"/>
          <w:szCs w:val="20"/>
          <w:color w:val="auto"/>
        </w:rPr>
      </w:pPr>
      <w:r>
        <w:rPr>
          <w:rFonts w:ascii="Arial" w:cs="Arial" w:eastAsia="Arial" w:hAnsi="Arial"/>
          <w:sz w:val="18"/>
          <w:szCs w:val="18"/>
          <w:color w:val="auto"/>
        </w:rPr>
        <w:t>Pending the use of the proceeds from the Public Offering and the First Rights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the Public Offering.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15"/>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nominal value of a corporation’s issued shares, may be made only by way of a share capital reduction.</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sets forth our cash and cash equivalents and our total capitalization (defined as total debt and equity) as of March 31, 2018:</w:t>
      </w:r>
    </w:p>
    <w:p>
      <w:pPr>
        <w:spacing w:after="0" w:line="23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as adjusted basis to give effect to our issuance and sale of 7,391,305 common shares in the Public Offering and the First Rights Offering, at the assumed public offering price of $12.35 per common share (the last reported sale price of our common shares on The Nasdaq Global Market on July 16, 2018), after deducting underwriting discounts and estimated offering expenses payable by us.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Investors should read this table in conjunction with our consolidated financial statements and related notes included in this prospectus supplement and incorporated by reference herein. For more details on how you can obtain the documents incorporated by reference in this prospectus supplement and the accompanying prospectus, see “Where You Can Find More Information” and “Incorporation by Reference.”</w:t>
      </w:r>
    </w:p>
    <w:p>
      <w:pPr>
        <w:spacing w:after="0" w:line="181" w:lineRule="exact"/>
        <w:rPr>
          <w:sz w:val="20"/>
          <w:szCs w:val="20"/>
          <w:color w:val="auto"/>
        </w:rPr>
      </w:pPr>
    </w:p>
    <w:p>
      <w:pPr>
        <w:ind w:right="40" w:firstLine="416"/>
        <w:spacing w:after="0" w:line="308" w:lineRule="auto"/>
        <w:rPr>
          <w:sz w:val="20"/>
          <w:szCs w:val="20"/>
          <w:color w:val="auto"/>
        </w:rPr>
      </w:pPr>
      <w:r>
        <w:rPr>
          <w:rFonts w:ascii="Arial" w:cs="Arial" w:eastAsia="Arial" w:hAnsi="Arial"/>
          <w:sz w:val="17"/>
          <w:szCs w:val="17"/>
          <w:color w:val="auto"/>
        </w:rPr>
        <w:t>The following table assumes that (i) none of the subscription rights offered to existing shareholders pursuant to the First Rights Offering and the Second Rights Offering are exercised, and (ii) the underwriters’ option to purchase additional shares in this offering has not been exercised.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As of March 31, 2018</w:t>
            </w:r>
          </w:p>
        </w:tc>
        <w:tc>
          <w:tcPr>
            <w:tcW w:w="0" w:type="dxa"/>
            <w:vAlign w:val="bottom"/>
          </w:tcPr>
          <w:p>
            <w:pPr>
              <w:spacing w:after="0"/>
              <w:rPr>
                <w:sz w:val="1"/>
                <w:szCs w:val="1"/>
                <w:color w:val="auto"/>
              </w:rPr>
            </w:pPr>
          </w:p>
        </w:tc>
      </w:tr>
      <w:tr>
        <w:trPr>
          <w:trHeight w:val="223"/>
        </w:trPr>
        <w:tc>
          <w:tcPr>
            <w:tcW w:w="8120" w:type="dxa"/>
            <w:vAlign w:val="bottom"/>
          </w:tcPr>
          <w:p>
            <w:pPr>
              <w:spacing w:after="0"/>
              <w:rPr>
                <w:sz w:val="19"/>
                <w:szCs w:val="19"/>
                <w:color w:val="auto"/>
              </w:rPr>
            </w:pPr>
          </w:p>
        </w:tc>
        <w:tc>
          <w:tcPr>
            <w:tcW w:w="172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Actual</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As Adjusted(1)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33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(in thousands of CHF)</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109,669</w:t>
            </w:r>
          </w:p>
        </w:tc>
        <w:tc>
          <w:tcPr>
            <w:tcW w:w="100" w:type="dxa"/>
            <w:vAlign w:val="bottom"/>
            <w:tcBorders>
              <w:bottom w:val="single" w:sz="8" w:color="D5EAEA"/>
            </w:tcBorders>
            <w:shd w:val="clear" w:color="auto" w:fill="D5EAEA"/>
          </w:tcPr>
          <w:p>
            <w:pPr>
              <w:spacing w:after="0"/>
              <w:rPr>
                <w:sz w:val="21"/>
                <w:szCs w:val="21"/>
                <w:color w:val="auto"/>
              </w:rPr>
            </w:pP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190,772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D5EAEA"/>
          </w:tcPr>
          <w:p>
            <w:pPr>
              <w:ind w:left="180"/>
              <w:spacing w:after="0" w:line="201" w:lineRule="exact"/>
              <w:rPr>
                <w:sz w:val="20"/>
                <w:szCs w:val="20"/>
                <w:color w:val="auto"/>
              </w:rPr>
            </w:pPr>
            <w:r>
              <w:rPr>
                <w:rFonts w:ascii="Arial" w:cs="Arial" w:eastAsia="Arial" w:hAnsi="Arial"/>
                <w:sz w:val="18"/>
                <w:szCs w:val="18"/>
                <w:color w:val="auto"/>
                <w:w w:val="91"/>
              </w:rPr>
              <w:t>Common shares, nominal value CHF 0.02 per share 57,362,690 shares issued and outstanding on an actual</w:t>
            </w:r>
          </w:p>
        </w:tc>
        <w:tc>
          <w:tcPr>
            <w:tcW w:w="16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5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D5EAEA"/>
          </w:tcPr>
          <w:p>
            <w:pPr>
              <w:ind w:left="340"/>
              <w:spacing w:after="0"/>
              <w:rPr>
                <w:sz w:val="20"/>
                <w:szCs w:val="20"/>
                <w:color w:val="auto"/>
              </w:rPr>
            </w:pPr>
            <w:r>
              <w:rPr>
                <w:rFonts w:ascii="Arial" w:cs="Arial" w:eastAsia="Arial" w:hAnsi="Arial"/>
                <w:sz w:val="18"/>
                <w:szCs w:val="18"/>
                <w:color w:val="auto"/>
              </w:rPr>
              <w:t>basis and 64,753,995 issued and outstanding on a pro forma basis</w:t>
            </w:r>
          </w:p>
        </w:tc>
        <w:tc>
          <w:tcPr>
            <w:tcW w:w="16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D5EAEA"/>
          </w:tcPr>
          <w:p>
            <w:pPr>
              <w:spacing w:after="0"/>
              <w:rPr>
                <w:sz w:val="20"/>
                <w:szCs w:val="20"/>
                <w:color w:val="auto"/>
              </w:rPr>
            </w:pPr>
          </w:p>
        </w:tc>
        <w:tc>
          <w:tcPr>
            <w:tcW w:w="15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Share premium</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188,357</w:t>
            </w: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269,312</w:t>
            </w:r>
          </w:p>
        </w:tc>
        <w:tc>
          <w:tcPr>
            <w:tcW w:w="0" w:type="dxa"/>
            <w:vAlign w:val="bottom"/>
          </w:tcPr>
          <w:p>
            <w:pPr>
              <w:spacing w:after="0"/>
              <w:rPr>
                <w:sz w:val="1"/>
                <w:szCs w:val="1"/>
                <w:color w:val="auto"/>
              </w:rPr>
            </w:pPr>
          </w:p>
        </w:tc>
      </w:tr>
      <w:tr>
        <w:trPr>
          <w:trHeight w:val="230"/>
        </w:trPr>
        <w:tc>
          <w:tcPr>
            <w:tcW w:w="81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Accumulated losses</w:t>
            </w:r>
          </w:p>
        </w:tc>
        <w:tc>
          <w:tcPr>
            <w:tcW w:w="16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(83,676)</w:t>
            </w:r>
          </w:p>
        </w:tc>
        <w:tc>
          <w:tcPr>
            <w:tcW w:w="100" w:type="dxa"/>
            <w:vAlign w:val="bottom"/>
            <w:shd w:val="clear" w:color="auto" w:fill="D5EAEA"/>
          </w:tcPr>
          <w:p>
            <w:pPr>
              <w:spacing w:after="0"/>
              <w:rPr>
                <w:sz w:val="19"/>
                <w:szCs w:val="19"/>
                <w:color w:val="auto"/>
              </w:rPr>
            </w:pPr>
          </w:p>
        </w:tc>
        <w:tc>
          <w:tcPr>
            <w:tcW w:w="15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(83,676)</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D5EAEA"/>
            </w:tcBorders>
          </w:tcPr>
          <w:p>
            <w:pPr>
              <w:ind w:left="500"/>
              <w:spacing w:after="0"/>
              <w:rPr>
                <w:sz w:val="20"/>
                <w:szCs w:val="20"/>
                <w:color w:val="auto"/>
              </w:rPr>
            </w:pPr>
            <w:r>
              <w:rPr>
                <w:rFonts w:ascii="Arial" w:cs="Arial" w:eastAsia="Arial" w:hAnsi="Arial"/>
                <w:sz w:val="18"/>
                <w:szCs w:val="18"/>
                <w:color w:val="auto"/>
              </w:rPr>
              <w:t>Total equity</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105,828</w:t>
            </w:r>
          </w:p>
        </w:tc>
        <w:tc>
          <w:tcPr>
            <w:tcW w:w="100" w:type="dxa"/>
            <w:vAlign w:val="bottom"/>
            <w:tcBorders>
              <w:bottom w:val="single" w:sz="8" w:color="D5EAEA"/>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186,930</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D5EAEA"/>
            </w:tcBorders>
            <w:shd w:val="clear" w:color="auto" w:fill="D5EAEA"/>
          </w:tcPr>
          <w:p>
            <w:pPr>
              <w:ind w:left="660"/>
              <w:spacing w:after="0"/>
              <w:rPr>
                <w:sz w:val="20"/>
                <w:szCs w:val="20"/>
                <w:color w:val="auto"/>
              </w:rPr>
            </w:pPr>
            <w:r>
              <w:rPr>
                <w:rFonts w:ascii="Arial" w:cs="Arial" w:eastAsia="Arial" w:hAnsi="Arial"/>
                <w:sz w:val="18"/>
                <w:szCs w:val="18"/>
                <w:color w:val="auto"/>
              </w:rPr>
              <w:t>Total capitalization</w:t>
            </w:r>
          </w:p>
        </w:tc>
        <w:tc>
          <w:tcPr>
            <w:tcW w:w="16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105,828</w:t>
            </w:r>
          </w:p>
        </w:tc>
        <w:tc>
          <w:tcPr>
            <w:tcW w:w="100" w:type="dxa"/>
            <w:vAlign w:val="bottom"/>
            <w:tcBorders>
              <w:bottom w:val="single" w:sz="8" w:color="D5EAEA"/>
            </w:tcBorders>
            <w:shd w:val="clear" w:color="auto" w:fill="D5EAEA"/>
          </w:tcPr>
          <w:p>
            <w:pPr>
              <w:spacing w:after="0"/>
              <w:rPr>
                <w:sz w:val="19"/>
                <w:szCs w:val="19"/>
                <w:color w:val="auto"/>
              </w:rPr>
            </w:pPr>
          </w:p>
        </w:tc>
        <w:tc>
          <w:tcPr>
            <w:tcW w:w="15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186,930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1629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629410"/>
                    </a:xfrm>
                    <a:prstGeom prst="rect">
                      <a:avLst/>
                    </a:prstGeom>
                    <a:noFill/>
                  </pic:spPr>
                </pic:pic>
              </a:graphicData>
            </a:graphic>
          </wp:anchor>
        </w:drawing>
      </w:r>
    </w:p>
    <w:p>
      <w:pPr>
        <w:spacing w:after="0" w:line="182" w:lineRule="exact"/>
        <w:rPr>
          <w:sz w:val="20"/>
          <w:szCs w:val="20"/>
          <w:color w:val="auto"/>
        </w:rPr>
      </w:pPr>
    </w:p>
    <w:p>
      <w:pPr>
        <w:ind w:left="34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$1.00 increase (decrease) in the assumed Public Offering Price of $12.35 per share would increase (decrease) each of as further adjusted cash and cash equivalents, additional paid-in capital, total capitalization and shareholders’ equity by $6.9 million (CHF 6.6 million), assuming that the number of shares offered by us, as set forth on the cover page of this prospectus, remains the same, and after deducting the underwriting discount and estimated offering expenses payable by us.</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number of common shares in the table above excludes 1,594,943 of our common shares issuable upon the exercise of options, non-vested restricted shares and non-vested restricted share units outstanding under our existing equity incentive plans at a weighted-average exercise price of CHF 3.52 per common share.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415"/>
        <w:spacing w:after="0" w:line="277" w:lineRule="auto"/>
        <w:rPr>
          <w:sz w:val="20"/>
          <w:szCs w:val="20"/>
          <w:color w:val="auto"/>
        </w:rPr>
      </w:pPr>
      <w:r>
        <w:rPr>
          <w:rFonts w:ascii="Arial" w:cs="Arial" w:eastAsia="Arial" w:hAnsi="Arial"/>
          <w:sz w:val="18"/>
          <w:szCs w:val="18"/>
          <w:color w:val="auto"/>
        </w:rPr>
        <w:t>If you invest in our common shares in this offering, your ownership interest will be diluted immediately to the extent of the difference between the price you pay in this offering and the net tangible book value per common share after this offering.</w:t>
      </w:r>
    </w:p>
    <w:p>
      <w:pPr>
        <w:spacing w:after="0" w:line="170" w:lineRule="exact"/>
        <w:rPr>
          <w:sz w:val="20"/>
          <w:szCs w:val="20"/>
          <w:color w:val="auto"/>
        </w:rPr>
      </w:pPr>
    </w:p>
    <w:p>
      <w:pPr>
        <w:ind w:right="100" w:firstLine="416"/>
        <w:spacing w:after="0" w:line="286" w:lineRule="auto"/>
        <w:rPr>
          <w:sz w:val="20"/>
          <w:szCs w:val="20"/>
          <w:color w:val="auto"/>
        </w:rPr>
      </w:pPr>
      <w:r>
        <w:rPr>
          <w:rFonts w:ascii="Arial" w:cs="Arial" w:eastAsia="Arial" w:hAnsi="Arial"/>
          <w:sz w:val="17"/>
          <w:szCs w:val="17"/>
          <w:color w:val="auto"/>
        </w:rPr>
        <w:t>Our net tangible book value as of March 31, 2018 was $111.0 million (CHF 105.8 million), or $1.94 per common share (CHF 1.84 per common share), based on 57,362,690 common shares then outstanding. Net tangible book value per share represents the amount of our total assets less our total liabilities, excluding intangible assets, divided by 57,362,690, the total number of our common shares issued and outstanding at March 31, 2018.</w:t>
      </w:r>
    </w:p>
    <w:p>
      <w:pPr>
        <w:spacing w:after="0" w:line="166" w:lineRule="exact"/>
        <w:rPr>
          <w:sz w:val="20"/>
          <w:szCs w:val="20"/>
          <w:color w:val="auto"/>
        </w:rPr>
      </w:pPr>
    </w:p>
    <w:p>
      <w:pPr>
        <w:ind w:right="220" w:firstLine="416"/>
        <w:spacing w:after="0" w:line="273" w:lineRule="auto"/>
        <w:rPr>
          <w:sz w:val="20"/>
          <w:szCs w:val="20"/>
          <w:color w:val="auto"/>
        </w:rPr>
      </w:pPr>
      <w:r>
        <w:rPr>
          <w:rFonts w:ascii="Arial" w:cs="Arial" w:eastAsia="Arial" w:hAnsi="Arial"/>
          <w:sz w:val="17"/>
          <w:szCs w:val="17"/>
          <w:color w:val="auto"/>
        </w:rPr>
        <w:t>After giving effect to the sale by us of 7,391,305 common shares in this offering at an assumed public offering price of $12.35 per share (the last reported sale price of our common shares on The Nasdaq Global Market on July 16, 2018), less the underwriting discounts and estimated offering expenses payable by us, and assuming that none of the pre-emptive subscription rights offered to existing shareholders pursuant to the First Rights Offering and the Second Rights Offering are exercised, our net tangible book value at March 31, 2018 would have been $196.1 million, or $3.03 per common share. This represents an immediate increase in net tangible book value of $1.09 per share to existing shareholders and an immediate dilution of $9.32 per share to investors in this offering. The following table illustrates this per share dilution: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2740" w:type="dxa"/>
            <w:vAlign w:val="bottom"/>
            <w:gridSpan w:val="3"/>
          </w:tcPr>
          <w:p>
            <w:pPr>
              <w:ind w:left="1500"/>
              <w:spacing w:after="0"/>
              <w:rPr>
                <w:sz w:val="20"/>
                <w:szCs w:val="20"/>
                <w:color w:val="auto"/>
              </w:rPr>
            </w:pPr>
            <w:r>
              <w:rPr>
                <w:rFonts w:ascii="Arial" w:cs="Arial" w:eastAsia="Arial" w:hAnsi="Arial"/>
                <w:sz w:val="18"/>
                <w:szCs w:val="18"/>
                <w:b w:val="1"/>
                <w:bCs w:val="1"/>
                <w:color w:val="auto"/>
              </w:rPr>
              <w:t>(in USD)</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(in CHF)</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D5EAEA"/>
          </w:tcPr>
          <w:p>
            <w:pPr>
              <w:spacing w:after="0"/>
              <w:rPr>
                <w:sz w:val="20"/>
                <w:szCs w:val="20"/>
                <w:color w:val="auto"/>
              </w:rPr>
            </w:pPr>
            <w:r>
              <w:rPr>
                <w:rFonts w:ascii="Arial" w:cs="Arial" w:eastAsia="Arial" w:hAnsi="Arial"/>
                <w:sz w:val="18"/>
                <w:szCs w:val="18"/>
                <w:color w:val="auto"/>
              </w:rPr>
              <w:t>Assumed public offering price per share</w:t>
            </w:r>
          </w:p>
        </w:tc>
        <w:tc>
          <w:tcPr>
            <w:tcW w:w="2160" w:type="dxa"/>
            <w:vAlign w:val="bottom"/>
            <w:gridSpan w:val="2"/>
            <w:shd w:val="clear" w:color="auto" w:fill="D5EAEA"/>
          </w:tcPr>
          <w:p>
            <w:pPr>
              <w:jc w:val="center"/>
              <w:ind w:left="1410"/>
              <w:spacing w:after="0"/>
              <w:rPr>
                <w:sz w:val="20"/>
                <w:szCs w:val="20"/>
                <w:color w:val="auto"/>
              </w:rPr>
            </w:pPr>
            <w:r>
              <w:rPr>
                <w:rFonts w:ascii="Arial" w:cs="Arial" w:eastAsia="Arial" w:hAnsi="Arial"/>
                <w:sz w:val="18"/>
                <w:szCs w:val="18"/>
                <w:color w:val="auto"/>
                <w:w w:val="93"/>
              </w:rPr>
              <w:t>12.35</w:t>
            </w:r>
          </w:p>
        </w:tc>
        <w:tc>
          <w:tcPr>
            <w:tcW w:w="58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11.77</w:t>
            </w:r>
          </w:p>
        </w:tc>
        <w:tc>
          <w:tcPr>
            <w:tcW w:w="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Historical net tangible book value per share as of March 31, 2018</w:t>
            </w:r>
          </w:p>
        </w:tc>
        <w:tc>
          <w:tcPr>
            <w:tcW w:w="2160" w:type="dxa"/>
            <w:vAlign w:val="bottom"/>
            <w:gridSpan w:val="2"/>
          </w:tcPr>
          <w:p>
            <w:pPr>
              <w:jc w:val="center"/>
              <w:ind w:left="1410"/>
              <w:spacing w:after="0"/>
              <w:rPr>
                <w:sz w:val="20"/>
                <w:szCs w:val="20"/>
                <w:color w:val="auto"/>
              </w:rPr>
            </w:pPr>
            <w:r>
              <w:rPr>
                <w:rFonts w:ascii="Arial" w:cs="Arial" w:eastAsia="Arial" w:hAnsi="Arial"/>
                <w:sz w:val="18"/>
                <w:szCs w:val="18"/>
                <w:color w:val="auto"/>
                <w:w w:val="85"/>
              </w:rPr>
              <w:t>1.94</w:t>
            </w:r>
          </w:p>
        </w:tc>
        <w:tc>
          <w:tcPr>
            <w:tcW w:w="5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D5EAEA"/>
          </w:tcPr>
          <w:p>
            <w:pPr>
              <w:ind w:left="380"/>
              <w:spacing w:after="0"/>
              <w:rPr>
                <w:sz w:val="20"/>
                <w:szCs w:val="20"/>
                <w:color w:val="auto"/>
              </w:rPr>
            </w:pPr>
            <w:r>
              <w:rPr>
                <w:rFonts w:ascii="Arial" w:cs="Arial" w:eastAsia="Arial" w:hAnsi="Arial"/>
                <w:sz w:val="18"/>
                <w:szCs w:val="18"/>
                <w:color w:val="auto"/>
              </w:rPr>
              <w:t>Increase per share attributable to new investors purchasing shares in this offering</w:t>
            </w:r>
          </w:p>
        </w:tc>
        <w:tc>
          <w:tcPr>
            <w:tcW w:w="2160" w:type="dxa"/>
            <w:vAlign w:val="bottom"/>
            <w:gridSpan w:val="2"/>
            <w:shd w:val="clear" w:color="auto" w:fill="D5EAEA"/>
          </w:tcPr>
          <w:p>
            <w:pPr>
              <w:jc w:val="center"/>
              <w:ind w:left="1410"/>
              <w:spacing w:after="0"/>
              <w:rPr>
                <w:sz w:val="20"/>
                <w:szCs w:val="20"/>
                <w:color w:val="auto"/>
              </w:rPr>
            </w:pPr>
            <w:r>
              <w:rPr>
                <w:rFonts w:ascii="Arial" w:cs="Arial" w:eastAsia="Arial" w:hAnsi="Arial"/>
                <w:sz w:val="18"/>
                <w:szCs w:val="18"/>
                <w:color w:val="auto"/>
                <w:w w:val="85"/>
              </w:rPr>
              <w:t>1.09</w:t>
            </w:r>
          </w:p>
        </w:tc>
        <w:tc>
          <w:tcPr>
            <w:tcW w:w="58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1.04</w:t>
            </w:r>
          </w:p>
        </w:tc>
        <w:tc>
          <w:tcPr>
            <w:tcW w:w="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2160" w:type="dxa"/>
            <w:vAlign w:val="bottom"/>
            <w:gridSpan w:val="2"/>
          </w:tcPr>
          <w:p>
            <w:pPr>
              <w:jc w:val="center"/>
              <w:ind w:left="1410"/>
              <w:spacing w:after="0"/>
              <w:rPr>
                <w:sz w:val="20"/>
                <w:szCs w:val="20"/>
                <w:color w:val="auto"/>
              </w:rPr>
            </w:pPr>
            <w:r>
              <w:rPr>
                <w:rFonts w:ascii="Arial" w:cs="Arial" w:eastAsia="Arial" w:hAnsi="Arial"/>
                <w:sz w:val="18"/>
                <w:szCs w:val="18"/>
                <w:color w:val="auto"/>
                <w:w w:val="85"/>
              </w:rPr>
              <w:t>3.03</w:t>
            </w:r>
          </w:p>
        </w:tc>
        <w:tc>
          <w:tcPr>
            <w:tcW w:w="5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2.89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D5EAEA"/>
          </w:tcPr>
          <w:p>
            <w:pPr>
              <w:ind w:left="380"/>
              <w:spacing w:after="0"/>
              <w:rPr>
                <w:sz w:val="20"/>
                <w:szCs w:val="20"/>
                <w:color w:val="auto"/>
              </w:rPr>
            </w:pPr>
            <w:r>
              <w:rPr>
                <w:rFonts w:ascii="Arial" w:cs="Arial" w:eastAsia="Arial" w:hAnsi="Arial"/>
                <w:sz w:val="18"/>
                <w:szCs w:val="18"/>
                <w:color w:val="auto"/>
              </w:rPr>
              <w:t>Dilution per share to new investors</w:t>
            </w:r>
          </w:p>
        </w:tc>
        <w:tc>
          <w:tcPr>
            <w:tcW w:w="2160" w:type="dxa"/>
            <w:vAlign w:val="bottom"/>
            <w:gridSpan w:val="2"/>
            <w:shd w:val="clear" w:color="auto" w:fill="D5EAEA"/>
          </w:tcPr>
          <w:p>
            <w:pPr>
              <w:jc w:val="center"/>
              <w:ind w:left="1410"/>
              <w:spacing w:after="0"/>
              <w:rPr>
                <w:sz w:val="20"/>
                <w:szCs w:val="20"/>
                <w:color w:val="auto"/>
              </w:rPr>
            </w:pPr>
            <w:r>
              <w:rPr>
                <w:rFonts w:ascii="Arial" w:cs="Arial" w:eastAsia="Arial" w:hAnsi="Arial"/>
                <w:sz w:val="18"/>
                <w:szCs w:val="18"/>
                <w:color w:val="auto"/>
                <w:w w:val="85"/>
              </w:rPr>
              <w:t>9.32</w:t>
            </w:r>
          </w:p>
        </w:tc>
        <w:tc>
          <w:tcPr>
            <w:tcW w:w="58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8.89</w:t>
            </w:r>
          </w:p>
        </w:tc>
        <w:tc>
          <w:tcPr>
            <w:tcW w:w="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common share for new investors</w:t>
            </w:r>
          </w:p>
        </w:tc>
        <w:tc>
          <w:tcPr>
            <w:tcW w:w="2160" w:type="dxa"/>
            <w:vAlign w:val="bottom"/>
            <w:gridSpan w:val="2"/>
          </w:tcPr>
          <w:p>
            <w:pPr>
              <w:jc w:val="center"/>
              <w:ind w:left="1410"/>
              <w:spacing w:after="0"/>
              <w:rPr>
                <w:sz w:val="20"/>
                <w:szCs w:val="20"/>
                <w:color w:val="auto"/>
              </w:rPr>
            </w:pPr>
            <w:r>
              <w:rPr>
                <w:rFonts w:ascii="Arial" w:cs="Arial" w:eastAsia="Arial" w:hAnsi="Arial"/>
                <w:sz w:val="18"/>
                <w:szCs w:val="18"/>
                <w:color w:val="auto"/>
                <w:w w:val="88"/>
              </w:rPr>
              <w:t>75.48%</w:t>
            </w:r>
          </w:p>
        </w:tc>
        <w:tc>
          <w:tcPr>
            <w:tcW w:w="5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75.48%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-969010</wp:posOffset>
            </wp:positionV>
            <wp:extent cx="7246620" cy="960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167" w:lineRule="exact"/>
        <w:rPr>
          <w:sz w:val="20"/>
          <w:szCs w:val="20"/>
          <w:color w:val="auto"/>
        </w:rPr>
      </w:pPr>
    </w:p>
    <w:p>
      <w:pPr>
        <w:jc w:val="both"/>
        <w:ind w:right="320" w:firstLine="416"/>
        <w:spacing w:after="0" w:line="279" w:lineRule="auto"/>
        <w:rPr>
          <w:sz w:val="20"/>
          <w:szCs w:val="20"/>
          <w:color w:val="auto"/>
        </w:rPr>
      </w:pPr>
      <w:r>
        <w:rPr>
          <w:rFonts w:ascii="Arial" w:cs="Arial" w:eastAsia="Arial" w:hAnsi="Arial"/>
          <w:sz w:val="17"/>
          <w:szCs w:val="17"/>
          <w:color w:val="auto"/>
        </w:rPr>
        <w:t>Each $1.00 increase (decrease) in the assumed Public Offering Price of $12.35 (CHF 11.77) per share would increase (decrease) our as adjusted net tangible book value by approximately $6.9 (CHF 6.6) million, or approximately $0.11 (CHF 0.10) per share, and the dilution per share to investors in this offering by approximately $0.89 (CHF 0.86) per share, assuming that the number of shares offered by us, as set forth on the cover page of this prospectus, remain the same and after deducting the underwriting discount and estimated offering expenses payable by us.</w:t>
      </w:r>
    </w:p>
    <w:p>
      <w:pPr>
        <w:spacing w:after="0" w:line="171"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Swiss Franc amounts have been translated into U.S. dollars at a rate of CHF 0.9532 to USD 1.00, the official exchange rate quoted as of March 31, 2018 by the U.S. Federal Reserve Bank. Such U.S. dollar amounts are not necessarily indicative of the amounts of U.S. dollars that could actually have been purchased upon exchange of Swiss Francs on March 31, 2018 and have been provided solely for the convenience of the reader. The above table assumes that</w:t>
      </w:r>
    </w:p>
    <w:p>
      <w:pPr>
        <w:ind w:right="100" w:firstLine="8"/>
        <w:spacing w:after="0" w:line="261"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 of the subscription rights offered to existing shareholders pursuant to the First Rights Offering and the Second Rights Offering are exercised, and (ii) the underwriters’ option to purchase additional shares in this offering has not been exercised.</w:t>
      </w:r>
    </w:p>
    <w:p>
      <w:pPr>
        <w:spacing w:after="0" w:line="184" w:lineRule="exact"/>
        <w:rPr>
          <w:sz w:val="20"/>
          <w:szCs w:val="20"/>
          <w:color w:val="auto"/>
        </w:rPr>
      </w:pPr>
    </w:p>
    <w:p>
      <w:pPr>
        <w:ind w:right="120" w:firstLine="416"/>
        <w:spacing w:after="0" w:line="264" w:lineRule="auto"/>
        <w:rPr>
          <w:sz w:val="20"/>
          <w:szCs w:val="20"/>
          <w:color w:val="auto"/>
        </w:rPr>
      </w:pPr>
      <w:r>
        <w:rPr>
          <w:rFonts w:ascii="Arial" w:cs="Arial" w:eastAsia="Arial" w:hAnsi="Arial"/>
          <w:sz w:val="18"/>
          <w:szCs w:val="18"/>
          <w:color w:val="auto"/>
        </w:rPr>
        <w:t>The calculations above are based on 57,362,690 common shares outstanding as of March 31, 2018, but exclude 1,594,943 of our common shares issuable upon the exercise of options, non-vested restricted shares and non-vested restricted share units outstanding under our existing equity incentive plans at a weighted-average exercise price of CHF 3.52 per common share.</w:t>
      </w:r>
    </w:p>
    <w:p>
      <w:pPr>
        <w:spacing w:after="0" w:line="181" w:lineRule="exact"/>
        <w:rPr>
          <w:sz w:val="20"/>
          <w:szCs w:val="20"/>
          <w:color w:val="auto"/>
        </w:rPr>
      </w:pPr>
    </w:p>
    <w:p>
      <w:pPr>
        <w:ind w:right="100" w:firstLine="416"/>
        <w:spacing w:after="0" w:line="264"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 OFFERINGS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First Rights Offering</w:t>
      </w:r>
    </w:p>
    <w:p>
      <w:pPr>
        <w:spacing w:after="0" w:line="229" w:lineRule="exact"/>
        <w:rPr>
          <w:sz w:val="20"/>
          <w:szCs w:val="20"/>
          <w:color w:val="auto"/>
        </w:rPr>
      </w:pPr>
    </w:p>
    <w:p>
      <w:pPr>
        <w:ind w:right="120" w:firstLine="416"/>
        <w:spacing w:after="0" w:line="308" w:lineRule="auto"/>
        <w:rPr>
          <w:sz w:val="20"/>
          <w:szCs w:val="20"/>
          <w:color w:val="auto"/>
        </w:rPr>
      </w:pPr>
      <w:r>
        <w:rPr>
          <w:rFonts w:ascii="Arial" w:cs="Arial" w:eastAsia="Arial" w:hAnsi="Arial"/>
          <w:sz w:val="17"/>
          <w:szCs w:val="17"/>
          <w:color w:val="auto"/>
        </w:rPr>
        <w:t>The First Rights Offering may have an impact on the accelerated book-building process, the determination of the Offering Price for the Offered Shares and the number of Offered Shares that may be offered and sold in the Public Offering to which this prospectus supplement relates.</w:t>
      </w:r>
    </w:p>
    <w:p>
      <w:pPr>
        <w:spacing w:after="0" w:line="147" w:lineRule="exact"/>
        <w:rPr>
          <w:sz w:val="20"/>
          <w:szCs w:val="20"/>
          <w:color w:val="auto"/>
        </w:rPr>
      </w:pPr>
    </w:p>
    <w:p>
      <w:pPr>
        <w:ind w:firstLine="416"/>
        <w:spacing w:after="0" w:line="276" w:lineRule="auto"/>
        <w:rPr>
          <w:sz w:val="20"/>
          <w:szCs w:val="20"/>
          <w:color w:val="auto"/>
        </w:rPr>
      </w:pPr>
      <w:r>
        <w:rPr>
          <w:rFonts w:ascii="Arial" w:cs="Arial" w:eastAsia="Arial" w:hAnsi="Arial"/>
          <w:sz w:val="17"/>
          <w:szCs w:val="17"/>
          <w:color w:val="auto"/>
        </w:rPr>
        <w:t xml:space="preserve">Under Swiss law and pursuant to the resolution by the extraordinary shareholders’ meeting held on April 27, 2018, our existing shareholders are entitled to statutory pre-emptive subscription rights to subscribe for the Offered Shares in proportion to their existing shareholdings. As a result, we will commence, concurrently with the Public Offering, a pre-emptive subscription rights offering to our Record Shareholders, who will have the opportunity to subscribe for up to 8,500,000 Offered Shares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at the Offering Price. Offered Shares for which our Record Shareholders exercise their pre-emptive subscription rights will not be available for allocation in the Public Offering.</w:t>
      </w:r>
    </w:p>
    <w:p>
      <w:pPr>
        <w:spacing w:after="0" w:line="173" w:lineRule="exact"/>
        <w:rPr>
          <w:sz w:val="20"/>
          <w:szCs w:val="20"/>
          <w:color w:val="auto"/>
        </w:rPr>
      </w:pPr>
    </w:p>
    <w:p>
      <w:pPr>
        <w:ind w:right="140" w:firstLine="416"/>
        <w:spacing w:after="0" w:line="312" w:lineRule="auto"/>
        <w:rPr>
          <w:sz w:val="20"/>
          <w:szCs w:val="20"/>
          <w:color w:val="auto"/>
        </w:rPr>
      </w:pPr>
      <w:r>
        <w:rPr>
          <w:rFonts w:ascii="Arial" w:cs="Arial" w:eastAsia="Arial" w:hAnsi="Arial"/>
          <w:sz w:val="16"/>
          <w:szCs w:val="16"/>
          <w:color w:val="auto"/>
        </w:rPr>
        <w:t>Each Record Shareholder will be entitled to one pre-emptive subscription right for each existing common share held by such Record Shareholder after the close of trading on The Nasdaq Global Market on July 2, 2018. Accordingly, such Record Shareholder may, during the subscription period described below, subscribe for one Offered Share for every 6.74 pre-emptive subscription rights held by such Record Shareholder.</w:t>
      </w:r>
    </w:p>
    <w:p>
      <w:pPr>
        <w:spacing w:after="0" w:line="147" w:lineRule="exact"/>
        <w:rPr>
          <w:sz w:val="20"/>
          <w:szCs w:val="20"/>
          <w:color w:val="auto"/>
        </w:rPr>
      </w:pPr>
    </w:p>
    <w:p>
      <w:pPr>
        <w:ind w:right="100" w:firstLine="416"/>
        <w:spacing w:after="0" w:line="312" w:lineRule="auto"/>
        <w:rPr>
          <w:sz w:val="20"/>
          <w:szCs w:val="20"/>
          <w:color w:val="auto"/>
        </w:rPr>
      </w:pPr>
      <w:r>
        <w:rPr>
          <w:rFonts w:ascii="Arial" w:cs="Arial" w:eastAsia="Arial" w:hAnsi="Arial"/>
          <w:sz w:val="16"/>
          <w:szCs w:val="16"/>
          <w:color w:val="auto"/>
        </w:rPr>
        <w:t>Record Shareholders may exercise their pre-emptive subscription rights to acquire the Offered Shares during the subscription period from 4:00 p.m. (New York City time) on July 17, 2018 to 4:00 p.m. (New York City time) on July 18, 2018. Record Shareholders must exercise their pre-emptive subscription rights before the end of such subscription period. We reserve the right to suspend or extend the subscription period for the First Rights Offering.</w:t>
      </w:r>
    </w:p>
    <w:p>
      <w:pPr>
        <w:spacing w:after="0" w:line="147" w:lineRule="exact"/>
        <w:rPr>
          <w:sz w:val="20"/>
          <w:szCs w:val="20"/>
          <w:color w:val="auto"/>
        </w:rPr>
      </w:pPr>
    </w:p>
    <w:p>
      <w:pPr>
        <w:ind w:right="80" w:firstLine="416"/>
        <w:spacing w:after="0" w:line="272" w:lineRule="auto"/>
        <w:rPr>
          <w:sz w:val="20"/>
          <w:szCs w:val="20"/>
          <w:color w:val="auto"/>
        </w:rPr>
      </w:pPr>
      <w:r>
        <w:rPr>
          <w:rFonts w:ascii="Arial" w:cs="Arial" w:eastAsia="Arial" w:hAnsi="Arial"/>
          <w:sz w:val="17"/>
          <w:szCs w:val="17"/>
          <w:color w:val="auto"/>
        </w:rPr>
        <w:t>Any pre-emptive subscription rights that have not been validly exercised prior to the end of the subscription period will expire and become null and void without compensation. The underwriters may withdraw, cancel or modify any orders of a Record Shareholder who has elected to participate in the First Rights Offering if such shareholder, or its bank, broker or other intermediary, respectively, does not have a brokerage account with the underwriters or any of their affiliates which prevents the ability of the underwriters to timely verify the eligibility of such Record Shareholder or to execute the order from such Record Shareholder. Each exercise of pre-emptive subscription rights in the First Rights Offering will be effective at the Offering Price, is irrevocable and may not be cancelled, modified, rescinded or withdrawn. We will accept subscriptions for whole Offered Shares only and will round down any subscription submitted for fractional Offered Shares to the nearest whole number of Offered Shares.</w:t>
      </w:r>
    </w:p>
    <w:p>
      <w:pPr>
        <w:spacing w:after="0" w:line="178"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Our Record Shareholders will also have pre-emptive subscription rights, and the opportunity to exercise such pre-emptive subscription rights during the subscription period for the First Rights Offering, with respect to the Option Shares that are available to the underwriters under the option described herein. New shareholders that purchase common shares in the Public Offering will neither have pre-emptive subscription rights with respect to the Option Shares to be sold pursuant to the option by the underwriters nor in the Second Rights Offering.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pre-emptive subscription rights will not be listed on any securities exchange or tradeable.</w:t>
      </w:r>
    </w:p>
    <w:p>
      <w:pPr>
        <w:spacing w:after="0" w:line="225"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Any eligible Record Shareholder interested in participating in the First Rights Offering should direct the bank, broker or other intermediary administering its securities account to which such eligible Record Shareholder’s existing common shares are credited to contact the Syndicate Department of Jefferies LLC by calling +1 (212) 284-2342 prior to the expiration of the subscription period and indicate how many pre-emptive subscription rights such Record Shareholder wishes to exercise.</w:t>
      </w:r>
    </w:p>
    <w:p>
      <w:pPr>
        <w:spacing w:after="0" w:line="187" w:lineRule="exact"/>
        <w:rPr>
          <w:sz w:val="20"/>
          <w:szCs w:val="20"/>
          <w:color w:val="auto"/>
        </w:rPr>
      </w:pPr>
    </w:p>
    <w:p>
      <w:pPr>
        <w:jc w:val="both"/>
        <w:ind w:right="100" w:firstLine="416"/>
        <w:spacing w:after="0" w:line="286" w:lineRule="auto"/>
        <w:rPr>
          <w:sz w:val="20"/>
          <w:szCs w:val="20"/>
          <w:color w:val="auto"/>
        </w:rPr>
      </w:pPr>
      <w:r>
        <w:rPr>
          <w:rFonts w:ascii="Arial" w:cs="Arial" w:eastAsia="Arial" w:hAnsi="Arial"/>
          <w:sz w:val="17"/>
          <w:szCs w:val="17"/>
          <w:color w:val="auto"/>
        </w:rPr>
        <w:t>At the extraordinary shareholders’ meeting held on April 27, 2018, our shareholders approved an ordinary capital increase of up to 8,500,000 common shares. The First Rights Offering and the Public Offering will be carried out based on this approved ordinary capital increase. The wording of the resolutions pertaining to the First Rights Offering and the Public Offering as approved by our shareholders is the following: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060" w:right="440" w:hanging="323"/>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 capital of the Company is increased by way of an ordinary increase by up to CHF 170,000 by issuing up to 8,500,000 registered shares with a nominal value of CHF 0.02 each;</w:t>
      </w:r>
    </w:p>
    <w:p>
      <w:pPr>
        <w:spacing w:after="0" w:line="170" w:lineRule="exact"/>
        <w:rPr>
          <w:rFonts w:ascii="Arial" w:cs="Arial" w:eastAsia="Arial" w:hAnsi="Arial"/>
          <w:sz w:val="18"/>
          <w:szCs w:val="18"/>
          <w:color w:val="auto"/>
        </w:rPr>
      </w:pPr>
    </w:p>
    <w:p>
      <w:pPr>
        <w:ind w:left="1060" w:hanging="323"/>
        <w:spacing w:after="0" w:line="28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pre-emptive subscription rights of the shareholders for the newly issued registered shares shall be preserved; the Board of Directors shall be entitled to publish the subscription price by electronic media including press release and e-mail and to limit the subscription period to one business day; any new shares not subscribed shall be allocated by the Board of Directors at its discretion;</w:t>
      </w:r>
    </w:p>
    <w:p>
      <w:pPr>
        <w:spacing w:after="0" w:line="165" w:lineRule="exact"/>
        <w:rPr>
          <w:rFonts w:ascii="Arial" w:cs="Arial" w:eastAsia="Arial" w:hAnsi="Arial"/>
          <w:sz w:val="17"/>
          <w:szCs w:val="17"/>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technical issuance price of the new shares to be paid in cash shall be determined by the Board of Directors;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new shares are entitled to dividends for the business year starting January 1, 2018;</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new shares are subject to the transfer restrictions as outlined in article 4 of the articles of association;</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stamp duty shall be paid by the Company; and</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Board of Directors is authorized and instructed to implement and register this capital increase with the competent commercial register.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Offered Shares</w:t>
      </w:r>
    </w:p>
    <w:p>
      <w:pPr>
        <w:spacing w:after="0" w:line="229"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 xml:space="preserve">The Offered Shares will have a nominal value of CHF 0.02 each. We will issue the Offered Shares in an ordinary share capital increase against cash contributions approved by our shareholders at the extraordinary shareholders’ meeting held on April 27, 2018. The Offered Shares will be fully fungible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each other and with all of our existing common shares. The Offered Shares are subject to the transfer restrictions as set forth in article 4 of our articles of association.</w:t>
      </w:r>
    </w:p>
    <w:p>
      <w:pPr>
        <w:spacing w:after="0" w:line="187"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The Offered Shares will be issued as uncertificated securities (</w:t>
      </w:r>
      <w:r>
        <w:rPr>
          <w:rFonts w:ascii="Arial" w:cs="Arial" w:eastAsia="Arial" w:hAnsi="Arial"/>
          <w:sz w:val="18"/>
          <w:szCs w:val="18"/>
          <w:i w:val="1"/>
          <w:iCs w:val="1"/>
          <w:color w:val="auto"/>
        </w:rPr>
        <w:t>droits-valeurs</w:t>
      </w:r>
      <w:r>
        <w:rPr>
          <w:rFonts w:ascii="Arial" w:cs="Arial" w:eastAsia="Arial" w:hAnsi="Arial"/>
          <w:sz w:val="18"/>
          <w:szCs w:val="18"/>
          <w:color w:val="auto"/>
        </w:rPr>
        <w:t>, within the meaning of Article 973c of the Swiss Code of Obligations) and, when administered by a 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within the meaning of the Federal Act on Intermediated Securities, “FISA”), qualify as intermediated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within the meaning of the FISA). The Offered Shares will be registered in our non-public register of uncertificated securities (</w:t>
      </w:r>
      <w:r>
        <w:rPr>
          <w:rFonts w:ascii="Arial" w:cs="Arial" w:eastAsia="Arial" w:hAnsi="Arial"/>
          <w:sz w:val="18"/>
          <w:szCs w:val="18"/>
          <w:i w:val="1"/>
          <w:iCs w:val="1"/>
          <w:color w:val="auto"/>
        </w:rPr>
        <w:t>registre des droits-valeurs</w:t>
      </w:r>
      <w:r>
        <w:rPr>
          <w:rFonts w:ascii="Arial" w:cs="Arial" w:eastAsia="Arial" w:hAnsi="Arial"/>
          <w:sz w:val="18"/>
          <w:szCs w:val="18"/>
          <w:color w:val="auto"/>
        </w:rPr>
        <w:t>).</w:t>
      </w:r>
    </w:p>
    <w:p>
      <w:pPr>
        <w:spacing w:after="0" w:line="187"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price determination for our common shares in the Public Offering and the First Rights Offering will be made by agreement between us and the underwriters based on the process for evaluating investor demand known as accelerated book-building. The Offering Price will be determined by us and the underwriters after the close of trading on The Nasdaq Global Market on July 18, 2018, on the basis of the number of common shares for which pre-emptive subscription rights have been exercised in the First Rights Offering, investor demand resulting from an accelerated book-building procedure, the price on The Nasdaq Global Market for our existing common shares and prevailing market conditions, as further described in the “Underwriting” section of this prospectus supplement, but in no event will the Offering Price exceed a 10% premium to the last sale price of our common shares as reported on The Nasdaq Global Market on July 16, 2018.</w:t>
      </w:r>
    </w:p>
    <w:p>
      <w:pPr>
        <w:spacing w:after="0" w:line="189" w:lineRule="exact"/>
        <w:rPr>
          <w:sz w:val="20"/>
          <w:szCs w:val="20"/>
          <w:color w:val="auto"/>
        </w:rPr>
      </w:pPr>
    </w:p>
    <w:p>
      <w:pPr>
        <w:ind w:right="220" w:firstLine="416"/>
        <w:spacing w:after="0" w:line="312" w:lineRule="auto"/>
        <w:rPr>
          <w:sz w:val="20"/>
          <w:szCs w:val="20"/>
          <w:color w:val="auto"/>
        </w:rPr>
      </w:pPr>
      <w:r>
        <w:rPr>
          <w:rFonts w:ascii="Arial" w:cs="Arial" w:eastAsia="Arial" w:hAnsi="Arial"/>
          <w:sz w:val="16"/>
          <w:szCs w:val="16"/>
          <w:color w:val="auto"/>
        </w:rPr>
        <w:t>The Offered Shares for which Record Shareholders did not exercise their statutory pre-emptive subscription rights in the First Rights Offering will be available for allocation to institutional investors in the Public Offering. If and to the extent the underwriters do not or not fully exercise their option to purchase the Option Shares, the corresponding number of common shares will be transferred to the Company and will become our treasury shares.</w:t>
      </w:r>
    </w:p>
    <w:p>
      <w:pPr>
        <w:spacing w:after="0" w:line="147" w:lineRule="exact"/>
        <w:rPr>
          <w:sz w:val="20"/>
          <w:szCs w:val="20"/>
          <w:color w:val="auto"/>
        </w:rPr>
      </w:pPr>
    </w:p>
    <w:p>
      <w:pPr>
        <w:ind w:right="300" w:firstLine="416"/>
        <w:spacing w:after="0" w:line="259" w:lineRule="auto"/>
        <w:rPr>
          <w:sz w:val="20"/>
          <w:szCs w:val="20"/>
          <w:color w:val="auto"/>
        </w:rPr>
      </w:pPr>
      <w:r>
        <w:rPr>
          <w:rFonts w:ascii="Arial" w:cs="Arial" w:eastAsia="Arial" w:hAnsi="Arial"/>
          <w:sz w:val="18"/>
          <w:szCs w:val="18"/>
          <w:color w:val="auto"/>
        </w:rPr>
        <w:t>After expiration of the subscription period of the First Rights Offering, the Offered Shares which have been validly subscribed and paid for in accordance with the terms of the Public Offering or the First Rights Offering will be, upon registration of the corresponding share capital increase into the Commercial Register of the Canton of Vaud, validly issued. The delivery of Offered Shares shall be carried out by Computershare Trust Company, N.A. acting as transfer agent and registrar for our common shares.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Second Rights Offering</w:t>
      </w:r>
    </w:p>
    <w:p>
      <w:pPr>
        <w:spacing w:after="0" w:line="229" w:lineRule="exact"/>
        <w:rPr>
          <w:sz w:val="20"/>
          <w:szCs w:val="20"/>
          <w:color w:val="auto"/>
        </w:rPr>
      </w:pPr>
    </w:p>
    <w:p>
      <w:pPr>
        <w:jc w:val="both"/>
        <w:ind w:right="240" w:firstLine="416"/>
        <w:spacing w:after="0" w:line="264" w:lineRule="auto"/>
        <w:rPr>
          <w:sz w:val="20"/>
          <w:szCs w:val="20"/>
          <w:color w:val="auto"/>
        </w:rPr>
      </w:pPr>
      <w:r>
        <w:rPr>
          <w:rFonts w:ascii="Arial" w:cs="Arial" w:eastAsia="Arial" w:hAnsi="Arial"/>
          <w:sz w:val="18"/>
          <w:szCs w:val="18"/>
          <w:color w:val="auto"/>
        </w:rPr>
        <w:t>The following is a brief summary of certain terms of the Second Rights Offerings to be conducted for the benefit of our existing shareholders and is included in this prospectus supplement for information purposes only. The following summary does not constitute an offer, and is not to be construed as a solicitation, invitation or offer to buy or sell any securities.</w:t>
      </w:r>
    </w:p>
    <w:p>
      <w:pPr>
        <w:spacing w:after="0" w:line="181"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If the Public Offering is completed, we also intend to commence the Second Rights Offering, pursuant to which existing shareholders will have the opportunity to subscribe for up to 1,500,000 common shares. The Second Rights Offering is expected to begin at 3:00 a.m. (New York City time) on July 20, 2018 and to expire at 4:00 p.m. (New York City time) on July 27, 2018. The Second Rights Offering will not be conducted by the underwriters and is not subject to this prospectus supplement which refers to the Second Rights Offering for information purposes only.</w:t>
      </w:r>
    </w:p>
    <w:p>
      <w:pPr>
        <w:spacing w:after="0" w:line="171" w:lineRule="exact"/>
        <w:rPr>
          <w:sz w:val="20"/>
          <w:szCs w:val="20"/>
          <w:color w:val="auto"/>
        </w:rPr>
      </w:pPr>
    </w:p>
    <w:p>
      <w:pPr>
        <w:ind w:firstLine="416"/>
        <w:spacing w:after="0" w:line="308" w:lineRule="auto"/>
        <w:rPr>
          <w:sz w:val="20"/>
          <w:szCs w:val="20"/>
          <w:color w:val="auto"/>
        </w:rPr>
      </w:pPr>
      <w:r>
        <w:rPr>
          <w:rFonts w:ascii="Arial" w:cs="Arial" w:eastAsia="Arial" w:hAnsi="Arial"/>
          <w:sz w:val="17"/>
          <w:szCs w:val="17"/>
          <w:color w:val="auto"/>
        </w:rPr>
        <w:t>Shareholders participating in the Second Rights Offerings will be obligated to pay for the subscription price of the common shares allocated to them on the date determined by Computershare, as subscription agent, which may be any day during the applicable subscription period.</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SHARES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common shares of the Company are listed on The Nasdaq Global Market under the symbol “ACIU”.</w:t>
      </w:r>
    </w:p>
    <w:p>
      <w:pPr>
        <w:spacing w:after="0" w:line="225"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The following table sets forth the highest and lowest intraday sales prices for the common shares as reported by The Nasdaq Global Market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Nasdaq Global Market</w:t>
            </w:r>
          </w:p>
        </w:tc>
      </w:tr>
      <w:tr>
        <w:trPr>
          <w:trHeight w:val="223"/>
        </w:trPr>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Borders>
              <w:bottom w:val="single" w:sz="8" w:color="D5EAEA"/>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High</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Low</w:t>
            </w:r>
          </w:p>
        </w:tc>
      </w:tr>
      <w:tr>
        <w:trPr>
          <w:trHeight w:val="210"/>
        </w:trPr>
        <w:tc>
          <w:tcPr>
            <w:tcW w:w="8920" w:type="dxa"/>
            <w:vAlign w:val="bottom"/>
            <w:shd w:val="clear" w:color="auto" w:fill="D5EAEA"/>
          </w:tcPr>
          <w:p>
            <w:pPr>
              <w:spacing w:after="0"/>
              <w:rPr>
                <w:sz w:val="20"/>
                <w:szCs w:val="20"/>
                <w:color w:val="auto"/>
              </w:rPr>
            </w:pPr>
            <w:r>
              <w:rPr>
                <w:rFonts w:ascii="Arial" w:cs="Arial" w:eastAsia="Arial" w:hAnsi="Arial"/>
                <w:sz w:val="18"/>
                <w:szCs w:val="18"/>
                <w:color w:val="auto"/>
              </w:rPr>
              <w:t>Third Quarter (through July 16, 2018)</w:t>
            </w: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9.05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Second Quarter</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16"/>
        </w:trPr>
        <w:tc>
          <w:tcPr>
            <w:tcW w:w="8920" w:type="dxa"/>
            <w:vAlign w:val="bottom"/>
            <w:shd w:val="clear" w:color="auto" w:fill="D5EAEA"/>
          </w:tcPr>
          <w:p>
            <w:pPr>
              <w:spacing w:after="0"/>
              <w:rPr>
                <w:sz w:val="20"/>
                <w:szCs w:val="20"/>
                <w:color w:val="auto"/>
              </w:rPr>
            </w:pPr>
            <w:r>
              <w:rPr>
                <w:rFonts w:ascii="Arial" w:cs="Arial" w:eastAsia="Arial" w:hAnsi="Arial"/>
                <w:sz w:val="18"/>
                <w:szCs w:val="18"/>
                <w:color w:val="auto"/>
              </w:rPr>
              <w:t>First Quarter</w:t>
            </w:r>
          </w:p>
        </w:tc>
        <w:tc>
          <w:tcPr>
            <w:tcW w:w="560" w:type="dxa"/>
            <w:vAlign w:val="bottom"/>
            <w:gridSpan w:val="2"/>
            <w:shd w:val="clear" w:color="auto" w:fill="D5EAEA"/>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13.91</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384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84175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Nasdaq Global Market</w:t>
            </w:r>
          </w:p>
        </w:tc>
      </w:tr>
      <w:tr>
        <w:trPr>
          <w:trHeight w:val="223"/>
        </w:trPr>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Borders>
              <w:bottom w:val="single" w:sz="8" w:color="D5EAEA"/>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High</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Low</w:t>
            </w:r>
          </w:p>
        </w:tc>
      </w:tr>
      <w:tr>
        <w:trPr>
          <w:trHeight w:val="210"/>
        </w:trPr>
        <w:tc>
          <w:tcPr>
            <w:tcW w:w="8920" w:type="dxa"/>
            <w:vAlign w:val="bottom"/>
            <w:shd w:val="clear" w:color="auto" w:fill="D5EAEA"/>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10.10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Third Quarter</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216"/>
        </w:trPr>
        <w:tc>
          <w:tcPr>
            <w:tcW w:w="8920" w:type="dxa"/>
            <w:vAlign w:val="bottom"/>
            <w:shd w:val="clear" w:color="auto" w:fill="D5EAEA"/>
          </w:tcPr>
          <w:p>
            <w:pPr>
              <w:spacing w:after="0"/>
              <w:rPr>
                <w:sz w:val="20"/>
                <w:szCs w:val="20"/>
                <w:color w:val="auto"/>
              </w:rPr>
            </w:pPr>
            <w:r>
              <w:rPr>
                <w:rFonts w:ascii="Arial" w:cs="Arial" w:eastAsia="Arial" w:hAnsi="Arial"/>
                <w:sz w:val="18"/>
                <w:szCs w:val="18"/>
                <w:color w:val="auto"/>
              </w:rPr>
              <w:t>Second Quarter</w:t>
            </w:r>
          </w:p>
        </w:tc>
        <w:tc>
          <w:tcPr>
            <w:tcW w:w="560" w:type="dxa"/>
            <w:vAlign w:val="bottom"/>
            <w:gridSpan w:val="2"/>
            <w:shd w:val="clear" w:color="auto" w:fill="D5EAEA"/>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10.50</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8.51</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First Quarter</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16"/>
        </w:trPr>
        <w:tc>
          <w:tcPr>
            <w:tcW w:w="8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-848360</wp:posOffset>
            </wp:positionV>
            <wp:extent cx="1509395" cy="1569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09395" cy="15690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Nasdaq Global Market</w:t>
            </w: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2016</w:t>
            </w:r>
          </w:p>
        </w:tc>
        <w:tc>
          <w:tcPr>
            <w:tcW w:w="434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High</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Low</w:t>
            </w:r>
          </w:p>
        </w:tc>
      </w:tr>
      <w:tr>
        <w:trPr>
          <w:trHeight w:val="210"/>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Fourth Quarter</w:t>
            </w:r>
          </w:p>
        </w:tc>
        <w:tc>
          <w:tcPr>
            <w:tcW w:w="4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Third Quarter (beginning on September 23, 2016)</w:t>
            </w:r>
          </w:p>
        </w:tc>
        <w:tc>
          <w:tcPr>
            <w:tcW w:w="46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19.97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14.11</w:t>
            </w:r>
          </w:p>
        </w:tc>
      </w:tr>
      <w:tr>
        <w:trPr>
          <w:trHeight w:val="216"/>
        </w:trPr>
        <w:tc>
          <w:tcPr>
            <w:tcW w:w="4580" w:type="dxa"/>
            <w:vAlign w:val="bottom"/>
            <w:shd w:val="clear" w:color="auto" w:fill="D5EAEA"/>
          </w:tcPr>
          <w:p>
            <w:pPr>
              <w:spacing w:after="0"/>
              <w:rPr>
                <w:sz w:val="18"/>
                <w:szCs w:val="18"/>
                <w:color w:val="auto"/>
              </w:rPr>
            </w:pPr>
          </w:p>
        </w:tc>
        <w:tc>
          <w:tcPr>
            <w:tcW w:w="4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060" w:type="dxa"/>
            <w:vAlign w:val="bottom"/>
            <w:gridSpan w:val="2"/>
            <w:shd w:val="clear" w:color="auto" w:fill="D5EAEA"/>
          </w:tcPr>
          <w:p>
            <w:pPr>
              <w:spacing w:after="0"/>
              <w:rPr>
                <w:sz w:val="18"/>
                <w:szCs w:val="18"/>
                <w:color w:val="auto"/>
              </w:rPr>
            </w:pPr>
          </w:p>
        </w:tc>
        <w:tc>
          <w:tcPr>
            <w:tcW w:w="1120" w:type="dxa"/>
            <w:vAlign w:val="bottom"/>
            <w:gridSpan w:val="2"/>
            <w:shd w:val="clear" w:color="auto" w:fill="D5EAEA"/>
          </w:tcPr>
          <w:p>
            <w:pPr>
              <w:spacing w:after="0"/>
              <w:rPr>
                <w:sz w:val="18"/>
                <w:szCs w:val="18"/>
                <w:color w:val="auto"/>
              </w:rPr>
            </w:pPr>
          </w:p>
        </w:tc>
      </w:tr>
      <w:tr>
        <w:trPr>
          <w:trHeight w:val="230"/>
        </w:trPr>
        <w:tc>
          <w:tcPr>
            <w:tcW w:w="4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Nasdaq Global Market</w:t>
            </w: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Most recent six months</w:t>
            </w:r>
          </w:p>
        </w:tc>
        <w:tc>
          <w:tcPr>
            <w:tcW w:w="434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High</w:t>
            </w:r>
          </w:p>
        </w:tc>
        <w:tc>
          <w:tcPr>
            <w:tcW w:w="100" w:type="dxa"/>
            <w:vAlign w:val="bottom"/>
            <w:tcBorders>
              <w:bottom w:val="single" w:sz="8" w:color="D5EAE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Low</w:t>
            </w:r>
          </w:p>
        </w:tc>
      </w:tr>
      <w:tr>
        <w:trPr>
          <w:trHeight w:val="210"/>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July (through July 16, 2018)</w:t>
            </w:r>
          </w:p>
        </w:tc>
        <w:tc>
          <w:tcPr>
            <w:tcW w:w="4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9.05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June</w:t>
            </w:r>
          </w:p>
        </w:tc>
        <w:tc>
          <w:tcPr>
            <w:tcW w:w="46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16"/>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May</w:t>
            </w:r>
          </w:p>
        </w:tc>
        <w:tc>
          <w:tcPr>
            <w:tcW w:w="466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10.75</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9.60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April 2018</w:t>
            </w:r>
          </w:p>
        </w:tc>
        <w:tc>
          <w:tcPr>
            <w:tcW w:w="46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8.51</w:t>
            </w:r>
          </w:p>
        </w:tc>
      </w:tr>
      <w:tr>
        <w:trPr>
          <w:trHeight w:val="216"/>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March 2018</w:t>
            </w:r>
          </w:p>
        </w:tc>
        <w:tc>
          <w:tcPr>
            <w:tcW w:w="466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12.55</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February 2018</w:t>
            </w:r>
          </w:p>
        </w:tc>
        <w:tc>
          <w:tcPr>
            <w:tcW w:w="46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16"/>
        </w:trPr>
        <w:tc>
          <w:tcPr>
            <w:tcW w:w="4580" w:type="dxa"/>
            <w:vAlign w:val="bottom"/>
            <w:shd w:val="clear" w:color="auto" w:fill="D5EAEA"/>
          </w:tcPr>
          <w:p>
            <w:pPr>
              <w:spacing w:after="0"/>
              <w:rPr>
                <w:sz w:val="20"/>
                <w:szCs w:val="20"/>
                <w:color w:val="auto"/>
              </w:rPr>
            </w:pPr>
            <w:r>
              <w:rPr>
                <w:rFonts w:ascii="Arial" w:cs="Arial" w:eastAsia="Arial" w:hAnsi="Arial"/>
                <w:sz w:val="18"/>
                <w:szCs w:val="18"/>
                <w:color w:val="auto"/>
              </w:rPr>
              <w:t>January 2018</w:t>
            </w:r>
          </w:p>
        </w:tc>
        <w:tc>
          <w:tcPr>
            <w:tcW w:w="466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13.91</w:t>
            </w:r>
          </w:p>
        </w:tc>
        <w:tc>
          <w:tcPr>
            <w:tcW w:w="300" w:type="dxa"/>
            <w:vAlign w:val="bottom"/>
            <w:gridSpan w:val="2"/>
            <w:shd w:val="clear" w:color="auto" w:fill="D5EAEA"/>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12.31</w:t>
            </w:r>
          </w:p>
        </w:tc>
      </w:tr>
      <w:tr>
        <w:trPr>
          <w:trHeight w:val="324"/>
        </w:trPr>
        <w:tc>
          <w:tcPr>
            <w:tcW w:w="45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3"/>
          </w:tcPr>
          <w:p>
            <w:pPr>
              <w:jc w:val="right"/>
              <w:ind w:right="3270"/>
              <w:spacing w:after="0"/>
              <w:rPr>
                <w:sz w:val="20"/>
                <w:szCs w:val="20"/>
                <w:color w:val="auto"/>
              </w:rPr>
            </w:pPr>
            <w:r>
              <w:rPr>
                <w:rFonts w:ascii="Arial" w:cs="Arial" w:eastAsia="Arial" w:hAnsi="Arial"/>
                <w:sz w:val="18"/>
                <w:szCs w:val="18"/>
                <w:color w:val="auto"/>
              </w:rPr>
              <w:t>S-27</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-1482725</wp:posOffset>
            </wp:positionV>
            <wp:extent cx="1509395" cy="1269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09395" cy="126936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i w:val="1"/>
          <w:iCs w:val="1"/>
          <w:color w:val="auto"/>
        </w:rPr>
        <w:t>The following summary contains a description of the principal Swiss tax consequences of the allotment and exercise of pre-emptive subscription rights and the acquisition, ownership and disposition of Offered Shares, but it does not purport to be a comprehensive description of all of the Swiss tax considerations that may be relevant to a decision to exercise of the pre-emptive subscription rights and to purchase, own or dispose of Offered Shares. In particular, the summary does not take into account the specific circumstances of any particular investor.</w:t>
      </w:r>
    </w:p>
    <w:p>
      <w:pPr>
        <w:spacing w:after="0" w:line="17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This summary is based on the tax laws, regulations and regulatory practices of Switzerland as in effect on the date hereof, all of which are subject to change (or subject to changes in interpretation), possibly with retroactive effect. This summary does not address any aspects of Swiss taxation other than aspects of Swiss federal withholding tax, Swiss federal, cantonal and communal income taxes and Swiss federal issuance and securities turnover tax. Investors are urged to consult their own tax advisors regarding the Swiss tax consequences of allotting and exercising of pre-emptive subscription rights and of acquiring, owning and disposing of Offered Shares or the receipt of dividends or distributions, if any, on Offered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respect of pre-emptive subscription rights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Withholding Tax</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Neither the allotment nor exercising of pre-emptive subscription rights are taxable distributions or transactions for purposes of Swiss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Securities Turnover Tax</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Neither the allotment nor exercising of pre-emptive subscription rights are taxable transactions for purposes of Swiss securities turnover tax (</w:t>
      </w:r>
      <w:r>
        <w:rPr>
          <w:rFonts w:ascii="Arial" w:cs="Arial" w:eastAsia="Arial" w:hAnsi="Arial"/>
          <w:sz w:val="18"/>
          <w:szCs w:val="18"/>
          <w:i w:val="1"/>
          <w:iCs w:val="1"/>
          <w:color w:val="auto"/>
        </w:rPr>
        <w:t>droit de</w:t>
      </w:r>
      <w:r>
        <w:rPr>
          <w:rFonts w:ascii="Arial" w:cs="Arial" w:eastAsia="Arial" w:hAnsi="Arial"/>
          <w:sz w:val="18"/>
          <w:szCs w:val="18"/>
          <w:color w:val="auto"/>
        </w:rPr>
        <w:t xml:space="preserve"> </w:t>
      </w:r>
      <w:r>
        <w:rPr>
          <w:rFonts w:ascii="Arial" w:cs="Arial" w:eastAsia="Arial" w:hAnsi="Arial"/>
          <w:sz w:val="18"/>
          <w:szCs w:val="18"/>
          <w:i w:val="1"/>
          <w:iCs w:val="1"/>
          <w:color w:val="auto"/>
        </w:rPr>
        <w:t>timbre de négotiation</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Income Taxes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Pre-emptive subscription rights held by holders resident outside of Switzerland and with no trade or business in Switzerland</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allotment or exercising of pre-emptive subscription rights to or by holders who are not resident in Switzerland for tax purposes, and who, during the relevant taxation year, have not engaged in a trade or business carried on through a permanent establishment in Switzerland for Swiss tax purposes are not subject to any Swiss federal, cantonal or communal income tax. See “—</w:t>
      </w:r>
      <w:r>
        <w:rPr>
          <w:rFonts w:ascii="Arial" w:cs="Arial" w:eastAsia="Arial" w:hAnsi="Arial"/>
          <w:sz w:val="16"/>
          <w:szCs w:val="16"/>
          <w:i w:val="1"/>
          <w:iCs w:val="1"/>
          <w:color w:val="auto"/>
        </w:rPr>
        <w:t>Swiss Withholding Tax</w:t>
      </w:r>
      <w:r>
        <w:rPr>
          <w:rFonts w:ascii="Arial" w:cs="Arial" w:eastAsia="Arial" w:hAnsi="Arial"/>
          <w:sz w:val="16"/>
          <w:szCs w:val="16"/>
          <w:color w:val="auto"/>
        </w:rPr>
        <w:t>” above for a summary on the Swiss withholding tax treatment of pre-emptive subscription rights. See “—</w:t>
      </w:r>
      <w:r>
        <w:rPr>
          <w:rFonts w:ascii="Arial" w:cs="Arial" w:eastAsia="Arial" w:hAnsi="Arial"/>
          <w:sz w:val="16"/>
          <w:szCs w:val="16"/>
          <w:i w:val="1"/>
          <w:iCs w:val="1"/>
          <w:color w:val="auto"/>
        </w:rPr>
        <w:t>International Automatic Exchange of Information</w:t>
      </w:r>
      <w:r>
        <w:rPr>
          <w:rFonts w:ascii="Arial" w:cs="Arial" w:eastAsia="Arial" w:hAnsi="Arial"/>
          <w:sz w:val="16"/>
          <w:szCs w:val="16"/>
          <w:color w:val="auto"/>
        </w:rPr>
        <w:t>” below for a summary on the exchange of information in respect of holding pre-emptive subscription rights in an account or deposit with a financial institution or paying agent in Switzerland.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Pre-emptive subscription rights held by Swiss resident individuals as private investments</w:t>
      </w:r>
    </w:p>
    <w:p>
      <w:pPr>
        <w:spacing w:after="0" w:line="22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Pre-emptive subscription rights allotted with respect to existing common shares of the Company held by a Swiss resident individual as private investments take on the same classification as private investments as the existing common shares. For such a holder neither the allotment, holding nor exercising of the pre-emptive subscription rights allotted are subject to Swiss federal, cantonal or communal income tax. A capital loss incurred by such a holder for reason of not having validly exercised pre-emptive subscription rights during the subscription period (with the consequence of the pre-emptive subscription rights expiring without compensation) will not be tax-deductible.</w:t>
      </w:r>
    </w:p>
    <w:p>
      <w:pPr>
        <w:spacing w:after="0" w:line="18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pre-emptive subscription rights held as assets of a Swiss business</w:t>
      </w:r>
      <w:r>
        <w:rPr>
          <w:rFonts w:ascii="Arial" w:cs="Arial" w:eastAsia="Arial" w:hAnsi="Arial"/>
          <w:sz w:val="18"/>
          <w:szCs w:val="18"/>
          <w:color w:val="auto"/>
        </w:rPr>
        <w:t>” below for a summary on the taxation treatment of individuals who are classified as “professional securities dealers.”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Pre-emptive subscription rights held as assets of a Swiss business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allotment of pre-emptive subscription rights to corporate or individual holders, who hold existing common shares with respect to which such pre-emptive subscription rights are allotted, and consequentially the pre-emptive subscription rights, as part of a trade or business carried on through a permanent establishment in Switzerland, and the exercise of such pre-emptive subscription rights for the purchase of Offered Shares, are generally treated by such holders as a non-recognition transaction for statutory accounting purposes. Consequently, tax following generally the statutory accounting treatment, neither the allotment nor the exercise of such pre-emptive subscription rights are normally taxable transactions for such holders for purposes of Swiss federal, cantonal and communal corporate or individual income tax.</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A capital loss realized in respect of pre-emptive subscription rights allotted for existing common shares which are held as business assets, and which pre-emptive subscription rights therefore take on the classification of the existing common shares of the Company as business assets, for reason of not having validly exercised such pre-emptive subscription rights (with the consequence of them expiring without compensation), are includible in, or deductible from, gross income in the relevant taxation period for such a holder for purposes of Swiss federal, cantonal and communal corporate or individual income tax.</w:t>
      </w:r>
    </w:p>
    <w:p>
      <w:pPr>
        <w:spacing w:after="0" w:line="15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taxation treatment also applies to Swiss-resident private individuals who, for income tax purposes, are classified as “professional securities dealers” for reasons of, among other things, frequent dealing, or leveraging their investments, in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respect of Offered Shares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Swiss federal withholding tax on dividends and similar distributions on the Offered Shares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Dividends on Offered Shares made or paid by the Company out of capital contribution reserves (</w:t>
      </w:r>
      <w:r>
        <w:rPr>
          <w:rFonts w:ascii="Arial" w:cs="Arial" w:eastAsia="Arial" w:hAnsi="Arial"/>
          <w:sz w:val="18"/>
          <w:szCs w:val="18"/>
          <w:i w:val="1"/>
          <w:iCs w:val="1"/>
          <w:color w:val="auto"/>
        </w:rPr>
        <w:t>apports de capital</w:t>
      </w:r>
      <w:r>
        <w:rPr>
          <w:rFonts w:ascii="Arial" w:cs="Arial" w:eastAsia="Arial" w:hAnsi="Arial"/>
          <w:sz w:val="18"/>
          <w:szCs w:val="18"/>
          <w:color w:val="auto"/>
        </w:rPr>
        <w:t>) and distributions on Offered Shares made or paid by the Company based upon a reduction of nominal value of Offered Shares (</w:t>
      </w:r>
      <w:r>
        <w:rPr>
          <w:rFonts w:ascii="Arial" w:cs="Arial" w:eastAsia="Arial" w:hAnsi="Arial"/>
          <w:sz w:val="18"/>
          <w:szCs w:val="18"/>
          <w:i w:val="1"/>
          <w:iCs w:val="1"/>
          <w:color w:val="auto"/>
        </w:rPr>
        <w:t>Nennwertherabsetzung</w:t>
      </w:r>
      <w:r>
        <w:rPr>
          <w:rFonts w:ascii="Arial" w:cs="Arial" w:eastAsia="Arial" w:hAnsi="Arial"/>
          <w:sz w:val="18"/>
          <w:szCs w:val="18"/>
          <w:color w:val="auto"/>
        </w:rPr>
        <w:t>) are exempt from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Any other dividends and cash or in-kind distributions (including scrip or stock dividends) on Offered Shares made or paid by the Company are subject to Swiss federal withholding tax at a rate of 35%. The withholding tax must be withheld by the Company on the gross amount of the dividend or distribution and be remitted to the Swiss Federal Tax Administration. Capital gains realized on the sale of Offered Shares are not subject to the withholding tax.</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Refund to Swiss-resident recipients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relevant Swiss tax authority will refund or credit the Swiss federal withholding tax deducted by the Company on dividends or distributions on Offered Shares in full to holders of Offered Shares who are resident in Switzerland and to holders who hold the Offered Shares as part of a trade or business in Switzerland, and who, in each case, among other things, are the beneficial owners of the Offered Shares and the dividends or the distributions made or paid on the Offered Shares and who duly report the dividend or distribution in their income tax return or their statutory financial statements, as applicable, for the relevant tax period.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Refund to non-resident recipients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 In General</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holder who is not a resident of Switzerland and who does not hold the Offered Shares as part of a trade or business in Switzerland may be entitled to a full or partial refund of the Swiss federal withholding tax deducted if the country in which the recipient resides for tax purposes has entered into a bilateral treaty for the avoidance of double taxation with Switzerland and the other conditions of such treaty are met. A reduction of the withholding tax at source is not provided for by Switzerland for portfolio holdings and, therefore, is not permissible. Holders of Offered Shares should be aware that the procedures for claiming treaty benefits (and the time frame required for obtaining a tax refund) may differ from country to country and should consult their own legal, financial or tax advisors regarding the procedures for claiming a refund of the withholding tax.</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(b) Residents of the U.S.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 holder of Offered Shares who is a resident of the US for purposes of the Convention between the United States of America and the Swiss Confederation for the Avoidance of Double Taxation with Respect to Taxes on Income (Treaty), without taxable presence in Switzerland to which the Offered Shares are attributable or who is a qualified US pension fund and who, in each case, is the beneficial owner of the Offered Shares and the dividend or distribution and who meets the other conditions of the Treaty may apply for a full refund of the withholding tax in the case of qualified US pension funds or in excess of the amount of the 15% treaty rate in all other cases. The claim for refund must be filed on Swiss Tax Form 82 (82C for corporations, 82I for individuals, 82E for other entities and 82R for regulated investment companies), which forms together with an instruction form may be obtained from any Swiss consulate general in the U.S., the Swiss Federal Tax Administration at the address below or be down-loaded from the Swiss Federal Tax Administration’s website. Four copies of the form must be duly completed, signed before a notary public of the U.S., and three of them must be sent to the Swiss Federal Tax Administration, Eigerstrasse 65, CH-3003,</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Berne, Switzerland. The form must be accompanied by suitable evidence of deduction of the Swiss federal withholding, such as certificates of deduction, bank vouchers or credit slips. The form must be filed no later than December 31 of the third year following the calendar year in which the dividend subject to the tax became payable.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income taxes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by holders resident outside of Switzerland and with no trade or business in Switzerland</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Holders of Offered Shares who are not resident in Switzerland for tax purposes, and who, during the respective taxation year, have not engaged in a trade or business carried on through a permanent establishment situated in Switzerland for tax purposes, will not be subject to any Swiss federal, cantonal or communal income taxes as a result of them realizing gain on the sale or other disposition of Offered Shares or receiving dividends or other distributions, if any, on Offered Shares. Refer to “</w:t>
      </w:r>
      <w:r>
        <w:rPr>
          <w:rFonts w:ascii="Arial" w:cs="Arial" w:eastAsia="Arial" w:hAnsi="Arial"/>
          <w:sz w:val="16"/>
          <w:szCs w:val="16"/>
          <w:i w:val="1"/>
          <w:iCs w:val="1"/>
          <w:color w:val="auto"/>
        </w:rPr>
        <w:t>―Swiss federal withholding tax</w:t>
      </w:r>
      <w:r>
        <w:rPr>
          <w:rFonts w:ascii="Arial" w:cs="Arial" w:eastAsia="Arial" w:hAnsi="Arial"/>
          <w:sz w:val="16"/>
          <w:szCs w:val="16"/>
          <w:color w:val="auto"/>
        </w:rPr>
        <w:t>” above for a summary on the Swiss withholding tax treatment of dividends and distributions on Offered Shares. Refer to “</w:t>
      </w:r>
      <w:r>
        <w:rPr>
          <w:rFonts w:ascii="Arial" w:cs="Arial" w:eastAsia="Arial" w:hAnsi="Arial"/>
          <w:sz w:val="16"/>
          <w:szCs w:val="16"/>
          <w:i w:val="1"/>
          <w:iCs w:val="1"/>
          <w:color w:val="auto"/>
        </w:rPr>
        <w:t>―International Automatic Exchange of Information</w:t>
      </w:r>
      <w:r>
        <w:rPr>
          <w:rFonts w:ascii="Arial" w:cs="Arial" w:eastAsia="Arial" w:hAnsi="Arial"/>
          <w:sz w:val="16"/>
          <w:szCs w:val="16"/>
          <w:color w:val="auto"/>
        </w:rPr>
        <w:t>” below for a summary on the international exchange of information in tax matters by Switzerland in respect of Offered Shares held in accounts or deposits with a paying agent in Switzerland. Refer to “</w:t>
      </w:r>
      <w:r>
        <w:rPr>
          <w:rFonts w:ascii="Arial" w:cs="Arial" w:eastAsia="Arial" w:hAnsi="Arial"/>
          <w:sz w:val="16"/>
          <w:szCs w:val="16"/>
          <w:i w:val="1"/>
          <w:iCs w:val="1"/>
          <w:color w:val="auto"/>
        </w:rPr>
        <w:t>―Swiss</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Implementation of the US Foreign Account Tax Compliance Act</w:t>
      </w:r>
      <w:r>
        <w:rPr>
          <w:rFonts w:ascii="Arial" w:cs="Arial" w:eastAsia="Arial" w:hAnsi="Arial"/>
          <w:sz w:val="16"/>
          <w:szCs w:val="16"/>
          <w:color w:val="auto"/>
        </w:rPr>
        <w:t>” below for a summary on the implementation of FATCA by Switzerland.</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by Swiss resident individuals as private investments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Dividends and other distributions, if any, on Offered Shares, made or paid by the Company out of reserves from capital contributions (</w:t>
      </w:r>
      <w:r>
        <w:rPr>
          <w:rFonts w:ascii="Arial" w:cs="Arial" w:eastAsia="Arial" w:hAnsi="Arial"/>
          <w:sz w:val="18"/>
          <w:szCs w:val="18"/>
          <w:i w:val="1"/>
          <w:iCs w:val="1"/>
          <w:color w:val="auto"/>
        </w:rPr>
        <w:t>apports de</w:t>
      </w:r>
      <w:r>
        <w:rPr>
          <w:rFonts w:ascii="Arial" w:cs="Arial" w:eastAsia="Arial" w:hAnsi="Arial"/>
          <w:sz w:val="18"/>
          <w:szCs w:val="18"/>
          <w:color w:val="auto"/>
        </w:rPr>
        <w:t xml:space="preserve"> </w:t>
      </w:r>
      <w:r>
        <w:rPr>
          <w:rFonts w:ascii="Arial" w:cs="Arial" w:eastAsia="Arial" w:hAnsi="Arial"/>
          <w:sz w:val="18"/>
          <w:szCs w:val="18"/>
          <w:i w:val="1"/>
          <w:iCs w:val="1"/>
          <w:color w:val="auto"/>
        </w:rPr>
        <w:t>capital</w:t>
      </w:r>
      <w:r>
        <w:rPr>
          <w:rFonts w:ascii="Arial" w:cs="Arial" w:eastAsia="Arial" w:hAnsi="Arial"/>
          <w:sz w:val="18"/>
          <w:szCs w:val="18"/>
          <w:color w:val="auto"/>
        </w:rPr>
        <w:t>) and distributions made or paid by the Company on Offered Shares based upon a capital reduction (</w:t>
      </w:r>
      <w:r>
        <w:rPr>
          <w:rFonts w:ascii="Arial" w:cs="Arial" w:eastAsia="Arial" w:hAnsi="Arial"/>
          <w:sz w:val="18"/>
          <w:szCs w:val="18"/>
          <w:i w:val="1"/>
          <w:iCs w:val="1"/>
          <w:color w:val="auto"/>
        </w:rPr>
        <w:t>reduction de la valeur nominale</w:t>
      </w:r>
      <w:r>
        <w:rPr>
          <w:rFonts w:ascii="Arial" w:cs="Arial" w:eastAsia="Arial" w:hAnsi="Arial"/>
          <w:sz w:val="18"/>
          <w:szCs w:val="18"/>
          <w:color w:val="auto"/>
        </w:rPr>
        <w:t>), if any, are</w:t>
      </w:r>
      <w:r>
        <w:rPr>
          <w:rFonts w:ascii="Arial" w:cs="Arial" w:eastAsia="Arial" w:hAnsi="Arial"/>
          <w:sz w:val="18"/>
          <w:szCs w:val="18"/>
          <w:i w:val="1"/>
          <w:iCs w:val="1"/>
          <w:color w:val="auto"/>
        </w:rPr>
        <w:t xml:space="preserve"> </w:t>
      </w:r>
      <w:r>
        <w:rPr>
          <w:rFonts w:ascii="Arial" w:cs="Arial" w:eastAsia="Arial" w:hAnsi="Arial"/>
          <w:sz w:val="18"/>
          <w:szCs w:val="18"/>
          <w:color w:val="auto"/>
        </w:rPr>
        <w:t>exempt from Swiss federal, cantonal and communal income taxes for holders of Offered Shares who are individuals resident in Switzerland for tax purposes and who hold the Offered Shares as private capital investments. Other dividends and distributions, if any, on Offered Shares will be subject to Swiss federal, cantonal or communal income taxes for such holders.</w:t>
      </w:r>
    </w:p>
    <w:p>
      <w:pPr>
        <w:spacing w:after="0" w:line="18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 capital gain realized by an individual resident in Switzerland on the sale of Offered Shares held by her or him as private capital investments classifies as tax-exempt private capital gain and, conversely, a capital loss as non-tax deductible private capital loss for purposes of Swiss federal, cantonal and communal income taxes. Refer to “—Offered Shares held as assets of a Swiss business” for information on the taxation of individuals classified as “professional securities dealers.”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as assets of a Swiss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 holder who holds Offered Shares as part of a trade or business carried on in Switzerland dividends and distributions, if any, made or paid by the Company on Offered Shares, and capital gain or loss realized on the sale of Offered Shares, are includible in, or deductible from, respectively, taxable income in the relevant taxation period for purposes of Swiss federal, cantonal and communal individual or corporate income taxes. This taxation treatment also applies to Swiss resident private individuals who, for income tax purposes, are classified as “professional securities dealers”. Corporate taxpayers may be eligible for dividend relief (</w:t>
      </w:r>
      <w:r>
        <w:rPr>
          <w:rFonts w:ascii="Arial" w:cs="Arial" w:eastAsia="Arial" w:hAnsi="Arial"/>
          <w:sz w:val="18"/>
          <w:szCs w:val="18"/>
          <w:i w:val="1"/>
          <w:iCs w:val="1"/>
          <w:color w:val="auto"/>
        </w:rPr>
        <w:t>réductions pour participations</w:t>
      </w:r>
      <w:r>
        <w:rPr>
          <w:rFonts w:ascii="Arial" w:cs="Arial" w:eastAsia="Arial" w:hAnsi="Arial"/>
          <w:sz w:val="18"/>
          <w:szCs w:val="18"/>
          <w:color w:val="auto"/>
        </w:rPr>
        <w:t>) in respect of dividends and distributions, if any, on Offered Shares held as part of a Swiss business if the market value of the Offered Shares held by them equals or exceeds CHF 1 million or represents 10% or more of, the share capital or the dividend rights, of the Company.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issuance stamp tax</w:t>
      </w:r>
    </w:p>
    <w:p>
      <w:pPr>
        <w:spacing w:after="0" w:line="225" w:lineRule="exact"/>
        <w:rPr>
          <w:sz w:val="20"/>
          <w:szCs w:val="20"/>
          <w:color w:val="auto"/>
        </w:rPr>
      </w:pPr>
    </w:p>
    <w:p>
      <w:pPr>
        <w:ind w:right="40" w:firstLine="321"/>
        <w:spacing w:after="0" w:line="277" w:lineRule="auto"/>
        <w:rPr>
          <w:sz w:val="20"/>
          <w:szCs w:val="20"/>
          <w:color w:val="auto"/>
        </w:rPr>
      </w:pPr>
      <w:r>
        <w:rPr>
          <w:rFonts w:ascii="Arial" w:cs="Arial" w:eastAsia="Arial" w:hAnsi="Arial"/>
          <w:sz w:val="18"/>
          <w:szCs w:val="18"/>
          <w:color w:val="auto"/>
        </w:rPr>
        <w:t>The Company will be subject to the Swiss issuance stamp tax (</w:t>
      </w:r>
      <w:r>
        <w:rPr>
          <w:rFonts w:ascii="Arial" w:cs="Arial" w:eastAsia="Arial" w:hAnsi="Arial"/>
          <w:sz w:val="18"/>
          <w:szCs w:val="18"/>
          <w:i w:val="1"/>
          <w:iCs w:val="1"/>
          <w:color w:val="auto"/>
        </w:rPr>
        <w:t>droit de timbre d'émission</w:t>
      </w:r>
      <w:r>
        <w:rPr>
          <w:rFonts w:ascii="Arial" w:cs="Arial" w:eastAsia="Arial" w:hAnsi="Arial"/>
          <w:sz w:val="18"/>
          <w:szCs w:val="18"/>
          <w:color w:val="auto"/>
        </w:rPr>
        <w:t>) on the issuance of the Offered Shares of 1% of the subscription price, net of certain deductions.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securities turnover tax</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 respect of purchases of Offered Shares in the Offering</w:t>
      </w:r>
    </w:p>
    <w:p>
      <w:pPr>
        <w:spacing w:after="0" w:line="225" w:lineRule="exact"/>
        <w:rPr>
          <w:sz w:val="20"/>
          <w:szCs w:val="20"/>
          <w:color w:val="auto"/>
        </w:rPr>
      </w:pPr>
    </w:p>
    <w:p>
      <w:pPr>
        <w:ind w:right="680" w:firstLine="321"/>
        <w:spacing w:after="0" w:line="277" w:lineRule="auto"/>
        <w:rPr>
          <w:sz w:val="20"/>
          <w:szCs w:val="20"/>
          <w:color w:val="auto"/>
        </w:rPr>
      </w:pPr>
      <w:r>
        <w:rPr>
          <w:rFonts w:ascii="Arial" w:cs="Arial" w:eastAsia="Arial" w:hAnsi="Arial"/>
          <w:sz w:val="18"/>
          <w:szCs w:val="18"/>
          <w:color w:val="auto"/>
        </w:rPr>
        <w:t>The delivery of Offered Shares against payment of the subscription price is exempt from Swiss federal securities turnover tax (</w:t>
      </w:r>
      <w:r>
        <w:rPr>
          <w:rFonts w:ascii="Arial" w:cs="Arial" w:eastAsia="Arial" w:hAnsi="Arial"/>
          <w:sz w:val="18"/>
          <w:szCs w:val="18"/>
          <w:i w:val="1"/>
          <w:iCs w:val="1"/>
          <w:color w:val="auto"/>
        </w:rPr>
        <w:t>droit de timbre de</w:t>
      </w:r>
      <w:r>
        <w:rPr>
          <w:rFonts w:ascii="Arial" w:cs="Arial" w:eastAsia="Arial" w:hAnsi="Arial"/>
          <w:sz w:val="18"/>
          <w:szCs w:val="18"/>
          <w:color w:val="auto"/>
        </w:rPr>
        <w:t xml:space="preserve"> </w:t>
      </w:r>
      <w:r>
        <w:rPr>
          <w:rFonts w:ascii="Arial" w:cs="Arial" w:eastAsia="Arial" w:hAnsi="Arial"/>
          <w:sz w:val="18"/>
          <w:szCs w:val="18"/>
          <w:i w:val="1"/>
          <w:iCs w:val="1"/>
          <w:color w:val="auto"/>
        </w:rPr>
        <w:t>négotiation</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 respect of other transactions in Offered Shares</w:t>
      </w:r>
    </w:p>
    <w:p>
      <w:pPr>
        <w:spacing w:after="0" w:line="225" w:lineRule="exact"/>
        <w:rPr>
          <w:sz w:val="20"/>
          <w:szCs w:val="20"/>
          <w:color w:val="auto"/>
        </w:rPr>
      </w:pPr>
    </w:p>
    <w:p>
      <w:pPr>
        <w:ind w:right="80" w:firstLine="321"/>
        <w:spacing w:after="0" w:line="264" w:lineRule="auto"/>
        <w:rPr>
          <w:sz w:val="20"/>
          <w:szCs w:val="20"/>
          <w:color w:val="auto"/>
        </w:rPr>
      </w:pPr>
      <w:r>
        <w:rPr>
          <w:rFonts w:ascii="Arial" w:cs="Arial" w:eastAsia="Arial" w:hAnsi="Arial"/>
          <w:sz w:val="18"/>
          <w:szCs w:val="18"/>
          <w:color w:val="auto"/>
        </w:rPr>
        <w:t>Any transactions in the Offered Shares after the offering, where a bank or another securities dealer in Switzerland, as defined in the Swiss Federal Stamp Tax Act, acts as an intermediary, or is a party, to the transaction, is subject to Swiss federal securities turnover tax at a tax rate of up to 0.15% of the consideration paid for such Offered Shares.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Subject to applicable statutory exemptions in respect of the one or the other party to such a transaction, half of the tax is customarily charged to the one party to the transaction and the other half to the other party to the transaction.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International Automatic Exchange of Information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Switzerland has concluded a multilateral agreement with the EU on the international automatic exchange of information (AEOI) in tax matters. The agreement applies to all 28 EU member states and certain other jurisdictions. Further, Switzerland has entered into the multilateral competent authority agreement on the automatic exchange of financial account information (MCAA), and based on the MCAA, a number of bilateral AEOI agreements with other countries.</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Based on such agreements and the implementing laws of Switzerland, Switzerland commenced collecting or will commence collecting data in respect of financial assets held in, and income derived thereon and credited to, accounts or deposits with a paying agent in Switzerland for the benefit of individuals resident in a EU member state or other treaty state from 2017 and began exchanging the data in 2018 or will begin exchanging the data at a later date, depending on the date of effectiveness of the applicable agreement, including, as the case may be, in respect of Offered Shares held in such accounts or deposits. Switzerland has signed and intends to sign further AEOI agreements with further countries. An up-to-date list of the AEOI agreements of Switzerland in effect or signed and becoming effective and the dates of commencement of data collection and the dates of information exchange, can be found on the website of the State Secretariat for International Financial Matters SIF.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Facilitation of the Implementation of the US Foreign Account Tax Compliance Act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Switzerland has concluded an intergovernmental agreement with the U.S. to facilitate the implementation of FATCA. The agreement ensures that accounts held by U.S. persons with Swiss financial institutions, which accounts may include Offered Shares and income derived thereon,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Treaty.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In the opinion of Davis Polk &amp; Wardwell LLP, the following are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8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7" w:lineRule="exact"/>
        <w:rPr>
          <w:sz w:val="20"/>
          <w:szCs w:val="20"/>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9" w:lineRule="exact"/>
        <w:rPr>
          <w:rFonts w:ascii="Arial" w:cs="Arial" w:eastAsia="Arial" w:hAnsi="Arial"/>
          <w:sz w:val="18"/>
          <w:szCs w:val="18"/>
          <w:color w:val="auto"/>
        </w:rPr>
      </w:pPr>
    </w:p>
    <w:p>
      <w:pPr>
        <w:ind w:left="1080" w:right="140" w:hanging="316"/>
        <w:spacing w:after="0" w:line="250"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or</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11" w:lineRule="exact"/>
        <w:rPr>
          <w:sz w:val="20"/>
          <w:szCs w:val="20"/>
          <w:color w:val="auto"/>
        </w:rPr>
      </w:pPr>
    </w:p>
    <w:p>
      <w:pPr>
        <w:ind w:right="380" w:firstLine="441"/>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This discussion does not address the U.S. federal income tax consequences of the First Rights Offering or the Second Rights Offering, including the acquisition of newly-issued common shares by our existing shareholders in either such offering. Current holders of our common shares should consult their tax advisers with respect to the U.S. federal income tax consequences of the First Rights Offering or the Second Rights Offering and the acquisition of any common shares in either such offering.</w:t>
      </w:r>
    </w:p>
    <w:p>
      <w:pPr>
        <w:spacing w:after="0" w:line="18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211" w:lineRule="exact"/>
        <w:rPr>
          <w:sz w:val="20"/>
          <w:szCs w:val="20"/>
          <w:color w:val="auto"/>
        </w:rPr>
      </w:pPr>
    </w:p>
    <w:p>
      <w:pPr>
        <w:ind w:left="1080" w:hanging="316"/>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3" w:lineRule="exact"/>
        <w:rPr>
          <w:rFonts w:ascii="Arial" w:cs="Arial" w:eastAsia="Arial" w:hAnsi="Arial"/>
          <w:sz w:val="18"/>
          <w:szCs w:val="18"/>
          <w:color w:val="auto"/>
        </w:rPr>
      </w:pPr>
    </w:p>
    <w:p>
      <w:pPr>
        <w:ind w:left="1080" w:right="280" w:hanging="316"/>
        <w:spacing w:after="0" w:line="250"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ind w:left="1080" w:hanging="316"/>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1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3"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2017 taxable year and do not expect to be a PFIC in the immediately foreseeable future. However, there can be no assurance that the IRS will agree with our conclusion. In addition, whether we will be a PFIC in 2018 or any future years is uncertain because, among other things, (i) we currently own, and will own after the completion of this offering, a substantial amount of passive assets, including cash, (ii) the amount and composition of our income as passive or non-passive may vary substantially over time, and (iii)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75"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81"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20" w:firstLine="8"/>
        <w:spacing w:after="0" w:line="261"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4"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to be dated the pricing date for this offering, among us and Jefferies LLC, Leerink Partners LLC and UBS Securities LLC, as the representatives of the underwriters named below and the joint book-running managers of this offering, we have agreed to sell to the underwriters, and each of the underwriters has agreed, severally and not jointly, to purchase from us, the respective number of common shares shown opposite its name below:</w:t>
      </w:r>
    </w:p>
    <w:p>
      <w:pPr>
        <w:spacing w:after="0" w:line="170"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color w:val="auto"/>
                <w:w w:val="94"/>
              </w:rPr>
              <w:t>Underwriter</w:t>
            </w:r>
          </w:p>
        </w:tc>
        <w:tc>
          <w:tcPr>
            <w:tcW w:w="6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Number of Shares</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Leerink Partners LLC</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80" w:type="dxa"/>
            <w:vAlign w:val="bottom"/>
            <w:gridSpan w:val="2"/>
          </w:tcPr>
          <w:p>
            <w:pPr>
              <w:spacing w:after="0"/>
              <w:rPr>
                <w:sz w:val="20"/>
                <w:szCs w:val="20"/>
                <w:color w:val="auto"/>
              </w:rPr>
            </w:pPr>
            <w:r>
              <w:rPr>
                <w:rFonts w:ascii="Arial" w:cs="Arial" w:eastAsia="Arial" w:hAnsi="Arial"/>
                <w:sz w:val="18"/>
                <w:szCs w:val="18"/>
                <w:color w:val="auto"/>
              </w:rPr>
              <w:t>H.C. Wainwright &amp; Co., LLC</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gridSpan w:val="2"/>
            <w:vMerge w:val="continue"/>
          </w:tcPr>
          <w:p>
            <w:pPr>
              <w:spacing w:after="0"/>
              <w:rPr>
                <w:sz w:val="18"/>
                <w:szCs w:val="18"/>
                <w:color w:val="auto"/>
              </w:rPr>
            </w:pPr>
          </w:p>
        </w:tc>
        <w:tc>
          <w:tcPr>
            <w:tcW w:w="1760" w:type="dxa"/>
            <w:vAlign w:val="bottom"/>
            <w:gridSpan w:val="2"/>
          </w:tcPr>
          <w:p>
            <w:pPr>
              <w:jc w:val="right"/>
              <w:ind w:right="250"/>
              <w:spacing w:after="0"/>
              <w:rPr>
                <w:sz w:val="20"/>
                <w:szCs w:val="20"/>
                <w:color w:val="auto"/>
              </w:rPr>
            </w:pPr>
            <w:r>
              <w:rPr>
                <w:rFonts w:ascii="Arial" w:cs="Arial" w:eastAsia="Arial" w:hAnsi="Arial"/>
                <w:sz w:val="18"/>
                <w:szCs w:val="18"/>
                <w:color w:val="auto"/>
              </w:rPr>
              <w:t>7,391,305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common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common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common shares, that you will be able to sell any of the common shares held by you at a particular time or that the prices that you receive when you sell will be favorable.</w:t>
      </w:r>
    </w:p>
    <w:p>
      <w:pPr>
        <w:spacing w:after="0" w:line="188"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The underwriters are offering the common shares subject to their acceptance of the common shares from us and subject to prior sale. The underwriters reserve the right to withdraw, cancel or modify offers to the public and to reject orders in whole or in part. Any Record Shareholder who elects to participate in the First Rights Offering must comply with the subscription requirements and give notice to the underwriters prior to 4:00 pm (New York City time) on July 18, 2018. The underwriters may withdraw, cancel or modify any orders of a Record Shareholder who has elected to participate in the First Rights Offering if such shareholder, or its bank, broker or other intermediary, respectively, does not have a brokerage account with the underwriters or any of their affiliates which prevents the ability of the underwriters to timely verify the eligibility as Record Shareholder and execute the order.</w:t>
      </w:r>
    </w:p>
    <w:p>
      <w:pPr>
        <w:spacing w:after="0" w:line="165"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The address of Jefferies LLC is 520 Madison Avenue, New York, New York 10022; the address of Leerink Partners LLC is 1301 Avenue of the Americas, 12th Floor, New York, New York 10019; the address of UBS Securities LLC is 1285 Avenue of the Americas, New York, New York 10019.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229"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The underwriters have advised us that they propose to offer the common shares to the public at the Offering Price set forth on the cover page of this prospectus supplement and to certain dealers, which may include the underwriters, at that price less a concession not in excess of $ per share. The underwriters may allow, and certain dealers may reallow, a discount from the concession not in excess of $ per share to certain brokers and dealers. After</w:t>
      </w:r>
    </w:p>
    <w:p>
      <w:pPr>
        <w:ind w:right="260"/>
        <w:spacing w:after="0" w:line="261" w:lineRule="auto"/>
        <w:rPr>
          <w:sz w:val="20"/>
          <w:szCs w:val="20"/>
          <w:color w:val="auto"/>
        </w:rPr>
      </w:pPr>
      <w:r>
        <w:rPr>
          <w:rFonts w:ascii="Arial" w:cs="Arial" w:eastAsia="Arial" w:hAnsi="Arial"/>
          <w:sz w:val="18"/>
          <w:szCs w:val="18"/>
          <w:color w:val="auto"/>
        </w:rPr>
        <w:t>the offering, the Offering Price, concession and reallowance to dealers may be reduced by the representative. No such reduction will change the amount of proceeds to be received by us as set forth on the cover page of this prospectus supplement.</w:t>
      </w:r>
    </w:p>
    <w:p>
      <w:pPr>
        <w:spacing w:after="0" w:line="184"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The following table shows the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520" w:type="dxa"/>
            <w:vAlign w:val="bottom"/>
            <w:gridSpan w:val="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4"/>
                <w:szCs w:val="24"/>
                <w:color w:val="auto"/>
              </w:rPr>
            </w:pPr>
          </w:p>
        </w:tc>
        <w:tc>
          <w:tcPr>
            <w:tcW w:w="200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Without</w:t>
            </w: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Without</w:t>
            </w: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Option to</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Option to</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Option to</w:t>
            </w: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Option to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Additional</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6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1880" w:type="dxa"/>
            <w:vAlign w:val="bottom"/>
            <w:gridSpan w:val="2"/>
            <w:shd w:val="clear" w:color="auto" w:fill="D5EAEA"/>
          </w:tcPr>
          <w:p>
            <w:pPr>
              <w:jc w:val="right"/>
              <w:ind w:right="8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5EAEA"/>
          </w:tcPr>
          <w:p>
            <w:pPr>
              <w:jc w:val="right"/>
              <w:ind w:right="7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5EAEA"/>
          </w:tcPr>
          <w:p>
            <w:pPr>
              <w:jc w:val="right"/>
              <w:ind w:right="7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5EAEA"/>
          </w:tcPr>
          <w:p>
            <w:pPr>
              <w:jc w:val="right"/>
              <w:ind w:right="7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 paid by us</w:t>
            </w:r>
          </w:p>
        </w:tc>
        <w:tc>
          <w:tcPr>
            <w:tcW w:w="18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Proceeds to us, before expenses</w:t>
            </w:r>
          </w:p>
        </w:tc>
        <w:tc>
          <w:tcPr>
            <w:tcW w:w="1880" w:type="dxa"/>
            <w:vAlign w:val="bottom"/>
            <w:gridSpan w:val="2"/>
            <w:shd w:val="clear" w:color="auto" w:fill="D5EAEA"/>
          </w:tcPr>
          <w:p>
            <w:pPr>
              <w:jc w:val="right"/>
              <w:ind w:right="8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5EAEA"/>
          </w:tcPr>
          <w:p>
            <w:pPr>
              <w:jc w:val="right"/>
              <w:ind w:right="7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5EAEA"/>
          </w:tcPr>
          <w:p>
            <w:pPr>
              <w:jc w:val="right"/>
              <w:ind w:right="7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5EAEA"/>
          </w:tcPr>
          <w:p>
            <w:pPr>
              <w:jc w:val="right"/>
              <w:ind w:right="7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-1397000</wp:posOffset>
            </wp:positionV>
            <wp:extent cx="6157595" cy="1397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7595" cy="1397635"/>
                    </a:xfrm>
                    <a:prstGeom prst="rect">
                      <a:avLst/>
                    </a:prstGeom>
                    <a:noFill/>
                  </pic:spPr>
                </pic:pic>
              </a:graphicData>
            </a:graphic>
          </wp:anchor>
        </w:drawing>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w:t>
      </w:r>
    </w:p>
    <w:p>
      <w:pPr>
        <w:spacing w:after="0" w:line="46"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4"/>
          <w:szCs w:val="14"/>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We have granted to the underwriters an option, exercisable for 30 days from the date of the underwriting agreement, to purchase, from time to time, in whole or in part, up to an aggregate of 1,108,695 shares from us at the Offering Price set forth on the cover page of this prospectus supplement,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If the underwriters do not exercise this option, the corresponding number of common shares will be transferred back to us and will become treasury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For a period of 90 days after the date of this prospectus supplement, we have agreed that we will not, directly or indirectly (i) offer, sell, issue, contract to sell, pledge or otherwise dispose of our common shares or any shares convertible into or exchangeable or exercisable for any of our common shares (“related securities”), (ii) offer, sell, issue, contract to sell, contract to purchase or grant any option, right or warrant to purchase our common shares or related securities, (iii) enter into any swap, hedge or any other agreement that transfers, in whole or in part, the economic consequences of our common shares or related securities, (iv) establish or increase a put equivalent position or liquidate or decrease a call equivalent position in our common shares or related securities within the meaning of Section 16 of the Exchange Act or (v) file with the U.S. Securities and Exchange Commission a registration statement under the Securities Act relating to our common shares or related securities, or publicly disclose the intention to take any such action, without the prior written consent of Jefferies LLC and Leerink Partners LLC.</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restrictions described above will not apply to:</w:t>
      </w:r>
    </w:p>
    <w:p>
      <w:pPr>
        <w:spacing w:after="0" w:line="225" w:lineRule="exact"/>
        <w:rPr>
          <w:sz w:val="20"/>
          <w:szCs w:val="20"/>
          <w:color w:val="auto"/>
        </w:rPr>
      </w:pPr>
    </w:p>
    <w:p>
      <w:pPr>
        <w:ind w:left="1180" w:hanging="321"/>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common shares issued and sold hereby;</w:t>
      </w:r>
    </w:p>
    <w:p>
      <w:pPr>
        <w:spacing w:after="0" w:line="225" w:lineRule="exact"/>
        <w:rPr>
          <w:rFonts w:ascii="Arial" w:cs="Arial" w:eastAsia="Arial" w:hAnsi="Arial"/>
          <w:sz w:val="18"/>
          <w:szCs w:val="18"/>
          <w:color w:val="auto"/>
        </w:rPr>
      </w:pPr>
    </w:p>
    <w:p>
      <w:pPr>
        <w:ind w:left="1180" w:right="40" w:hanging="321"/>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by us of common shares upon the exercise of an option or warrant or the conversion of a security outstanding on the date hereof or described in this prospectus supplement;</w:t>
      </w:r>
    </w:p>
    <w:p>
      <w:pPr>
        <w:spacing w:after="0" w:line="170" w:lineRule="exact"/>
        <w:rPr>
          <w:rFonts w:ascii="Arial" w:cs="Arial" w:eastAsia="Arial" w:hAnsi="Arial"/>
          <w:sz w:val="18"/>
          <w:szCs w:val="18"/>
          <w:color w:val="auto"/>
        </w:rPr>
      </w:pPr>
    </w:p>
    <w:p>
      <w:pPr>
        <w:ind w:left="1180" w:right="260" w:hanging="321"/>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by us of any options or warrants pursuant to any employee equity incentive plan or share ownership plan existing on the date hereof or described in this prospectus supplement;</w:t>
      </w:r>
    </w:p>
    <w:p>
      <w:pPr>
        <w:spacing w:after="0" w:line="170" w:lineRule="exact"/>
        <w:rPr>
          <w:rFonts w:ascii="Arial" w:cs="Arial" w:eastAsia="Arial" w:hAnsi="Arial"/>
          <w:sz w:val="18"/>
          <w:szCs w:val="18"/>
          <w:color w:val="auto"/>
        </w:rPr>
      </w:pPr>
    </w:p>
    <w:p>
      <w:pPr>
        <w:ind w:left="1180" w:right="40" w:hanging="321"/>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filing by us of a registration statement with the U.S. Securities and Exchange Commission on Form S-8 in respect of any common shares issued under or the grant of any award pursuant to an employee equity incentive plan or share ownership plan existing on the date hereof or described in this prospectus supplement;</w:t>
      </w:r>
    </w:p>
    <w:p>
      <w:pPr>
        <w:spacing w:after="0" w:line="181" w:lineRule="exact"/>
        <w:rPr>
          <w:rFonts w:ascii="Arial" w:cs="Arial" w:eastAsia="Arial" w:hAnsi="Arial"/>
          <w:sz w:val="18"/>
          <w:szCs w:val="18"/>
          <w:color w:val="auto"/>
        </w:rPr>
      </w:pPr>
    </w:p>
    <w:p>
      <w:pPr>
        <w:ind w:left="1180" w:right="60" w:hanging="321"/>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transfer of our common shares or related securities pursuant to a bona fide third-party tender offer, merger, consolidation or other similar transaction that is approved by our board of directors, made to all holders of common shares, involving a change of control after the completion of this offering,</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2" w:right="2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200" w:right="5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event that the tender offer, merger, consolidation or other such transaction is not completed, our common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securities shall remain subject to the restrictions described in the preceding paragraph;</w:t>
      </w:r>
    </w:p>
    <w:p>
      <w:pPr>
        <w:spacing w:after="0" w:line="170" w:lineRule="exact"/>
        <w:rPr>
          <w:sz w:val="20"/>
          <w:szCs w:val="20"/>
          <w:color w:val="auto"/>
        </w:rPr>
      </w:pPr>
    </w:p>
    <w:p>
      <w:pPr>
        <w:ind w:left="1180" w:right="140" w:hanging="321"/>
        <w:spacing w:after="0" w:line="259"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sale or issuance of or entry into an agreement to sell or issue our common shares or related securities in connection with any (i) mergers, (ii) acquisition of securities, businesses, property, technologies or other assets, (iii) joint ventures, (iv) strategic alliances, commercial relationships or other collaborations, (v) the assumption of employee benefit plans in connection with mergers or acquisitions, or (vi) the filing of a registration statement with respect to any of the foregoing;</w:t>
      </w:r>
    </w:p>
    <w:p>
      <w:pPr>
        <w:spacing w:after="0" w:line="186" w:lineRule="exact"/>
        <w:rPr>
          <w:rFonts w:ascii="Arial" w:cs="Arial" w:eastAsia="Arial" w:hAnsi="Arial"/>
          <w:sz w:val="18"/>
          <w:szCs w:val="18"/>
          <w:color w:val="auto"/>
        </w:rPr>
      </w:pPr>
    </w:p>
    <w:p>
      <w:pPr>
        <w:ind w:left="1180" w:right="260" w:hanging="321"/>
        <w:spacing w:after="0" w:line="264"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filing of a registration statement on Form F-3/A solely for the purpose of complying with our contractual obligations under that certain Registration Rights Agreement dated as of October 23, 2015 among us and the shareholders party thereto (the “Registration Rights Agreement”); or</w:t>
      </w:r>
    </w:p>
    <w:p>
      <w:pPr>
        <w:spacing w:after="0" w:line="181" w:lineRule="exact"/>
        <w:rPr>
          <w:rFonts w:ascii="Arial" w:cs="Arial" w:eastAsia="Arial" w:hAnsi="Arial"/>
          <w:sz w:val="18"/>
          <w:szCs w:val="18"/>
          <w:color w:val="auto"/>
        </w:rPr>
      </w:pPr>
    </w:p>
    <w:p>
      <w:pPr>
        <w:ind w:left="1180" w:hanging="321"/>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additional common shares subject to certain restrictions.</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As permitted under the restrictions described above, we intend to file a post-effective amendment to our registration statement on Form F-3 (as amended) currently on file with the Securities and Exchange Commission by August 27, 2018 to register up to 18,041,000 common shares of AC Immune held by one of our shareholders, pursuant to a notice of exercise of registration rights submitted to us by such shareholder under the terms of the Registration Rights Agreement.</w:t>
      </w:r>
    </w:p>
    <w:p>
      <w:pPr>
        <w:spacing w:after="0" w:line="18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Each of our officers and directors has agreed that, for a period of 90 days after the date of this prospectus supplement and without the prior written consent of Jefferies LLC and Leerink Partners LLC, he or she will not (i) sell or offer to sell any common shares or related securities currently or hereafter owned either of record or beneficially (as defined in Rule 13d-3 under the Exchange Act) by such person, or such person’s family members (which shall mean the spouse of such person, an immediate family member (as defined in Rule 16a-1(e) under the Exchange Act) of such person or an immediate family member of such person’s spouse, in each case living in such person’s household or whose principal residence is such person’s household (regardless of whether such spouse or family member may at the time be living elsewhere due to educational activities, health care treatment, military service, temporary internship or employment or otherwise)); (ii) enter into any swap, hedge or similar arrangement or agreement that transfers, in whole or in part, the economic risk of ownership of common shares or related securities, regardless of whether any such transaction is to be settled in securities, in cash or otherwise; (iii) make any demand for, or exercise any right with respect to, the registration under the Securities Act of the offer and sale of any common shares or related securities, or cause to be filed a registration statement, prospectus or prospectus supplement (or an amendment or supplement thereto) with respect to any such registration; or (iv) publicly announce any intention to do any of the foregoing.</w:t>
      </w:r>
    </w:p>
    <w:p>
      <w:pPr>
        <w:spacing w:after="0" w:line="183" w:lineRule="exact"/>
        <w:rPr>
          <w:sz w:val="20"/>
          <w:szCs w:val="20"/>
          <w:color w:val="auto"/>
        </w:rPr>
      </w:pPr>
    </w:p>
    <w:p>
      <w:pPr>
        <w:ind w:right="840" w:firstLine="441"/>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170"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transactions relating to common shares or other securities acquired by such person in this offering or in open market transactions;</w:t>
      </w:r>
    </w:p>
    <w:p>
      <w:pPr>
        <w:spacing w:after="0" w:line="236" w:lineRule="exact"/>
        <w:rPr>
          <w:rFonts w:ascii="Arial" w:cs="Arial" w:eastAsia="Arial" w:hAnsi="Arial"/>
          <w:sz w:val="17"/>
          <w:szCs w:val="17"/>
          <w:color w:val="auto"/>
        </w:rPr>
      </w:pPr>
    </w:p>
    <w:p>
      <w:pPr>
        <w:ind w:left="1300" w:right="20" w:hanging="320"/>
        <w:spacing w:after="0" w:line="271"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 the exercise of stock options or other similar awards granted pursuant to our equity incentive plans or the vesting or settlement of awards granted pursuant to our equity incentive plans (including the delivery and receipt of common shares and related securities in connection with such vesting or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(a), the foregoing restrictions shall apply to any of the undersigned’s common shares issued upon such exercise, vesting or settlement; or (b) the transfer of common shares or any related securities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of options for our common shares, whether by means of a “net settlement” or otherwise;</w:t>
      </w:r>
    </w:p>
    <w:p>
      <w:pPr>
        <w:spacing w:after="0" w:line="178" w:lineRule="exact"/>
        <w:rPr>
          <w:rFonts w:ascii="Arial" w:cs="Arial" w:eastAsia="Arial" w:hAnsi="Arial"/>
          <w:sz w:val="17"/>
          <w:szCs w:val="17"/>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transfers of common shares or related securities:</w:t>
      </w:r>
    </w:p>
    <w:p>
      <w:pPr>
        <w:spacing w:after="0" w:line="225" w:lineRule="exact"/>
        <w:rPr>
          <w:rFonts w:ascii="Arial" w:cs="Arial" w:eastAsia="Arial" w:hAnsi="Arial"/>
          <w:sz w:val="18"/>
          <w:szCs w:val="18"/>
          <w:color w:val="auto"/>
        </w:rPr>
      </w:pPr>
    </w:p>
    <w:p>
      <w:pPr>
        <w:ind w:left="2280" w:right="40" w:hanging="327"/>
        <w:spacing w:after="0" w:line="277"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170" w:lineRule="exact"/>
        <w:rPr>
          <w:rFonts w:ascii="Arial" w:cs="Arial" w:eastAsia="Arial" w:hAnsi="Arial"/>
          <w:sz w:val="18"/>
          <w:szCs w:val="18"/>
          <w:color w:val="auto"/>
        </w:rPr>
      </w:pPr>
    </w:p>
    <w:p>
      <w:pPr>
        <w:ind w:left="2280" w:hanging="327"/>
        <w:spacing w:after="0"/>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such person is a natural person, to a member of the immediate family member of such person;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2280" w:right="620" w:hanging="327"/>
        <w:spacing w:after="0" w:line="277" w:lineRule="auto"/>
        <w:tabs>
          <w:tab w:leader="none" w:pos="2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member of such person;</w:t>
      </w:r>
    </w:p>
    <w:p>
      <w:pPr>
        <w:spacing w:after="0" w:line="170" w:lineRule="exact"/>
        <w:rPr>
          <w:rFonts w:ascii="Arial" w:cs="Arial" w:eastAsia="Arial" w:hAnsi="Arial"/>
          <w:sz w:val="18"/>
          <w:szCs w:val="18"/>
          <w:color w:val="auto"/>
        </w:rPr>
      </w:pPr>
    </w:p>
    <w:p>
      <w:pPr>
        <w:ind w:left="2280" w:right="160" w:hanging="327"/>
        <w:spacing w:after="0" w:line="277" w:lineRule="auto"/>
        <w:tabs>
          <w:tab w:leader="none" w:pos="2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170" w:lineRule="exact"/>
        <w:rPr>
          <w:rFonts w:ascii="Arial" w:cs="Arial" w:eastAsia="Arial" w:hAnsi="Arial"/>
          <w:sz w:val="18"/>
          <w:szCs w:val="18"/>
          <w:color w:val="auto"/>
        </w:rPr>
      </w:pPr>
    </w:p>
    <w:p>
      <w:pPr>
        <w:ind w:left="2280" w:right="80" w:hanging="327"/>
        <w:spacing w:after="0" w:line="286" w:lineRule="auto"/>
        <w:tabs>
          <w:tab w:leader="none" w:pos="2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such person is a natural person, to a corporation, partnership, limited liability company or other entity of which such person and the immediate family member of such person are the direct or indirect legal and beneficial owners of all the outstanding equity securities or similar interests of such corporation, partnership, limited liability company or other entity;</w:t>
      </w:r>
    </w:p>
    <w:p>
      <w:pPr>
        <w:spacing w:after="0" w:line="165" w:lineRule="exact"/>
        <w:rPr>
          <w:rFonts w:ascii="Arial" w:cs="Arial" w:eastAsia="Arial" w:hAnsi="Arial"/>
          <w:sz w:val="17"/>
          <w:szCs w:val="17"/>
          <w:color w:val="auto"/>
        </w:rPr>
      </w:pPr>
    </w:p>
    <w:p>
      <w:pPr>
        <w:ind w:left="2280" w:right="180" w:hanging="327"/>
        <w:spacing w:after="0" w:line="264" w:lineRule="auto"/>
        <w:tabs>
          <w:tab w:leader="none" w:pos="2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181" w:lineRule="exact"/>
        <w:rPr>
          <w:rFonts w:ascii="Arial" w:cs="Arial" w:eastAsia="Arial" w:hAnsi="Arial"/>
          <w:sz w:val="18"/>
          <w:szCs w:val="18"/>
          <w:color w:val="auto"/>
        </w:rPr>
      </w:pPr>
    </w:p>
    <w:p>
      <w:pPr>
        <w:ind w:left="2280" w:hanging="327"/>
        <w:spacing w:after="0"/>
        <w:tabs>
          <w:tab w:leader="none" w:pos="2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225" w:lineRule="exact"/>
        <w:rPr>
          <w:rFonts w:ascii="Arial" w:cs="Arial" w:eastAsia="Arial" w:hAnsi="Arial"/>
          <w:sz w:val="18"/>
          <w:szCs w:val="18"/>
          <w:color w:val="auto"/>
        </w:rPr>
      </w:pPr>
    </w:p>
    <w:p>
      <w:pPr>
        <w:ind w:left="2280" w:right="280" w:hanging="327"/>
        <w:spacing w:after="0" w:line="277" w:lineRule="auto"/>
        <w:tabs>
          <w:tab w:leader="none" w:pos="2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170" w:lineRule="exact"/>
        <w:rPr>
          <w:rFonts w:ascii="Arial" w:cs="Arial" w:eastAsia="Arial" w:hAnsi="Arial"/>
          <w:sz w:val="18"/>
          <w:szCs w:val="18"/>
          <w:color w:val="auto"/>
        </w:rPr>
      </w:pPr>
    </w:p>
    <w:p>
      <w:pPr>
        <w:ind w:left="2280" w:hanging="327"/>
        <w:spacing w:after="0"/>
        <w:tabs>
          <w:tab w:leader="none" w:pos="2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22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each donee, distributee or transferee agrees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bound in writing by the terms of the lock-up agreement.</w:t>
      </w:r>
    </w:p>
    <w:p>
      <w:pPr>
        <w:spacing w:after="0" w:line="170" w:lineRule="exact"/>
        <w:rPr>
          <w:sz w:val="20"/>
          <w:szCs w:val="20"/>
          <w:color w:val="auto"/>
        </w:rPr>
      </w:pPr>
    </w:p>
    <w:p>
      <w:pPr>
        <w:ind w:left="1300" w:hanging="320"/>
        <w:spacing w:after="0" w:line="273"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plan does not provide for the transfer of common shares during the 90-day lock-up period, (ii) the establishment of such plan shall not be voluntarily publicly announced or filed under the Exchange Act and (iii) to the extent a public announcement or filing under the Exchange Act, if any, is required by or on behalf of such person or us regarding the establishment or modification of such plan, such announcement or filing shall include a statement to the effect that no transfer of common shares may be made under such plan during the 90-day lock-up period;</w:t>
      </w:r>
    </w:p>
    <w:p>
      <w:pPr>
        <w:spacing w:after="0" w:line="178" w:lineRule="exact"/>
        <w:rPr>
          <w:rFonts w:ascii="Arial" w:cs="Arial" w:eastAsia="Arial" w:hAnsi="Arial"/>
          <w:sz w:val="17"/>
          <w:szCs w:val="17"/>
          <w:color w:val="auto"/>
        </w:rPr>
      </w:pPr>
    </w:p>
    <w:p>
      <w:pPr>
        <w:ind w:left="1300" w:right="60" w:hanging="320"/>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transfer of common shares or related securities to us, pursuant to agreements or rights in existence on the date of this prospectus supplement under which we have the option to repurchase such shares or a right of first refusal with respect to transfers of such shares or in connection with the termination of such person’s employment with us;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transfer of common shares or related securities that occurs by any order or settlement resulting from any legal proceeding; or</w:t>
      </w:r>
    </w:p>
    <w:p>
      <w:pPr>
        <w:spacing w:after="0" w:line="236" w:lineRule="exact"/>
        <w:rPr>
          <w:rFonts w:ascii="Arial" w:cs="Arial" w:eastAsia="Arial" w:hAnsi="Arial"/>
          <w:sz w:val="17"/>
          <w:szCs w:val="17"/>
          <w:color w:val="auto"/>
        </w:rPr>
      </w:pPr>
    </w:p>
    <w:p>
      <w:pPr>
        <w:ind w:left="1300" w:right="60" w:hanging="320"/>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transfer of common shares or related securities pursuant to a bona fide third-party tender offer, merger, amalgamation, consolidation or other similar transaction made to all holders of the common shares or related securities involving a change of control of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tender offer, merger, amalgamation, consolidation or other such transaction is not completed, the common shares owned by such person shall remain subject to the restrictions described above.</w:t>
      </w:r>
    </w:p>
    <w:p>
      <w:pPr>
        <w:spacing w:after="0" w:line="18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Jefferies LLC and Leerink Partners LLC may, in their sole discretion and at any time or from time to time before the termination of the 90-day period release all or any portion of the securities subject to lock-up agreements.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underwriters have advised us that they may engage in short sale transactions, stabilizing transactions, syndicate covering transactions or the imposition of penalty bids in connection with this offering. These activities may have the effect of stabilizing or maintaining the market price of the common shares at a level above that which might otherwise prevail in the open market. Establishing short sales positions may involve either “covered” short sales or “naked” short sales.</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of our common shares in this offering. The underwriters may close out any covered short position by either exercising their option to purchase additional common shares or purchasing common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88" w:lineRule="exact"/>
        <w:rPr>
          <w:sz w:val="20"/>
          <w:szCs w:val="20"/>
          <w:color w:val="auto"/>
        </w:rPr>
      </w:pPr>
    </w:p>
    <w:p>
      <w:pPr>
        <w:jc w:val="both"/>
        <w:ind w:right="140" w:firstLine="441"/>
        <w:spacing w:after="0" w:line="312" w:lineRule="auto"/>
        <w:rPr>
          <w:sz w:val="20"/>
          <w:szCs w:val="20"/>
          <w:color w:val="auto"/>
        </w:rPr>
      </w:pPr>
      <w:r>
        <w:rPr>
          <w:rFonts w:ascii="Arial" w:cs="Arial" w:eastAsia="Arial" w:hAnsi="Arial"/>
          <w:sz w:val="16"/>
          <w:szCs w:val="16"/>
          <w:color w:val="auto"/>
        </w:rPr>
        <w:t>“Naked” short sales are sales in excess of the option to purchase additional common shares. The underwriters must close out any naked short position by purchasing shares in the open market. A naked short position is more likely to be created if the underwriters are concerned that there may be downward pressure on the price of our common shares in the open market after pricing that could adversely affect investors who purchase in this offering.</w:t>
      </w:r>
    </w:p>
    <w:p>
      <w:pPr>
        <w:spacing w:after="0" w:line="14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A stabilizing bid is a bid for the purchase of our common shares on behalf of the underwriters for the purpose of fixing or maintaining the price of our common shares. A syndicate covering transaction is the bid for or the purchase of common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A penalty bid is an arrangement permitting the underwriters to reclaim the selling concession otherwise accruing to a syndicate member in connection with the offering if the common shares originally sold by such syndicate member are purchased in a syndicate covering transaction and therefore have not been effectively placed by such syndicate member.</w:t>
      </w:r>
    </w:p>
    <w:p>
      <w:pPr>
        <w:spacing w:after="0" w:line="192"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common shares. The underwriters are not obligated to engage in these activities and, if commenced, any of the activities may be discontinued at any time.</w:t>
      </w:r>
    </w:p>
    <w:p>
      <w:pPr>
        <w:spacing w:after="0" w:line="18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The underwriters may also engage in passive market making transactions in our common shares on The Nasdaq Global Market in accordance with Rule 103 of Regulation M during a period before the commencement of offers or sales of our common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A prospectus supplement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common share for sale to online brokerage account holders. Any such allocation for online distributions will be made by the underwriters on the same basis as other allocations. Other than the prospectus supplement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229"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commercial and investment banking and financial advisory services for us and our affiliates, for which they received or will receive customary fees and expenses.</w:t>
      </w:r>
    </w:p>
    <w:p>
      <w:pPr>
        <w:spacing w:after="0" w:line="17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shares offered hereby. Any such short positions could adversely affect future trading prices of the common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Investors in the European Economic Area</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178"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1300" w:right="20" w:hanging="320"/>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181" w:lineRule="exact"/>
        <w:rPr>
          <w:rFonts w:ascii="Arial" w:cs="Arial" w:eastAsia="Arial" w:hAnsi="Arial"/>
          <w:sz w:val="18"/>
          <w:szCs w:val="18"/>
          <w:color w:val="auto"/>
        </w:rPr>
      </w:pPr>
    </w:p>
    <w:p>
      <w:pPr>
        <w:ind w:left="1300" w:right="200" w:hanging="320"/>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4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Investors in the United Kingdom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underwriters:</w:t>
      </w:r>
    </w:p>
    <w:p>
      <w:pPr>
        <w:spacing w:after="0" w:line="225" w:lineRule="exact"/>
        <w:rPr>
          <w:sz w:val="20"/>
          <w:szCs w:val="20"/>
          <w:color w:val="auto"/>
        </w:rPr>
      </w:pPr>
    </w:p>
    <w:p>
      <w:pPr>
        <w:ind w:left="1300" w:right="20" w:hanging="320"/>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300" w:right="48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prospectus supplement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supplement must not be acted on or relied on by persons who are not Relevant Persons. Any investment or investment activity to which this prospectus supplement relates is available only to relevant persons and will be engaged in with Relevant Persons only.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Switzerland</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 standards for listing prospectuses under art. 27 ff. of the SIX Listing Rules or the listing rules of any other stock exchange or regulated trading facility in Switzerland.</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the Dubai International Financial Centre</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or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225"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225"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165" w:lineRule="exact"/>
        <w:rPr>
          <w:sz w:val="20"/>
          <w:szCs w:val="20"/>
          <w:color w:val="auto"/>
        </w:rPr>
      </w:pPr>
    </w:p>
    <w:p>
      <w:pPr>
        <w:ind w:left="1300" w:right="1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Canadian Residents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Resale Restrictions</w:t>
      </w:r>
    </w:p>
    <w:p>
      <w:pPr>
        <w:spacing w:after="0" w:line="225"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The distribution of the common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common shares in Canada must be made under applicable securities laws which may vary depending on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Representations of Canadian Purchasers</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170" w:lineRule="exact"/>
        <w:rPr>
          <w:sz w:val="20"/>
          <w:szCs w:val="20"/>
          <w:color w:val="auto"/>
        </w:rPr>
      </w:pPr>
    </w:p>
    <w:p>
      <w:pPr>
        <w:ind w:left="130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common shares without the benefit of a prospectus qualified under those securities laws as it is an “accredited investor” as defined under National Instrument 45-106 – Prospectus Exemptions,</w:t>
      </w:r>
    </w:p>
    <w:p>
      <w:pPr>
        <w:spacing w:after="0" w:line="123" w:lineRule="exact"/>
        <w:rPr>
          <w:rFonts w:ascii="Arial" w:cs="Arial" w:eastAsia="Arial" w:hAnsi="Arial"/>
          <w:sz w:val="16"/>
          <w:szCs w:val="16"/>
          <w:color w:val="auto"/>
        </w:rPr>
      </w:pPr>
    </w:p>
    <w:p>
      <w:pPr>
        <w:ind w:left="1300" w:right="48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31-103 - Registration Requirements, Exemptions and Ongoing Registrant Obligations,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225"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Statutory Rights of Action</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Enforcement of Legal Rights</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Taxation and Eligibility for Investment</w:t>
      </w:r>
    </w:p>
    <w:p>
      <w:pPr>
        <w:spacing w:after="0" w:line="225"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20" w:firstLine="415"/>
        <w:spacing w:after="0" w:line="264" w:lineRule="auto"/>
        <w:rPr>
          <w:sz w:val="20"/>
          <w:szCs w:val="20"/>
          <w:color w:val="auto"/>
        </w:rPr>
      </w:pPr>
      <w:r>
        <w:rPr>
          <w:rFonts w:ascii="Arial" w:cs="Arial" w:eastAsia="Arial" w:hAnsi="Arial"/>
          <w:sz w:val="18"/>
          <w:szCs w:val="18"/>
          <w:color w:val="auto"/>
        </w:rPr>
        <w:t>The validity of the securities and certain other matters of Swiss law will be passed upon for us by Vischer AG, Zurich, Switzerland. Certain matters of U.S. federal and New York State law will be passed upon for us by Davis Polk &amp; Wardwell LLP, New York, New York, and for the underwriter by Goodwin Procter LLP, Boston, Massachusetts.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 Such financial statements are incorporated herein by reference in reliance upon such report given the authority of such firm as experts in accounting and auditing.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address of Ernst &amp; Young AG is Route de Chancy 59, 1213 Petit-Lancy, Switzerland.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40" w:firstLine="441"/>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60" w:firstLine="415"/>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660" w:hanging="19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2017 Annual Report on Form 20-F for the fiscal year ended December 31, 2017;</w:t>
      </w:r>
    </w:p>
    <w:p>
      <w:pPr>
        <w:spacing w:after="0" w:line="225" w:lineRule="exact"/>
        <w:rPr>
          <w:rFonts w:ascii="Arial" w:cs="Arial" w:eastAsia="Arial" w:hAnsi="Arial"/>
          <w:sz w:val="18"/>
          <w:szCs w:val="18"/>
          <w:color w:val="auto"/>
        </w:rPr>
      </w:pPr>
    </w:p>
    <w:p>
      <w:pPr>
        <w:ind w:left="660" w:right="140" w:hanging="197"/>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Forms 6-K filed on March 20, 2018 (only with respect to “Item 1.C—2017 Board Compensation” and “Item 2.C—2017 Executive Compensation” of Exhibit 99.3), March 22, 2018, March 26, 2018, April 27, 2018, May 2, 2018 (only with respect to Exhibits 99.1 and 99.2), June 7, 2018, July 6, 2018 and July 17, 2018; and</w:t>
      </w:r>
    </w:p>
    <w:p>
      <w:pPr>
        <w:spacing w:after="0" w:line="181" w:lineRule="exact"/>
        <w:rPr>
          <w:rFonts w:ascii="Arial" w:cs="Arial" w:eastAsia="Arial" w:hAnsi="Arial"/>
          <w:sz w:val="18"/>
          <w:szCs w:val="18"/>
          <w:color w:val="auto"/>
        </w:rPr>
      </w:pPr>
    </w:p>
    <w:p>
      <w:pPr>
        <w:ind w:left="660" w:hanging="197"/>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registration statement on Form 8-A filed with the SEC on September 23, 2016, including any amendments or reports filed for the purpose of updating such description.</w:t>
      </w:r>
    </w:p>
    <w:p>
      <w:pPr>
        <w:spacing w:after="0" w:line="170" w:lineRule="exact"/>
        <w:rPr>
          <w:sz w:val="20"/>
          <w:szCs w:val="20"/>
          <w:color w:val="auto"/>
        </w:rPr>
      </w:pPr>
    </w:p>
    <w:p>
      <w:pPr>
        <w:ind w:right="860" w:firstLine="416"/>
        <w:spacing w:after="0" w:line="277"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supplement and prior to termination or expiration of this registration statement shall be deemed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24"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Each person, including any beneficial owner, to whom a prospectus is delivered can obtain documents incorporated by reference in this document by requesting them from us in writing at EPFL Innovation Park Building B, 1015 Lausanne, Switzerland or via telephone at +41 21 345 91 21.</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728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808080"/>
              </w:rPr>
              <w:t>Ernst &amp; Young Ltd</w:t>
            </w:r>
          </w:p>
        </w:tc>
        <w:tc>
          <w:tcPr>
            <w:tcW w:w="1480" w:type="dxa"/>
            <w:vAlign w:val="bottom"/>
          </w:tcPr>
          <w:p>
            <w:pPr>
              <w:ind w:left="960"/>
              <w:spacing w:after="0"/>
              <w:rPr>
                <w:sz w:val="20"/>
                <w:szCs w:val="20"/>
                <w:color w:val="auto"/>
              </w:rPr>
            </w:pPr>
            <w:r>
              <w:rPr>
                <w:rFonts w:ascii="Arial" w:cs="Arial" w:eastAsia="Arial" w:hAnsi="Arial"/>
                <w:sz w:val="18"/>
                <w:szCs w:val="18"/>
                <w:color w:val="808080"/>
                <w:w w:val="95"/>
              </w:rPr>
              <w:t>Phone</w:t>
            </w:r>
          </w:p>
        </w:tc>
        <w:tc>
          <w:tcPr>
            <w:tcW w:w="1340" w:type="dxa"/>
            <w:vAlign w:val="bottom"/>
          </w:tcPr>
          <w:p>
            <w:pPr>
              <w:jc w:val="right"/>
              <w:spacing w:after="0"/>
              <w:rPr>
                <w:sz w:val="20"/>
                <w:szCs w:val="20"/>
                <w:color w:val="auto"/>
              </w:rPr>
            </w:pPr>
            <w:r>
              <w:rPr>
                <w:rFonts w:ascii="Arial" w:cs="Arial" w:eastAsia="Arial" w:hAnsi="Arial"/>
                <w:sz w:val="18"/>
                <w:szCs w:val="18"/>
                <w:color w:val="808080"/>
                <w:w w:val="93"/>
              </w:rPr>
              <w:t>+41 58 286 86 86</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808080"/>
              </w:rPr>
              <w:t>Rue de Chancey 59</w:t>
            </w:r>
          </w:p>
        </w:tc>
        <w:tc>
          <w:tcPr>
            <w:tcW w:w="1480" w:type="dxa"/>
            <w:vAlign w:val="bottom"/>
          </w:tcPr>
          <w:p>
            <w:pPr>
              <w:ind w:left="960"/>
              <w:spacing w:after="0"/>
              <w:rPr>
                <w:sz w:val="20"/>
                <w:szCs w:val="20"/>
                <w:color w:val="auto"/>
              </w:rPr>
            </w:pPr>
            <w:r>
              <w:rPr>
                <w:rFonts w:ascii="Arial" w:cs="Arial" w:eastAsia="Arial" w:hAnsi="Arial"/>
                <w:sz w:val="18"/>
                <w:szCs w:val="18"/>
                <w:color w:val="808080"/>
              </w:rPr>
              <w:t>Fax</w:t>
            </w:r>
          </w:p>
        </w:tc>
        <w:tc>
          <w:tcPr>
            <w:tcW w:w="1340" w:type="dxa"/>
            <w:vAlign w:val="bottom"/>
          </w:tcPr>
          <w:p>
            <w:pPr>
              <w:jc w:val="right"/>
              <w:spacing w:after="0"/>
              <w:rPr>
                <w:sz w:val="20"/>
                <w:szCs w:val="20"/>
                <w:color w:val="auto"/>
              </w:rPr>
            </w:pPr>
            <w:r>
              <w:rPr>
                <w:rFonts w:ascii="Arial" w:cs="Arial" w:eastAsia="Arial" w:hAnsi="Arial"/>
                <w:sz w:val="18"/>
                <w:szCs w:val="18"/>
                <w:color w:val="808080"/>
                <w:w w:val="93"/>
              </w:rPr>
              <w:t>+41 58 286 86 00</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808080"/>
              </w:rPr>
              <w:t>P.O. Box</w:t>
            </w:r>
          </w:p>
        </w:tc>
        <w:tc>
          <w:tcPr>
            <w:tcW w:w="2820" w:type="dxa"/>
            <w:vAlign w:val="bottom"/>
            <w:gridSpan w:val="2"/>
          </w:tcPr>
          <w:p>
            <w:pPr>
              <w:ind w:left="960"/>
              <w:spacing w:after="0"/>
              <w:rPr>
                <w:sz w:val="20"/>
                <w:szCs w:val="20"/>
                <w:color w:val="auto"/>
              </w:rPr>
            </w:pPr>
            <w:r>
              <w:rPr>
                <w:rFonts w:ascii="Arial" w:cs="Arial" w:eastAsia="Arial" w:hAnsi="Arial"/>
                <w:sz w:val="18"/>
                <w:szCs w:val="18"/>
                <w:color w:val="808080"/>
              </w:rPr>
              <w:t>www.ey.com/ch</w:t>
            </w:r>
          </w:p>
        </w:tc>
      </w:tr>
    </w:tbl>
    <w:p>
      <w:pPr>
        <w:spacing w:after="0" w:line="1" w:lineRule="exact"/>
        <w:rPr>
          <w:sz w:val="20"/>
          <w:szCs w:val="20"/>
          <w:color w:val="auto"/>
        </w:rPr>
      </w:pPr>
    </w:p>
    <w:p>
      <w:pPr>
        <w:sectPr>
          <w:pgSz w:w="11900" w:h="16838" w:orient="portrait"/>
          <w:cols w:equalWidth="0" w:num="1">
            <w:col w:w="11420"/>
          </w:cols>
          <w:pgMar w:left="240" w:top="225" w:right="239" w:bottom="1440" w:gutter="0" w:footer="0" w:header="0"/>
        </w:sectPr>
      </w:pPr>
    </w:p>
    <w:p>
      <w:pPr>
        <w:ind w:left="2880"/>
        <w:spacing w:after="0"/>
        <w:rPr>
          <w:sz w:val="20"/>
          <w:szCs w:val="20"/>
          <w:color w:val="auto"/>
        </w:rPr>
      </w:pPr>
      <w:r>
        <w:rPr>
          <w:rFonts w:ascii="Arial" w:cs="Arial" w:eastAsia="Arial" w:hAnsi="Arial"/>
          <w:sz w:val="16"/>
          <w:szCs w:val="16"/>
          <w:color w:val="808080"/>
        </w:rPr>
        <w:t>CH-1213 Lancy</w:t>
      </w:r>
    </w:p>
    <w:p>
      <w:pPr>
        <w:sectPr>
          <w:pgSz w:w="11900" w:h="16838" w:orient="portrait"/>
          <w:cols w:equalWidth="0" w:num="1">
            <w:col w:w="11420"/>
          </w:cols>
          <w:pgMar w:left="240" w:top="225"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To the General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 Immune SA, Ecublens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Lancy, 20 March 2018</w:t>
      </w:r>
    </w:p>
    <w:p>
      <w:pPr>
        <w:spacing w:after="0" w:line="430" w:lineRule="exact"/>
        <w:rPr>
          <w:sz w:val="20"/>
          <w:szCs w:val="20"/>
          <w:color w:val="auto"/>
        </w:rPr>
      </w:pPr>
    </w:p>
    <w:p>
      <w:pPr>
        <w:sectPr>
          <w:pgSz w:w="11900" w:h="16838" w:orient="portrait"/>
          <w:cols w:equalWidth="0" w:num="2">
            <w:col w:w="9080" w:space="720"/>
            <w:col w:w="1620"/>
          </w:cols>
          <w:pgMar w:left="240" w:top="225" w:right="2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statutory auditor on the financial statements</w:t>
      </w:r>
    </w:p>
    <w:p>
      <w:pPr>
        <w:spacing w:after="0" w:line="229" w:lineRule="exact"/>
        <w:rPr>
          <w:sz w:val="20"/>
          <w:szCs w:val="20"/>
          <w:color w:val="auto"/>
        </w:rPr>
      </w:pPr>
    </w:p>
    <w:p>
      <w:pPr>
        <w:ind w:left="1620" w:right="320"/>
        <w:spacing w:after="0" w:line="277" w:lineRule="auto"/>
        <w:rPr>
          <w:sz w:val="20"/>
          <w:szCs w:val="20"/>
          <w:color w:val="auto"/>
        </w:rPr>
      </w:pPr>
      <w:r>
        <w:rPr>
          <w:rFonts w:ascii="Arial" w:cs="Arial" w:eastAsia="Arial" w:hAnsi="Arial"/>
          <w:sz w:val="18"/>
          <w:szCs w:val="18"/>
          <w:color w:val="auto"/>
        </w:rPr>
        <w:t>As statutory auditor, we have audited the accompanying financial statements of AC Immune SA, which comprise the balance sheet, income statement and notes, for the year ended 31 December 2017.</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Board of Directors’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71805" cy="360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1805" cy="360045"/>
                    </a:xfrm>
                    <a:prstGeom prst="rect">
                      <a:avLst/>
                    </a:prstGeom>
                    <a:noFill/>
                  </pic:spPr>
                </pic:pic>
              </a:graphicData>
            </a:graphic>
          </wp:anchor>
        </w:drawing>
      </w:r>
    </w:p>
    <w:p>
      <w:pPr>
        <w:spacing w:after="0" w:line="7" w:lineRule="exact"/>
        <w:rPr>
          <w:sz w:val="20"/>
          <w:szCs w:val="20"/>
          <w:color w:val="auto"/>
        </w:rPr>
      </w:pPr>
    </w:p>
    <w:p>
      <w:pPr>
        <w:jc w:val="both"/>
        <w:ind w:left="1620" w:right="160"/>
        <w:spacing w:after="0" w:line="253" w:lineRule="auto"/>
        <w:rPr>
          <w:sz w:val="20"/>
          <w:szCs w:val="20"/>
          <w:color w:val="auto"/>
        </w:rPr>
      </w:pPr>
      <w:r>
        <w:rPr>
          <w:rFonts w:ascii="Arial" w:cs="Arial" w:eastAsia="Arial" w:hAnsi="Arial"/>
          <w:sz w:val="18"/>
          <w:szCs w:val="18"/>
          <w:color w:val="auto"/>
        </w:rPr>
        <w:t>The Board of Directors is responsible for the preparation of the financial statements in accordance with the requirements of Swiss law and the company’s articles of incorporation. This responsibility includes designing, implementing and maintaining an internal control system relevant to the preparation of financial statements that are free from material misstatement, whether due to fraud or error. The Board of Directors is further responsible for selecting and applying appropriate accounting policies and making accounting estimates that are reasonable in the circumstances.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Auditor’s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11480" cy="531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1480" cy="531495"/>
                    </a:xfrm>
                    <a:prstGeom prst="rect">
                      <a:avLst/>
                    </a:prstGeom>
                    <a:noFill/>
                  </pic:spPr>
                </pic:pic>
              </a:graphicData>
            </a:graphic>
          </wp:anchor>
        </w:drawing>
      </w:r>
    </w:p>
    <w:p>
      <w:pPr>
        <w:spacing w:after="0" w:line="7" w:lineRule="exact"/>
        <w:rPr>
          <w:sz w:val="20"/>
          <w:szCs w:val="20"/>
          <w:color w:val="auto"/>
        </w:rPr>
      </w:pPr>
    </w:p>
    <w:p>
      <w:pPr>
        <w:ind w:left="1620" w:right="60"/>
        <w:spacing w:after="0" w:line="255"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Swiss law and Swiss Auditing Standards. Those standards require that we plan and perform the audit to obtain reasonable assurance whether the financial statements are free from material misstatement.</w:t>
      </w:r>
    </w:p>
    <w:p>
      <w:pPr>
        <w:spacing w:after="0" w:line="190" w:lineRule="exact"/>
        <w:rPr>
          <w:sz w:val="20"/>
          <w:szCs w:val="20"/>
          <w:color w:val="auto"/>
        </w:rPr>
      </w:pPr>
    </w:p>
    <w:p>
      <w:pPr>
        <w:ind w:left="1620" w:right="40"/>
        <w:spacing w:after="0" w:line="271"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the internal control system relevant to the entity’s preparation of the financial statements in order to design audit procedures that are appropriate in the circumstances, but not for the purpose of expressing an opinion on the effectiveness of the entity’s internal control system. An audit also includes evaluating the appropriateness of the accounting policies used and the reasonableness of accounting estimates made, as well as evaluating the overall presentation of the financial statements. We believe that the audit evidence we have obtained is sufficient and appropriate to provide a basis for our audit opinion.</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51790" cy="325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1790" cy="325755"/>
                    </a:xfrm>
                    <a:prstGeom prst="rect">
                      <a:avLst/>
                    </a:prstGeom>
                    <a:noFill/>
                  </pic:spPr>
                </pic:pic>
              </a:graphicData>
            </a:graphic>
          </wp:anchor>
        </w:drawing>
      </w:r>
    </w:p>
    <w:p>
      <w:pPr>
        <w:spacing w:after="0" w:line="7" w:lineRule="exact"/>
        <w:rPr>
          <w:sz w:val="20"/>
          <w:szCs w:val="20"/>
          <w:color w:val="auto"/>
        </w:rPr>
      </w:pPr>
    </w:p>
    <w:p>
      <w:pPr>
        <w:ind w:left="1620" w:right="340"/>
        <w:spacing w:after="0" w:line="261" w:lineRule="auto"/>
        <w:rPr>
          <w:sz w:val="20"/>
          <w:szCs w:val="20"/>
          <w:color w:val="auto"/>
        </w:rPr>
      </w:pPr>
      <w:r>
        <w:rPr>
          <w:rFonts w:ascii="Arial" w:cs="Arial" w:eastAsia="Arial" w:hAnsi="Arial"/>
          <w:sz w:val="18"/>
          <w:szCs w:val="18"/>
          <w:color w:val="auto"/>
        </w:rPr>
        <w:t>In our opinion, the financial statements for the year ended 31 December 2017 comply with Swiss law and the company’s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Report on key audit matters based on the circular 1/2015 of the Federal Audit Oversight Authority</w:t>
      </w:r>
    </w:p>
    <w:p>
      <w:pPr>
        <w:spacing w:after="0" w:line="27" w:lineRule="exact"/>
        <w:rPr>
          <w:sz w:val="20"/>
          <w:szCs w:val="20"/>
          <w:color w:val="auto"/>
        </w:rPr>
      </w:pPr>
    </w:p>
    <w:p>
      <w:pPr>
        <w:ind w:left="1620"/>
        <w:spacing w:after="0" w:line="254" w:lineRule="auto"/>
        <w:rPr>
          <w:sz w:val="20"/>
          <w:szCs w:val="20"/>
          <w:color w:val="auto"/>
        </w:rPr>
      </w:pPr>
      <w:r>
        <w:rPr>
          <w:rFonts w:ascii="Arial" w:cs="Arial" w:eastAsia="Arial" w:hAnsi="Arial"/>
          <w:sz w:val="18"/>
          <w:szCs w:val="18"/>
          <w:color w:val="auto"/>
        </w:rPr>
        <w:t>Key audit matters are those matters that, in our professional judgment,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 For each matter below, our description of how our audit addressed the matter is provided in that context.</w:t>
      </w:r>
    </w:p>
    <w:p>
      <w:pPr>
        <w:spacing w:after="0" w:line="190" w:lineRule="exact"/>
        <w:rPr>
          <w:sz w:val="20"/>
          <w:szCs w:val="20"/>
          <w:color w:val="auto"/>
        </w:rPr>
      </w:pPr>
    </w:p>
    <w:p>
      <w:pPr>
        <w:ind w:left="1620" w:right="40"/>
        <w:spacing w:after="0" w:line="279" w:lineRule="auto"/>
        <w:rPr>
          <w:sz w:val="20"/>
          <w:szCs w:val="20"/>
          <w:color w:val="auto"/>
        </w:rPr>
      </w:pPr>
      <w:r>
        <w:rPr>
          <w:rFonts w:ascii="Arial" w:cs="Arial" w:eastAsia="Arial" w:hAnsi="Arial"/>
          <w:sz w:val="17"/>
          <w:szCs w:val="17"/>
          <w:color w:val="auto"/>
        </w:rPr>
        <w:t>We have fulfilled the responsibilities described in the Auditor?s responsibilities section of our report, including in relation to these matters. Accordingly, our audit included the performance of procedures designed to respond to our assessment of the risks of material misstatement of the financial statements. The results of our audit procedures, including the procedures performed to address the matters below, provide the basis for our audit opinion on the accompanying financial statements.</w:t>
      </w:r>
    </w:p>
    <w:p>
      <w:pPr>
        <w:spacing w:after="0" w:line="19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Collaboration arrangements - revenue recognition</w:t>
      </w:r>
    </w:p>
    <w:p>
      <w:pPr>
        <w:spacing w:after="0" w:line="90" w:lineRule="exact"/>
        <w:rPr>
          <w:sz w:val="20"/>
          <w:szCs w:val="20"/>
          <w:color w:val="auto"/>
        </w:rPr>
      </w:pPr>
    </w:p>
    <w:p>
      <w:pPr>
        <w:ind w:left="3600" w:right="2360" w:hanging="1241"/>
        <w:spacing w:after="0" w:line="291" w:lineRule="auto"/>
        <w:tabs>
          <w:tab w:leader="none" w:pos="3580" w:val="left"/>
        </w:tabs>
        <w:rPr>
          <w:sz w:val="20"/>
          <w:szCs w:val="20"/>
          <w:color w:val="auto"/>
        </w:rPr>
      </w:pPr>
      <w:r>
        <w:rPr>
          <w:rFonts w:ascii="Arial" w:cs="Arial" w:eastAsia="Arial" w:hAnsi="Arial"/>
          <w:sz w:val="18"/>
          <w:szCs w:val="18"/>
          <w:b w:val="1"/>
          <w:bCs w:val="1"/>
          <w:color w:val="auto"/>
        </w:rPr>
        <w:t>Area of focus</w:t>
      </w:r>
      <w:r>
        <w:rPr>
          <w:sz w:val="20"/>
          <w:szCs w:val="20"/>
          <w:color w:val="auto"/>
        </w:rPr>
        <w:tab/>
      </w:r>
      <w:r>
        <w:rPr>
          <w:rFonts w:ascii="Arial" w:cs="Arial" w:eastAsia="Arial" w:hAnsi="Arial"/>
          <w:sz w:val="16"/>
          <w:szCs w:val="16"/>
          <w:color w:val="auto"/>
        </w:rPr>
        <w:t>AC Immune SA has entered into material revenue generating collaboration agreements with various collaboration partners. These arrangements vary in type and structure; however, typically include up-front fees, performance milestones and contain separate Research and Development (R&amp;D) service deliverables. Revenue is recognized as Contract Revenue on the Income Statement over the estimated performance or agreement period or upon successful accomplishment of pre-defined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-988060</wp:posOffset>
            </wp:positionV>
            <wp:extent cx="43478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5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Given the nature of the collaboration agreements and the complexity and</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judgement involved, we consider this area as significant to our audit.</w:t>
      </w:r>
    </w:p>
    <w:p>
      <w:pPr>
        <w:spacing w:after="0" w:line="21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Refer to Note 2 and Note 11 in the Financial Statements for AC Immune's</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accounting policy and further details.</w:t>
      </w:r>
    </w:p>
    <w:p>
      <w:pPr>
        <w:spacing w:after="0" w:line="72" w:lineRule="exact"/>
        <w:rPr>
          <w:sz w:val="20"/>
          <w:szCs w:val="20"/>
          <w:color w:val="auto"/>
        </w:rPr>
      </w:pPr>
    </w:p>
    <w:p>
      <w:pPr>
        <w:ind w:left="2360"/>
        <w:spacing w:after="0"/>
        <w:tabs>
          <w:tab w:leader="none" w:pos="3580" w:val="left"/>
        </w:tabs>
        <w:rPr>
          <w:sz w:val="20"/>
          <w:szCs w:val="20"/>
          <w:color w:val="auto"/>
        </w:rPr>
      </w:pPr>
      <w:r>
        <w:rPr>
          <w:rFonts w:ascii="Arial" w:cs="Arial" w:eastAsia="Arial" w:hAnsi="Arial"/>
          <w:sz w:val="18"/>
          <w:szCs w:val="18"/>
          <w:b w:val="1"/>
          <w:bCs w:val="1"/>
          <w:color w:val="auto"/>
        </w:rPr>
        <w:t>Our audit</w:t>
      </w:r>
      <w:r>
        <w:rPr>
          <w:sz w:val="20"/>
          <w:szCs w:val="20"/>
          <w:color w:val="auto"/>
        </w:rPr>
        <w:tab/>
      </w:r>
      <w:r>
        <w:rPr>
          <w:rFonts w:ascii="Arial" w:cs="Arial" w:eastAsia="Arial" w:hAnsi="Arial"/>
          <w:sz w:val="16"/>
          <w:szCs w:val="16"/>
          <w:color w:val="auto"/>
        </w:rPr>
        <w:t>Our audit procedures included assessing the application of the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-127635</wp:posOffset>
            </wp:positionV>
            <wp:extent cx="43478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7" w:lineRule="exact"/>
        <w:rPr>
          <w:sz w:val="20"/>
          <w:szCs w:val="20"/>
          <w:color w:val="auto"/>
        </w:rPr>
      </w:pPr>
    </w:p>
    <w:p>
      <w:pPr>
        <w:ind w:left="3600" w:right="2600" w:hanging="1239"/>
        <w:spacing w:after="0" w:line="273" w:lineRule="auto"/>
        <w:tabs>
          <w:tab w:leader="none" w:pos="358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policy for collaboration agreements. For each significant transaction, we evaluated the revenue recognition timing compared to the timing of fulfillment of contractual terms and conditions and corroborated the key judgements applied in this determination.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Report on other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57530" cy="514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530" cy="514350"/>
                    </a:xfrm>
                    <a:prstGeom prst="rect">
                      <a:avLst/>
                    </a:prstGeom>
                    <a:noFill/>
                  </pic:spPr>
                </pic:pic>
              </a:graphicData>
            </a:graphic>
          </wp:anchor>
        </w:drawing>
      </w:r>
    </w:p>
    <w:p>
      <w:pPr>
        <w:spacing w:after="0" w:line="7" w:lineRule="exact"/>
        <w:rPr>
          <w:sz w:val="20"/>
          <w:szCs w:val="20"/>
          <w:color w:val="auto"/>
        </w:rPr>
      </w:pPr>
    </w:p>
    <w:p>
      <w:pPr>
        <w:ind w:left="1620"/>
        <w:spacing w:after="0" w:line="290" w:lineRule="auto"/>
        <w:rPr>
          <w:sz w:val="20"/>
          <w:szCs w:val="20"/>
          <w:color w:val="auto"/>
        </w:rPr>
      </w:pPr>
      <w:r>
        <w:rPr>
          <w:rFonts w:ascii="Arial" w:cs="Arial" w:eastAsia="Arial" w:hAnsi="Arial"/>
          <w:sz w:val="17"/>
          <w:szCs w:val="17"/>
          <w:color w:val="auto"/>
        </w:rPr>
        <w:t>We confirm that we meet the legal requirements on licensing according to the Auditor Oversight Act (AOA) and independence (article 728 CO and article 11 AOA) and that there are no circumstances incompatible with our independence.</w:t>
      </w:r>
    </w:p>
    <w:p>
      <w:pPr>
        <w:spacing w:after="0" w:line="162" w:lineRule="exact"/>
        <w:rPr>
          <w:sz w:val="20"/>
          <w:szCs w:val="20"/>
          <w:color w:val="auto"/>
        </w:rPr>
      </w:pPr>
    </w:p>
    <w:p>
      <w:pPr>
        <w:ind w:left="1620" w:right="20"/>
        <w:spacing w:after="0" w:line="342" w:lineRule="auto"/>
        <w:rPr>
          <w:sz w:val="20"/>
          <w:szCs w:val="20"/>
          <w:color w:val="auto"/>
        </w:rPr>
      </w:pPr>
      <w:r>
        <w:rPr>
          <w:rFonts w:ascii="Arial" w:cs="Arial" w:eastAsia="Arial" w:hAnsi="Arial"/>
          <w:sz w:val="16"/>
          <w:szCs w:val="16"/>
          <w:color w:val="auto"/>
        </w:rPr>
        <w:t>In accordance with article 728a para. 1 item 3 CO and Swiss Auditing Standard 890, we confirm that an internal control system exists, which has been designed for the preparation of financial statements according to the instructions of the Board of Directors.</w:t>
      </w:r>
    </w:p>
    <w:p>
      <w:pPr>
        <w:spacing w:after="0" w:line="15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recommend that the financial statements submitted to you be approved.</w:t>
      </w:r>
    </w:p>
    <w:p>
      <w:pPr>
        <w:spacing w:after="0" w:line="25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Ernst &amp; Young Ltd</w:t>
      </w:r>
    </w:p>
    <w:p>
      <w:pPr>
        <w:sectPr>
          <w:pgSz w:w="11900" w:h="16838" w:orient="portrait"/>
          <w:cols w:equalWidth="0" w:num="1">
            <w:col w:w="11320"/>
          </w:cols>
          <w:pgMar w:left="240" w:top="2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 Jürg Zürcher</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Jürg Zürcher</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Licensed audit expert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(Auditor in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Paulina Korecka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Paulina Korecka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Certified Public Accountant</w:t>
      </w:r>
    </w:p>
    <w:p>
      <w:pPr>
        <w:spacing w:after="0" w:line="439" w:lineRule="exact"/>
        <w:rPr>
          <w:sz w:val="20"/>
          <w:szCs w:val="20"/>
          <w:color w:val="auto"/>
        </w:rPr>
      </w:pPr>
    </w:p>
    <w:p>
      <w:pPr>
        <w:sectPr>
          <w:pgSz w:w="11900" w:h="16838" w:orient="portrait"/>
          <w:cols w:equalWidth="0" w:num="2">
            <w:col w:w="6020" w:space="720"/>
            <w:col w:w="4580"/>
          </w:cols>
          <w:pgMar w:left="24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Enclosures</w:t>
      </w:r>
    </w:p>
    <w:p>
      <w:pPr>
        <w:spacing w:after="0" w:line="27" w:lineRule="exact"/>
        <w:rPr>
          <w:sz w:val="20"/>
          <w:szCs w:val="20"/>
          <w:color w:val="auto"/>
        </w:rPr>
      </w:pPr>
    </w:p>
    <w:p>
      <w:pPr>
        <w:ind w:left="5540" w:right="4840" w:hanging="3925"/>
        <w:spacing w:after="0" w:line="721" w:lineRule="auto"/>
        <w:tabs>
          <w:tab w:leader="none" w:pos="1781" w:val="left"/>
        </w:tabs>
        <w:numPr>
          <w:ilvl w:val="0"/>
          <w:numId w:val="30"/>
        </w:numPr>
        <w:rPr>
          <w:rFonts w:ascii="Arial" w:cs="Arial" w:eastAsia="Arial" w:hAnsi="Arial"/>
          <w:sz w:val="17"/>
          <w:szCs w:val="17"/>
          <w:color w:val="FFE600"/>
        </w:rPr>
      </w:pPr>
      <w:r>
        <w:rPr>
          <w:rFonts w:ascii="Arial" w:cs="Arial" w:eastAsia="Arial" w:hAnsi="Arial"/>
          <w:sz w:val="17"/>
          <w:szCs w:val="17"/>
          <w:color w:val="auto"/>
        </w:rPr>
        <w:t>Financial statements (balance sheet, income statement and notes)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960" w:type="dxa"/>
            <w:vAlign w:val="bottom"/>
            <w:vMerge w:val="restart"/>
          </w:tcPr>
          <w:p>
            <w:pPr>
              <w:ind w:left="4120"/>
              <w:spacing w:after="0"/>
              <w:rPr>
                <w:sz w:val="20"/>
                <w:szCs w:val="20"/>
                <w:color w:val="auto"/>
              </w:rPr>
            </w:pPr>
            <w:r>
              <w:rPr>
                <w:rFonts w:ascii="Arial" w:cs="Arial" w:eastAsia="Arial" w:hAnsi="Arial"/>
                <w:sz w:val="18"/>
                <w:szCs w:val="18"/>
                <w:b w:val="1"/>
                <w:bCs w:val="1"/>
                <w:color w:val="auto"/>
              </w:rPr>
              <w:t>Notes</w:t>
            </w: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496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43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99"/>
              </w:rPr>
              <w:t>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124,631</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 Third parties</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99"/>
              </w:rPr>
              <w:t>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 Short-term financial receivables</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99"/>
              </w:rPr>
              <w:t>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Prepaid expenses</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99"/>
              </w:rPr>
              <w:t>7</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Accrued income</w:t>
            </w:r>
          </w:p>
        </w:tc>
        <w:tc>
          <w:tcPr>
            <w:tcW w:w="496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96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129,825</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156,535</w:t>
            </w:r>
          </w:p>
        </w:tc>
        <w:tc>
          <w:tcPr>
            <w:tcW w:w="0" w:type="dxa"/>
            <w:vAlign w:val="bottom"/>
          </w:tcPr>
          <w:p>
            <w:pPr>
              <w:spacing w:after="0"/>
              <w:rPr>
                <w:sz w:val="1"/>
                <w:szCs w:val="1"/>
                <w:color w:val="auto"/>
              </w:rPr>
            </w:pPr>
          </w:p>
        </w:tc>
      </w:tr>
      <w:tr>
        <w:trPr>
          <w:trHeight w:val="411"/>
        </w:trPr>
        <w:tc>
          <w:tcPr>
            <w:tcW w:w="43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Financial assets</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99"/>
              </w:rPr>
              <w:t>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Prepaid expenses</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99"/>
              </w:rPr>
              <w:t>7</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496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2,496</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1,206</w:t>
            </w:r>
          </w:p>
        </w:tc>
        <w:tc>
          <w:tcPr>
            <w:tcW w:w="0" w:type="dxa"/>
            <w:vAlign w:val="bottom"/>
          </w:tcPr>
          <w:p>
            <w:pPr>
              <w:spacing w:after="0"/>
              <w:rPr>
                <w:sz w:val="1"/>
                <w:szCs w:val="1"/>
                <w:color w:val="auto"/>
              </w:rPr>
            </w:pPr>
          </w:p>
        </w:tc>
      </w:tr>
      <w:tr>
        <w:trPr>
          <w:trHeight w:val="426"/>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96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157,741</w:t>
            </w:r>
          </w:p>
        </w:tc>
        <w:tc>
          <w:tcPr>
            <w:tcW w:w="0" w:type="dxa"/>
            <w:vAlign w:val="bottom"/>
          </w:tcPr>
          <w:p>
            <w:pPr>
              <w:spacing w:after="0"/>
              <w:rPr>
                <w:sz w:val="1"/>
                <w:szCs w:val="1"/>
                <w:color w:val="auto"/>
              </w:rPr>
            </w:pPr>
          </w:p>
        </w:tc>
      </w:tr>
      <w:tr>
        <w:trPr>
          <w:trHeight w:val="426"/>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Trade payables</w:t>
            </w:r>
          </w:p>
        </w:tc>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 To third parties</w:t>
            </w:r>
          </w:p>
        </w:tc>
        <w:tc>
          <w:tcPr>
            <w:tcW w:w="4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 To shareholders</w:t>
            </w:r>
          </w:p>
        </w:tc>
        <w:tc>
          <w:tcPr>
            <w:tcW w:w="4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Accrued expenses and deferred income</w:t>
            </w:r>
          </w:p>
        </w:tc>
        <w:tc>
          <w:tcPr>
            <w:tcW w:w="496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8,662</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28"/>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99"/>
              </w:rPr>
              <w:t>8</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9,754</w:t>
            </w: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9,922</w:t>
            </w:r>
          </w:p>
        </w:tc>
        <w:tc>
          <w:tcPr>
            <w:tcW w:w="0" w:type="dxa"/>
            <w:vAlign w:val="bottom"/>
          </w:tcPr>
          <w:p>
            <w:pPr>
              <w:spacing w:after="0"/>
              <w:rPr>
                <w:sz w:val="1"/>
                <w:szCs w:val="1"/>
                <w:color w:val="auto"/>
              </w:rPr>
            </w:pPr>
          </w:p>
        </w:tc>
      </w:tr>
      <w:tr>
        <w:trPr>
          <w:trHeight w:val="400"/>
        </w:trPr>
        <w:tc>
          <w:tcPr>
            <w:tcW w:w="43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Long-term financing obligation</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99"/>
              </w:rPr>
              <w:t>9</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496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1"/>
        </w:trPr>
        <w:tc>
          <w:tcPr>
            <w:tcW w:w="43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Share capital</w:t>
            </w:r>
          </w:p>
        </w:tc>
        <w:tc>
          <w:tcPr>
            <w:tcW w:w="4960" w:type="dxa"/>
            <w:vAlign w:val="bottom"/>
          </w:tcPr>
          <w:p>
            <w:pPr>
              <w:jc w:val="center"/>
              <w:ind w:left="3610"/>
              <w:spacing w:after="0"/>
              <w:rPr>
                <w:sz w:val="20"/>
                <w:szCs w:val="20"/>
                <w:color w:val="auto"/>
              </w:rPr>
            </w:pPr>
            <w:r>
              <w:rPr>
                <w:rFonts w:ascii="Arial" w:cs="Arial" w:eastAsia="Arial" w:hAnsi="Arial"/>
                <w:sz w:val="18"/>
                <w:szCs w:val="18"/>
                <w:color w:val="auto"/>
                <w:w w:val="89"/>
              </w:rPr>
              <w:t>10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Reserves from capital contributions</w:t>
            </w:r>
          </w:p>
        </w:tc>
        <w:tc>
          <w:tcPr>
            <w:tcW w:w="4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179,352</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179,242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Accumulated losses brought forward</w:t>
            </w:r>
          </w:p>
        </w:tc>
        <w:tc>
          <w:tcPr>
            <w:tcW w:w="49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(24,930)</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Loss for the year</w:t>
            </w:r>
          </w:p>
        </w:tc>
        <w:tc>
          <w:tcPr>
            <w:tcW w:w="49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496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122,073</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147,819</w:t>
            </w:r>
          </w:p>
        </w:tc>
        <w:tc>
          <w:tcPr>
            <w:tcW w:w="0" w:type="dxa"/>
            <w:vAlign w:val="bottom"/>
          </w:tcPr>
          <w:p>
            <w:pPr>
              <w:spacing w:after="0"/>
              <w:rPr>
                <w:sz w:val="1"/>
                <w:szCs w:val="1"/>
                <w:color w:val="auto"/>
              </w:rPr>
            </w:pPr>
          </w:p>
        </w:tc>
      </w:tr>
      <w:tr>
        <w:trPr>
          <w:trHeight w:val="426"/>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96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157,741</w:t>
            </w:r>
          </w:p>
        </w:tc>
        <w:tc>
          <w:tcPr>
            <w:tcW w:w="0" w:type="dxa"/>
            <w:vAlign w:val="bottom"/>
          </w:tcPr>
          <w:p>
            <w:pPr>
              <w:spacing w:after="0"/>
              <w:rPr>
                <w:sz w:val="1"/>
                <w:szCs w:val="1"/>
                <w:color w:val="auto"/>
              </w:rPr>
            </w:pPr>
          </w:p>
        </w:tc>
      </w:tr>
      <w:tr>
        <w:trPr>
          <w:trHeight w:val="318"/>
        </w:trPr>
        <w:tc>
          <w:tcPr>
            <w:tcW w:w="43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F-49</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Statement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Years Ended 31</w:t>
            </w:r>
          </w:p>
        </w:tc>
      </w:tr>
      <w:tr>
        <w:trPr>
          <w:trHeight w:val="216"/>
        </w:trPr>
        <w:tc>
          <w:tcPr>
            <w:tcW w:w="37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December,</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5500" w:type="dxa"/>
            <w:vAlign w:val="bottom"/>
          </w:tcPr>
          <w:p>
            <w:pPr>
              <w:jc w:val="center"/>
              <w:ind w:left="4150"/>
              <w:spacing w:after="0"/>
              <w:rPr>
                <w:sz w:val="20"/>
                <w:szCs w:val="20"/>
                <w:color w:val="auto"/>
              </w:rPr>
            </w:pPr>
            <w:r>
              <w:rPr>
                <w:rFonts w:ascii="Arial" w:cs="Arial" w:eastAsia="Arial" w:hAnsi="Arial"/>
                <w:sz w:val="18"/>
                <w:szCs w:val="18"/>
                <w:b w:val="1"/>
                <w:bCs w:val="1"/>
                <w:color w:val="auto"/>
                <w:w w:val="83"/>
              </w:rPr>
              <w:t>Notes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r>
      <w:tr>
        <w:trPr>
          <w:trHeight w:val="426"/>
        </w:trPr>
        <w:tc>
          <w:tcPr>
            <w:tcW w:w="3780" w:type="dxa"/>
            <w:vAlign w:val="bottom"/>
          </w:tcPr>
          <w:p>
            <w:pPr>
              <w:spacing w:after="0"/>
              <w:rPr>
                <w:sz w:val="20"/>
                <w:szCs w:val="20"/>
                <w:color w:val="auto"/>
              </w:rPr>
            </w:pPr>
            <w:r>
              <w:rPr>
                <w:rFonts w:ascii="Arial" w:cs="Arial" w:eastAsia="Arial" w:hAnsi="Arial"/>
                <w:sz w:val="18"/>
                <w:szCs w:val="18"/>
                <w:b w:val="1"/>
                <w:bCs w:val="1"/>
                <w:color w:val="auto"/>
              </w:rPr>
              <w:t>Contract revenue</w:t>
            </w:r>
          </w:p>
        </w:tc>
        <w:tc>
          <w:tcPr>
            <w:tcW w:w="5500" w:type="dxa"/>
            <w:vAlign w:val="bottom"/>
          </w:tcPr>
          <w:p>
            <w:pPr>
              <w:jc w:val="center"/>
              <w:ind w:left="4150"/>
              <w:spacing w:after="0"/>
              <w:rPr>
                <w:sz w:val="20"/>
                <w:szCs w:val="20"/>
                <w:color w:val="auto"/>
              </w:rPr>
            </w:pPr>
            <w:r>
              <w:rPr>
                <w:rFonts w:ascii="Arial" w:cs="Arial" w:eastAsia="Arial" w:hAnsi="Arial"/>
                <w:sz w:val="18"/>
                <w:szCs w:val="18"/>
                <w:color w:val="auto"/>
                <w:w w:val="89"/>
              </w:rPr>
              <w:t>11</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20,255</w:t>
            </w:r>
          </w:p>
        </w:tc>
        <w:tc>
          <w:tcPr>
            <w:tcW w:w="1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23,214</w:t>
            </w:r>
          </w:p>
        </w:tc>
      </w:tr>
      <w:tr>
        <w:trPr>
          <w:trHeight w:val="418"/>
        </w:trPr>
        <w:tc>
          <w:tcPr>
            <w:tcW w:w="37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5500" w:type="dxa"/>
            <w:vAlign w:val="bottom"/>
          </w:tcPr>
          <w:p>
            <w:pPr>
              <w:jc w:val="center"/>
              <w:ind w:left="4150"/>
              <w:spacing w:after="0"/>
              <w:rPr>
                <w:sz w:val="20"/>
                <w:szCs w:val="20"/>
                <w:color w:val="auto"/>
              </w:rPr>
            </w:pPr>
            <w:r>
              <w:rPr>
                <w:rFonts w:ascii="Arial" w:cs="Arial" w:eastAsia="Arial" w:hAnsi="Arial"/>
                <w:sz w:val="18"/>
                <w:szCs w:val="18"/>
                <w:color w:val="auto"/>
                <w:w w:val="89"/>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5500" w:type="dxa"/>
            <w:vAlign w:val="bottom"/>
          </w:tcPr>
          <w:p>
            <w:pPr>
              <w:jc w:val="center"/>
              <w:ind w:left="4150"/>
              <w:spacing w:after="0"/>
              <w:rPr>
                <w:sz w:val="20"/>
                <w:szCs w:val="20"/>
                <w:color w:val="auto"/>
              </w:rPr>
            </w:pPr>
            <w:r>
              <w:rPr>
                <w:rFonts w:ascii="Arial" w:cs="Arial" w:eastAsia="Arial" w:hAnsi="Arial"/>
                <w:sz w:val="18"/>
                <w:szCs w:val="18"/>
                <w:color w:val="auto"/>
                <w:w w:val="89"/>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(27,098)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(25,499)</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5500" w:type="dxa"/>
            <w:vAlign w:val="bottom"/>
          </w:tcPr>
          <w:p>
            <w:pPr>
              <w:jc w:val="center"/>
              <w:ind w:left="4150"/>
              <w:spacing w:after="0"/>
              <w:rPr>
                <w:sz w:val="20"/>
                <w:szCs w:val="20"/>
                <w:color w:val="auto"/>
              </w:rPr>
            </w:pPr>
            <w:r>
              <w:rPr>
                <w:rFonts w:ascii="Arial" w:cs="Arial" w:eastAsia="Arial" w:hAnsi="Arial"/>
                <w:sz w:val="18"/>
                <w:szCs w:val="18"/>
                <w:color w:val="auto"/>
                <w:w w:val="89"/>
              </w:rPr>
              <w:t>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28"/>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5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(40,884)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(35,945)</w:t>
            </w:r>
          </w:p>
        </w:tc>
      </w:tr>
      <w:tr>
        <w:trPr>
          <w:trHeight w:val="414"/>
        </w:trPr>
        <w:tc>
          <w:tcPr>
            <w:tcW w:w="37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5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(20,629)</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(12,731)</w:t>
            </w:r>
          </w:p>
        </w:tc>
      </w:tr>
      <w:tr>
        <w:trPr>
          <w:trHeight w:val="418"/>
        </w:trPr>
        <w:tc>
          <w:tcPr>
            <w:tcW w:w="3780" w:type="dxa"/>
            <w:vAlign w:val="bottom"/>
          </w:tcPr>
          <w:p>
            <w:pPr>
              <w:spacing w:after="0"/>
              <w:rPr>
                <w:sz w:val="20"/>
                <w:szCs w:val="20"/>
                <w:color w:val="auto"/>
              </w:rPr>
            </w:pPr>
            <w:r>
              <w:rPr>
                <w:rFonts w:ascii="Arial" w:cs="Arial" w:eastAsia="Arial" w:hAnsi="Arial"/>
                <w:sz w:val="18"/>
                <w:szCs w:val="18"/>
                <w:color w:val="auto"/>
              </w:rPr>
              <w:t>Financial income</w:t>
            </w:r>
          </w:p>
        </w:tc>
        <w:tc>
          <w:tcPr>
            <w:tcW w:w="5500" w:type="dxa"/>
            <w:vAlign w:val="bottom"/>
          </w:tcPr>
          <w:p>
            <w:pPr>
              <w:jc w:val="center"/>
              <w:ind w:left="4150"/>
              <w:spacing w:after="0"/>
              <w:rPr>
                <w:sz w:val="20"/>
                <w:szCs w:val="20"/>
                <w:color w:val="auto"/>
              </w:rPr>
            </w:pPr>
            <w:r>
              <w:rPr>
                <w:rFonts w:ascii="Arial" w:cs="Arial" w:eastAsia="Arial" w:hAnsi="Arial"/>
                <w:sz w:val="18"/>
                <w:szCs w:val="18"/>
                <w:color w:val="auto"/>
                <w:w w:val="89"/>
              </w:rPr>
              <w:t>13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5,238</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Financial expenses</w:t>
            </w:r>
          </w:p>
        </w:tc>
        <w:tc>
          <w:tcPr>
            <w:tcW w:w="5500" w:type="dxa"/>
            <w:vAlign w:val="bottom"/>
          </w:tcPr>
          <w:p>
            <w:pPr>
              <w:jc w:val="center"/>
              <w:ind w:left="4150"/>
              <w:spacing w:after="0"/>
              <w:rPr>
                <w:sz w:val="20"/>
                <w:szCs w:val="20"/>
                <w:color w:val="auto"/>
              </w:rPr>
            </w:pPr>
            <w:r>
              <w:rPr>
                <w:rFonts w:ascii="Arial" w:cs="Arial" w:eastAsia="Arial" w:hAnsi="Arial"/>
                <w:sz w:val="18"/>
                <w:szCs w:val="18"/>
                <w:color w:val="auto"/>
                <w:w w:val="89"/>
              </w:rPr>
              <w:t>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10"/>
        </w:trPr>
        <w:tc>
          <w:tcPr>
            <w:tcW w:w="378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5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(25,868)</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(7,628)</w:t>
            </w:r>
          </w:p>
        </w:tc>
      </w:tr>
      <w:tr>
        <w:trPr>
          <w:trHeight w:val="561"/>
        </w:trPr>
        <w:tc>
          <w:tcPr>
            <w:tcW w:w="37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F-50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5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Our lead product candidate is crenezumab, a humanized, monoclonal, conformation-specific anti-Abeta antibody that we developed using our proprietary SupraAntigen platform. The two Phase 3 clinical studies for crenezumab were commenced in early 2016 and in February 2017,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13 February 2003 in Basel and effective 25 August 2003 was transformed into a stock company. The Company’s corporate headquarters are located at EPFL Innovation Park Building B, Ecublens/Lausanne, Vaud, Switzerland.</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statutory financial statements of AC Immune SA for the period ended 31 December 2017 were authorized for issue in accordance with a resolution of the Board of Directors on 19 March 2018 and will be submitted to the next Ordinary General Assembly.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2017 and 2016, AC Immune had an annual average of more than 50 but less than 250 full time equivalent positions.</w:t>
      </w:r>
    </w:p>
    <w:p>
      <w:pPr>
        <w:spacing w:after="0" w:line="22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principles</w:t>
      </w:r>
    </w:p>
    <w:p>
      <w:pPr>
        <w:spacing w:after="0" w:line="260" w:lineRule="exact"/>
        <w:rPr>
          <w:sz w:val="20"/>
          <w:szCs w:val="20"/>
          <w:color w:val="auto"/>
        </w:rPr>
      </w:pPr>
    </w:p>
    <w:p>
      <w:pPr>
        <w:jc w:val="both"/>
        <w:ind w:right="100" w:firstLine="324"/>
        <w:spacing w:after="0" w:line="221" w:lineRule="auto"/>
        <w:rPr>
          <w:sz w:val="20"/>
          <w:szCs w:val="20"/>
          <w:color w:val="auto"/>
        </w:rPr>
      </w:pPr>
      <w:r>
        <w:rPr>
          <w:rFonts w:ascii="Arial" w:cs="Arial" w:eastAsia="Arial" w:hAnsi="Arial"/>
          <w:sz w:val="18"/>
          <w:szCs w:val="18"/>
          <w:color w:val="auto"/>
        </w:rPr>
        <w:t xml:space="preserve">The present annual accounts have been prepared in accordance with the provisions of the Swiss law on accounting and financial reporting (32 </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Title of the Swiss Code of Obligations). The principal accounting policies are set out below. These policies have been consistently applied to all the years presented, unless otherwise stated.</w:t>
      </w:r>
    </w:p>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presentation of the financial statements for 2017 and 2016, certain amounts were reclassified in 2016 to conform to the 2017 financial statement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14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Revenue includes upfront fees, milestone payments as well as revenue from research and development agreements associated with collaborations with third parties and grants from public institutions and foundations.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of intellectual property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non-refundable, upfront license payments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These revenues are recorded in license and collaboration revenues as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Given the stage of development of the Company’s products, all research expenditures are recognized as expenses when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external research contracts accrued expenses are generally estimated based on a rate of completion related to each research project in a clinical study.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estimates its accrued expenses as of the balance sheet date in the financial statement based on facts and circumstances known at the time.</w:t>
      </w:r>
    </w:p>
    <w:p>
      <w:pPr>
        <w:spacing w:after="0" w:line="234"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Total research and development related costs, inclusive of operating expenses, payroll related expenses, and depreciation were CHF 32.1M in 2017 and CHF 25.2M in 2016. R&amp;D expenses in Alzheimer’s disease were driven by the investments related to the completion of the Phase 1b study for ACI-35, as well as costs related to the combined Phase 1/2a study for ACI-24 AD. In addition, the Company incurred costs for the next stages of clinical development for each of these respective candidates. In Non-Alzheimer’s diseases, the Company continues to incur costs in ACI-24 for Down syndrome’s Phase 1b clinical study. Diagnostic investments entail predominantly increases in spending related to our alpha-synuclein and TDP-43 PET tracer programs. New discovery programs increase CHF 3.8 million driven by CHF 3.3 million related to finalizing the proof-of-concept and manufacturing activities for studies related to our lead compounds in the Anti-Tau Morphomers and investments in new therapeutic and preventive vaccine technology. R&amp;D Expenses not allocated to specific programs increased CHF 2.5 million predominantly driven by a CHF 1.9 million increase in salaries and related costs, CHF 0.3 million in depreciation expense and CHF 0.1 million in regulatory costs. Our total research and development costs are likely to rise substantially in the coming years as the Company continues to develop and advance product candidates from the pre-clinical to clinical stages across its three-pillar strategy.</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Property, plant and 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ectPr>
          <w:pgSz w:w="11900" w:h="16838" w:orient="portrait"/>
          <w:cols w:equalWidth="0" w:num="1">
            <w:col w:w="11380"/>
          </w:cols>
          <w:pgMar w:left="240" w:top="225" w:right="27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IT equipment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97" w:lineRule="exact"/>
        <w:rPr>
          <w:sz w:val="20"/>
          <w:szCs w:val="20"/>
          <w:color w:val="auto"/>
        </w:rPr>
      </w:pPr>
    </w:p>
    <w:p>
      <w:pPr>
        <w:sectPr>
          <w:pgSz w:w="11900" w:h="16838" w:orient="portrait"/>
          <w:cols w:equalWidth="0" w:num="2">
            <w:col w:w="2480" w:space="720"/>
            <w:col w:w="8180"/>
          </w:cols>
          <w:pgMar w:left="240" w:top="225" w:right="279" w:bottom="1440" w:gutter="0" w:footer="0" w:header="0"/>
          <w:type w:val="continuous"/>
        </w:sectPr>
      </w:pPr>
    </w:p>
    <w:p>
      <w:pPr>
        <w:spacing w:after="0"/>
        <w:rPr>
          <w:sz w:val="20"/>
          <w:szCs w:val="20"/>
          <w:color w:val="auto"/>
        </w:rPr>
      </w:pPr>
      <w:r>
        <w:rPr>
          <w:rFonts w:ascii="Arial" w:cs="Arial" w:eastAsia="Arial" w:hAnsi="Arial"/>
          <w:sz w:val="16"/>
          <w:szCs w:val="16"/>
          <w:color w:val="auto"/>
        </w:rPr>
        <w:t>Laboratory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7" w:lineRule="exact"/>
        <w:rPr>
          <w:sz w:val="20"/>
          <w:szCs w:val="20"/>
          <w:color w:val="auto"/>
        </w:rPr>
      </w:pPr>
    </w:p>
    <w:p>
      <w:pPr>
        <w:sectPr>
          <w:pgSz w:w="11900" w:h="16838" w:orient="portrait"/>
          <w:cols w:equalWidth="0" w:num="2">
            <w:col w:w="2480" w:space="720"/>
            <w:col w:w="8180"/>
          </w:cols>
          <w:pgMar w:left="240" w:top="225" w:right="279" w:bottom="1440" w:gutter="0" w:footer="0" w:header="0"/>
          <w:type w:val="continuous"/>
        </w:sectPr>
      </w:pPr>
    </w:p>
    <w:p>
      <w:pPr>
        <w:spacing w:after="0"/>
        <w:rPr>
          <w:sz w:val="20"/>
          <w:szCs w:val="20"/>
          <w:color w:val="auto"/>
        </w:rPr>
      </w:pPr>
      <w:r>
        <w:rPr>
          <w:rFonts w:ascii="Arial" w:cs="Arial" w:eastAsia="Arial" w:hAnsi="Arial"/>
          <w:sz w:val="16"/>
          <w:szCs w:val="16"/>
          <w:color w:val="auto"/>
        </w:rPr>
        <w:t>Leasehold improvements / furniture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2600" w:space="600"/>
            <w:col w:w="8180"/>
          </w:cols>
          <w:pgMar w:left="240" w:top="225" w:right="279" w:bottom="1440" w:gutter="0" w:footer="0" w:header="0"/>
          <w:type w:val="continuous"/>
        </w:sectPr>
      </w:pPr>
    </w:p>
    <w:p>
      <w:pPr>
        <w:spacing w:after="0" w:line="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 and a long-term financing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which are classified as long-term assets. Receivables are recognized at their billing value. An allowance for doubtful accounts is recorded for potential estimated losses when there is objective evidence of the debtor’s inability to make required payments.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less than 3 months’ duration.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payables are recognized initially at nominal amount, which represents cost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financing obligation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long-term financing obligation is measured as of the period end date based on the repayment terms when originated.</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Significant Shareholders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20" w:type="dxa"/>
            <w:vAlign w:val="bottom"/>
          </w:tcPr>
          <w:p>
            <w:pPr>
              <w:spacing w:after="0"/>
              <w:rPr>
                <w:sz w:val="20"/>
                <w:szCs w:val="20"/>
                <w:color w:val="auto"/>
              </w:rPr>
            </w:pPr>
            <w:r>
              <w:rPr>
                <w:rFonts w:ascii="Arial" w:cs="Arial" w:eastAsia="Arial" w:hAnsi="Arial"/>
                <w:sz w:val="18"/>
                <w:szCs w:val="18"/>
                <w:color w:val="auto"/>
              </w:rPr>
              <w:t>Principal shareholders who own more than 5 percent of the voting rights: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2280" w:type="dxa"/>
            <w:vAlign w:val="bottom"/>
            <w:tcBorders>
              <w:bottom w:val="single" w:sz="8" w:color="auto"/>
            </w:tcBorders>
            <w:gridSpan w:val="4"/>
          </w:tcPr>
          <w:p>
            <w:pPr>
              <w:spacing w:after="0"/>
              <w:rPr>
                <w:sz w:val="18"/>
                <w:szCs w:val="18"/>
                <w:color w:val="auto"/>
              </w:rPr>
            </w:pPr>
          </w:p>
        </w:tc>
        <w:tc>
          <w:tcPr>
            <w:tcW w:w="120" w:type="dxa"/>
            <w:vAlign w:val="bottom"/>
            <w:vMerge w:val="restart"/>
          </w:tcPr>
          <w:p>
            <w:pPr>
              <w:spacing w:after="0"/>
              <w:rPr>
                <w:sz w:val="18"/>
                <w:szCs w:val="18"/>
                <w:color w:val="auto"/>
              </w:rPr>
            </w:pPr>
          </w:p>
        </w:tc>
        <w:tc>
          <w:tcPr>
            <w:tcW w:w="24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20" w:type="dxa"/>
            <w:vAlign w:val="bottom"/>
          </w:tcPr>
          <w:p>
            <w:pPr>
              <w:spacing w:after="0"/>
              <w:rPr>
                <w:sz w:val="16"/>
                <w:szCs w:val="16"/>
                <w:color w:val="auto"/>
              </w:rPr>
            </w:pPr>
          </w:p>
        </w:tc>
        <w:tc>
          <w:tcPr>
            <w:tcW w:w="228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89"/>
              </w:rPr>
              <w:t>Shares Owned</w:t>
            </w:r>
          </w:p>
        </w:tc>
        <w:tc>
          <w:tcPr>
            <w:tcW w:w="120" w:type="dxa"/>
            <w:vAlign w:val="bottom"/>
            <w:vMerge w:val="continue"/>
          </w:tcPr>
          <w:p>
            <w:pPr>
              <w:spacing w:after="0"/>
              <w:rPr>
                <w:sz w:val="16"/>
                <w:szCs w:val="16"/>
                <w:color w:val="auto"/>
              </w:rPr>
            </w:pPr>
          </w:p>
        </w:tc>
        <w:tc>
          <w:tcPr>
            <w:tcW w:w="2400" w:type="dxa"/>
            <w:vAlign w:val="bottom"/>
            <w:gridSpan w:val="4"/>
          </w:tcPr>
          <w:p>
            <w:pPr>
              <w:jc w:val="right"/>
              <w:ind w:right="550"/>
              <w:spacing w:after="0" w:line="191" w:lineRule="exact"/>
              <w:rPr>
                <w:sz w:val="20"/>
                <w:szCs w:val="20"/>
                <w:color w:val="auto"/>
              </w:rPr>
            </w:pPr>
            <w:r>
              <w:rPr>
                <w:rFonts w:ascii="Arial" w:cs="Arial" w:eastAsia="Arial" w:hAnsi="Arial"/>
                <w:sz w:val="18"/>
                <w:szCs w:val="18"/>
                <w:b w:val="1"/>
                <w:bCs w:val="1"/>
                <w:color w:val="auto"/>
              </w:rPr>
              <w:t>Shares Owned</w:t>
            </w:r>
          </w:p>
        </w:tc>
        <w:tc>
          <w:tcPr>
            <w:tcW w:w="0" w:type="dxa"/>
            <w:vAlign w:val="bottom"/>
          </w:tcPr>
          <w:p>
            <w:pPr>
              <w:spacing w:after="0"/>
              <w:rPr>
                <w:sz w:val="1"/>
                <w:szCs w:val="1"/>
                <w:color w:val="auto"/>
              </w:rPr>
            </w:pPr>
          </w:p>
        </w:tc>
      </w:tr>
      <w:tr>
        <w:trPr>
          <w:trHeight w:val="234"/>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Principal Shareholders</w:t>
            </w: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w w:val="84"/>
              </w:rPr>
              <w:t>2016</w:t>
            </w: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Percent</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7"/>
        </w:trPr>
        <w:tc>
          <w:tcPr>
            <w:tcW w:w="6620" w:type="dxa"/>
            <w:vAlign w:val="bottom"/>
          </w:tcPr>
          <w:p>
            <w:pPr>
              <w:spacing w:after="0" w:line="197" w:lineRule="exact"/>
              <w:rPr>
                <w:sz w:val="20"/>
                <w:szCs w:val="20"/>
                <w:color w:val="auto"/>
              </w:rPr>
            </w:pPr>
            <w:r>
              <w:rPr>
                <w:rFonts w:ascii="Arial" w:cs="Arial" w:eastAsia="Arial" w:hAnsi="Arial"/>
                <w:sz w:val="18"/>
                <w:szCs w:val="18"/>
                <w:b w:val="1"/>
                <w:bCs w:val="1"/>
                <w:color w:val="auto"/>
              </w:rPr>
              <w:t>5% Shareholders</w:t>
            </w: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620" w:type="dxa"/>
            <w:vAlign w:val="bottom"/>
          </w:tcPr>
          <w:p>
            <w:pPr>
              <w:spacing w:after="0" w:line="283"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32"/>
                <w:szCs w:val="32"/>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18,041,000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18,041,000</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82"/>
        </w:trPr>
        <w:tc>
          <w:tcPr>
            <w:tcW w:w="6620" w:type="dxa"/>
            <w:vAlign w:val="bottom"/>
          </w:tcPr>
          <w:p>
            <w:pPr>
              <w:spacing w:after="0" w:line="281" w:lineRule="exact"/>
              <w:rPr>
                <w:sz w:val="20"/>
                <w:szCs w:val="20"/>
                <w:color w:val="auto"/>
              </w:rPr>
            </w:pPr>
            <w:r>
              <w:rPr>
                <w:rFonts w:ascii="Arial" w:cs="Arial" w:eastAsia="Arial" w:hAnsi="Arial"/>
                <w:sz w:val="18"/>
                <w:szCs w:val="18"/>
                <w:color w:val="auto"/>
              </w:rPr>
              <w:t>Varuma AG</w:t>
            </w:r>
            <w:r>
              <w:rPr>
                <w:rFonts w:ascii="Arial" w:cs="Arial" w:eastAsia="Arial" w:hAnsi="Arial"/>
                <w:sz w:val="32"/>
                <w:szCs w:val="32"/>
                <w:color w:val="auto"/>
                <w:vertAlign w:val="superscript"/>
              </w:rPr>
              <w:t>(2)</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11,410,700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11,400,000</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Andrea Pfeifer, Chief Executive Officer</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2,908,500</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5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CmbH &amp; Co KG. Dietmar Hopp controls the voting and investment decisions of the ultimate parent company of dievini Hopp BioTech holding CmbH &amp; Co KG. The shares registered in the name of dievini Hopp BioTech holding CmbH &amp; Co KG may also be deemed to be beneficially owned by Friedrich von Bohlen und Halbach, who is a managing director of dievini Hopp BioTech holding CmbH &amp; Co KG. The address for dievini Hopp BioTech holding CmbH &amp; Co KG, Friedrich von Bohlen und Halbach is Johann-Jakob-Astor Str. 57, 69190 Walldorf, Germany.</w:t>
      </w:r>
    </w:p>
    <w:p>
      <w:pPr>
        <w:spacing w:after="0" w:line="215" w:lineRule="exact"/>
        <w:rPr>
          <w:rFonts w:ascii="Arial" w:cs="Arial" w:eastAsia="Arial" w:hAnsi="Arial"/>
          <w:sz w:val="18"/>
          <w:szCs w:val="18"/>
          <w:color w:val="auto"/>
        </w:rPr>
      </w:pPr>
    </w:p>
    <w:p>
      <w:pPr>
        <w:ind w:left="380" w:right="120" w:hanging="318"/>
        <w:spacing w:after="0" w:line="277" w:lineRule="auto"/>
        <w:tabs>
          <w:tab w:leader="none" w:pos="3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address for Varuma AG is Aeschenvorstadt 55, CH-4051 Basel, Switzerland. Rudolf Maag controls the voting and investment decisions of Varuma AG.</w:t>
      </w:r>
    </w:p>
    <w:p>
      <w:pPr>
        <w:spacing w:after="0" w:line="17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5 percent held at 31 December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29"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We have been a tenant at our current location in the EPFL Innovation Park in Lausanne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As of 31 December 2017, total minimum liability for the remaining term was CHF 243 thousand.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840" w:firstLine="324"/>
        <w:spacing w:after="0" w:line="342" w:lineRule="auto"/>
        <w:rPr>
          <w:sz w:val="20"/>
          <w:szCs w:val="20"/>
          <w:color w:val="auto"/>
        </w:rPr>
      </w:pPr>
      <w:r>
        <w:rPr>
          <w:rFonts w:ascii="Arial" w:cs="Arial" w:eastAsia="Arial" w:hAnsi="Arial"/>
          <w:sz w:val="16"/>
          <w:szCs w:val="16"/>
          <w:color w:val="auto"/>
        </w:rPr>
        <w:t>The preparation of financial statements in conformity with Swiss Code of Obligations requires management to make judgments, estimates and assumptions that affect the application of accounting policies and the reported amounts of assets, liabilities, income and expenses.</w:t>
      </w:r>
    </w:p>
    <w:p>
      <w:pPr>
        <w:spacing w:after="0" w:line="124"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collaboration and licensing agreements and (ii) clinical development accruals.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relating to items on Balance Sheet and Income Statement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As at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2017</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spacing w:after="0" w:line="195" w:lineRule="exact"/>
              <w:rPr>
                <w:sz w:val="20"/>
                <w:szCs w:val="20"/>
                <w:color w:val="auto"/>
              </w:rPr>
            </w:pPr>
            <w:r>
              <w:rPr>
                <w:rFonts w:ascii="Arial" w:cs="Arial" w:eastAsia="Arial" w:hAnsi="Arial"/>
                <w:sz w:val="18"/>
                <w:szCs w:val="18"/>
                <w:color w:val="auto"/>
              </w:rPr>
              <w:t>Furniture</w:t>
            </w:r>
          </w:p>
        </w:tc>
        <w:tc>
          <w:tcPr>
            <w:tcW w:w="1500" w:type="dxa"/>
            <w:vAlign w:val="bottom"/>
            <w:tcBorders>
              <w:top w:val="single" w:sz="8" w:color="auto"/>
            </w:tcBorders>
            <w:gridSpan w:val="2"/>
          </w:tcPr>
          <w:p>
            <w:pPr>
              <w:jc w:val="right"/>
              <w:ind w:right="240"/>
              <w:spacing w:after="0" w:line="195"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w:t>
            </w:r>
          </w:p>
        </w:tc>
        <w:tc>
          <w:tcPr>
            <w:tcW w:w="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IT equipment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Lab equipment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4.  Financial assets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8360" w:type="dxa"/>
            <w:vAlign w:val="bottom"/>
          </w:tcPr>
          <w:p>
            <w:pPr>
              <w:spacing w:after="0" w:line="195" w:lineRule="exact"/>
              <w:rPr>
                <w:sz w:val="20"/>
                <w:szCs w:val="20"/>
                <w:color w:val="auto"/>
              </w:rPr>
            </w:pPr>
            <w:r>
              <w:rPr>
                <w:rFonts w:ascii="Arial" w:cs="Arial" w:eastAsia="Arial" w:hAnsi="Arial"/>
                <w:sz w:val="18"/>
                <w:szCs w:val="18"/>
                <w:color w:val="auto"/>
              </w:rPr>
              <w:t>Rental deposit (restricted cash)</w:t>
            </w:r>
          </w:p>
        </w:tc>
        <w:tc>
          <w:tcPr>
            <w:tcW w:w="15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Security deposit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5.  Cash and cash equivalents</w:t>
            </w:r>
          </w:p>
        </w:tc>
        <w:tc>
          <w:tcPr>
            <w:tcW w:w="1500" w:type="dxa"/>
            <w:vAlign w:val="bottom"/>
          </w:tcPr>
          <w:p>
            <w:pPr>
              <w:spacing w:after="0"/>
              <w:rPr>
                <w:sz w:val="20"/>
                <w:szCs w:val="20"/>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6"/>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5"/>
        </w:trPr>
        <w:tc>
          <w:tcPr>
            <w:tcW w:w="8360" w:type="dxa"/>
            <w:vAlign w:val="bottom"/>
          </w:tcPr>
          <w:p>
            <w:pPr>
              <w:spacing w:after="0" w:line="195" w:lineRule="exact"/>
              <w:rPr>
                <w:sz w:val="20"/>
                <w:szCs w:val="20"/>
                <w:color w:val="auto"/>
              </w:rPr>
            </w:pPr>
            <w:r>
              <w:rPr>
                <w:rFonts w:ascii="Arial" w:cs="Arial" w:eastAsia="Arial" w:hAnsi="Arial"/>
                <w:sz w:val="18"/>
                <w:szCs w:val="18"/>
                <w:color w:val="auto"/>
              </w:rPr>
              <w:t>Cash</w:t>
            </w:r>
          </w:p>
        </w:tc>
        <w:tc>
          <w:tcPr>
            <w:tcW w:w="15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80,631</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11,366</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Short term deposits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44,000</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142,465</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124,631</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By Currency</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CHF</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103,272</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41,322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EUR</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3,694</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USD</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17,665</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105,691</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124,631</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6.  Other current receivables</w:t>
            </w:r>
          </w:p>
        </w:tc>
        <w:tc>
          <w:tcPr>
            <w:tcW w:w="1500" w:type="dxa"/>
            <w:vAlign w:val="bottom"/>
          </w:tcPr>
          <w:p>
            <w:pPr>
              <w:spacing w:after="0"/>
              <w:rPr>
                <w:sz w:val="20"/>
                <w:szCs w:val="20"/>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6"/>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from third parties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918</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 short-term financial receivables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7.  Prepaid expenses</w:t>
            </w:r>
          </w:p>
        </w:tc>
        <w:tc>
          <w:tcPr>
            <w:tcW w:w="4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6"/>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4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4460" w:type="dxa"/>
            <w:vAlign w:val="bottom"/>
          </w:tcPr>
          <w:p>
            <w:pPr>
              <w:spacing w:after="0"/>
              <w:rPr>
                <w:sz w:val="18"/>
                <w:szCs w:val="18"/>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5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3900" w:type="dxa"/>
            <w:vAlign w:val="bottom"/>
          </w:tcPr>
          <w:p>
            <w:pPr>
              <w:spacing w:after="0"/>
              <w:rPr>
                <w:sz w:val="20"/>
                <w:szCs w:val="20"/>
                <w:color w:val="auto"/>
              </w:rPr>
            </w:pPr>
            <w:r>
              <w:rPr>
                <w:rFonts w:ascii="Arial" w:cs="Arial" w:eastAsia="Arial" w:hAnsi="Arial"/>
                <w:sz w:val="18"/>
                <w:szCs w:val="18"/>
                <w:color w:val="auto"/>
              </w:rPr>
              <w:t>Prepaid expenses (current)</w:t>
            </w:r>
          </w:p>
        </w:tc>
        <w:tc>
          <w:tcPr>
            <w:tcW w:w="5960" w:type="dxa"/>
            <w:vAlign w:val="bottom"/>
            <w:gridSpan w:val="2"/>
          </w:tcPr>
          <w:p>
            <w:pPr>
              <w:jc w:val="right"/>
              <w:ind w:right="150"/>
              <w:spacing w:after="0"/>
              <w:rPr>
                <w:sz w:val="20"/>
                <w:szCs w:val="20"/>
                <w:color w:val="auto"/>
              </w:rPr>
            </w:pPr>
            <w:r>
              <w:rPr>
                <w:rFonts w:ascii="Arial" w:cs="Arial" w:eastAsia="Arial" w:hAnsi="Arial"/>
                <w:sz w:val="18"/>
                <w:szCs w:val="18"/>
                <w:color w:val="auto"/>
              </w:rPr>
              <w:t>1,457</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Prepaid expenses (non-current)</w:t>
            </w:r>
          </w:p>
        </w:tc>
        <w:tc>
          <w:tcPr>
            <w:tcW w:w="5960" w:type="dxa"/>
            <w:vAlign w:val="bottom"/>
            <w:gridSpan w:val="2"/>
          </w:tcPr>
          <w:p>
            <w:pPr>
              <w:jc w:val="right"/>
              <w:ind w:right="150"/>
              <w:spacing w:after="0"/>
              <w:rPr>
                <w:sz w:val="20"/>
                <w:szCs w:val="20"/>
                <w:color w:val="auto"/>
              </w:rPr>
            </w:pPr>
            <w:r>
              <w:rPr>
                <w:rFonts w:ascii="Arial" w:cs="Arial" w:eastAsia="Arial" w:hAnsi="Arial"/>
                <w:sz w:val="18"/>
                <w:szCs w:val="18"/>
                <w:color w:val="auto"/>
              </w:rPr>
              <w:t>17</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460" w:type="dxa"/>
            <w:vAlign w:val="bottom"/>
          </w:tcPr>
          <w:p>
            <w:pPr>
              <w:spacing w:after="0"/>
              <w:rPr>
                <w:sz w:val="18"/>
                <w:szCs w:val="18"/>
                <w:color w:val="auto"/>
              </w:rPr>
            </w:pPr>
          </w:p>
        </w:tc>
        <w:tc>
          <w:tcPr>
            <w:tcW w:w="1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1,474</w:t>
            </w:r>
          </w:p>
        </w:tc>
        <w:tc>
          <w:tcPr>
            <w:tcW w:w="320" w:type="dxa"/>
            <w:vAlign w:val="bottom"/>
            <w:gridSpan w:val="2"/>
          </w:tcPr>
          <w:p>
            <w:pPr>
              <w:spacing w:after="0"/>
              <w:rPr>
                <w:sz w:val="18"/>
                <w:szCs w:val="18"/>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jc w:val="right"/>
              <w:ind w:right="3890"/>
              <w:spacing w:after="0"/>
              <w:rPr>
                <w:sz w:val="20"/>
                <w:szCs w:val="20"/>
                <w:color w:val="auto"/>
              </w:rPr>
            </w:pPr>
            <w:r>
              <w:rPr>
                <w:rFonts w:ascii="Arial" w:cs="Arial" w:eastAsia="Arial" w:hAnsi="Arial"/>
                <w:sz w:val="18"/>
                <w:szCs w:val="18"/>
                <w:color w:val="auto"/>
              </w:rPr>
              <w:t>F-55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Trade payables and accrued liabilities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color w:val="auto"/>
              </w:rPr>
              <w:t>Trade payables</w:t>
            </w: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to third parties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1,092</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 to shareholders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0"/>
                <w:szCs w:val="20"/>
                <w:color w:val="auto"/>
              </w:rPr>
            </w:pPr>
            <w:r>
              <w:rPr>
                <w:rFonts w:ascii="Arial" w:cs="Arial" w:eastAsia="Arial" w:hAnsi="Arial"/>
                <w:sz w:val="18"/>
                <w:szCs w:val="18"/>
                <w:color w:val="auto"/>
              </w:rPr>
              <w:t>Accrued payroll expenses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2,420</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Accrued R&amp;D costs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5,429</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458</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Current portion of deferred Income</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355</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Total accrued expenses and deferred income</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8,662</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payables and accrued liabilities</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9,754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9,922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financing obligation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As at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color w:val="auto"/>
              </w:rPr>
              <w:t>Accrued interest – long-term</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99</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Long-term financing obligation</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395</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at 31 December 2017, the issued share capital amounted to CHF 1,146,984 is comprised of 57,349,190 common shares at a par value of CHF 0.02 per common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11. Revenues</w:t>
            </w:r>
          </w:p>
        </w:tc>
        <w:tc>
          <w:tcPr>
            <w:tcW w:w="4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880" w:type="dxa"/>
            <w:vAlign w:val="bottom"/>
          </w:tcPr>
          <w:p>
            <w:pPr>
              <w:spacing w:after="0"/>
              <w:rPr>
                <w:sz w:val="21"/>
                <w:szCs w:val="21"/>
                <w:color w:val="auto"/>
              </w:rPr>
            </w:pPr>
          </w:p>
        </w:tc>
        <w:tc>
          <w:tcPr>
            <w:tcW w:w="3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For the Years Ended 31 December,</w:t>
            </w: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4880" w:type="dxa"/>
            <w:vAlign w:val="bottom"/>
          </w:tcPr>
          <w:p>
            <w:pPr>
              <w:spacing w:after="0"/>
              <w:rPr>
                <w:sz w:val="18"/>
                <w:szCs w:val="18"/>
                <w:color w:val="auto"/>
              </w:rPr>
            </w:pPr>
          </w:p>
        </w:tc>
        <w:tc>
          <w:tcPr>
            <w:tcW w:w="15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3480" w:type="dxa"/>
            <w:vAlign w:val="bottom"/>
          </w:tcPr>
          <w:p>
            <w:pPr>
              <w:spacing w:after="0"/>
              <w:rPr>
                <w:sz w:val="20"/>
                <w:szCs w:val="20"/>
                <w:color w:val="auto"/>
              </w:rPr>
            </w:pPr>
            <w:r>
              <w:rPr>
                <w:rFonts w:ascii="Arial" w:cs="Arial" w:eastAsia="Arial" w:hAnsi="Arial"/>
                <w:sz w:val="18"/>
                <w:szCs w:val="18"/>
                <w:color w:val="auto"/>
              </w:rPr>
              <w:t>Contract revenue</w:t>
            </w:r>
          </w:p>
        </w:tc>
        <w:tc>
          <w:tcPr>
            <w:tcW w:w="6380" w:type="dxa"/>
            <w:vAlign w:val="bottom"/>
            <w:gridSpan w:val="2"/>
          </w:tcPr>
          <w:p>
            <w:pPr>
              <w:jc w:val="center"/>
              <w:ind w:left="5310"/>
              <w:spacing w:after="0"/>
              <w:rPr>
                <w:sz w:val="20"/>
                <w:szCs w:val="20"/>
                <w:color w:val="auto"/>
              </w:rPr>
            </w:pPr>
            <w:r>
              <w:rPr>
                <w:rFonts w:ascii="Arial" w:cs="Arial" w:eastAsia="Arial" w:hAnsi="Arial"/>
                <w:sz w:val="18"/>
                <w:szCs w:val="18"/>
                <w:color w:val="auto"/>
                <w:w w:val="90"/>
              </w:rPr>
              <w:t>20,255</w:t>
            </w:r>
          </w:p>
        </w:tc>
        <w:tc>
          <w:tcPr>
            <w:tcW w:w="10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8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20,255</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8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3"/>
          </w:tcPr>
          <w:p>
            <w:pPr>
              <w:ind w:left="2060"/>
              <w:spacing w:after="0"/>
              <w:rPr>
                <w:sz w:val="20"/>
                <w:szCs w:val="20"/>
                <w:color w:val="auto"/>
              </w:rPr>
            </w:pPr>
            <w:r>
              <w:rPr>
                <w:rFonts w:ascii="Arial" w:cs="Arial" w:eastAsia="Arial" w:hAnsi="Arial"/>
                <w:sz w:val="18"/>
                <w:szCs w:val="18"/>
                <w:color w:val="auto"/>
              </w:rPr>
              <w:t>F-56</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ind w:left="3240"/>
              <w:spacing w:after="0"/>
              <w:rPr>
                <w:sz w:val="20"/>
                <w:szCs w:val="20"/>
                <w:color w:val="auto"/>
              </w:rPr>
            </w:pPr>
            <w:r>
              <w:rPr>
                <w:rFonts w:ascii="Arial" w:cs="Arial" w:eastAsia="Arial" w:hAnsi="Arial"/>
                <w:sz w:val="18"/>
                <w:szCs w:val="18"/>
                <w:b w:val="1"/>
                <w:bCs w:val="1"/>
                <w:color w:val="auto"/>
              </w:rPr>
              <w:t>STATUTORY FINANCIAL STATEMENTS – AC IMMUNE SA</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b w:val="1"/>
                <w:bCs w:val="1"/>
                <w:color w:val="auto"/>
              </w:rPr>
              <w:t>12. Operating Expenses</w:t>
            </w:r>
          </w:p>
        </w:tc>
        <w:tc>
          <w:tcPr>
            <w:tcW w:w="30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9"/>
              </w:rPr>
              <w:t>For the Years Ended 31 December,</w:t>
            </w:r>
          </w:p>
        </w:tc>
        <w:tc>
          <w:tcPr>
            <w:tcW w:w="0" w:type="dxa"/>
            <w:vAlign w:val="bottom"/>
          </w:tcPr>
          <w:p>
            <w:pPr>
              <w:spacing w:after="0"/>
              <w:rPr>
                <w:sz w:val="1"/>
                <w:szCs w:val="1"/>
                <w:color w:val="auto"/>
              </w:rPr>
            </w:pPr>
          </w:p>
        </w:tc>
      </w:tr>
      <w:tr>
        <w:trPr>
          <w:trHeight w:val="221"/>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0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b w:val="1"/>
                <w:bCs w:val="1"/>
                <w:color w:val="auto"/>
              </w:rPr>
              <w:t>Salaries and related costs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related to research and development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8,294</w:t>
            </w:r>
          </w:p>
        </w:tc>
        <w:tc>
          <w:tcPr>
            <w:tcW w:w="1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 related to general administrative</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salaries and related cost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 related to research and development expense</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23,242</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23,242</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related to regular general and administrative</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 related to IPO</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0"/>
        </w:trPr>
        <w:tc>
          <w:tcPr>
            <w:tcW w:w="8360" w:type="dxa"/>
            <w:vAlign w:val="bottom"/>
            <w:vMerge w:val="restart"/>
          </w:tcPr>
          <w:p>
            <w:pPr>
              <w:spacing w:after="0"/>
              <w:rPr>
                <w:sz w:val="20"/>
                <w:szCs w:val="20"/>
                <w:color w:val="auto"/>
              </w:rPr>
            </w:pPr>
            <w:r>
              <w:rPr>
                <w:rFonts w:ascii="Arial" w:cs="Arial" w:eastAsia="Arial" w:hAnsi="Arial"/>
                <w:sz w:val="18"/>
                <w:szCs w:val="18"/>
                <w:color w:val="auto"/>
              </w:rPr>
              <w:t>Depreciation of fixed assets</w:t>
            </w:r>
          </w:p>
        </w:tc>
        <w:tc>
          <w:tcPr>
            <w:tcW w:w="1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2"/>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40,884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35,945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13. Financial income and expenses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3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For the Years Ended 31 December,</w:t>
            </w:r>
          </w:p>
        </w:tc>
        <w:tc>
          <w:tcPr>
            <w:tcW w:w="0" w:type="dxa"/>
            <w:vAlign w:val="bottom"/>
          </w:tcPr>
          <w:p>
            <w:pPr>
              <w:spacing w:after="0"/>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11"/>
        </w:trPr>
        <w:tc>
          <w:tcPr>
            <w:tcW w:w="8360" w:type="dxa"/>
            <w:vAlign w:val="bottom"/>
          </w:tcPr>
          <w:p>
            <w:pPr>
              <w:spacing w:after="0"/>
              <w:rPr>
                <w:sz w:val="20"/>
                <w:szCs w:val="20"/>
                <w:color w:val="auto"/>
              </w:rPr>
            </w:pPr>
            <w:r>
              <w:rPr>
                <w:rFonts w:ascii="Arial" w:cs="Arial" w:eastAsia="Arial" w:hAnsi="Arial"/>
                <w:sz w:val="18"/>
                <w:szCs w:val="18"/>
                <w:b w:val="1"/>
                <w:bCs w:val="1"/>
                <w:color w:val="auto"/>
              </w:rPr>
              <w:t>Financial income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interest income</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 foreign exchange gains</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financial income</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0"/>
                <w:szCs w:val="20"/>
                <w:color w:val="auto"/>
              </w:rPr>
            </w:pPr>
            <w:r>
              <w:rPr>
                <w:rFonts w:ascii="Arial" w:cs="Arial" w:eastAsia="Arial" w:hAnsi="Arial"/>
                <w:sz w:val="18"/>
                <w:szCs w:val="18"/>
                <w:b w:val="1"/>
                <w:bCs w:val="1"/>
                <w:color w:val="auto"/>
              </w:rPr>
              <w:t>Financial expenses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foreign exchange (losses)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 bank fees</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 interest expense</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financial expenses</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Shareholders rights and equity awards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on the allocation of shares and equity awards to executive officers, directors and employees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959c, paragraph 2, number 11 Swiss Code of Obligations (CO) as at 31 December 2017:</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240" w:type="dxa"/>
            <w:vAlign w:val="bottom"/>
          </w:tcPr>
          <w:p>
            <w:pPr>
              <w:spacing w:after="0"/>
              <w:rPr>
                <w:sz w:val="19"/>
                <w:szCs w:val="19"/>
                <w:color w:val="auto"/>
              </w:rPr>
            </w:pPr>
          </w:p>
        </w:tc>
        <w:tc>
          <w:tcPr>
            <w:tcW w:w="1340" w:type="dxa"/>
            <w:vAlign w:val="bottom"/>
            <w:tcBorders>
              <w:top w:val="single" w:sz="8" w:color="auto"/>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w w:val="83"/>
              </w:rPr>
              <w:t>Shares</w:t>
            </w:r>
          </w:p>
        </w:tc>
        <w:tc>
          <w:tcPr>
            <w:tcW w:w="11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Borders>
              <w:top w:val="single" w:sz="8" w:color="auto"/>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Equity Awards</w:t>
            </w:r>
          </w:p>
        </w:tc>
        <w:tc>
          <w:tcPr>
            <w:tcW w:w="0" w:type="dxa"/>
            <w:vAlign w:val="bottom"/>
          </w:tcPr>
          <w:p>
            <w:pPr>
              <w:spacing w:after="0"/>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Number</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KCHF</w:t>
            </w:r>
          </w:p>
        </w:tc>
        <w:tc>
          <w:tcPr>
            <w:tcW w:w="22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Number</w:t>
            </w:r>
          </w:p>
        </w:tc>
        <w:tc>
          <w:tcPr>
            <w:tcW w:w="1020" w:type="dxa"/>
            <w:vAlign w:val="bottom"/>
          </w:tcPr>
          <w:p>
            <w:pPr>
              <w:jc w:val="center"/>
              <w:ind w:left="90"/>
              <w:spacing w:after="0"/>
              <w:rPr>
                <w:sz w:val="20"/>
                <w:szCs w:val="20"/>
                <w:color w:val="auto"/>
              </w:rPr>
            </w:pPr>
            <w:r>
              <w:rPr>
                <w:rFonts w:ascii="Arial" w:cs="Arial" w:eastAsia="Arial" w:hAnsi="Arial"/>
                <w:sz w:val="18"/>
                <w:szCs w:val="18"/>
                <w:color w:val="auto"/>
                <w:w w:val="97"/>
              </w:rPr>
              <w:t>KCHF</w:t>
            </w:r>
          </w:p>
        </w:tc>
        <w:tc>
          <w:tcPr>
            <w:tcW w:w="0" w:type="dxa"/>
            <w:vAlign w:val="bottom"/>
          </w:tcPr>
          <w:p>
            <w:pPr>
              <w:spacing w:after="0"/>
              <w:rPr>
                <w:sz w:val="1"/>
                <w:szCs w:val="1"/>
                <w:color w:val="auto"/>
              </w:rPr>
            </w:pPr>
          </w:p>
        </w:tc>
      </w:tr>
      <w:tr>
        <w:trPr>
          <w:trHeight w:val="195"/>
        </w:trPr>
        <w:tc>
          <w:tcPr>
            <w:tcW w:w="4260" w:type="dxa"/>
            <w:vAlign w:val="bottom"/>
          </w:tcPr>
          <w:p>
            <w:pPr>
              <w:spacing w:after="0" w:line="195" w:lineRule="exact"/>
              <w:rPr>
                <w:sz w:val="20"/>
                <w:szCs w:val="20"/>
                <w:color w:val="auto"/>
              </w:rPr>
            </w:pPr>
            <w:r>
              <w:rPr>
                <w:rFonts w:ascii="Arial" w:cs="Arial" w:eastAsia="Arial" w:hAnsi="Arial"/>
                <w:sz w:val="18"/>
                <w:szCs w:val="18"/>
                <w:color w:val="auto"/>
              </w:rPr>
              <w:t>Issued to executive officers and directors</w:t>
            </w:r>
          </w:p>
        </w:tc>
        <w:tc>
          <w:tcPr>
            <w:tcW w:w="2240" w:type="dxa"/>
            <w:vAlign w:val="bottom"/>
          </w:tcPr>
          <w:p>
            <w:pPr>
              <w:spacing w:after="0"/>
              <w:rPr>
                <w:sz w:val="16"/>
                <w:szCs w:val="16"/>
                <w:color w:val="auto"/>
              </w:rPr>
            </w:pPr>
          </w:p>
        </w:tc>
        <w:tc>
          <w:tcPr>
            <w:tcW w:w="12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4,657,882</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58,922</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930,748</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ind w:left="90"/>
              <w:spacing w:after="0" w:line="195" w:lineRule="exact"/>
              <w:rPr>
                <w:sz w:val="20"/>
                <w:szCs w:val="20"/>
                <w:color w:val="auto"/>
              </w:rPr>
            </w:pPr>
            <w:r>
              <w:rPr>
                <w:rFonts w:ascii="Arial" w:cs="Arial" w:eastAsia="Arial" w:hAnsi="Arial"/>
                <w:sz w:val="18"/>
                <w:szCs w:val="18"/>
                <w:color w:val="auto"/>
                <w:w w:val="88"/>
              </w:rPr>
              <w:t>3,473</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Issued to employees</w:t>
            </w:r>
          </w:p>
        </w:tc>
        <w:tc>
          <w:tcPr>
            <w:tcW w:w="3480" w:type="dxa"/>
            <w:vAlign w:val="bottom"/>
            <w:gridSpan w:val="2"/>
          </w:tcPr>
          <w:p>
            <w:pPr>
              <w:jc w:val="right"/>
              <w:ind w:right="130"/>
              <w:spacing w:after="0"/>
              <w:rPr>
                <w:sz w:val="20"/>
                <w:szCs w:val="20"/>
                <w:color w:val="auto"/>
              </w:rPr>
            </w:pPr>
            <w:r>
              <w:rPr>
                <w:rFonts w:ascii="Arial" w:cs="Arial" w:eastAsia="Arial" w:hAnsi="Arial"/>
                <w:sz w:val="18"/>
                <w:szCs w:val="18"/>
                <w:color w:val="auto"/>
              </w:rPr>
              <w:t>504,664</w:t>
            </w:r>
          </w:p>
        </w:tc>
        <w:tc>
          <w:tcPr>
            <w:tcW w:w="1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6,384</w:t>
            </w:r>
          </w:p>
        </w:tc>
        <w:tc>
          <w:tcPr>
            <w:tcW w:w="22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479,725</w:t>
            </w:r>
          </w:p>
        </w:tc>
        <w:tc>
          <w:tcPr>
            <w:tcW w:w="100" w:type="dxa"/>
            <w:vAlign w:val="bottom"/>
          </w:tcPr>
          <w:p>
            <w:pPr>
              <w:spacing w:after="0"/>
              <w:rPr>
                <w:sz w:val="20"/>
                <w:szCs w:val="20"/>
                <w:color w:val="auto"/>
              </w:rPr>
            </w:pPr>
          </w:p>
        </w:tc>
        <w:tc>
          <w:tcPr>
            <w:tcW w:w="1020" w:type="dxa"/>
            <w:vAlign w:val="bottom"/>
          </w:tcPr>
          <w:p>
            <w:pPr>
              <w:jc w:val="center"/>
              <w:ind w:left="90"/>
              <w:spacing w:after="0"/>
              <w:rPr>
                <w:sz w:val="20"/>
                <w:szCs w:val="20"/>
                <w:color w:val="auto"/>
              </w:rPr>
            </w:pPr>
            <w:r>
              <w:rPr>
                <w:rFonts w:ascii="Arial" w:cs="Arial" w:eastAsia="Arial" w:hAnsi="Arial"/>
                <w:sz w:val="18"/>
                <w:szCs w:val="18"/>
                <w:color w:val="auto"/>
                <w:w w:val="88"/>
              </w:rPr>
              <w:t>1,119</w:t>
            </w:r>
          </w:p>
        </w:tc>
        <w:tc>
          <w:tcPr>
            <w:tcW w:w="0" w:type="dxa"/>
            <w:vAlign w:val="bottom"/>
          </w:tcPr>
          <w:p>
            <w:pPr>
              <w:spacing w:after="0"/>
              <w:rPr>
                <w:sz w:val="1"/>
                <w:szCs w:val="1"/>
                <w:color w:val="auto"/>
              </w:rPr>
            </w:pPr>
          </w:p>
        </w:tc>
      </w:tr>
      <w:tr>
        <w:trPr>
          <w:trHeight w:val="217"/>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5,162,546</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65,306</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1,410,473</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8"/>
                <w:szCs w:val="18"/>
                <w:color w:val="auto"/>
                <w:w w:val="88"/>
              </w:rPr>
              <w:t>4,592</w:t>
            </w:r>
          </w:p>
        </w:tc>
        <w:tc>
          <w:tcPr>
            <w:tcW w:w="0" w:type="dxa"/>
            <w:vAlign w:val="bottom"/>
          </w:tcPr>
          <w:p>
            <w:pPr>
              <w:spacing w:after="0"/>
              <w:rPr>
                <w:sz w:val="1"/>
                <w:szCs w:val="1"/>
                <w:color w:val="auto"/>
              </w:rPr>
            </w:pPr>
          </w:p>
        </w:tc>
      </w:tr>
      <w:tr>
        <w:trPr>
          <w:trHeight w:val="540"/>
        </w:trPr>
        <w:tc>
          <w:tcPr>
            <w:tcW w:w="42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color w:val="auto"/>
              </w:rPr>
              <w:t>F-57</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Share values are based on the Company’s share price of $12.80 (CHF 12.65). Equity awards are comprised of options and non-vested stock (restricted shares and restricted share units) awards. The fair value of our options is determined using the Black-Scholes Merton Model and our non-vested stock awards are valued using a reasonable estimate of market value of the common stock on the date of the award. Total shares are derived from our transfer agent’s records as at 31 December 2017.</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table below presents beneficial ownership of executive officers and directors, including affiliated entities, if applicable, in accordance with Article 663c CO as at 31 December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Number of Equity</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Beneficial ownership of executive officers and directors</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Number of Shares</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7900" w:type="dxa"/>
            <w:vAlign w:val="bottom"/>
            <w:vMerge w:val="restart"/>
          </w:tcPr>
          <w:p>
            <w:pPr>
              <w:spacing w:after="0"/>
              <w:rPr>
                <w:sz w:val="20"/>
                <w:szCs w:val="20"/>
                <w:color w:val="auto"/>
              </w:rPr>
            </w:pPr>
            <w:r>
              <w:rPr>
                <w:rFonts w:ascii="Arial" w:cs="Arial" w:eastAsia="Arial" w:hAnsi="Arial"/>
                <w:sz w:val="18"/>
                <w:szCs w:val="18"/>
                <w:color w:val="auto"/>
              </w:rPr>
              <w:t>Andrea Pfeifer, Ph.D., Chief Executive Officer and Director</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5"/>
        </w:trPr>
        <w:tc>
          <w:tcPr>
            <w:tcW w:w="7900" w:type="dxa"/>
            <w:vAlign w:val="bottom"/>
            <w:vMerge w:val="continue"/>
          </w:tcPr>
          <w:p>
            <w:pPr>
              <w:spacing w:after="0"/>
              <w:rPr>
                <w:sz w:val="16"/>
                <w:szCs w:val="16"/>
                <w:color w:val="auto"/>
              </w:rPr>
            </w:pPr>
          </w:p>
        </w:tc>
        <w:tc>
          <w:tcPr>
            <w:tcW w:w="172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2,596,809</w:t>
            </w:r>
          </w:p>
        </w:tc>
        <w:tc>
          <w:tcPr>
            <w:tcW w:w="120" w:type="dxa"/>
            <w:vAlign w:val="bottom"/>
          </w:tcPr>
          <w:p>
            <w:pPr>
              <w:spacing w:after="0"/>
              <w:rPr>
                <w:sz w:val="16"/>
                <w:szCs w:val="16"/>
                <w:color w:val="auto"/>
              </w:rPr>
            </w:pP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339,352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Jörg Hornstein, Chief Financial Officer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113,981</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Andreas Muhs, Ph.D., Chief Scientific Officer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475,050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373,867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Jean-Fabien Monin, Chief Administrative Officer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63,923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Martin Velasco, Chairman and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469,250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16,125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Detlev Riesner, Ph.D.,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759,000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Friedrich von Bohlen und Halbach,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78,750</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Peter Bollmann,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Thomas Graney, Director</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4,023</w:t>
            </w:r>
          </w:p>
        </w:tc>
        <w:tc>
          <w:tcPr>
            <w:tcW w:w="12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Post balance sheet events</w:t>
      </w:r>
    </w:p>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On February 2, 2018, we entered into an additional lease with the EPFL Innovation Park to expand our premises by more than 4,300 square feet effective March 1, 2018. As part of this expansion, the Company agreed to purchase CHF 750 thousand of the previous tenant’s lab equipment.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Proposal of the Board of Directors to the annual Shareholders’ Meeting: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Proposal of the Board for the accumulated losses to be carried forward, subject to the approval of the Annual Shareholders’ Meeting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1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7"/>
              </w:rPr>
              <w:t>As at 31 December,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4080" w:type="dxa"/>
            <w:vAlign w:val="bottom"/>
          </w:tcPr>
          <w:p>
            <w:pPr>
              <w:spacing w:after="0"/>
              <w:rPr>
                <w:sz w:val="20"/>
                <w:szCs w:val="20"/>
                <w:color w:val="auto"/>
              </w:rPr>
            </w:pPr>
            <w:r>
              <w:rPr>
                <w:rFonts w:ascii="Arial" w:cs="Arial" w:eastAsia="Arial" w:hAnsi="Arial"/>
                <w:sz w:val="18"/>
                <w:szCs w:val="18"/>
                <w:color w:val="auto"/>
              </w:rPr>
              <w:t>Accumulated losses carried forward</w:t>
            </w:r>
          </w:p>
        </w:tc>
        <w:tc>
          <w:tcPr>
            <w:tcW w:w="5660" w:type="dxa"/>
            <w:vAlign w:val="bottom"/>
            <w:gridSpan w:val="2"/>
          </w:tcPr>
          <w:p>
            <w:pPr>
              <w:jc w:val="right"/>
              <w:ind w:right="90"/>
              <w:spacing w:after="0"/>
              <w:rPr>
                <w:sz w:val="20"/>
                <w:szCs w:val="20"/>
                <w:color w:val="auto"/>
              </w:rPr>
            </w:pPr>
            <w:r>
              <w:rPr>
                <w:rFonts w:ascii="Arial" w:cs="Arial" w:eastAsia="Arial" w:hAnsi="Arial"/>
                <w:sz w:val="18"/>
                <w:szCs w:val="18"/>
                <w:color w:val="auto"/>
              </w:rPr>
              <w:t>(32,558)</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(24,930)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Loss for the year</w:t>
            </w:r>
          </w:p>
        </w:tc>
        <w:tc>
          <w:tcPr>
            <w:tcW w:w="5660" w:type="dxa"/>
            <w:vAlign w:val="bottom"/>
            <w:gridSpan w:val="2"/>
          </w:tcPr>
          <w:p>
            <w:pPr>
              <w:jc w:val="right"/>
              <w:ind w:right="90"/>
              <w:spacing w:after="0"/>
              <w:rPr>
                <w:sz w:val="20"/>
                <w:szCs w:val="20"/>
                <w:color w:val="auto"/>
              </w:rPr>
            </w:pPr>
            <w:r>
              <w:rPr>
                <w:rFonts w:ascii="Arial" w:cs="Arial" w:eastAsia="Arial" w:hAnsi="Arial"/>
                <w:sz w:val="18"/>
                <w:szCs w:val="18"/>
                <w:color w:val="auto"/>
              </w:rPr>
              <w:t>(25,868)</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accumulated losses</w:t>
            </w:r>
          </w:p>
        </w:tc>
        <w:tc>
          <w:tcPr>
            <w:tcW w:w="41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(58,426)</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40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2"/>
          </w:tcPr>
          <w:p>
            <w:pPr>
              <w:jc w:val="right"/>
              <w:ind w:right="3770"/>
              <w:spacing w:after="0"/>
              <w:rPr>
                <w:sz w:val="20"/>
                <w:szCs w:val="20"/>
                <w:color w:val="auto"/>
              </w:rPr>
            </w:pPr>
            <w:r>
              <w:rPr>
                <w:rFonts w:ascii="Arial" w:cs="Arial" w:eastAsia="Arial" w:hAnsi="Arial"/>
                <w:sz w:val="18"/>
                <w:szCs w:val="18"/>
                <w:color w:val="auto"/>
              </w:rPr>
              <w:t>F-58</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$350,000,000</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Shares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191770</wp:posOffset>
            </wp:positionV>
            <wp:extent cx="1724025" cy="43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240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40"/>
        <w:spacing w:after="0"/>
        <w:rPr>
          <w:sz w:val="20"/>
          <w:szCs w:val="20"/>
          <w:color w:val="auto"/>
        </w:rPr>
      </w:pPr>
      <w:r>
        <w:rPr>
          <w:rFonts w:ascii="Arial" w:cs="Arial" w:eastAsia="Arial" w:hAnsi="Arial"/>
          <w:sz w:val="32"/>
          <w:szCs w:val="32"/>
          <w:b w:val="1"/>
          <w:bCs w:val="1"/>
          <w:color w:val="auto"/>
        </w:rPr>
        <w:t>AC IMMUNE SA</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(incorporated in Switzerland)</w:t>
      </w:r>
    </w:p>
    <w:p>
      <w:pPr>
        <w:spacing w:after="0" w:line="20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26.</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common shares are listed on the NASDAQ Global Market under the symbol “ACIU.” On May 22, 2018, the last sale price of our common shares as reported by the NASDAQ Global Market was $10.23 per common share. As of May 22, 2018, the aggregate market value of our outstanding common shares held by non-affiliates was approximately $238,164,456 based on approximately 57,400,565 shares of outstanding common shares, of which approximately 23,280,983 shares were held by non-affiliates. We have not offered any securities pursuant to General Instruction I.B.5 of Form F-3 during the prior 12 calendar month period that ends on, and includes, the date of this prospectus.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4 of this prospectus.</w:t>
      </w:r>
    </w:p>
    <w:p>
      <w:pPr>
        <w:spacing w:after="0" w:line="225"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June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40" w:type="dxa"/>
            <w:vAlign w:val="bottom"/>
          </w:tcPr>
          <w:p>
            <w:pPr>
              <w:jc w:val="center"/>
              <w:ind w:right="1752"/>
              <w:spacing w:after="0"/>
              <w:rPr>
                <w:sz w:val="20"/>
                <w:szCs w:val="20"/>
                <w:color w:val="auto"/>
              </w:rPr>
            </w:pPr>
            <w:r>
              <w:rPr>
                <w:rFonts w:ascii="Arial" w:cs="Arial" w:eastAsia="Arial" w:hAnsi="Arial"/>
                <w:sz w:val="22"/>
                <w:szCs w:val="22"/>
                <w:b w:val="1"/>
                <w:bCs w:val="1"/>
                <w:color w:val="auto"/>
                <w:w w:val="97"/>
              </w:rPr>
              <w:t>TABLE OF CONTENTS</w:t>
            </w:r>
          </w:p>
        </w:tc>
        <w:tc>
          <w:tcPr>
            <w:tcW w:w="1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9220" w:type="dxa"/>
            <w:vAlign w:val="bottom"/>
            <w:gridSpan w:val="21"/>
          </w:tcPr>
          <w:p>
            <w:pPr>
              <w:jc w:val="right"/>
              <w:ind w:right="1732"/>
              <w:spacing w:after="0"/>
              <w:rPr>
                <w:sz w:val="20"/>
                <w:szCs w:val="20"/>
                <w:color w:val="auto"/>
              </w:rPr>
            </w:pPr>
            <w:r>
              <w:rPr>
                <w:rFonts w:ascii="Arial" w:cs="Arial" w:eastAsia="Arial" w:hAnsi="Arial"/>
                <w:sz w:val="22"/>
                <w:szCs w:val="22"/>
                <w:b w:val="1"/>
                <w:bCs w:val="1"/>
                <w:color w:val="auto"/>
              </w:rPr>
              <w:t>_______________________________</w:t>
            </w:r>
          </w:p>
        </w:tc>
        <w:tc>
          <w:tcPr>
            <w:tcW w:w="2220" w:type="dxa"/>
            <w:vAlign w:val="bottom"/>
            <w:gridSpan w:val="5"/>
            <w:vMerge w:val="restart"/>
          </w:tcPr>
          <w:p>
            <w:pPr>
              <w:ind w:left="1860"/>
              <w:spacing w:after="0"/>
              <w:rPr>
                <w:sz w:val="20"/>
                <w:szCs w:val="20"/>
                <w:color w:val="auto"/>
              </w:rPr>
            </w:pPr>
            <w:r>
              <w:rPr>
                <w:rFonts w:ascii="Arial" w:cs="Arial" w:eastAsia="Arial" w:hAnsi="Arial"/>
                <w:sz w:val="18"/>
                <w:szCs w:val="18"/>
                <w:color w:val="auto"/>
                <w:w w:val="90"/>
              </w:rPr>
              <w:t>P</w:t>
            </w:r>
            <w:r>
              <w:rPr>
                <w:rFonts w:ascii="Arial" w:cs="Arial" w:eastAsia="Arial" w:hAnsi="Arial"/>
                <w:sz w:val="12"/>
                <w:szCs w:val="12"/>
                <w:color w:val="auto"/>
                <w:w w:val="90"/>
              </w:rPr>
              <w:t>AGE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28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38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5140" w:type="dxa"/>
            <w:vAlign w:val="bottom"/>
            <w:shd w:val="clear" w:color="auto" w:fill="D5EAEA"/>
          </w:tcPr>
          <w:p>
            <w:pPr>
              <w:spacing w:after="0"/>
              <w:rPr>
                <w:sz w:val="18"/>
                <w:szCs w:val="18"/>
                <w:color w:val="auto"/>
              </w:rPr>
            </w:pPr>
          </w:p>
        </w:tc>
        <w:tc>
          <w:tcPr>
            <w:tcW w:w="18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0" w:type="dxa"/>
            <w:vAlign w:val="bottom"/>
            <w:gridSpan w:val="20"/>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About This Prospectus</w:t>
              </w:r>
            </w:hyperlink>
          </w:p>
        </w:tc>
        <w:tc>
          <w:tcPr>
            <w:tcW w:w="2200" w:type="dxa"/>
            <w:vAlign w:val="bottom"/>
            <w:gridSpan w:val="4"/>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5"/>
            <w:shd w:val="clear" w:color="auto" w:fill="D5EAEA"/>
          </w:tcPr>
          <w:p>
            <w:pPr>
              <w:spacing w:after="0" w:line="17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Where You Can Find More Information</w:t>
              </w:r>
            </w:hyperlink>
          </w:p>
        </w:tc>
        <w:tc>
          <w:tcPr>
            <w:tcW w:w="6340" w:type="dxa"/>
            <w:vAlign w:val="bottom"/>
            <w:gridSpan w:val="5"/>
            <w:shd w:val="clear" w:color="auto" w:fill="D5EAEA"/>
          </w:tcPr>
          <w:p>
            <w:pPr>
              <w:spacing w:after="0"/>
              <w:rPr>
                <w:sz w:val="15"/>
                <w:szCs w:val="15"/>
                <w:color w:val="auto"/>
              </w:rPr>
            </w:pPr>
          </w:p>
        </w:tc>
        <w:tc>
          <w:tcPr>
            <w:tcW w:w="2200" w:type="dxa"/>
            <w:vAlign w:val="bottom"/>
            <w:gridSpan w:val="4"/>
            <w:shd w:val="clear" w:color="auto" w:fill="D5EAEA"/>
          </w:tcPr>
          <w:p>
            <w:pPr>
              <w:jc w:val="right"/>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340" w:type="dxa"/>
            <w:vAlign w:val="bottom"/>
            <w:tcBorders>
              <w:top w:val="single" w:sz="8" w:color="0000EE"/>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5140" w:type="dxa"/>
            <w:vAlign w:val="bottom"/>
            <w:tcBorders>
              <w:top w:val="single" w:sz="8" w:color="D5EAEA"/>
            </w:tcBorders>
            <w:shd w:val="clear" w:color="auto" w:fill="D5EAEA"/>
          </w:tcPr>
          <w:p>
            <w:pPr>
              <w:spacing w:after="0" w:line="20" w:lineRule="exact"/>
              <w:rPr>
                <w:sz w:val="1"/>
                <w:szCs w:val="1"/>
                <w:color w:val="auto"/>
              </w:rPr>
            </w:pPr>
          </w:p>
        </w:tc>
        <w:tc>
          <w:tcPr>
            <w:tcW w:w="18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0" w:type="dxa"/>
            <w:vAlign w:val="bottom"/>
            <w:gridSpan w:val="20"/>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Special Note Regarding Forward-Looking Statements</w:t>
              </w:r>
            </w:hyperlink>
          </w:p>
        </w:tc>
        <w:tc>
          <w:tcPr>
            <w:tcW w:w="2200" w:type="dxa"/>
            <w:vAlign w:val="bottom"/>
            <w:gridSpan w:val="4"/>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5"/>
            <w:shd w:val="clear" w:color="auto" w:fill="D5EAEA"/>
          </w:tcPr>
          <w:p>
            <w:pPr>
              <w:spacing w:after="0" w:line="17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AC Immune SA</w:t>
              </w:r>
            </w:hyperlink>
          </w:p>
        </w:tc>
        <w:tc>
          <w:tcPr>
            <w:tcW w:w="8040" w:type="dxa"/>
            <w:vAlign w:val="bottom"/>
            <w:gridSpan w:val="15"/>
            <w:shd w:val="clear" w:color="auto" w:fill="D5EAEA"/>
          </w:tcPr>
          <w:p>
            <w:pPr>
              <w:spacing w:after="0"/>
              <w:rPr>
                <w:sz w:val="15"/>
                <w:szCs w:val="15"/>
                <w:color w:val="auto"/>
              </w:rPr>
            </w:pPr>
          </w:p>
        </w:tc>
        <w:tc>
          <w:tcPr>
            <w:tcW w:w="2200" w:type="dxa"/>
            <w:vAlign w:val="bottom"/>
            <w:gridSpan w:val="4"/>
            <w:shd w:val="clear" w:color="auto" w:fill="D5EAEA"/>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5140" w:type="dxa"/>
            <w:vAlign w:val="bottom"/>
            <w:tcBorders>
              <w:top w:val="single" w:sz="8" w:color="D5EAEA"/>
            </w:tcBorders>
            <w:shd w:val="clear" w:color="auto" w:fill="D5EAEA"/>
          </w:tcPr>
          <w:p>
            <w:pPr>
              <w:spacing w:after="0" w:line="20" w:lineRule="exact"/>
              <w:rPr>
                <w:sz w:val="1"/>
                <w:szCs w:val="1"/>
                <w:color w:val="auto"/>
              </w:rPr>
            </w:pPr>
          </w:p>
        </w:tc>
        <w:tc>
          <w:tcPr>
            <w:tcW w:w="18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5"/>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8040" w:type="dxa"/>
            <w:vAlign w:val="bottom"/>
            <w:gridSpan w:val="15"/>
          </w:tcPr>
          <w:p>
            <w:pPr>
              <w:spacing w:after="0"/>
              <w:rPr>
                <w:sz w:val="15"/>
                <w:szCs w:val="15"/>
                <w:color w:val="auto"/>
              </w:rPr>
            </w:pPr>
          </w:p>
        </w:tc>
        <w:tc>
          <w:tcPr>
            <w:tcW w:w="2200" w:type="dxa"/>
            <w:vAlign w:val="bottom"/>
            <w:gridSpan w:val="4"/>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0" w:type="dxa"/>
            <w:vAlign w:val="bottom"/>
            <w:gridSpan w:val="20"/>
            <w:shd w:val="clear" w:color="auto" w:fill="D5EAEA"/>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Ratio of Earnings to Fixed Charges</w:t>
              </w:r>
            </w:hyperlink>
          </w:p>
        </w:tc>
        <w:tc>
          <w:tcPr>
            <w:tcW w:w="2200" w:type="dxa"/>
            <w:vAlign w:val="bottom"/>
            <w:gridSpan w:val="4"/>
            <w:shd w:val="clear" w:color="auto" w:fill="D5EAEA"/>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5140" w:type="dxa"/>
            <w:vAlign w:val="bottom"/>
            <w:tcBorders>
              <w:top w:val="single" w:sz="8" w:color="D5EAEA"/>
            </w:tcBorders>
            <w:shd w:val="clear" w:color="auto" w:fill="D5EAEA"/>
          </w:tcPr>
          <w:p>
            <w:pPr>
              <w:spacing w:after="0" w:line="20" w:lineRule="exact"/>
              <w:rPr>
                <w:sz w:val="1"/>
                <w:szCs w:val="1"/>
                <w:color w:val="auto"/>
              </w:rPr>
            </w:pPr>
          </w:p>
        </w:tc>
        <w:tc>
          <w:tcPr>
            <w:tcW w:w="18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gridSpan w:val="14"/>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Use of Proceeds</w:t>
              </w:r>
            </w:hyperlink>
          </w:p>
        </w:tc>
        <w:tc>
          <w:tcPr>
            <w:tcW w:w="6680" w:type="dxa"/>
            <w:vAlign w:val="bottom"/>
            <w:gridSpan w:val="6"/>
          </w:tcPr>
          <w:p>
            <w:pPr>
              <w:spacing w:after="0"/>
              <w:rPr>
                <w:sz w:val="15"/>
                <w:szCs w:val="15"/>
                <w:color w:val="auto"/>
              </w:rPr>
            </w:pPr>
          </w:p>
        </w:tc>
        <w:tc>
          <w:tcPr>
            <w:tcW w:w="2200" w:type="dxa"/>
            <w:vAlign w:val="bottom"/>
            <w:gridSpan w:val="4"/>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60" w:type="dxa"/>
            <w:vAlign w:val="bottom"/>
            <w:gridSpan w:val="19"/>
            <w:shd w:val="clear" w:color="auto" w:fill="D5EAEA"/>
          </w:tcPr>
          <w:p>
            <w:pPr>
              <w:spacing w:after="0" w:line="17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Description of Share Capital and Articles of Association</w:t>
              </w:r>
            </w:hyperlink>
          </w:p>
        </w:tc>
        <w:tc>
          <w:tcPr>
            <w:tcW w:w="5140" w:type="dxa"/>
            <w:vAlign w:val="bottom"/>
            <w:shd w:val="clear" w:color="auto" w:fill="D5EAEA"/>
          </w:tcPr>
          <w:p>
            <w:pPr>
              <w:spacing w:after="0"/>
              <w:rPr>
                <w:sz w:val="15"/>
                <w:szCs w:val="15"/>
                <w:color w:val="auto"/>
              </w:rPr>
            </w:pPr>
          </w:p>
        </w:tc>
        <w:tc>
          <w:tcPr>
            <w:tcW w:w="2200" w:type="dxa"/>
            <w:vAlign w:val="bottom"/>
            <w:gridSpan w:val="4"/>
            <w:shd w:val="clear" w:color="auto" w:fill="D5EAEA"/>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340" w:type="dxa"/>
            <w:vAlign w:val="bottom"/>
            <w:tcBorders>
              <w:top w:val="single" w:sz="8" w:color="0000EE"/>
            </w:tcBorders>
            <w:shd w:val="clear" w:color="auto" w:fill="D5EAEA"/>
          </w:tcPr>
          <w:p>
            <w:pPr>
              <w:spacing w:after="0" w:line="20" w:lineRule="exact"/>
              <w:rPr>
                <w:sz w:val="1"/>
                <w:szCs w:val="1"/>
                <w:color w:val="auto"/>
              </w:rPr>
            </w:pPr>
          </w:p>
        </w:tc>
        <w:tc>
          <w:tcPr>
            <w:tcW w:w="440" w:type="dxa"/>
            <w:vAlign w:val="bottom"/>
            <w:tcBorders>
              <w:top w:val="single" w:sz="8" w:color="0000EE"/>
            </w:tcBorders>
            <w:shd w:val="clear" w:color="auto" w:fill="D5EAEA"/>
          </w:tcPr>
          <w:p>
            <w:pPr>
              <w:spacing w:after="0" w:line="20" w:lineRule="exact"/>
              <w:rPr>
                <w:sz w:val="1"/>
                <w:szCs w:val="1"/>
                <w:color w:val="auto"/>
              </w:rPr>
            </w:pPr>
          </w:p>
        </w:tc>
        <w:tc>
          <w:tcPr>
            <w:tcW w:w="38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5140" w:type="dxa"/>
            <w:vAlign w:val="bottom"/>
            <w:tcBorders>
              <w:top w:val="single" w:sz="8" w:color="D5EAEA"/>
            </w:tcBorders>
            <w:shd w:val="clear" w:color="auto" w:fill="D5EAEA"/>
          </w:tcPr>
          <w:p>
            <w:pPr>
              <w:spacing w:after="0" w:line="20" w:lineRule="exact"/>
              <w:rPr>
                <w:sz w:val="1"/>
                <w:szCs w:val="1"/>
                <w:color w:val="auto"/>
              </w:rPr>
            </w:pPr>
          </w:p>
        </w:tc>
        <w:tc>
          <w:tcPr>
            <w:tcW w:w="18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60" w:type="dxa"/>
            <w:vAlign w:val="bottom"/>
            <w:gridSpan w:val="19"/>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Comparison of Swiss Law and Delaware Law</w:t>
              </w:r>
            </w:hyperlink>
          </w:p>
        </w:tc>
        <w:tc>
          <w:tcPr>
            <w:tcW w:w="5140" w:type="dxa"/>
            <w:vAlign w:val="bottom"/>
          </w:tcPr>
          <w:p>
            <w:pPr>
              <w:spacing w:after="0"/>
              <w:rPr>
                <w:sz w:val="15"/>
                <w:szCs w:val="15"/>
                <w:color w:val="auto"/>
              </w:rPr>
            </w:pPr>
          </w:p>
        </w:tc>
        <w:tc>
          <w:tcPr>
            <w:tcW w:w="2200" w:type="dxa"/>
            <w:vAlign w:val="bottom"/>
            <w:gridSpan w:val="4"/>
          </w:tcPr>
          <w:p>
            <w:pPr>
              <w:jc w:val="right"/>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14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11"/>
            <w:shd w:val="clear" w:color="auto" w:fill="D5EAEA"/>
          </w:tcPr>
          <w:p>
            <w:pPr>
              <w:spacing w:after="0" w:line="17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Description of Debt Securities</w:t>
              </w:r>
            </w:hyperlink>
          </w:p>
        </w:tc>
        <w:tc>
          <w:tcPr>
            <w:tcW w:w="7020" w:type="dxa"/>
            <w:vAlign w:val="bottom"/>
            <w:tcBorders>
              <w:bottom w:val="single" w:sz="8" w:color="D5EAEA"/>
            </w:tcBorders>
            <w:gridSpan w:val="9"/>
            <w:shd w:val="clear" w:color="auto" w:fill="D5EAEA"/>
          </w:tcPr>
          <w:p>
            <w:pPr>
              <w:spacing w:after="0"/>
              <w:rPr>
                <w:sz w:val="17"/>
                <w:szCs w:val="17"/>
                <w:color w:val="auto"/>
              </w:rPr>
            </w:pPr>
          </w:p>
        </w:tc>
        <w:tc>
          <w:tcPr>
            <w:tcW w:w="2020" w:type="dxa"/>
            <w:vAlign w:val="bottom"/>
            <w:tcBorders>
              <w:bottom w:val="single" w:sz="8" w:color="D5EAEA"/>
            </w:tcBorders>
            <w:gridSpan w:val="2"/>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0" w:type="dxa"/>
            <w:vAlign w:val="bottom"/>
            <w:gridSpan w:val="20"/>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Warrants</w:t>
              </w:r>
            </w:hyperlink>
          </w:p>
        </w:tc>
        <w:tc>
          <w:tcPr>
            <w:tcW w:w="2200" w:type="dxa"/>
            <w:vAlign w:val="bottom"/>
            <w:gridSpan w:val="4"/>
          </w:tcPr>
          <w:p>
            <w:pPr>
              <w:jc w:val="right"/>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60" w:type="dxa"/>
            <w:vAlign w:val="bottom"/>
            <w:tcBorders>
              <w:bottom w:val="single" w:sz="8" w:color="0000EE"/>
            </w:tcBorders>
            <w:gridSpan w:val="12"/>
            <w:shd w:val="clear" w:color="auto" w:fill="D5EAEA"/>
          </w:tcPr>
          <w:p>
            <w:pPr>
              <w:spacing w:after="0" w:line="17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Description of Purchase Contracts</w:t>
              </w:r>
            </w:hyperlink>
          </w:p>
        </w:tc>
        <w:tc>
          <w:tcPr>
            <w:tcW w:w="6740" w:type="dxa"/>
            <w:vAlign w:val="bottom"/>
            <w:tcBorders>
              <w:bottom w:val="single" w:sz="8" w:color="D5EAEA"/>
            </w:tcBorders>
            <w:gridSpan w:val="8"/>
            <w:shd w:val="clear" w:color="auto" w:fill="D5EAEA"/>
          </w:tcPr>
          <w:p>
            <w:pPr>
              <w:spacing w:after="0"/>
              <w:rPr>
                <w:sz w:val="17"/>
                <w:szCs w:val="17"/>
                <w:color w:val="auto"/>
              </w:rPr>
            </w:pPr>
          </w:p>
        </w:tc>
        <w:tc>
          <w:tcPr>
            <w:tcW w:w="2020" w:type="dxa"/>
            <w:vAlign w:val="bottom"/>
            <w:tcBorders>
              <w:bottom w:val="single" w:sz="8" w:color="D5EAEA"/>
            </w:tcBorders>
            <w:gridSpan w:val="2"/>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0" w:type="dxa"/>
            <w:vAlign w:val="bottom"/>
            <w:gridSpan w:val="20"/>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Description of Units</w:t>
              </w:r>
            </w:hyperlink>
          </w:p>
        </w:tc>
        <w:tc>
          <w:tcPr>
            <w:tcW w:w="2200" w:type="dxa"/>
            <w:vAlign w:val="bottom"/>
            <w:gridSpan w:val="4"/>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tcBorders>
              <w:bottom w:val="single" w:sz="8" w:color="0000EE"/>
            </w:tcBorders>
            <w:gridSpan w:val="13"/>
            <w:shd w:val="clear" w:color="auto" w:fill="D5EAEA"/>
          </w:tcPr>
          <w:p>
            <w:pPr>
              <w:spacing w:after="0" w:line="17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Description of Subscription Rights</w:t>
              </w:r>
            </w:hyperlink>
          </w:p>
        </w:tc>
        <w:tc>
          <w:tcPr>
            <w:tcW w:w="6700" w:type="dxa"/>
            <w:vAlign w:val="bottom"/>
            <w:tcBorders>
              <w:bottom w:val="single" w:sz="8" w:color="D5EAEA"/>
            </w:tcBorders>
            <w:gridSpan w:val="7"/>
            <w:shd w:val="clear" w:color="auto" w:fill="D5EAEA"/>
          </w:tcPr>
          <w:p>
            <w:pPr>
              <w:spacing w:after="0"/>
              <w:rPr>
                <w:sz w:val="17"/>
                <w:szCs w:val="17"/>
                <w:color w:val="auto"/>
              </w:rPr>
            </w:pPr>
          </w:p>
        </w:tc>
        <w:tc>
          <w:tcPr>
            <w:tcW w:w="2020" w:type="dxa"/>
            <w:vAlign w:val="bottom"/>
            <w:tcBorders>
              <w:bottom w:val="single" w:sz="8" w:color="D5EAEA"/>
            </w:tcBorders>
            <w:gridSpan w:val="2"/>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0" w:type="dxa"/>
            <w:vAlign w:val="bottom"/>
            <w:gridSpan w:val="20"/>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Plan of Distribution</w:t>
              </w:r>
            </w:hyperlink>
          </w:p>
        </w:tc>
        <w:tc>
          <w:tcPr>
            <w:tcW w:w="2200" w:type="dxa"/>
            <w:vAlign w:val="bottom"/>
            <w:gridSpan w:val="4"/>
          </w:tcPr>
          <w:p>
            <w:pPr>
              <w:jc w:val="right"/>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80" w:type="dxa"/>
            <w:vAlign w:val="bottom"/>
            <w:tcBorders>
              <w:bottom w:val="single" w:sz="8" w:color="0000EE"/>
            </w:tcBorders>
            <w:gridSpan w:val="17"/>
            <w:shd w:val="clear" w:color="auto" w:fill="D5EAEA"/>
          </w:tcPr>
          <w:p>
            <w:pPr>
              <w:spacing w:after="0" w:line="17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Incorporation of Certain Information By Reference</w:t>
              </w:r>
            </w:hyperlink>
          </w:p>
        </w:tc>
        <w:tc>
          <w:tcPr>
            <w:tcW w:w="5520" w:type="dxa"/>
            <w:vAlign w:val="bottom"/>
            <w:tcBorders>
              <w:bottom w:val="single" w:sz="8" w:color="D5EAEA"/>
            </w:tcBorders>
            <w:gridSpan w:val="3"/>
            <w:shd w:val="clear" w:color="auto" w:fill="D5EAEA"/>
          </w:tcPr>
          <w:p>
            <w:pPr>
              <w:spacing w:after="0"/>
              <w:rPr>
                <w:sz w:val="17"/>
                <w:szCs w:val="17"/>
                <w:color w:val="auto"/>
              </w:rPr>
            </w:pPr>
          </w:p>
        </w:tc>
        <w:tc>
          <w:tcPr>
            <w:tcW w:w="2020" w:type="dxa"/>
            <w:vAlign w:val="bottom"/>
            <w:tcBorders>
              <w:bottom w:val="single" w:sz="8" w:color="D5EAEA"/>
            </w:tcBorders>
            <w:gridSpan w:val="2"/>
            <w:shd w:val="clear" w:color="auto" w:fill="D5EAEA"/>
          </w:tcPr>
          <w:p>
            <w:pPr>
              <w:spacing w:after="0"/>
              <w:rPr>
                <w:sz w:val="17"/>
                <w:szCs w:val="17"/>
                <w:color w:val="auto"/>
              </w:rPr>
            </w:pPr>
          </w:p>
        </w:tc>
        <w:tc>
          <w:tcPr>
            <w:tcW w:w="180" w:type="dxa"/>
            <w:vAlign w:val="bottom"/>
            <w:tcBorders>
              <w:bottom w:val="single" w:sz="8" w:color="0000EE"/>
            </w:tcBorders>
            <w:gridSpan w:val="2"/>
            <w:shd w:val="clear" w:color="auto" w:fill="D5EAEA"/>
          </w:tcPr>
          <w:p>
            <w:pPr>
              <w:jc w:val="right"/>
              <w:spacing w:after="0" w:line="17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0" w:type="dxa"/>
            <w:vAlign w:val="bottom"/>
            <w:gridSpan w:val="20"/>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Enforcement of Judgments</w:t>
              </w:r>
            </w:hyperlink>
          </w:p>
        </w:tc>
        <w:tc>
          <w:tcPr>
            <w:tcW w:w="2200" w:type="dxa"/>
            <w:vAlign w:val="bottom"/>
            <w:gridSpan w:val="4"/>
          </w:tcPr>
          <w:p>
            <w:pPr>
              <w:jc w:val="right"/>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0" w:type="dxa"/>
            <w:vAlign w:val="bottom"/>
            <w:gridSpan w:val="20"/>
            <w:shd w:val="clear" w:color="auto" w:fill="D5EAEA"/>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Expenses</w:t>
              </w:r>
            </w:hyperlink>
          </w:p>
        </w:tc>
        <w:tc>
          <w:tcPr>
            <w:tcW w:w="2200" w:type="dxa"/>
            <w:vAlign w:val="bottom"/>
            <w:gridSpan w:val="4"/>
            <w:shd w:val="clear" w:color="auto" w:fill="D5EAEA"/>
          </w:tcPr>
          <w:p>
            <w:pPr>
              <w:jc w:val="right"/>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5140" w:type="dxa"/>
            <w:vAlign w:val="bottom"/>
            <w:tcBorders>
              <w:top w:val="single" w:sz="8" w:color="D5EAEA"/>
            </w:tcBorders>
            <w:shd w:val="clear" w:color="auto" w:fill="D5EAEA"/>
          </w:tcPr>
          <w:p>
            <w:pPr>
              <w:spacing w:after="0" w:line="20" w:lineRule="exact"/>
              <w:rPr>
                <w:sz w:val="1"/>
                <w:szCs w:val="1"/>
                <w:color w:val="auto"/>
              </w:rPr>
            </w:pPr>
          </w:p>
        </w:tc>
        <w:tc>
          <w:tcPr>
            <w:tcW w:w="18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0" w:type="dxa"/>
            <w:vAlign w:val="bottom"/>
            <w:gridSpan w:val="20"/>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Legal Matters</w:t>
              </w:r>
            </w:hyperlink>
          </w:p>
        </w:tc>
        <w:tc>
          <w:tcPr>
            <w:tcW w:w="2200" w:type="dxa"/>
            <w:vAlign w:val="bottom"/>
            <w:gridSpan w:val="4"/>
          </w:tcPr>
          <w:p>
            <w:pPr>
              <w:jc w:val="right"/>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200" w:type="dxa"/>
            <w:vAlign w:val="bottom"/>
            <w:gridSpan w:val="20"/>
            <w:shd w:val="clear" w:color="auto" w:fill="D5EAEA"/>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Experts</w:t>
              </w:r>
            </w:hyperlink>
          </w:p>
        </w:tc>
        <w:tc>
          <w:tcPr>
            <w:tcW w:w="2200" w:type="dxa"/>
            <w:vAlign w:val="bottom"/>
            <w:gridSpan w:val="4"/>
            <w:shd w:val="clear" w:color="auto" w:fill="D5EAEA"/>
          </w:tcPr>
          <w:p>
            <w:pPr>
              <w:jc w:val="right"/>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340" w:type="dxa"/>
            <w:vAlign w:val="bottom"/>
            <w:tcBorders>
              <w:top w:val="single" w:sz="8" w:color="D5EAEA"/>
            </w:tcBorders>
            <w:shd w:val="clear" w:color="auto" w:fill="D5EAEA"/>
          </w:tcPr>
          <w:p>
            <w:pPr>
              <w:spacing w:after="0" w:line="20" w:lineRule="exact"/>
              <w:rPr>
                <w:sz w:val="1"/>
                <w:szCs w:val="1"/>
                <w:color w:val="auto"/>
              </w:rPr>
            </w:pPr>
          </w:p>
        </w:tc>
        <w:tc>
          <w:tcPr>
            <w:tcW w:w="440" w:type="dxa"/>
            <w:vAlign w:val="bottom"/>
            <w:tcBorders>
              <w:top w:val="single" w:sz="8" w:color="D5EAEA"/>
            </w:tcBorders>
            <w:shd w:val="clear" w:color="auto" w:fill="D5EAEA"/>
          </w:tcPr>
          <w:p>
            <w:pPr>
              <w:spacing w:after="0" w:line="20" w:lineRule="exact"/>
              <w:rPr>
                <w:sz w:val="1"/>
                <w:szCs w:val="1"/>
                <w:color w:val="auto"/>
              </w:rPr>
            </w:pPr>
          </w:p>
        </w:tc>
        <w:tc>
          <w:tcPr>
            <w:tcW w:w="380" w:type="dxa"/>
            <w:vAlign w:val="bottom"/>
            <w:tcBorders>
              <w:top w:val="single" w:sz="8" w:color="D5EAEA"/>
            </w:tcBorders>
            <w:shd w:val="clear" w:color="auto" w:fill="D5EAEA"/>
          </w:tcPr>
          <w:p>
            <w:pPr>
              <w:spacing w:after="0" w:line="20" w:lineRule="exact"/>
              <w:rPr>
                <w:sz w:val="1"/>
                <w:szCs w:val="1"/>
                <w:color w:val="auto"/>
              </w:rPr>
            </w:pPr>
          </w:p>
        </w:tc>
        <w:tc>
          <w:tcPr>
            <w:tcW w:w="18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5140" w:type="dxa"/>
            <w:vAlign w:val="bottom"/>
            <w:tcBorders>
              <w:top w:val="single" w:sz="8" w:color="D5EAEA"/>
            </w:tcBorders>
            <w:shd w:val="clear" w:color="auto" w:fill="D5EAEA"/>
          </w:tcPr>
          <w:p>
            <w:pPr>
              <w:spacing w:after="0" w:line="20" w:lineRule="exact"/>
              <w:rPr>
                <w:sz w:val="1"/>
                <w:szCs w:val="1"/>
                <w:color w:val="auto"/>
              </w:rPr>
            </w:pPr>
          </w:p>
        </w:tc>
        <w:tc>
          <w:tcPr>
            <w:tcW w:w="186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2881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88163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6"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8" w:lineRule="exact"/>
        <w:rPr>
          <w:sz w:val="20"/>
          <w:szCs w:val="20"/>
          <w:color w:val="auto"/>
        </w:rPr>
      </w:pPr>
    </w:p>
    <w:p>
      <w:pPr>
        <w:ind w:left="660" w:right="3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our anti-Tau antibody candidate, ACI-24, ACI-35 and our Tau-PET Imaging tracer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Morphomer proprietary technology platform and its success in building additional product candidates for our pipeline;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conduct outside the United States in the future;</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risk factors discussed in our most recent Annual Report on Form 20-F.</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a clinical stage biopharmaceutical company focused on neurodegenerative diseases with four product candidates in clinical trials. We leverage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65" w:lineRule="exact"/>
        <w:rPr>
          <w:sz w:val="20"/>
          <w:szCs w:val="20"/>
          <w:color w:val="auto"/>
        </w:rPr>
      </w:pPr>
    </w:p>
    <w:p>
      <w:pPr>
        <w:ind w:right="460" w:firstLine="324"/>
        <w:spacing w:after="0" w:line="276"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Our domicile and registered office is in Ecublens, near Lausanne, Canton of Vaud, Switzerland. Our common shares were admitted to trading on NASDAQ Global Market on September 23, 2016. Our shares are traded under the symbol “ACIU.”</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5"/>
              </w:rPr>
              <w:t>Fiscal Year Ended December 31,</w:t>
            </w:r>
          </w:p>
        </w:tc>
        <w:tc>
          <w:tcPr>
            <w:tcW w:w="1080" w:type="dxa"/>
            <w:vAlign w:val="bottom"/>
            <w:tcBorders>
              <w:bottom w:val="single" w:sz="8" w:color="auto"/>
            </w:tcBorders>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6400" w:type="dxa"/>
            <w:vAlign w:val="bottom"/>
            <w:shd w:val="clear" w:color="auto" w:fill="D5EAEA"/>
          </w:tcPr>
          <w:p>
            <w:pPr>
              <w:spacing w:after="0"/>
              <w:rPr>
                <w:sz w:val="20"/>
                <w:szCs w:val="20"/>
                <w:color w:val="auto"/>
              </w:rPr>
            </w:pPr>
            <w:r>
              <w:rPr>
                <w:rFonts w:ascii="Arial" w:cs="Arial" w:eastAsia="Arial" w:hAnsi="Arial"/>
                <w:sz w:val="18"/>
                <w:szCs w:val="18"/>
                <w:color w:val="auto"/>
              </w:rPr>
              <w:t>Ratio of earnings to fixed charges</w:t>
            </w:r>
          </w:p>
        </w:tc>
        <w:tc>
          <w:tcPr>
            <w:tcW w:w="124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2700" w:type="dxa"/>
            <w:vAlign w:val="bottom"/>
            <w:shd w:val="clear" w:color="auto" w:fill="D5EAEA"/>
          </w:tcPr>
          <w:p>
            <w:pPr>
              <w:jc w:val="right"/>
              <w:ind w:right="9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ind w:right="390"/>
              <w:spacing w:after="0"/>
              <w:rPr>
                <w:sz w:val="20"/>
                <w:szCs w:val="20"/>
                <w:color w:val="auto"/>
              </w:rPr>
            </w:pPr>
            <w:r>
              <w:rPr>
                <w:rFonts w:ascii="Arial" w:cs="Arial" w:eastAsia="Arial" w:hAnsi="Arial"/>
                <w:sz w:val="18"/>
                <w:szCs w:val="18"/>
                <w:color w:val="auto"/>
              </w:rPr>
              <w:t>1,062</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87" w:lineRule="exact"/>
        <w:rPr>
          <w:sz w:val="20"/>
          <w:szCs w:val="20"/>
          <w:color w:val="auto"/>
        </w:rPr>
      </w:pPr>
    </w:p>
    <w:p>
      <w:pPr>
        <w:ind w:right="280" w:firstLine="332"/>
        <w:spacing w:after="0" w:line="277" w:lineRule="auto"/>
        <w:tabs>
          <w:tab w:leader="none" w:pos="4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earnings were insufficient to cover fixed charges of CHF 174 thousand and CHF 27 thousand for the years ended December 31, 2017 and 2016, respectively.</w:t>
      </w:r>
    </w:p>
    <w:p>
      <w:pPr>
        <w:spacing w:after="0" w:line="17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For purposes of calculating the ratios in the table above, earnings consist of pre-tax income/(loss) from continuing operations plus fixed charges. Fixed charges consist of relevant interest expenses and an estimate of the interest expense (5% for all periods) within rental expense.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Unless otherwise indicated in a prospectus supplement, the net proceeds from our sale of the securities will be used for general corporate purposes and other business opportunities.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the date of this prospectus, our issued share capital is CHF 1,147,253.80, consisting of 57,362,690 common shares. We have no dividend rights certificates (</w:t>
      </w:r>
      <w:r>
        <w:rPr>
          <w:rFonts w:ascii="Arial" w:cs="Arial" w:eastAsia="Arial" w:hAnsi="Arial"/>
          <w:sz w:val="18"/>
          <w:szCs w:val="18"/>
          <w:i w:val="1"/>
          <w:iCs w:val="1"/>
          <w:color w:val="auto"/>
        </w:rPr>
        <w:t>bons de jouissance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March 26, 2018, we adopted the articles of association and when we refer to our articles of association in this prospectus, we refer to the articles of association as filed as Exhibit 4.1 hereto.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its subsidiaries and supply guarantees.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66" w:lineRule="exact"/>
        <w:rPr>
          <w:sz w:val="20"/>
          <w:szCs w:val="20"/>
          <w:color w:val="auto"/>
        </w:rPr>
      </w:pPr>
    </w:p>
    <w:p>
      <w:pPr>
        <w:ind w:left="660" w:right="12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ectPr>
          <w:pgSz w:w="11900" w:h="16838" w:orient="portrait"/>
          <w:cols w:equalWidth="0" w:num="1">
            <w:col w:w="11420"/>
          </w:cols>
          <w:pgMar w:left="240" w:top="225" w:right="239" w:bottom="1440" w:gutter="0" w:footer="0" w:header="0"/>
        </w:sect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pre-emptive subscription rights are granted, but not exercised, the board of directors may allocate the pre-emptive subscription rights as it elects.</w:t>
      </w:r>
    </w:p>
    <w:p>
      <w:pPr>
        <w:spacing w:after="0" w:line="23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authorization previously granted to the board of directors to issue share capital has expired. A valid authorization to issue share capital in the articles of association of a Swiss stock corporation would typically provide for the withdrawal or limitation of preemptive subscription rights of shareholders, and their allocation to third parties or to the company, in the event that the newly issued shares are used for the following purposes:</w:t>
      </w:r>
    </w:p>
    <w:p>
      <w:pPr>
        <w:spacing w:after="0" w:line="16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23"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Article 3a of our articles of association, the authorization granted to our board of directors to increase our nominal share capital has expired.</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Article 3b of our articles of association, 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170" w:lineRule="exact"/>
        <w:rPr>
          <w:sz w:val="20"/>
          <w:szCs w:val="20"/>
          <w:color w:val="auto"/>
        </w:rPr>
      </w:pPr>
    </w:p>
    <w:p>
      <w:pPr>
        <w:ind w:left="660" w:right="20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Article 3c of our articles of association, our nominal share capital may, to the exclusion of the pre-emptive subscription rights of shareholders, be increased by a maximum aggregate amount of CHF 57,073.04 through the issuance of not more than 2,853,652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 droits-valeurs</w:t>
      </w:r>
      <w:r>
        <w:rPr>
          <w:rFonts w:ascii="Arial" w:cs="Arial" w:eastAsia="Arial" w:hAnsi="Arial"/>
          <w:sz w:val="17"/>
          <w:szCs w:val="17"/>
          <w:color w:val="auto"/>
        </w:rPr>
        <w:t>). We may at any time convert uncertificated securities into share certificates (including global certificates), one kind of certificate into another, or</w:t>
      </w:r>
      <w:r>
        <w:rPr>
          <w:rFonts w:ascii="Arial" w:cs="Arial" w:eastAsia="Arial" w:hAnsi="Arial"/>
          <w:sz w:val="17"/>
          <w:szCs w:val="17"/>
          <w:i w:val="1"/>
          <w:iCs w:val="1"/>
          <w:color w:val="auto"/>
        </w:rPr>
        <w:t xml:space="preserve"> </w:t>
      </w:r>
      <w:r>
        <w:rPr>
          <w:rFonts w:ascii="Arial" w:cs="Arial" w:eastAsia="Arial" w:hAnsi="Arial"/>
          <w:sz w:val="17"/>
          <w:szCs w:val="17"/>
          <w:color w:val="auto"/>
        </w:rPr>
        <w:t>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 are not entitled, however, to request the printing and delivery of certificates. We may print and deliver certificates for shares at any time.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discharging the members of the board of directors and executive management from liability with respect to their tenure in the previous financial year;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17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specific assets and granting specific benefits;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331⁄3%;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187" w:lineRule="exact"/>
        <w:rPr>
          <w:sz w:val="20"/>
          <w:szCs w:val="20"/>
          <w:color w:val="auto"/>
        </w:rPr>
      </w:pPr>
    </w:p>
    <w:p>
      <w:pPr>
        <w:ind w:left="660" w:right="3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0" w:firstLine="324"/>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In the event that a shareholder should exceed the 331⁄3% ownership threshold, the registered shares exceeding the limit of 331⁄3%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9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intermédiés</w:t>
      </w:r>
      <w:r>
        <w:rPr>
          <w:rFonts w:ascii="Arial" w:cs="Arial" w:eastAsia="Arial" w:hAnsi="Arial"/>
          <w:sz w:val="18"/>
          <w:szCs w:val="18"/>
          <w:color w:val="auto"/>
        </w:rPr>
        <w:t>) 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Voting rights may be exercised only after a shareholder has been entered in our share register (</w:t>
      </w:r>
      <w:r>
        <w:rPr>
          <w:rFonts w:ascii="Arial" w:cs="Arial" w:eastAsia="Arial" w:hAnsi="Arial"/>
          <w:sz w:val="18"/>
          <w:szCs w:val="18"/>
          <w:i w:val="1"/>
          <w:iCs w:val="1"/>
          <w:color w:val="auto"/>
        </w:rPr>
        <w:t>registre des actions</w:t>
      </w:r>
      <w:r>
        <w:rPr>
          <w:rFonts w:ascii="Arial" w:cs="Arial" w:eastAsia="Arial" w:hAnsi="Arial"/>
          <w:sz w:val="18"/>
          <w:szCs w:val="18"/>
          <w:color w:val="auto"/>
        </w:rPr>
        <w:t>) with his or her name and address (in the case of legal entities, the registered office) as a shareholder with voting rights. 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except if such individual or legal entity has submitted a tender offer to all shareholders. In the event that a shareholder should exceed the 331⁄3% ownership threshold, the registered shares exceeding the limit of 331⁄3% shall be entered in our share registered as shares without voting rights. Additional voting caps apply to shareholders acquiring shares for other persons (nominees).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225"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8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indemnification agreements with each of the members of our board of directors and executive management.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5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8"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174" w:lineRule="exact"/>
        <w:rPr>
          <w:sz w:val="20"/>
          <w:szCs w:val="20"/>
          <w:color w:val="auto"/>
        </w:rPr>
      </w:pPr>
    </w:p>
    <w:p>
      <w:pPr>
        <w:ind w:left="148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400"/>
          </w:cols>
          <w:pgMar w:left="240" w:top="225" w:right="259" w:bottom="1440" w:gutter="0" w:footer="0" w:header="0"/>
        </w:sectPr>
      </w:pP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 sur la fusion</w:t>
      </w:r>
      <w:r>
        <w:rPr>
          <w:rFonts w:ascii="Arial" w:cs="Arial" w:eastAsia="Arial" w:hAnsi="Arial"/>
          <w:sz w:val="16"/>
          <w:szCs w:val="16"/>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172" w:lineRule="exact"/>
        <w:rPr>
          <w:sz w:val="20"/>
          <w:szCs w:val="20"/>
          <w:color w:val="auto"/>
        </w:rPr>
      </w:pPr>
    </w:p>
    <w:p>
      <w:pPr>
        <w:sectPr>
          <w:pgSz w:w="11900" w:h="16838" w:orient="portrait"/>
          <w:cols w:equalWidth="0" w:num="2">
            <w:col w:w="5600" w:space="220"/>
            <w:col w:w="5580"/>
          </w:cols>
          <w:pgMar w:left="240" w:top="22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400"/>
          </w:cols>
          <w:pgMar w:left="240" w:top="225" w:right="259" w:bottom="1440" w:gutter="0" w:footer="0" w:header="0"/>
          <w:type w:val="continuous"/>
        </w:sectPr>
      </w:pPr>
    </w:p>
    <w:p>
      <w:pPr>
        <w:spacing w:after="0" w:line="24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and creditors.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2"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580" w:space="240"/>
            <w:col w:w="5580"/>
          </w:cols>
          <w:pgMar w:left="240" w:top="225" w:right="259" w:bottom="1440" w:gutter="0" w:footer="0" w:header="0"/>
          <w:type w:val="continuous"/>
        </w:sectPr>
      </w:pP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type w:val="continuous"/>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right"/>
        <w:ind w:right="1680"/>
        <w:spacing w:after="0"/>
        <w:tabs>
          <w:tab w:leader="none" w:pos="21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225" w:right="259" w:bottom="1440" w:gutter="0" w:footer="0" w:header="0"/>
        </w:sectPr>
      </w:pP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Swiss Ordinance against excessive compensation in listed stock corporations (</w:t>
      </w:r>
      <w:r>
        <w:rPr>
          <w:rFonts w:ascii="Arial" w:cs="Arial" w:eastAsia="Arial" w:hAnsi="Arial"/>
          <w:sz w:val="17"/>
          <w:szCs w:val="17"/>
          <w:i w:val="1"/>
          <w:iCs w:val="1"/>
          <w:color w:val="auto"/>
        </w:rPr>
        <w:t>Ordonnance contre les rémunérations abusives dans les</w:t>
      </w:r>
      <w:r>
        <w:rPr>
          <w:rFonts w:ascii="Arial" w:cs="Arial" w:eastAsia="Arial" w:hAnsi="Arial"/>
          <w:sz w:val="17"/>
          <w:szCs w:val="17"/>
          <w:color w:val="auto"/>
        </w:rPr>
        <w:t xml:space="preserve"> </w:t>
      </w:r>
      <w:r>
        <w:rPr>
          <w:rFonts w:ascii="Arial" w:cs="Arial" w:eastAsia="Arial" w:hAnsi="Arial"/>
          <w:sz w:val="17"/>
          <w:szCs w:val="17"/>
          <w:i w:val="1"/>
          <w:iCs w:val="1"/>
          <w:color w:val="auto"/>
        </w:rPr>
        <w:t>sociétés anonymes cotées en bourse</w:t>
      </w:r>
      <w:r>
        <w:rPr>
          <w:rFonts w:ascii="Arial" w:cs="Arial" w:eastAsia="Arial" w:hAnsi="Arial"/>
          <w:sz w:val="17"/>
          <w:szCs w:val="17"/>
          <w:color w:val="auto"/>
        </w:rPr>
        <w:t>), the general meeting of shareholders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non-transferable right, amongst others, to vote on the fixed and on the variable compensation of the members of the board of directors, of the executive management and of the advisory boards.</w:t>
      </w:r>
    </w:p>
    <w:p>
      <w:pPr>
        <w:spacing w:after="0" w:line="178" w:lineRule="exact"/>
        <w:rPr>
          <w:sz w:val="20"/>
          <w:szCs w:val="20"/>
          <w:color w:val="auto"/>
        </w:rPr>
      </w:pPr>
    </w:p>
    <w:p>
      <w:pPr>
        <w:sectPr>
          <w:pgSz w:w="11900" w:h="16838" w:orient="portrait"/>
          <w:cols w:equalWidth="0" w:num="2">
            <w:col w:w="5520" w:space="300"/>
            <w:col w:w="5580"/>
          </w:cols>
          <w:pgMar w:left="240" w:top="22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225" w:right="259" w:bottom="1440" w:gutter="0" w:footer="0" w:header="0"/>
          <w:type w:val="continuous"/>
        </w:sect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561" w:lineRule="exact"/>
        <w:rPr>
          <w:sz w:val="20"/>
          <w:szCs w:val="20"/>
          <w:color w:val="auto"/>
        </w:rPr>
      </w:pPr>
    </w:p>
    <w:p>
      <w:pPr>
        <w:sectPr>
          <w:pgSz w:w="11900" w:h="16838" w:orient="portrait"/>
          <w:cols w:equalWidth="0" w:num="2">
            <w:col w:w="5480" w:space="340"/>
            <w:col w:w="5580"/>
          </w:cols>
          <w:pgMar w:left="240" w:top="225" w:right="25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225" w:right="259" w:bottom="1440" w:gutter="0" w:footer="0" w:header="0"/>
          <w:type w:val="continuous"/>
        </w:sectPr>
      </w:pP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93" w:lineRule="exact"/>
        <w:rPr>
          <w:sz w:val="20"/>
          <w:szCs w:val="20"/>
          <w:color w:val="auto"/>
        </w:rPr>
      </w:pPr>
    </w:p>
    <w:p>
      <w:pPr>
        <w:ind w:left="160" w:right="760" w:hanging="152"/>
        <w:spacing w:after="0" w:line="277" w:lineRule="auto"/>
        <w:tabs>
          <w:tab w:leader="none" w:pos="1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160" w:hanging="152"/>
        <w:spacing w:after="0" w:line="277" w:lineRule="auto"/>
        <w:tabs>
          <w:tab w:leader="none" w:pos="1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160" w:right="360" w:hanging="152"/>
        <w:spacing w:after="0" w:line="277" w:lineRule="auto"/>
        <w:tabs>
          <w:tab w:leader="none" w:pos="1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170" w:lineRule="exact"/>
        <w:rPr>
          <w:rFonts w:ascii="Arial" w:cs="Arial" w:eastAsia="Arial" w:hAnsi="Arial"/>
          <w:sz w:val="18"/>
          <w:szCs w:val="18"/>
          <w:color w:val="auto"/>
        </w:rPr>
      </w:pPr>
    </w:p>
    <w:p>
      <w:pPr>
        <w:ind w:left="160" w:right="440" w:hanging="152"/>
        <w:spacing w:after="0" w:line="277" w:lineRule="auto"/>
        <w:tabs>
          <w:tab w:leader="none" w:pos="1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828" w:lineRule="exact"/>
        <w:rPr>
          <w:sz w:val="20"/>
          <w:szCs w:val="20"/>
          <w:color w:val="auto"/>
        </w:rPr>
      </w:pPr>
    </w:p>
    <w:p>
      <w:pPr>
        <w:sectPr>
          <w:pgSz w:w="11900" w:h="16838" w:orient="portrait"/>
          <w:cols w:equalWidth="0" w:num="2">
            <w:col w:w="5580" w:space="240"/>
            <w:col w:w="5580"/>
          </w:cols>
          <w:pgMar w:left="240" w:top="225" w:right="259" w:bottom="1440" w:gutter="0" w:footer="0" w:header="0"/>
          <w:type w:val="continuous"/>
        </w:sectPr>
      </w:pP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type w:val="continuous"/>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right"/>
        <w:ind w:right="1700"/>
        <w:spacing w:after="0"/>
        <w:tabs>
          <w:tab w:leader="none" w:pos="21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Directors’ fiduciary duties</w:t>
      </w:r>
    </w:p>
    <w:p>
      <w:pPr>
        <w:sectPr>
          <w:pgSz w:w="11900" w:h="16838" w:orient="portrait"/>
          <w:cols w:equalWidth="0" w:num="1">
            <w:col w:w="11420"/>
          </w:cols>
          <w:pgMar w:left="240" w:top="225" w:right="239" w:bottom="1440" w:gutter="0" w:footer="0" w:header="0"/>
        </w:sectPr>
      </w:pP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170" w:lineRule="exact"/>
        <w:rPr>
          <w:sz w:val="20"/>
          <w:szCs w:val="20"/>
          <w:color w:val="auto"/>
        </w:rPr>
      </w:pPr>
    </w:p>
    <w:p>
      <w:pPr>
        <w:ind w:left="280" w:hanging="14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225" w:lineRule="exact"/>
        <w:rPr>
          <w:rFonts w:ascii="Arial" w:cs="Arial" w:eastAsia="Arial" w:hAnsi="Arial"/>
          <w:sz w:val="18"/>
          <w:szCs w:val="18"/>
          <w:color w:val="auto"/>
        </w:rPr>
      </w:pPr>
    </w:p>
    <w:p>
      <w:pPr>
        <w:ind w:left="280" w:hanging="14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 w:right="20"/>
        <w:spacing w:after="0" w:line="257" w:lineRule="auto"/>
        <w:rPr>
          <w:sz w:val="20"/>
          <w:szCs w:val="20"/>
          <w:color w:val="auto"/>
        </w:rPr>
      </w:pPr>
      <w:r>
        <w:rPr>
          <w:rFonts w:ascii="Arial" w:cs="Arial" w:eastAsia="Arial" w:hAnsi="Arial"/>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88" w:lineRule="exact"/>
        <w:rPr>
          <w:sz w:val="20"/>
          <w:szCs w:val="20"/>
          <w:color w:val="auto"/>
        </w:rPr>
      </w:pPr>
    </w:p>
    <w:p>
      <w:pPr>
        <w:ind w:left="165" w:right="120" w:hanging="165"/>
        <w:spacing w:after="0" w:line="277" w:lineRule="auto"/>
        <w:tabs>
          <w:tab w:leader="none" w:pos="1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pacing w:after="0" w:line="170" w:lineRule="exact"/>
        <w:rPr>
          <w:rFonts w:ascii="Arial" w:cs="Arial" w:eastAsia="Arial" w:hAnsi="Arial"/>
          <w:sz w:val="18"/>
          <w:szCs w:val="18"/>
          <w:color w:val="auto"/>
        </w:rPr>
      </w:pPr>
    </w:p>
    <w:p>
      <w:pPr>
        <w:ind w:left="145" w:hanging="145"/>
        <w:spacing w:after="0"/>
        <w:tabs>
          <w:tab w:leader="none" w:pos="1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225" w:lineRule="exact"/>
        <w:rPr>
          <w:rFonts w:ascii="Arial" w:cs="Arial" w:eastAsia="Arial" w:hAnsi="Arial"/>
          <w:sz w:val="18"/>
          <w:szCs w:val="18"/>
          <w:color w:val="auto"/>
        </w:rPr>
      </w:pPr>
    </w:p>
    <w:p>
      <w:pPr>
        <w:ind w:left="165" w:right="80" w:hanging="165"/>
        <w:spacing w:after="0" w:line="277" w:lineRule="auto"/>
        <w:tabs>
          <w:tab w:leader="none" w:pos="1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170" w:lineRule="exact"/>
        <w:rPr>
          <w:rFonts w:ascii="Arial" w:cs="Arial" w:eastAsia="Arial" w:hAnsi="Arial"/>
          <w:sz w:val="18"/>
          <w:szCs w:val="18"/>
          <w:color w:val="auto"/>
        </w:rPr>
      </w:pPr>
    </w:p>
    <w:p>
      <w:pPr>
        <w:ind w:left="165" w:right="360" w:hanging="165"/>
        <w:spacing w:after="0" w:line="277" w:lineRule="auto"/>
        <w:tabs>
          <w:tab w:leader="none" w:pos="1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corporation;</w:t>
      </w:r>
    </w:p>
    <w:p>
      <w:pPr>
        <w:spacing w:after="0" w:line="170" w:lineRule="exact"/>
        <w:rPr>
          <w:rFonts w:ascii="Arial" w:cs="Arial" w:eastAsia="Arial" w:hAnsi="Arial"/>
          <w:sz w:val="18"/>
          <w:szCs w:val="18"/>
          <w:color w:val="auto"/>
        </w:rPr>
      </w:pPr>
    </w:p>
    <w:p>
      <w:pPr>
        <w:jc w:val="both"/>
        <w:ind w:left="165" w:right="20" w:hanging="165"/>
        <w:spacing w:after="0" w:line="264" w:lineRule="auto"/>
        <w:tabs>
          <w:tab w:leader="none" w:pos="1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181" w:lineRule="exact"/>
        <w:rPr>
          <w:rFonts w:ascii="Arial" w:cs="Arial" w:eastAsia="Arial" w:hAnsi="Arial"/>
          <w:sz w:val="18"/>
          <w:szCs w:val="18"/>
          <w:color w:val="auto"/>
        </w:rPr>
      </w:pPr>
    </w:p>
    <w:p>
      <w:pPr>
        <w:ind w:left="165" w:right="220" w:hanging="165"/>
        <w:spacing w:after="0" w:line="308" w:lineRule="auto"/>
        <w:tabs>
          <w:tab w:leader="none" w:pos="144"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compilation of the annual report, preparation for the general meeting, the compensation report and implementation of its resolutions; and</w:t>
      </w:r>
    </w:p>
    <w:p>
      <w:pPr>
        <w:spacing w:after="0" w:line="146" w:lineRule="exact"/>
        <w:rPr>
          <w:rFonts w:ascii="Arial" w:cs="Arial" w:eastAsia="Arial" w:hAnsi="Arial"/>
          <w:sz w:val="17"/>
          <w:szCs w:val="17"/>
          <w:color w:val="auto"/>
        </w:rPr>
      </w:pPr>
    </w:p>
    <w:p>
      <w:pPr>
        <w:ind w:left="145" w:hanging="145"/>
        <w:spacing w:after="0"/>
        <w:tabs>
          <w:tab w:leader="none" w:pos="145"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notification of the court in the event that the company is overindebted.</w:t>
      </w:r>
    </w:p>
    <w:p>
      <w:pPr>
        <w:spacing w:after="0" w:line="237" w:lineRule="exact"/>
        <w:rPr>
          <w:sz w:val="20"/>
          <w:szCs w:val="20"/>
          <w:color w:val="auto"/>
        </w:rPr>
      </w:pPr>
    </w:p>
    <w:p>
      <w:pPr>
        <w:ind w:left="5" w:right="80"/>
        <w:spacing w:after="0" w:line="312" w:lineRule="auto"/>
        <w:rPr>
          <w:sz w:val="20"/>
          <w:szCs w:val="20"/>
          <w:color w:val="auto"/>
        </w:rPr>
      </w:pPr>
      <w:r>
        <w:rPr>
          <w:rFonts w:ascii="Arial" w:cs="Arial" w:eastAsia="Arial" w:hAnsi="Arial"/>
          <w:sz w:val="16"/>
          <w:szCs w:val="16"/>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147" w:lineRule="exact"/>
        <w:rPr>
          <w:sz w:val="20"/>
          <w:szCs w:val="20"/>
          <w:color w:val="auto"/>
        </w:rPr>
      </w:pPr>
    </w:p>
    <w:p>
      <w:pPr>
        <w:ind w:left="5" w:firstLine="324"/>
        <w:spacing w:after="0" w:line="277" w:lineRule="auto"/>
        <w:rPr>
          <w:sz w:val="20"/>
          <w:szCs w:val="20"/>
          <w:color w:val="auto"/>
        </w:rPr>
      </w:pPr>
      <w:r>
        <w:rPr>
          <w:rFonts w:ascii="Arial" w:cs="Arial" w:eastAsia="Arial" w:hAnsi="Arial"/>
          <w:sz w:val="18"/>
          <w:szCs w:val="18"/>
          <w:color w:val="auto"/>
        </w:rPr>
        <w:t>The burden of proof for a violation of these duties is with the corporation or with the shareholder bringing a suit against the director.</w:t>
      </w:r>
    </w:p>
    <w:p>
      <w:pPr>
        <w:spacing w:after="0" w:line="170" w:lineRule="exact"/>
        <w:rPr>
          <w:sz w:val="20"/>
          <w:szCs w:val="20"/>
          <w:color w:val="auto"/>
        </w:rPr>
      </w:pPr>
    </w:p>
    <w:p>
      <w:pPr>
        <w:sectPr>
          <w:pgSz w:w="11900" w:h="16838" w:orient="portrait"/>
          <w:cols w:equalWidth="0" w:num="2">
            <w:col w:w="5560" w:space="255"/>
            <w:col w:w="5605"/>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225" w:right="239" w:bottom="1440" w:gutter="0" w:footer="0" w:header="0"/>
          <w:type w:val="continuous"/>
        </w:sect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200" w:lineRule="exact"/>
        <w:rPr>
          <w:sz w:val="20"/>
          <w:szCs w:val="20"/>
          <w:color w:val="auto"/>
        </w:rPr>
      </w:pPr>
    </w:p>
    <w:p>
      <w:pPr>
        <w:sectPr>
          <w:pgSz w:w="11900" w:h="16838" w:orient="portrait"/>
          <w:cols w:equalWidth="0" w:num="2">
            <w:col w:w="5540" w:space="280"/>
            <w:col w:w="5600"/>
          </w:cols>
          <w:pgMar w:left="240" w:top="225" w:right="239" w:bottom="1440" w:gutter="0" w:footer="0" w:header="0"/>
          <w:type w:val="continuous"/>
        </w:sectPr>
      </w:pP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right"/>
        <w:ind w:right="1660"/>
        <w:spacing w:after="0"/>
        <w:tabs>
          <w:tab w:leader="none" w:pos="21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Shareholder proposals</w:t>
      </w:r>
    </w:p>
    <w:p>
      <w:pPr>
        <w:sectPr>
          <w:pgSz w:w="11900" w:h="16838" w:orient="portrait"/>
          <w:cols w:equalWidth="0" w:num="1">
            <w:col w:w="11380"/>
          </w:cols>
          <w:pgMar w:left="240" w:top="225" w:right="279" w:bottom="1440" w:gutter="0" w:footer="0" w:header="0"/>
        </w:sectPr>
      </w:pP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
        <w:spacing w:after="0" w:line="257" w:lineRule="auto"/>
        <w:rPr>
          <w:sz w:val="20"/>
          <w:szCs w:val="20"/>
          <w:color w:val="auto"/>
        </w:rPr>
      </w:pPr>
      <w:r>
        <w:rPr>
          <w:rFonts w:ascii="Arial" w:cs="Arial" w:eastAsia="Arial" w:hAnsi="Arial"/>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8" w:lineRule="exact"/>
        <w:rPr>
          <w:sz w:val="20"/>
          <w:szCs w:val="20"/>
          <w:color w:val="auto"/>
        </w:rPr>
      </w:pPr>
    </w:p>
    <w:p>
      <w:pPr>
        <w:ind w:left="165" w:right="260" w:hanging="165"/>
        <w:spacing w:after="0" w:line="264" w:lineRule="auto"/>
        <w:tabs>
          <w:tab w:leader="none" w:pos="1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shareholders together representing at least 10% of the share capital may demand that a general meeting of shareholders be called for specific agenda items and specific proposals; and</w:t>
      </w:r>
    </w:p>
    <w:p>
      <w:pPr>
        <w:spacing w:after="0" w:line="181" w:lineRule="exact"/>
        <w:rPr>
          <w:rFonts w:ascii="Arial" w:cs="Arial" w:eastAsia="Arial" w:hAnsi="Arial"/>
          <w:sz w:val="18"/>
          <w:szCs w:val="18"/>
          <w:color w:val="auto"/>
        </w:rPr>
      </w:pPr>
    </w:p>
    <w:p>
      <w:pPr>
        <w:ind w:left="165" w:right="20" w:hanging="165"/>
        <w:spacing w:after="0" w:line="302" w:lineRule="auto"/>
        <w:tabs>
          <w:tab w:leader="none" w:pos="144"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54" w:lineRule="exact"/>
        <w:rPr>
          <w:sz w:val="20"/>
          <w:szCs w:val="20"/>
          <w:color w:val="auto"/>
        </w:rPr>
      </w:pPr>
    </w:p>
    <w:p>
      <w:pPr>
        <w:ind w:left="5" w:right="40" w:firstLine="324"/>
        <w:spacing w:after="0" w:line="264" w:lineRule="auto"/>
        <w:rPr>
          <w:sz w:val="20"/>
          <w:szCs w:val="20"/>
          <w:color w:val="auto"/>
        </w:rPr>
      </w:pPr>
      <w:r>
        <w:rPr>
          <w:rFonts w:ascii="Arial" w:cs="Arial" w:eastAsia="Arial" w:hAnsi="Arial"/>
          <w:sz w:val="18"/>
          <w:szCs w:val="18"/>
          <w:color w:val="auto"/>
        </w:rPr>
        <w:t>Any shareholder can propose candidates for election as directors provided that the election of board members and the names of the candidates have been included as an agenda item.</w:t>
      </w:r>
    </w:p>
    <w:p>
      <w:pPr>
        <w:spacing w:after="0" w:line="181" w:lineRule="exact"/>
        <w:rPr>
          <w:sz w:val="20"/>
          <w:szCs w:val="20"/>
          <w:color w:val="auto"/>
        </w:rPr>
      </w:pPr>
    </w:p>
    <w:p>
      <w:pPr>
        <w:ind w:left="5" w:right="60"/>
        <w:spacing w:after="0" w:line="272"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on the affairs of the company (note, however, that the right to obtain such information is limited), (ii) request information from the auditors on the methods and results of their audit, (iii) request to convene an extraordinary general meeting or (iv) to carry out a special audit and to appoint an auditor at the request of a shareholder.</w:t>
      </w:r>
    </w:p>
    <w:p>
      <w:pPr>
        <w:spacing w:after="0" w:line="178" w:lineRule="exact"/>
        <w:rPr>
          <w:sz w:val="20"/>
          <w:szCs w:val="20"/>
          <w:color w:val="auto"/>
        </w:rPr>
      </w:pPr>
    </w:p>
    <w:p>
      <w:pPr>
        <w:sectPr>
          <w:pgSz w:w="11900" w:h="16838" w:orient="portrait"/>
          <w:cols w:equalWidth="0" w:num="2">
            <w:col w:w="5560" w:space="255"/>
            <w:col w:w="5565"/>
          </w:cols>
          <w:pgMar w:left="240" w:top="225"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380"/>
          </w:cols>
          <w:pgMar w:left="240" w:top="225" w:right="279" w:bottom="1440" w:gutter="0" w:footer="0" w:header="0"/>
          <w:type w:val="continuous"/>
        </w:sectPr>
      </w:pP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400" w:space="420"/>
            <w:col w:w="5560"/>
          </w:cols>
          <w:pgMar w:left="240" w:top="225"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380"/>
          </w:cols>
          <w:pgMar w:left="240" w:top="225" w:right="279" w:bottom="1440" w:gutter="0" w:footer="0" w:header="0"/>
          <w:type w:val="continuous"/>
        </w:sectPr>
      </w:pP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Swiss corporation may remove, with or without cause, any director at any time with a resolution passed by a simple majority of the shares represented at a general meeting of shareholders concerned. The articles of association may require the approval by a qualified majority of the shares represented at a meeting for the removal of a director.</w:t>
      </w:r>
    </w:p>
    <w:p>
      <w:pPr>
        <w:spacing w:after="0" w:line="200" w:lineRule="exact"/>
        <w:rPr>
          <w:sz w:val="20"/>
          <w:szCs w:val="20"/>
          <w:color w:val="auto"/>
        </w:rPr>
      </w:pPr>
    </w:p>
    <w:p>
      <w:pPr>
        <w:sectPr>
          <w:pgSz w:w="11900" w:h="16838" w:orient="portrait"/>
          <w:cols w:equalWidth="0" w:num="2">
            <w:col w:w="5300" w:space="520"/>
            <w:col w:w="5560"/>
          </w:cols>
          <w:pgMar w:left="240" w:top="225" w:right="279" w:bottom="1440" w:gutter="0" w:footer="0" w:header="0"/>
          <w:type w:val="continuous"/>
        </w:sectPr>
      </w:pP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right"/>
        <w:ind w:right="1700"/>
        <w:spacing w:after="0"/>
        <w:tabs>
          <w:tab w:leader="none" w:pos="21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Transactions with interested shareholders</w:t>
      </w:r>
    </w:p>
    <w:p>
      <w:pPr>
        <w:sectPr>
          <w:pgSz w:w="11900" w:h="16838" w:orient="portrait"/>
          <w:cols w:equalWidth="0" w:num="1">
            <w:col w:w="11420"/>
          </w:cols>
          <w:pgMar w:left="240" w:top="225" w:right="239" w:bottom="1440" w:gutter="0" w:footer="0" w:header="0"/>
        </w:sectPr>
      </w:pP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such rule applies to a Swiss corporation.</w:t>
      </w:r>
    </w:p>
    <w:p>
      <w:pPr>
        <w:spacing w:after="0" w:line="1328" w:lineRule="exact"/>
        <w:rPr>
          <w:sz w:val="20"/>
          <w:szCs w:val="20"/>
          <w:color w:val="auto"/>
        </w:rPr>
      </w:pPr>
    </w:p>
    <w:p>
      <w:pPr>
        <w:sectPr>
          <w:pgSz w:w="11900" w:h="16838" w:orient="portrait"/>
          <w:cols w:equalWidth="0" w:num="2">
            <w:col w:w="5420" w:space="400"/>
            <w:col w:w="560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Dissolution; Winding up</w:t>
      </w:r>
    </w:p>
    <w:p>
      <w:pPr>
        <w:sectPr>
          <w:pgSz w:w="11900" w:h="16838" w:orient="portrait"/>
          <w:cols w:equalWidth="0" w:num="1">
            <w:col w:w="11420"/>
          </w:cols>
          <w:pgMar w:left="240" w:top="225" w:right="239" w:bottom="1440" w:gutter="0" w:footer="0" w:header="0"/>
          <w:type w:val="continuous"/>
        </w:sectPr>
      </w:pP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90" w:lineRule="exact"/>
        <w:rPr>
          <w:sz w:val="20"/>
          <w:szCs w:val="20"/>
          <w:color w:val="auto"/>
        </w:rPr>
      </w:pPr>
    </w:p>
    <w:p>
      <w:pPr>
        <w:sectPr>
          <w:pgSz w:w="11900" w:h="16838" w:orient="portrait"/>
          <w:cols w:equalWidth="0" w:num="2">
            <w:col w:w="5600" w:space="220"/>
            <w:col w:w="560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20"/>
          </w:cols>
          <w:pgMar w:left="240" w:top="225" w:right="239" w:bottom="1440" w:gutter="0" w:footer="0" w:header="0"/>
          <w:type w:val="continuous"/>
        </w:sect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70" w:lineRule="exact"/>
        <w:rPr>
          <w:sz w:val="20"/>
          <w:szCs w:val="20"/>
          <w:color w:val="auto"/>
        </w:rPr>
      </w:pPr>
    </w:p>
    <w:p>
      <w:pPr>
        <w:sectPr>
          <w:pgSz w:w="11900" w:h="16838" w:orient="portrait"/>
          <w:cols w:equalWidth="0" w:num="2">
            <w:col w:w="5220" w:space="600"/>
            <w:col w:w="560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20"/>
          </w:cols>
          <w:pgMar w:left="240" w:top="225" w:right="239" w:bottom="1440" w:gutter="0" w:footer="0" w:header="0"/>
          <w:type w:val="continuous"/>
        </w:sect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200" w:lineRule="exact"/>
        <w:rPr>
          <w:sz w:val="20"/>
          <w:szCs w:val="20"/>
          <w:color w:val="auto"/>
        </w:rPr>
      </w:pPr>
    </w:p>
    <w:p>
      <w:pPr>
        <w:sectPr>
          <w:pgSz w:w="11900" w:h="16838" w:orient="portrait"/>
          <w:cols w:equalWidth="0" w:num="2">
            <w:col w:w="5380" w:space="440"/>
            <w:col w:w="5600"/>
          </w:cols>
          <w:pgMar w:left="240" w:top="225" w:right="239" w:bottom="1440" w:gutter="0" w:footer="0" w:header="0"/>
          <w:type w:val="continuous"/>
        </w:sectPr>
      </w:pP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right"/>
        <w:ind w:right="1640"/>
        <w:spacing w:after="0"/>
        <w:tabs>
          <w:tab w:leader="none" w:pos="21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360"/>
          </w:cols>
          <w:pgMar w:left="240" w:top="225" w:right="299" w:bottom="1440" w:gutter="0" w:footer="0" w:header="0"/>
        </w:sectPr>
      </w:pP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66" w:lineRule="exact"/>
        <w:rPr>
          <w:sz w:val="20"/>
          <w:szCs w:val="20"/>
          <w:color w:val="auto"/>
        </w:rPr>
      </w:pPr>
    </w:p>
    <w:p>
      <w:pPr>
        <w:sectPr>
          <w:pgSz w:w="11900" w:h="16838" w:orient="portrait"/>
          <w:cols w:equalWidth="0" w:num="2">
            <w:col w:w="5560" w:space="260"/>
            <w:col w:w="5540"/>
          </w:cols>
          <w:pgMar w:left="240" w:top="225"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360"/>
          </w:cols>
          <w:pgMar w:left="240" w:top="225" w:right="299" w:bottom="1440" w:gutter="0" w:footer="0" w:header="0"/>
          <w:type w:val="continuous"/>
        </w:sect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7" w:lineRule="exact"/>
        <w:rPr>
          <w:sz w:val="20"/>
          <w:szCs w:val="20"/>
          <w:color w:val="auto"/>
        </w:rPr>
      </w:pPr>
    </w:p>
    <w:p>
      <w:pPr>
        <w:ind w:left="140" w:hanging="132"/>
        <w:spacing w:after="0"/>
        <w:tabs>
          <w:tab w:leader="none" w:pos="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160" w:right="220" w:hanging="152"/>
        <w:spacing w:after="0" w:line="342" w:lineRule="auto"/>
        <w:tabs>
          <w:tab w:leader="none" w:pos="13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4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00" w:lineRule="exact"/>
        <w:rPr>
          <w:sz w:val="20"/>
          <w:szCs w:val="20"/>
          <w:color w:val="auto"/>
        </w:rPr>
      </w:pPr>
    </w:p>
    <w:p>
      <w:pPr>
        <w:sectPr>
          <w:pgSz w:w="11900" w:h="16838" w:orient="portrait"/>
          <w:cols w:equalWidth="0" w:num="2">
            <w:col w:w="5600" w:space="220"/>
            <w:col w:w="5540"/>
          </w:cols>
          <w:pgMar w:left="240" w:top="225" w:right="299" w:bottom="1440" w:gutter="0" w:footer="0" w:header="0"/>
          <w:type w:val="continuous"/>
        </w:sectPr>
      </w:pP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360"/>
          </w:cols>
          <w:pgMar w:left="240" w:top="225" w:right="299" w:bottom="1440" w:gutter="0" w:footer="0" w:header="0"/>
          <w:type w:val="continuous"/>
        </w:sectPr>
      </w:pP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200" w:lineRule="exact"/>
        <w:rPr>
          <w:sz w:val="20"/>
          <w:szCs w:val="20"/>
          <w:color w:val="auto"/>
        </w:rPr>
      </w:pPr>
    </w:p>
    <w:p>
      <w:pPr>
        <w:sectPr>
          <w:pgSz w:w="11900" w:h="16838" w:orient="portrait"/>
          <w:cols w:equalWidth="0" w:num="2">
            <w:col w:w="5420" w:space="400"/>
            <w:col w:w="5540"/>
          </w:cols>
          <w:pgMar w:left="240" w:top="225" w:right="299" w:bottom="1440" w:gutter="0" w:footer="0" w:header="0"/>
          <w:type w:val="continuous"/>
        </w:sectPr>
      </w:pP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issue purchase contracts for the purchase or sale of equity securities issued by us.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common shares, debt securities, warrants or any combination of such securities.</w:t>
      </w:r>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25" w:right="6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8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applicable prospectus supplement will describe the specific terms of any offering of subscription rights for which this prospectus is being delivered, including the following:</w:t>
      </w:r>
    </w:p>
    <w:p>
      <w:pPr>
        <w:spacing w:after="0" w:line="17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common shares or warrants for those securities will be offered under the shareholder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exercise price payable for each security upon the exercise of the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shareholder;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and terms of the securities which may be purchased per each subscription right;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date on which the right to exercise the subscription rights shall commence, and the date on which the subscription rights shall expire;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entered into by us in connection with the offering of subscription rights.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Standby Arrangements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25" w:lineRule="exact"/>
        <w:rPr>
          <w:rFonts w:ascii="Arial" w:cs="Arial" w:eastAsia="Arial" w:hAnsi="Arial"/>
          <w:sz w:val="18"/>
          <w:szCs w:val="18"/>
          <w:color w:val="auto"/>
        </w:rPr>
      </w:pPr>
    </w:p>
    <w:p>
      <w:pPr>
        <w:ind w:left="340" w:right="2380" w:firstLine="316"/>
        <w:spacing w:after="0" w:line="501" w:lineRule="auto"/>
        <w:tabs>
          <w:tab w:leader="none" w:pos="9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 The prospectus supplement will state the terms of the offering of the securities, including:</w:t>
      </w: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underwriters are used in in the sale, the securities will be acquired by the underwriters for their own account and may be resold from time to time in one or more transactions, including:</w:t>
      </w:r>
    </w:p>
    <w:p>
      <w:pPr>
        <w:spacing w:after="0" w:line="170"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Underwriters and agents may be customers of, engage in transactions with, or perform services for us and our affiliates in the ordinary course of business.</w:t>
      </w:r>
    </w:p>
    <w:p>
      <w:pPr>
        <w:spacing w:after="0" w:line="24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2017 Annual Report on Form 20-F for the fiscal year ended December 31, 2017;</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reports on Form 6-K furnished to the SEC on March 20, 2018 (only with respect to “Item 1.C—2017 Board Compensation” and “Item 2.C— 2017 Executive Compensation” of Exhibit 99.3), March 22, 2018, March 26, 2018, April 27, 2018, and May 2, 2018 (only with respect to Exhibits 99.1 and 99.2); and</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September 23, 2016, including any amendments or reports filed for the purpose of updating such description.</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6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Printing and engraving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Accounting fees and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Paid</w:t>
      </w:r>
    </w:p>
    <w:p>
      <w:pPr>
        <w:spacing w:after="0" w:line="9" w:lineRule="exact"/>
        <w:rPr>
          <w:sz w:val="20"/>
          <w:szCs w:val="20"/>
          <w:color w:val="auto"/>
        </w:rPr>
      </w:pPr>
    </w:p>
    <w:p>
      <w:pPr>
        <w:jc w:val="both"/>
        <w:spacing w:after="0"/>
        <w:tabs>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43,575.00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53,000.00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08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08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440" w:space="720"/>
            <w:col w:w="2260"/>
          </w:cols>
          <w:pgMar w:left="240" w:top="225" w:right="23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-154940</wp:posOffset>
            </wp:positionV>
            <wp:extent cx="14408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20"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validity of our common shares and certain other matters of Swiss law will be passed upon for us by Vischer AG, Zurich, Switzerland. Certain matters of U.S. federal and New York State law will be passed upon for us by Davis Polk &amp; Wardwell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 Such financial statements are incorporated herein by reference in reliance upon such report given the authority of such firm as experts in accounting and auditing.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address of Ernst &amp; Young AG is Route de Chancy 59, 1213 Petit-Lancy, Switzerland.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666750</wp:posOffset>
            </wp:positionV>
            <wp:extent cx="1724025" cy="43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240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Common Shares</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40"/>
        <w:spacing w:after="0"/>
        <w:rPr>
          <w:sz w:val="20"/>
          <w:szCs w:val="20"/>
          <w:color w:val="auto"/>
        </w:rPr>
      </w:pPr>
      <w:r>
        <w:rPr>
          <w:rFonts w:ascii="Arial" w:cs="Arial" w:eastAsia="Arial" w:hAnsi="Arial"/>
          <w:sz w:val="19"/>
          <w:szCs w:val="1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Jefferies</w:t>
      </w:r>
    </w:p>
    <w:p>
      <w:pPr>
        <w:jc w:val="center"/>
        <w:ind w:right="-1200"/>
        <w:spacing w:after="0" w:line="230" w:lineRule="auto"/>
        <w:rPr>
          <w:sz w:val="20"/>
          <w:szCs w:val="20"/>
          <w:color w:val="auto"/>
        </w:rPr>
      </w:pPr>
      <w:r>
        <w:rPr>
          <w:rFonts w:ascii="Arial" w:cs="Arial" w:eastAsia="Arial" w:hAnsi="Arial"/>
          <w:sz w:val="22"/>
          <w:szCs w:val="22"/>
          <w:b w:val="1"/>
          <w:bCs w:val="1"/>
          <w:color w:val="auto"/>
        </w:rPr>
        <w:t>Leerink Partners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UBS Investment Bank</w:t>
      </w: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Lead Manager</w:t>
      </w:r>
    </w:p>
    <w:p>
      <w:pPr>
        <w:spacing w:after="0" w:line="20"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2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lowerRoman"/>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lowerRoman"/>
      <w:start w:val="3"/>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lowerRoman"/>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lowerRoman"/>
      <w:start w:val="2"/>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lvl w:ilvl="1">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lowerLetter"/>
      <w:start w:val="2"/>
    </w:lvl>
    <w:lvl w:ilvl="1">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2"/>
    </w:lvl>
  </w:abstractNum>
  <w:abstractNum w:abstractNumId="32">
    <w:nsid w:val="6DE91B18"/>
    <w:multiLevelType w:val="hybridMultilevel"/>
    <w:lvl w:ilvl="0">
      <w:lvlJc w:val="left"/>
      <w:lvlText w:val="(%1)"/>
      <w:numFmt w:val="decimal"/>
      <w:start w:val="1"/>
    </w:lvl>
    <w:lvl w:ilvl="1">
      <w:lvlJc w:val="left"/>
      <w:lvlText w:val="(%2)"/>
      <w:numFmt w:val="decimal"/>
      <w:start w:val="2"/>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3"/>
    </w:lvl>
  </w:abstractNum>
  <w:abstractNum w:abstractNumId="35">
    <w:nsid w:val="32FFF902"/>
    <w:multiLevelType w:val="hybridMultilevel"/>
    <w:lvl w:ilvl="0">
      <w:lvlJc w:val="left"/>
      <w:lvlText w:val="%1."/>
      <w:numFmt w:val="decimal"/>
      <w:start w:val="8"/>
    </w:lvl>
  </w:abstractNum>
  <w:abstractNum w:abstractNumId="36">
    <w:nsid w:val="684A481A"/>
    <w:multiLevelType w:val="hybridMultilevel"/>
    <w:lvl w:ilvl="0">
      <w:lvlJc w:val="left"/>
      <w:lvlText w:val="%1."/>
      <w:numFmt w:val="decimal"/>
      <w:start w:val="9"/>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2019-12-08T13:25:59Z</dcterms:created>
  <dcterms:modified xsi:type="dcterms:W3CDTF">2019-12-08T13:25:59Z</dcterms:modified>
</cp:coreProperties>
</file>