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26,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333-277940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418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5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418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5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5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Christopher Roberts</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AC Immune USA, Inc.</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1230 Avenue of the Americas, Ste 1634</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+41 21 345 91 44</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Agent For Service)</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Derek J. Dostal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ind w:left="5480" w:hanging="441"/>
        <w:spacing w:after="0"/>
        <w:tabs>
          <w:tab w:leader="none" w:pos="54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450-4000</w:t>
      </w:r>
    </w:p>
    <w:p>
      <w:pPr>
        <w:spacing w:after="0" w:line="9" w:lineRule="exact"/>
        <w:rPr>
          <w:rFonts w:ascii="Times New Roman" w:cs="Times New Roman" w:eastAsia="Times New Roman" w:hAnsi="Times New Roman"/>
          <w:sz w:val="18"/>
          <w:szCs w:val="18"/>
          <w:b w:val="1"/>
          <w:bCs w:val="1"/>
          <w:color w:val="auto"/>
        </w:rPr>
      </w:pPr>
    </w:p>
    <w:p>
      <w:pPr>
        <w:ind w:left="3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right="2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ind w:right="3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12" w:lineRule="exact"/>
        <w:rPr>
          <w:sz w:val="20"/>
          <w:szCs w:val="20"/>
          <w:color w:val="auto"/>
        </w:rPr>
      </w:pPr>
    </w:p>
    <w:p>
      <w:pPr>
        <w:ind w:right="1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80" w:firstLine="332"/>
        <w:spacing w:after="0" w:line="282" w:lineRule="auto"/>
        <w:tabs>
          <w:tab w:leader="none" w:pos="4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This replacement registration statement on Form F-3 3 (Registration No. 333-277940) (the “Registration Statement”) of AC Immune SA (the “Company”, or “AC Immune”) filed with the Securities and Exchange Commission (the “Commission”) is filed pursuant to Rule 415(a)(6) under the Securities Act of 1933, as amended (the “Securities Act”) and registers an indeterminate number of common shares, such indeterminate principal amount of debt securities, such indeterminate number of warrants to purchase common shares or debt securities, such indeterminate number of purchase contracts to purchase common shares or debt securities, such number of indeterminable subscription rights to purchase common shares or debt securities and such indeterminate number of units (collectively, the “Securities”) of the Company up to an aggregate initial offering price of $350,000,000, provided that the subscription price shall not be less than the par value of the share(s), $291,745,726 of which was previously offered by the Company and registered on the Company’s prior registration statement on Form F-3 (Registration No. 333-255576) (the “Prior Registration Statement”) filed by the Company with the Commission under the Securities Act on April 28, 2021 and declared effective on May 5, 2021, and not sold thereunder (“Unsold Securities”). Under Rule 415(a)(5) under the Securities Act, the registration of the unsold Securities under the Prior Registration Statement expires three years after the effective date of the Prior Registration Statement, or on April 28, 2024. Accordingly, the Company is filing this Registration Statement to register the new Securities and cover the Unsold Securities. Any Securities registered hereunder may be sold separately or as units with the other Securities registered hereunder.</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Rule 415(a)(5), the Company may continue to offer and sell the Unsold Securities during the grace period permitted by Rule 415(a)(5). In accordance with Rule 415(a)(6), effectiveness of this Registration Statement will be deemed to terminate the offering of the Unsold Securities on the Prior Registration Statement. If the Company sells any of such Unsold Securities pursuant to the Prior Registration Statement after the date of filing, and prior to the date of effectiveness, of this Registration Statement, the Company will file a pre-effective amendment to this Registration Statement which will reduce the number of such unsold securities included on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3" w:name="page4"/>
    <w:bookmarkEnd w:id="3"/>
    <w:p>
      <w:pPr>
        <w:jc w:val="both"/>
        <w:ind w:right="400"/>
        <w:spacing w:after="0" w:line="266" w:lineRule="auto"/>
        <w:rPr>
          <w:sz w:val="20"/>
          <w:szCs w:val="20"/>
          <w:color w:val="auto"/>
        </w:rPr>
      </w:pPr>
      <w:r>
        <w:rPr>
          <w:rFonts w:ascii="Times New Roman" w:cs="Times New Roman" w:eastAsia="Times New Roman" w:hAnsi="Times New Roman"/>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July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2540</wp:posOffset>
            </wp:positionV>
            <wp:extent cx="1877060"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70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Switzerland)</w:t>
      </w:r>
    </w:p>
    <w:p>
      <w:pPr>
        <w:spacing w:after="0" w:line="232"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30.</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 On July 25, 2024, the last sale price of our common shares as reported by the NASDAQ Global Market was $3.91 per common share. As of July 25, 2024, the aggregate market value of our outstanding common shares held by non-affiliates was approximately $210,286,967 based on approximately 99,680,403 shares of outstanding common shares, of which approximately 53,781,833 shares were held by non-affiliates.</w:t>
      </w:r>
    </w:p>
    <w:p>
      <w:pPr>
        <w:spacing w:after="0" w:line="176"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this prospectus and, if applicable, any risk factors described in our U.S. Securities and Exchange Commission filings that are incorporated by reference in this prospectus.</w:t>
      </w:r>
    </w:p>
    <w:p>
      <w:pPr>
        <w:spacing w:after="0" w:line="155"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1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74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4" w:name="page5"/>
    <w:bookmarkEnd w:id="4"/>
    <w:p>
      <w:pPr>
        <w:ind w:right="10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0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8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86"/>
        </w:trPr>
        <w:tc>
          <w:tcPr>
            <w:tcW w:w="9100" w:type="dxa"/>
            <w:vAlign w:val="bottom"/>
          </w:tcPr>
          <w:p>
            <w:pPr>
              <w:jc w:val="right"/>
              <w:ind w:right="1709"/>
              <w:spacing w:after="0"/>
              <w:rPr>
                <w:sz w:val="20"/>
                <w:szCs w:val="20"/>
                <w:color w:val="auto"/>
              </w:rPr>
            </w:pPr>
            <w:r>
              <w:rPr>
                <w:rFonts w:ascii="Times New Roman" w:cs="Times New Roman" w:eastAsia="Times New Roman" w:hAnsi="Times New Roman"/>
                <w:sz w:val="22"/>
                <w:szCs w:val="22"/>
                <w:b w:val="1"/>
                <w:bCs w:val="1"/>
                <w:color w:val="auto"/>
              </w:rPr>
              <w:t>_______________________________</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7"/>
        </w:trPr>
        <w:tc>
          <w:tcPr>
            <w:tcW w:w="91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18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Purchase Contracts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Subscription Rights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Undertakings</w:t>
            </w:r>
          </w:p>
        </w:tc>
        <w:tc>
          <w:tcPr>
            <w:tcW w:w="1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II-2</w:t>
            </w:r>
          </w:p>
        </w:tc>
      </w:tr>
      <w:tr>
        <w:trPr>
          <w:trHeight w:val="324"/>
        </w:trPr>
        <w:tc>
          <w:tcPr>
            <w:tcW w:w="9100" w:type="dxa"/>
            <w:vAlign w:val="bottom"/>
            <w:tcBorders>
              <w:bottom w:val="single" w:sz="8" w:color="auto"/>
            </w:tcBorders>
          </w:tcPr>
          <w:p>
            <w:pPr>
              <w:jc w:val="right"/>
              <w:ind w:right="3349"/>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5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3" w:lineRule="exact"/>
        <w:rPr>
          <w:sz w:val="20"/>
          <w:szCs w:val="20"/>
          <w:color w:val="auto"/>
        </w:rPr>
      </w:pPr>
    </w:p>
    <w:p>
      <w:pPr>
        <w:ind w:left="660" w:right="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our active immunotherapies (ACI-35.030, ACI-24.060 and ACI-7104.056), monoclonal antibodies (semorinemab and crenezumab) and diagnostics (Tau-PET tracer PI-2620 and a-syn-PET tracer ACI-12589) and to a lesser extent our preclinical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our most recent Annual Report on Form 20-F.</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with one in a Phase 3 and five in Phase 2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187" w:lineRule="exact"/>
        <w:rPr>
          <w:sz w:val="20"/>
          <w:szCs w:val="20"/>
          <w:color w:val="auto"/>
        </w:rPr>
      </w:pPr>
    </w:p>
    <w:p>
      <w:pPr>
        <w:ind w:right="280" w:firstLine="324"/>
        <w:spacing w:after="0" w:line="277"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7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we currently intend to use the net proceeds from future offerings to strategically invest in research and clinical development of current and/or additional pipeline candidates, our technology platforms, working capital, capital expenditures and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36" w:right="4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issued share capital is CHF 2,196,858.10, consisting of 109,842,905 common shares of which 10,902,617 are held as treasury shares, leaving 98,940,288 common shares outstanding with a nominal value of CHF 0.02 each.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21, 2024, we adopted amended articles of association and when we refer to our articles of association, we refer to the articles of association as filed as Exhibit 3.1 to this registration statement.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Conditional Share Capital</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Furthermore, under the Swiss Code of Obligations,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 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the exercise of conversion and/or option or warrant rights granted on a standalone basis or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0" w:name="page11"/>
    <w:bookmarkEnd w:id="1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7" w:lineRule="exact"/>
        <w:rPr>
          <w:sz w:val="20"/>
          <w:szCs w:val="20"/>
          <w:color w:val="auto"/>
        </w:rPr>
      </w:pPr>
    </w:p>
    <w:p>
      <w:pPr>
        <w:ind w:right="360"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in principle pre-emptive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With respect to conditional capital in connection with the issuance of conversion rights, convertible bonds or similar debt instruments, shareholders have in principle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52" w:right="39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Financing and Other Purposes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Article 3b of our articles of association, our share capital may be increased by a maximum aggregate amount of CHF 100,000 through the issue of a maximum of 5,000,000 common shares, payable in full, each with a nominal value of CHF 0.02, through the optional or mandatory exercise of conversion, exchange, option, warrant or similar rights or obligations for the subscription of shares granted to shareholders or third parties on a standalone basis or in connection with bonds, notes, options, warrants or other securities or contractual obligations of the Company or any subsidiaries of the Company, including convertible debt instruments. Shareholders do not have pre-emptive subscription rights in such circumstances.</w:t>
      </w:r>
    </w:p>
    <w:p>
      <w:pPr>
        <w:spacing w:after="0" w:line="183"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Shareholders’ subscription rights are excluded. Shareholders’ advance subscription rights with regard to the new bonds, warrants or similar instruments may be restricted or excluded by decision of the board of directors in order to finance or re-finance the acquisition of companies, parts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share capital may, to the exclusion of the pre-emptive subscription rights of shareholders, be increased by a maximum aggregate amount of CHF 91,844.20 through the issue of a maximum of 4,592,210 registered shares, payable in full, each with a nominal value of CHF 0.02, in connection with the exercise of option rights granted to employee of the Company or a subsidiary, members of the board of directors or any consultant, or other persons providing services to the Company or a subsidiary. The board of directors specifies the precise conditions of issue including the issue price of the shares.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within the meaning of the FISA). In accordance with Article 973c of the CO, we maintain a non-public register of uncertificated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225"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and removal of the members of the board of directors, the chairman of the board of directors, the members of the compensation committee, the auditors and the independent proxy;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management report and the consolidated accounts;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2" w:name="page13"/>
    <w:bookmarkEnd w:id="12"/>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accounts and resolutions on the allocation of the disposable profits, and in particular setting the dividend and the shares of profit to board members;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paid to members of the board of directors and executive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interim dividend and approve the interim account required therefor;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repaying the statutory capital reserve;</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to delist the equity securities of the company;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passing resolutions concerning all matters which are reserved to the authority of the general meeting of shareholders by law or by the articles of association.</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our articles of association require the board of directors to convene an extraordinary general meeting of shareholders if shareholders representing at least 10% of the share capital request such general meeting of shareholders in writing. The amended Swiss corporation law requires the board of directors of a listed company to convene an extraordinary general meeting of shareholders if shareholders representing at least 5% of the share capital or of the voting rights so request in writing. Our current articles of association do not yet reflect this amendment in law. Such request to convene an extraordinary general meeting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unless the consent of all the shareholders concerned is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shares with privileged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conditional share capital or a capital band;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assets and granting of special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withdrawing shareholder’s pre-emptive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3" w:name="page14"/>
    <w:bookmarkEnd w:id="13"/>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casting vote for the person chairing the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provision on holding the general meeting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delisting of the equity securities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an arbitration clause in the articles of association;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common shares and the removal of the voting cap of 33 1∕3% as contained in article 4 of the articles of association;</w:t>
      </w:r>
    </w:p>
    <w:p>
      <w:pPr>
        <w:spacing w:after="0" w:line="16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 as contained in article 29 of the articles of association;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common shares into bearer shares and vice versa;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eliminating article 17 (</w:t>
      </w:r>
      <w:r>
        <w:rPr>
          <w:rFonts w:ascii="Times New Roman" w:cs="Times New Roman" w:eastAsia="Times New Roman" w:hAnsi="Times New Roman"/>
          <w:sz w:val="18"/>
          <w:szCs w:val="18"/>
          <w:i w:val="1"/>
          <w:iCs w:val="1"/>
          <w:color w:val="auto"/>
        </w:rPr>
        <w:t>resolutions and elections</w:t>
      </w:r>
      <w:r>
        <w:rPr>
          <w:rFonts w:ascii="Times New Roman" w:cs="Times New Roman" w:eastAsia="Times New Roman" w:hAnsi="Times New Roman"/>
          <w:sz w:val="18"/>
          <w:szCs w:val="18"/>
          <w:color w:val="auto"/>
        </w:rPr>
        <w:t>) of the articles of association.</w:t>
      </w:r>
    </w:p>
    <w:p>
      <w:pPr>
        <w:spacing w:after="0" w:line="227"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76"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our current articles of association,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4" w:name="page15"/>
    <w:bookmarkEnd w:id="14"/>
    <w:p>
      <w:pPr>
        <w:ind w:left="660" w:right="1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our share register, of the shareholder proposing such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Company which are beneficially owned by such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upon which the shareholder acquired such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support for any claim of beneficial ownership;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shareholder in such business;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support of the matter and, for proposals sought to be included in the Company’s proxy statement, any other information required by Securities and Exchange Commission Rule 14a-8.</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62"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5" w:name="page16"/>
    <w:bookmarkEnd w:id="15"/>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8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An ordinary capital reduction must be completed within six months after the resolution of shareholders, otherwise such resolution becomes invalid.</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Voting rights may be exercised only after a shareholder (or usufructuaries) has been entered in our share register (</w:t>
      </w:r>
      <w:r>
        <w:rPr>
          <w:rFonts w:ascii="Times New Roman" w:cs="Times New Roman" w:eastAsia="Times New Roman" w:hAnsi="Times New Roman"/>
          <w:sz w:val="18"/>
          <w:szCs w:val="18"/>
          <w:i w:val="1"/>
          <w:iCs w:val="1"/>
          <w:color w:val="auto"/>
        </w:rPr>
        <w:t>registre des actions</w:t>
      </w:r>
      <w:r>
        <w:rPr>
          <w:rFonts w:ascii="Times New Roman" w:cs="Times New Roman" w:eastAsia="Times New Roman" w:hAnsi="Times New Roman"/>
          <w:sz w:val="18"/>
          <w:szCs w:val="18"/>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voting caps apply to shareholders acquiring shares for other persons (nominees).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t>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5 percent of the share capital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87"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6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Company’s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supervision of the persons entrusted with managing the Company, in particular with regard to compliance with the law, articles of association, operational regulations and directives;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compilation of the annual report, and the preparation for the general meeting of shareholders and implementing its resolutions;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court in the event that the Company is over-indebted.</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assigns the persons with signatory power for the Company and the kind of signatory power.</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227"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5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8" w:name="page19"/>
    <w:bookmarkEnd w:id="18"/>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21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7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4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meeting of shareholders annually votes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period until the next Ordinary General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executive committee for the following financial year.</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9" w:name="page20"/>
    <w:bookmarkEnd w:id="19"/>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hold 10,902,617 fully paid up common shares of par value CHF 0.02 each, as treasury shares.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0" w:name="page21"/>
    <w:bookmarkEnd w:id="2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SWISS LAW AND DELAWARE LAW</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 w:cs="Times New Roman" w:eastAsia="Times New Roman" w:hAnsi="Times New Roman"/>
          <w:sz w:val="18"/>
          <w:szCs w:val="18"/>
          <w:i w:val="1"/>
          <w:iCs w:val="1"/>
          <w:color w:val="auto"/>
        </w:rPr>
        <w:t>Code des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Suisse</w:t>
      </w:r>
      <w:r>
        <w:rPr>
          <w:rFonts w:ascii="Times New Roman" w:cs="Times New Roman" w:eastAsia="Times New Roman" w:hAnsi="Times New Roman"/>
          <w:sz w:val="18"/>
          <w:szCs w:val="18"/>
          <w:color w:val="auto"/>
        </w:rPr>
        <w:t>) and the Swiss Ordinance against excessive compensation in listed stock corporations applicable to our Company, as implemented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91" w:lineRule="exact"/>
        <w:rPr>
          <w:sz w:val="20"/>
          <w:szCs w:val="20"/>
          <w:color w:val="auto"/>
        </w:rPr>
      </w:pPr>
    </w:p>
    <w:p>
      <w:pPr>
        <w:ind w:left="142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ectPr>
          <w:pgSz w:w="11900" w:h="16838" w:orient="portrait"/>
          <w:cols w:equalWidth="0" w:num="1">
            <w:col w:w="11120"/>
          </w:cols>
          <w:pgMar w:left="320" w:top="752" w:right="459" w:bottom="1440" w:gutter="0" w:footer="0" w:header="0"/>
        </w:sectPr>
      </w:pPr>
    </w:p>
    <w:p>
      <w:pPr>
        <w:spacing w:after="0" w:line="2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Times New Roman" w:cs="Times New Roman" w:eastAsia="Times New Roman" w:hAnsi="Times New Roman"/>
          <w:sz w:val="18"/>
          <w:szCs w:val="18"/>
          <w:i w:val="1"/>
          <w:iCs w:val="1"/>
          <w:color w:val="auto"/>
        </w:rPr>
        <w:t>Loi sur la fusion</w:t>
      </w:r>
      <w:r>
        <w:rPr>
          <w:rFonts w:ascii="Times New Roman" w:cs="Times New Roman" w:eastAsia="Times New Roman" w:hAnsi="Times New Roman"/>
          <w:sz w:val="18"/>
          <w:szCs w:val="18"/>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193" w:lineRule="exact"/>
        <w:rPr>
          <w:sz w:val="20"/>
          <w:szCs w:val="20"/>
          <w:color w:val="auto"/>
        </w:rPr>
      </w:pPr>
    </w:p>
    <w:p>
      <w:pPr>
        <w:sectPr>
          <w:pgSz w:w="11900" w:h="16838" w:orient="portrait"/>
          <w:cols w:equalWidth="0" w:num="2">
            <w:col w:w="5440" w:space="520"/>
            <w:col w:w="5160"/>
          </w:cols>
          <w:pgMar w:left="320" w:top="75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i w:val="1"/>
          <w:iCs w:val="1"/>
          <w:color w:val="auto"/>
        </w:rPr>
        <w:t>Shareholders’ suits</w:t>
      </w:r>
    </w:p>
    <w:p>
      <w:pPr>
        <w:sectPr>
          <w:pgSz w:w="11900" w:h="16838" w:orient="portrait"/>
          <w:cols w:equalWidth="0" w:num="1">
            <w:col w:w="11120"/>
          </w:cols>
          <w:pgMar w:left="320" w:top="752" w:right="459" w:bottom="1440" w:gutter="0" w:footer="0" w:header="0"/>
          <w:type w:val="continuous"/>
        </w:sectPr>
      </w:pPr>
    </w:p>
    <w:p>
      <w:pPr>
        <w:spacing w:after="0" w:line="2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00" w:right="60"/>
        <w:spacing w:after="0" w:line="254"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440" w:space="420"/>
            <w:col w:w="5260"/>
          </w:cols>
          <w:pgMar w:left="320" w:top="752" w:right="459" w:bottom="1440" w:gutter="0" w:footer="0" w:header="0"/>
          <w:type w:val="continuous"/>
        </w:sectPr>
      </w:pP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52" w:right="459" w:bottom="1440" w:gutter="0" w:footer="0" w:header="0"/>
          <w:type w:val="continuous"/>
        </w:sectPr>
      </w:pPr>
    </w:p>
    <w:bookmarkStart w:id="21" w:name="page22"/>
    <w:bookmarkEnd w:id="21"/>
    <w:p>
      <w:pPr>
        <w:ind w:left="1304"/>
        <w:spacing w:after="0"/>
        <w:tabs>
          <w:tab w:leader="none" w:pos="7284"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44" w:right="439" w:bottom="1440" w:gutter="0" w:footer="0" w:header="0"/>
        </w:sectPr>
      </w:pPr>
    </w:p>
    <w:p>
      <w:pPr>
        <w:spacing w:after="0" w:line="24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i w:val="1"/>
          <w:iCs w:val="1"/>
          <w:color w:val="auto"/>
        </w:rPr>
        <w:t>Shareholder vote on board and management compensation</w:t>
      </w:r>
    </w:p>
    <w:p>
      <w:pPr>
        <w:sectPr>
          <w:pgSz w:w="11900" w:h="16838" w:orient="portrait"/>
          <w:cols w:equalWidth="0" w:num="1">
            <w:col w:w="11024"/>
          </w:cols>
          <w:pgMar w:left="436" w:top="644" w:right="439" w:bottom="1440" w:gutter="0" w:footer="0" w:header="0"/>
          <w:type w:val="continuous"/>
        </w:sectPr>
      </w:pPr>
    </w:p>
    <w:p>
      <w:pPr>
        <w:spacing w:after="0" w:line="2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Swiss law, the general meeting of shareholders has the non-transferable right, amongst others, to vote on the aggregate amount of compensation of the members of the board of directors, of the executive committee and of the advisory boards.</w:t>
      </w:r>
    </w:p>
    <w:p>
      <w:pPr>
        <w:spacing w:after="0" w:line="178" w:lineRule="exact"/>
        <w:rPr>
          <w:sz w:val="20"/>
          <w:szCs w:val="20"/>
          <w:color w:val="auto"/>
        </w:rPr>
      </w:pPr>
    </w:p>
    <w:p>
      <w:pPr>
        <w:sectPr>
          <w:pgSz w:w="11900" w:h="16838" w:orient="portrait"/>
          <w:cols w:equalWidth="0" w:num="2">
            <w:col w:w="5244" w:space="620"/>
            <w:col w:w="5160"/>
          </w:cols>
          <w:pgMar w:left="436" w:top="644"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i w:val="1"/>
          <w:iCs w:val="1"/>
          <w:color w:val="auto"/>
        </w:rPr>
        <w:t>Annual vote on board renewal</w:t>
      </w:r>
    </w:p>
    <w:p>
      <w:pPr>
        <w:sectPr>
          <w:pgSz w:w="11900" w:h="16838" w:orient="portrait"/>
          <w:cols w:equalWidth="0" w:num="1">
            <w:col w:w="11024"/>
          </w:cols>
          <w:pgMar w:left="436" w:top="644" w:right="439" w:bottom="1440" w:gutter="0" w:footer="0" w:header="0"/>
          <w:type w:val="continuous"/>
        </w:sectPr>
      </w:pPr>
    </w:p>
    <w:p>
      <w:pPr>
        <w:spacing w:after="0" w:line="23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p>
      <w:pPr>
        <w:spacing w:after="0" w:line="374" w:lineRule="exact"/>
        <w:rPr>
          <w:sz w:val="20"/>
          <w:szCs w:val="20"/>
          <w:color w:val="auto"/>
        </w:rPr>
      </w:pPr>
    </w:p>
    <w:p>
      <w:pPr>
        <w:sectPr>
          <w:pgSz w:w="11900" w:h="16838" w:orient="portrait"/>
          <w:cols w:equalWidth="0" w:num="2">
            <w:col w:w="5264" w:space="600"/>
            <w:col w:w="5160"/>
          </w:cols>
          <w:pgMar w:left="436" w:top="644" w:right="439" w:bottom="1440" w:gutter="0" w:footer="0" w:header="0"/>
          <w:type w:val="continuous"/>
        </w:sectPr>
      </w:pP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i w:val="1"/>
          <w:iCs w:val="1"/>
          <w:color w:val="auto"/>
        </w:rPr>
        <w:t>Indemnification of directors and executive management and limitation of liability</w:t>
      </w:r>
    </w:p>
    <w:p>
      <w:pPr>
        <w:sectPr>
          <w:pgSz w:w="11900" w:h="16838" w:orient="portrait"/>
          <w:cols w:equalWidth="0" w:num="1">
            <w:col w:w="11024"/>
          </w:cols>
          <w:pgMar w:left="436" w:top="644" w:right="439" w:bottom="1440" w:gutter="0" w:footer="0" w:header="0"/>
          <w:type w:val="continuous"/>
        </w:sectPr>
      </w:pPr>
    </w:p>
    <w:p>
      <w:pPr>
        <w:spacing w:after="0" w:line="23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and officers (but not other controlling persons) of the corporation for monetary damages for breach of a fiduciary duty as a director, except no provision in the certificate of incorporation may eliminate or limit liability of:</w:t>
      </w:r>
    </w:p>
    <w:p>
      <w:pPr>
        <w:spacing w:after="0" w:line="201" w:lineRule="exact"/>
        <w:rPr>
          <w:sz w:val="20"/>
          <w:szCs w:val="20"/>
          <w:color w:val="auto"/>
        </w:rPr>
      </w:pPr>
    </w:p>
    <w:p>
      <w:pPr>
        <w:ind w:left="324" w:right="520" w:hanging="324"/>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duty of loyalty to the corporation or its shareholders;</w:t>
      </w:r>
    </w:p>
    <w:p>
      <w:pPr>
        <w:spacing w:after="0" w:line="188" w:lineRule="exact"/>
        <w:rPr>
          <w:rFonts w:ascii="Times New Roman" w:cs="Times New Roman" w:eastAsia="Times New Roman" w:hAnsi="Times New Roman"/>
          <w:sz w:val="18"/>
          <w:szCs w:val="18"/>
          <w:color w:val="auto"/>
        </w:rPr>
      </w:pPr>
    </w:p>
    <w:p>
      <w:pPr>
        <w:ind w:left="324" w:right="160" w:hanging="324"/>
        <w:spacing w:after="0" w:line="312" w:lineRule="auto"/>
        <w:tabs>
          <w:tab w:leader="none" w:pos="32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or officer for acts or omissions not in good faith or which involve intentional misconduct or a knowing violation of law;</w:t>
      </w:r>
    </w:p>
    <w:p>
      <w:pPr>
        <w:spacing w:after="0" w:line="153" w:lineRule="exact"/>
        <w:rPr>
          <w:rFonts w:ascii="Times New Roman" w:cs="Times New Roman" w:eastAsia="Times New Roman" w:hAnsi="Times New Roman"/>
          <w:sz w:val="17"/>
          <w:szCs w:val="17"/>
          <w:color w:val="auto"/>
        </w:rPr>
      </w:pPr>
    </w:p>
    <w:p>
      <w:pPr>
        <w:ind w:left="324" w:right="60" w:hanging="324"/>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statutory liability for unlawful payment of dividends or unlawful stock purchase or redemption;</w:t>
      </w:r>
    </w:p>
    <w:p>
      <w:pPr>
        <w:spacing w:after="0" w:line="175" w:lineRule="exact"/>
        <w:rPr>
          <w:rFonts w:ascii="Times New Roman" w:cs="Times New Roman" w:eastAsia="Times New Roman" w:hAnsi="Times New Roman"/>
          <w:sz w:val="18"/>
          <w:szCs w:val="18"/>
          <w:color w:val="auto"/>
        </w:rPr>
      </w:pPr>
    </w:p>
    <w:p>
      <w:pPr>
        <w:ind w:left="324" w:right="280" w:hanging="324"/>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or</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right of the corporation.</w:t>
      </w:r>
    </w:p>
    <w:p>
      <w:pPr>
        <w:spacing w:after="0" w:line="225"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9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730" w:lineRule="exact"/>
        <w:rPr>
          <w:sz w:val="20"/>
          <w:szCs w:val="20"/>
          <w:color w:val="auto"/>
        </w:rPr>
      </w:pPr>
    </w:p>
    <w:p>
      <w:pPr>
        <w:sectPr>
          <w:pgSz w:w="11900" w:h="16838" w:orient="portrait"/>
          <w:cols w:equalWidth="0" w:num="2">
            <w:col w:w="5344" w:space="520"/>
            <w:col w:w="5160"/>
          </w:cols>
          <w:pgMar w:left="436" w:top="644" w:right="439" w:bottom="1440" w:gutter="0" w:footer="0" w:header="0"/>
          <w:type w:val="continuous"/>
        </w:sectPr>
      </w:pP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4"/>
          </w:cols>
          <w:pgMar w:left="436" w:top="644" w:right="439" w:bottom="1440" w:gutter="0" w:footer="0" w:header="0"/>
          <w:type w:val="continuous"/>
        </w:sectPr>
      </w:pPr>
    </w:p>
    <w:bookmarkStart w:id="22" w:name="page23"/>
    <w:bookmarkEnd w:id="22"/>
    <w:p>
      <w:pPr>
        <w:ind w:left="4" w:right="280"/>
        <w:spacing w:after="0" w:line="258" w:lineRule="auto"/>
        <w:rPr>
          <w:sz w:val="20"/>
          <w:szCs w:val="20"/>
          <w:color w:val="auto"/>
        </w:rPr>
      </w:pPr>
      <w:r>
        <w:rPr>
          <w:rFonts w:ascii="Times New Roman" w:cs="Times New Roman" w:eastAsia="Times New Roman" w:hAnsi="Times New Roman"/>
          <w:sz w:val="18"/>
          <w:szCs w:val="18"/>
          <w:color w:val="auto"/>
        </w:rPr>
        <w:t>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83" w:lineRule="exact"/>
        <w:rPr>
          <w:sz w:val="20"/>
          <w:szCs w:val="20"/>
          <w:color w:val="auto"/>
        </w:rPr>
      </w:pPr>
    </w:p>
    <w:p>
      <w:pPr>
        <w:jc w:val="both"/>
        <w:ind w:left="4" w:right="400"/>
        <w:spacing w:after="0" w:line="266" w:lineRule="auto"/>
        <w:rPr>
          <w:sz w:val="20"/>
          <w:szCs w:val="20"/>
          <w:color w:val="auto"/>
        </w:rPr>
      </w:pPr>
      <w:r>
        <w:rPr>
          <w:rFonts w:ascii="Times New Roman" w:cs="Times New Roman" w:eastAsia="Times New Roman" w:hAnsi="Times New Roman"/>
          <w:sz w:val="18"/>
          <w:szCs w:val="18"/>
          <w:color w:val="auto"/>
        </w:rPr>
        <w:t>Unless ordered by a court, any foregoing indemnification is‎ subject to a determination that the director or officer has‎ met the applicable standard of conduct:‎</w:t>
      </w:r>
    </w:p>
    <w:p>
      <w:pPr>
        <w:spacing w:after="0" w:line="243" w:lineRule="exact"/>
        <w:rPr>
          <w:sz w:val="20"/>
          <w:szCs w:val="20"/>
          <w:color w:val="auto"/>
        </w:rPr>
      </w:pPr>
    </w:p>
    <w:p>
      <w:pPr>
        <w:ind w:left="324" w:right="960" w:hanging="324"/>
        <w:spacing w:after="0" w:line="229" w:lineRule="auto"/>
        <w:tabs>
          <w:tab w:leader="none" w:pos="324" w:val="left"/>
        </w:tabs>
        <w:numPr>
          <w:ilvl w:val="0"/>
          <w:numId w:val="14"/>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spacing w:after="0" w:line="279" w:lineRule="exact"/>
        <w:rPr>
          <w:rFonts w:ascii="Times New Roman" w:cs="Times New Roman" w:eastAsia="Times New Roman" w:hAnsi="Times New Roman"/>
          <w:sz w:val="23"/>
          <w:szCs w:val="23"/>
          <w:color w:val="auto"/>
        </w:rPr>
      </w:pPr>
    </w:p>
    <w:p>
      <w:pPr>
        <w:ind w:left="324" w:right="660" w:hanging="324"/>
        <w:spacing w:after="0" w:line="229" w:lineRule="auto"/>
        <w:tabs>
          <w:tab w:leader="none" w:pos="324" w:val="left"/>
        </w:tabs>
        <w:numPr>
          <w:ilvl w:val="0"/>
          <w:numId w:val="14"/>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spacing w:after="0" w:line="235" w:lineRule="exact"/>
        <w:rPr>
          <w:rFonts w:ascii="Times New Roman" w:cs="Times New Roman" w:eastAsia="Times New Roman" w:hAnsi="Times New Roman"/>
          <w:sz w:val="23"/>
          <w:szCs w:val="23"/>
          <w:color w:val="auto"/>
        </w:rPr>
      </w:pPr>
    </w:p>
    <w:p>
      <w:pPr>
        <w:ind w:left="324" w:hanging="324"/>
        <w:spacing w:after="0"/>
        <w:tabs>
          <w:tab w:leader="none" w:pos="324" w:val="left"/>
        </w:tabs>
        <w:numPr>
          <w:ilvl w:val="0"/>
          <w:numId w:val="14"/>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independent legal counsel in a written opinion if there‎ are no</w:t>
      </w:r>
    </w:p>
    <w:p>
      <w:pPr>
        <w:ind w:left="324"/>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eligible directors, or if the eligible directors‎ so direct; or ‎</w:t>
      </w:r>
    </w:p>
    <w:p>
      <w:pPr>
        <w:spacing w:after="0" w:line="244" w:lineRule="exact"/>
        <w:rPr>
          <w:rFonts w:ascii="Times New Roman" w:cs="Times New Roman" w:eastAsia="Times New Roman" w:hAnsi="Times New Roman"/>
          <w:sz w:val="23"/>
          <w:szCs w:val="23"/>
          <w:color w:val="auto"/>
        </w:rPr>
      </w:pPr>
    </w:p>
    <w:p>
      <w:pPr>
        <w:ind w:left="324" w:hanging="324"/>
        <w:spacing w:after="0"/>
        <w:tabs>
          <w:tab w:leader="none" w:pos="324" w:val="left"/>
        </w:tabs>
        <w:numPr>
          <w:ilvl w:val="0"/>
          <w:numId w:val="14"/>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by the shareholders.‎</w:t>
      </w:r>
    </w:p>
    <w:p>
      <w:pPr>
        <w:spacing w:after="0" w:line="198" w:lineRule="exact"/>
        <w:rPr>
          <w:sz w:val="20"/>
          <w:szCs w:val="20"/>
          <w:color w:val="auto"/>
        </w:rPr>
      </w:pPr>
    </w:p>
    <w:p>
      <w:pPr>
        <w:ind w:left="4" w:right="260"/>
        <w:spacing w:after="0" w:line="276" w:lineRule="auto"/>
        <w:rPr>
          <w:sz w:val="20"/>
          <w:szCs w:val="20"/>
          <w:color w:val="auto"/>
        </w:rPr>
      </w:pPr>
      <w:r>
        <w:rPr>
          <w:rFonts w:ascii="Times New Roman" w:cs="Times New Roman" w:eastAsia="Times New Roman" w:hAnsi="Times New Roman"/>
          <w:sz w:val="17"/>
          <w:szCs w:val="17"/>
          <w:color w:val="auto"/>
        </w:rPr>
        <w:t>Moreover, a Delaware corporation may not indemnify a ‎director or officer in connection with any proceeding in ‎which the director or officer has</w:t>
      </w:r>
    </w:p>
    <w:p>
      <w:pPr>
        <w:spacing w:after="0" w:line="1" w:lineRule="exact"/>
        <w:rPr>
          <w:sz w:val="20"/>
          <w:szCs w:val="20"/>
          <w:color w:val="auto"/>
        </w:rPr>
      </w:pPr>
    </w:p>
    <w:p>
      <w:pPr>
        <w:ind w:left="4" w:right="300"/>
        <w:spacing w:after="0" w:line="265" w:lineRule="auto"/>
        <w:rPr>
          <w:sz w:val="20"/>
          <w:szCs w:val="20"/>
          <w:color w:val="auto"/>
        </w:rPr>
      </w:pPr>
      <w:r>
        <w:rPr>
          <w:rFonts w:ascii="Times New Roman" w:cs="Times New Roman" w:eastAsia="Times New Roman" w:hAnsi="Times New Roman"/>
          <w:sz w:val="17"/>
          <w:szCs w:val="17"/>
          <w:color w:val="auto"/>
        </w:rPr>
        <w:t>been adjudged to be liable‎ to the corporation unless and only to the extent that ‎the court determines that, despite the adjudication of ‎liability but in view of all the circumstances of the case, ‎the director or officer is fairly</w:t>
      </w:r>
    </w:p>
    <w:p>
      <w:pPr>
        <w:ind w:left="4" w:right="440"/>
        <w:spacing w:after="0" w:line="260" w:lineRule="auto"/>
        <w:rPr>
          <w:sz w:val="20"/>
          <w:szCs w:val="20"/>
          <w:color w:val="auto"/>
        </w:rPr>
      </w:pPr>
      <w:r>
        <w:rPr>
          <w:rFonts w:ascii="Times New Roman" w:cs="Times New Roman" w:eastAsia="Times New Roman" w:hAnsi="Times New Roman"/>
          <w:sz w:val="18"/>
          <w:szCs w:val="18"/>
          <w:color w:val="auto"/>
        </w:rPr>
        <w:t>and reasonably entitled to indemnity‎ for those expenses which the court deems ‎proper.</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ectPr>
          <w:pgSz w:w="11900" w:h="16838" w:orient="portrait"/>
          <w:cols w:equalWidth="0" w:num="2">
            <w:col w:w="5604" w:space="260"/>
            <w:col w:w="5020"/>
          </w:cols>
          <w:pgMar w:left="436" w:top="648" w:right="579" w:bottom="1440" w:gutter="0" w:footer="0" w:header="0"/>
        </w:sectPr>
      </w:pPr>
    </w:p>
    <w:bookmarkStart w:id="23" w:name="page24"/>
    <w:bookmarkEnd w:id="23"/>
    <w:p>
      <w:pPr>
        <w:ind w:left="1364"/>
        <w:spacing w:after="0"/>
        <w:tabs>
          <w:tab w:leader="none" w:pos="7324"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88265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ectPr>
          <w:pgSz w:w="11900" w:h="16838" w:orient="portrait"/>
          <w:cols w:equalWidth="0" w:num="1">
            <w:col w:w="10984"/>
          </w:cols>
          <w:pgMar w:left="436" w:top="644" w:right="479" w:bottom="1440" w:gutter="0" w:footer="0" w:header="0"/>
        </w:sectPr>
      </w:pPr>
    </w:p>
    <w:p>
      <w:pPr>
        <w:spacing w:after="0" w:line="227" w:lineRule="exact"/>
        <w:rPr>
          <w:sz w:val="20"/>
          <w:szCs w:val="20"/>
          <w:color w:val="auto"/>
        </w:rPr>
      </w:pPr>
    </w:p>
    <w:p>
      <w:pPr>
        <w:jc w:val="both"/>
        <w:ind w:left="4" w:right="720"/>
        <w:spacing w:after="0" w:line="312" w:lineRule="auto"/>
        <w:rPr>
          <w:sz w:val="20"/>
          <w:szCs w:val="20"/>
          <w:color w:val="auto"/>
        </w:rPr>
      </w:pPr>
      <w:r>
        <w:rPr>
          <w:rFonts w:ascii="Times New Roman" w:cs="Times New Roman" w:eastAsia="Times New Roman" w:hAnsi="Times New Roman"/>
          <w:sz w:val="17"/>
          <w:szCs w:val="17"/>
          <w:color w:val="auto"/>
        </w:rPr>
        <w:t>A director of a Delaware corporation has a fiduciary duty to the corporation and its shareholders. This duty has two components:</w:t>
      </w:r>
    </w:p>
    <w:p>
      <w:pPr>
        <w:spacing w:after="0" w:line="177" w:lineRule="exact"/>
        <w:rPr>
          <w:sz w:val="20"/>
          <w:szCs w:val="20"/>
          <w:color w:val="auto"/>
        </w:rPr>
      </w:pPr>
    </w:p>
    <w:p>
      <w:pPr>
        <w:ind w:left="324" w:hanging="324"/>
        <w:spacing w:after="0"/>
        <w:tabs>
          <w:tab w:leader="none" w:pos="324" w:val="left"/>
        </w:tabs>
        <w:numPr>
          <w:ilvl w:val="0"/>
          <w:numId w:val="15"/>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duty of care; and</w:t>
      </w:r>
    </w:p>
    <w:p>
      <w:pPr>
        <w:spacing w:after="0" w:line="248" w:lineRule="exact"/>
        <w:rPr>
          <w:rFonts w:ascii="Times New Roman" w:cs="Times New Roman" w:eastAsia="Times New Roman" w:hAnsi="Times New Roman"/>
          <w:sz w:val="23"/>
          <w:szCs w:val="23"/>
          <w:color w:val="auto"/>
        </w:rPr>
      </w:pPr>
    </w:p>
    <w:p>
      <w:pPr>
        <w:ind w:left="324" w:hanging="324"/>
        <w:spacing w:after="0"/>
        <w:tabs>
          <w:tab w:leader="none" w:pos="324" w:val="left"/>
        </w:tabs>
        <w:numPr>
          <w:ilvl w:val="0"/>
          <w:numId w:val="15"/>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duty of loyalty.</w:t>
      </w:r>
    </w:p>
    <w:p>
      <w:pPr>
        <w:spacing w:after="0" w:line="225"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5"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251" w:lineRule="exact"/>
        <w:rPr>
          <w:sz w:val="20"/>
          <w:szCs w:val="20"/>
          <w:color w:val="auto"/>
        </w:rPr>
      </w:pPr>
    </w:p>
    <w:p>
      <w:pPr>
        <w:ind w:left="325" w:right="200" w:hanging="325"/>
        <w:spacing w:after="0" w:line="229" w:lineRule="auto"/>
        <w:tabs>
          <w:tab w:leader="none" w:pos="325" w:val="left"/>
        </w:tabs>
        <w:numPr>
          <w:ilvl w:val="0"/>
          <w:numId w:val="1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249" w:lineRule="exact"/>
        <w:rPr>
          <w:rFonts w:ascii="Times New Roman" w:cs="Times New Roman" w:eastAsia="Times New Roman" w:hAnsi="Times New Roman"/>
          <w:sz w:val="23"/>
          <w:szCs w:val="23"/>
          <w:color w:val="auto"/>
        </w:rPr>
      </w:pPr>
    </w:p>
    <w:p>
      <w:pPr>
        <w:ind w:left="325" w:hanging="325"/>
        <w:spacing w:after="0"/>
        <w:tabs>
          <w:tab w:leader="none" w:pos="325" w:val="left"/>
        </w:tabs>
        <w:numPr>
          <w:ilvl w:val="0"/>
          <w:numId w:val="1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determination of the corporation’s organization;</w:t>
      </w:r>
    </w:p>
    <w:p>
      <w:pPr>
        <w:spacing w:after="0" w:line="265" w:lineRule="exact"/>
        <w:rPr>
          <w:rFonts w:ascii="Times New Roman" w:cs="Times New Roman" w:eastAsia="Times New Roman" w:hAnsi="Times New Roman"/>
          <w:sz w:val="23"/>
          <w:szCs w:val="23"/>
          <w:color w:val="auto"/>
        </w:rPr>
      </w:pPr>
    </w:p>
    <w:p>
      <w:pPr>
        <w:jc w:val="both"/>
        <w:ind w:left="325" w:right="100" w:hanging="325"/>
        <w:spacing w:after="0" w:line="242" w:lineRule="auto"/>
        <w:tabs>
          <w:tab w:leader="none" w:pos="32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the organization of the accounting, financial control and financial planning systems as required for management of the corporation;</w:t>
      </w:r>
    </w:p>
    <w:p>
      <w:pPr>
        <w:spacing w:after="0" w:line="263" w:lineRule="exact"/>
        <w:rPr>
          <w:rFonts w:ascii="Times New Roman" w:cs="Times New Roman" w:eastAsia="Times New Roman" w:hAnsi="Times New Roman"/>
          <w:sz w:val="22"/>
          <w:szCs w:val="22"/>
          <w:color w:val="auto"/>
        </w:rPr>
      </w:pPr>
    </w:p>
    <w:p>
      <w:pPr>
        <w:ind w:left="325" w:hanging="325"/>
        <w:spacing w:after="0" w:line="229" w:lineRule="auto"/>
        <w:tabs>
          <w:tab w:leader="none" w:pos="325" w:val="left"/>
        </w:tabs>
        <w:numPr>
          <w:ilvl w:val="0"/>
          <w:numId w:val="1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279" w:lineRule="exact"/>
        <w:rPr>
          <w:rFonts w:ascii="Times New Roman" w:cs="Times New Roman" w:eastAsia="Times New Roman" w:hAnsi="Times New Roman"/>
          <w:sz w:val="23"/>
          <w:szCs w:val="23"/>
          <w:color w:val="auto"/>
        </w:rPr>
      </w:pPr>
    </w:p>
    <w:p>
      <w:pPr>
        <w:ind w:left="325" w:right="120" w:hanging="325"/>
        <w:spacing w:after="0" w:line="251" w:lineRule="auto"/>
        <w:tabs>
          <w:tab w:leader="none" w:pos="32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overall supervision of the persons entrusted with managing the corporation, in particular with regard to compliance with the law, articles of association, operational regulations and directives;</w:t>
      </w:r>
    </w:p>
    <w:p>
      <w:pPr>
        <w:spacing w:after="0" w:line="258" w:lineRule="exact"/>
        <w:rPr>
          <w:rFonts w:ascii="Times New Roman" w:cs="Times New Roman" w:eastAsia="Times New Roman" w:hAnsi="Times New Roman"/>
          <w:sz w:val="22"/>
          <w:szCs w:val="22"/>
          <w:color w:val="auto"/>
        </w:rPr>
      </w:pPr>
    </w:p>
    <w:p>
      <w:pPr>
        <w:jc w:val="both"/>
        <w:ind w:left="325" w:right="480" w:hanging="325"/>
        <w:spacing w:after="0" w:line="235" w:lineRule="auto"/>
        <w:tabs>
          <w:tab w:leader="none" w:pos="325" w:val="left"/>
        </w:tabs>
        <w:numPr>
          <w:ilvl w:val="0"/>
          <w:numId w:val="1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compilation of the annual report, preparation for the general meeting, the compensation report and implementation of its resolutions;</w:t>
      </w:r>
    </w:p>
    <w:p>
      <w:pPr>
        <w:spacing w:after="0" w:line="267" w:lineRule="exact"/>
        <w:rPr>
          <w:rFonts w:ascii="Times New Roman" w:cs="Times New Roman" w:eastAsia="Times New Roman" w:hAnsi="Times New Roman"/>
          <w:sz w:val="23"/>
          <w:szCs w:val="23"/>
          <w:color w:val="auto"/>
        </w:rPr>
      </w:pPr>
    </w:p>
    <w:p>
      <w:pPr>
        <w:ind w:left="325" w:hanging="325"/>
        <w:spacing w:after="0" w:line="239" w:lineRule="auto"/>
        <w:tabs>
          <w:tab w:leader="none" w:pos="325" w:val="left"/>
        </w:tabs>
        <w:numPr>
          <w:ilvl w:val="0"/>
          <w:numId w:val="1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279" w:lineRule="exact"/>
        <w:rPr>
          <w:rFonts w:ascii="Times New Roman" w:cs="Times New Roman" w:eastAsia="Times New Roman" w:hAnsi="Times New Roman"/>
          <w:sz w:val="23"/>
          <w:szCs w:val="23"/>
          <w:color w:val="auto"/>
        </w:rPr>
      </w:pPr>
    </w:p>
    <w:p>
      <w:pPr>
        <w:ind w:left="325" w:right="760" w:hanging="325"/>
        <w:spacing w:after="0" w:line="229" w:lineRule="auto"/>
        <w:tabs>
          <w:tab w:leader="none" w:pos="325" w:val="left"/>
        </w:tabs>
        <w:numPr>
          <w:ilvl w:val="0"/>
          <w:numId w:val="1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198" w:lineRule="exact"/>
        <w:rPr>
          <w:sz w:val="20"/>
          <w:szCs w:val="20"/>
          <w:color w:val="auto"/>
        </w:rPr>
      </w:pPr>
    </w:p>
    <w:p>
      <w:pPr>
        <w:ind w:left="5" w:right="60"/>
        <w:spacing w:after="0" w:line="261" w:lineRule="auto"/>
        <w:rPr>
          <w:sz w:val="20"/>
          <w:szCs w:val="20"/>
          <w:color w:val="auto"/>
        </w:rPr>
      </w:pPr>
      <w:r>
        <w:rPr>
          <w:rFonts w:ascii="Times New Roman" w:cs="Times New Roman" w:eastAsia="Times New Roman" w:hAnsi="Times New Roman"/>
          <w:sz w:val="18"/>
          <w:szCs w:val="18"/>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80" w:lineRule="exact"/>
        <w:rPr>
          <w:sz w:val="20"/>
          <w:szCs w:val="20"/>
          <w:color w:val="auto"/>
        </w:rPr>
      </w:pPr>
    </w:p>
    <w:p>
      <w:pPr>
        <w:ind w:left="5" w:right="40"/>
        <w:spacing w:after="0" w:line="312" w:lineRule="auto"/>
        <w:rPr>
          <w:sz w:val="20"/>
          <w:szCs w:val="20"/>
          <w:color w:val="auto"/>
        </w:rPr>
      </w:pPr>
      <w:r>
        <w:rPr>
          <w:rFonts w:ascii="Times New Roman" w:cs="Times New Roman" w:eastAsia="Times New Roman" w:hAnsi="Times New Roman"/>
          <w:sz w:val="17"/>
          <w:szCs w:val="17"/>
          <w:color w:val="auto"/>
        </w:rPr>
        <w:t>The burden of proof for a violation of these duties is with the corporation or with the shareholder bringing a suit against the director.</w:t>
      </w:r>
    </w:p>
    <w:p>
      <w:pPr>
        <w:spacing w:after="0" w:line="138" w:lineRule="exact"/>
        <w:rPr>
          <w:sz w:val="20"/>
          <w:szCs w:val="20"/>
          <w:color w:val="auto"/>
        </w:rPr>
      </w:pPr>
    </w:p>
    <w:p>
      <w:pPr>
        <w:sectPr>
          <w:pgSz w:w="11900" w:h="16838" w:orient="portrait"/>
          <w:cols w:equalWidth="0" w:num="2">
            <w:col w:w="5364" w:space="495"/>
            <w:col w:w="5125"/>
          </w:cols>
          <w:pgMar w:left="436" w:top="644" w:right="47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7"/>
          <w:szCs w:val="17"/>
          <w:i w:val="1"/>
          <w:iCs w:val="1"/>
          <w:color w:val="auto"/>
        </w:rPr>
        <w:t>Shareholder action by written consent</w:t>
      </w:r>
    </w:p>
    <w:p>
      <w:pPr>
        <w:sectPr>
          <w:pgSz w:w="11900" w:h="16838" w:orient="portrait"/>
          <w:cols w:equalWidth="0" w:num="1">
            <w:col w:w="10984"/>
          </w:cols>
          <w:pgMar w:left="436" w:top="644" w:right="479" w:bottom="1440" w:gutter="0" w:footer="0" w:header="0"/>
          <w:type w:val="continuous"/>
        </w:sectPr>
      </w:pPr>
    </w:p>
    <w:p>
      <w:pPr>
        <w:spacing w:after="0" w:line="23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Swiss corporation may exercise their voting rights in a general meeting of shareholders and can only act by written consents if no shareholder requests a general meeting of shareholders to be held. The articles of association must allow for (independent) proxies to be present at a general meeting of shareholders. The instruction of such (independent) proxies may occur in writing or electronically.</w:t>
      </w:r>
    </w:p>
    <w:p>
      <w:pPr>
        <w:spacing w:after="0" w:line="200" w:lineRule="exact"/>
        <w:rPr>
          <w:sz w:val="20"/>
          <w:szCs w:val="20"/>
          <w:color w:val="auto"/>
        </w:rPr>
      </w:pPr>
    </w:p>
    <w:p>
      <w:pPr>
        <w:sectPr>
          <w:pgSz w:w="11900" w:h="16838" w:orient="portrait"/>
          <w:cols w:equalWidth="0" w:num="2">
            <w:col w:w="5264" w:space="600"/>
            <w:col w:w="5120"/>
          </w:cols>
          <w:pgMar w:left="436" w:top="644" w:right="479" w:bottom="1440" w:gutter="0" w:footer="0" w:header="0"/>
          <w:type w:val="continuous"/>
        </w:sectPr>
      </w:pPr>
    </w:p>
    <w:p>
      <w:pPr>
        <w:spacing w:after="0" w:line="2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4"/>
          </w:cols>
          <w:pgMar w:left="436" w:top="644" w:right="479" w:bottom="1440" w:gutter="0" w:footer="0" w:header="0"/>
          <w:type w:val="continuous"/>
        </w:sectPr>
      </w:pPr>
    </w:p>
    <w:bookmarkStart w:id="24" w:name="page25"/>
    <w:bookmarkEnd w:id="24"/>
    <w:p>
      <w:pPr>
        <w:ind w:left="136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88265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ectPr>
          <w:pgSz w:w="11900" w:h="16838" w:orient="portrait"/>
          <w:cols w:equalWidth="0" w:num="1">
            <w:col w:w="11000"/>
          </w:cols>
          <w:pgMar w:left="440" w:top="644" w:right="459" w:bottom="1440" w:gutter="0" w:footer="0" w:header="0"/>
        </w:sectPr>
      </w:pP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5" w:right="120"/>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251" w:lineRule="exact"/>
        <w:rPr>
          <w:sz w:val="20"/>
          <w:szCs w:val="20"/>
          <w:color w:val="auto"/>
        </w:rPr>
      </w:pPr>
    </w:p>
    <w:p>
      <w:pPr>
        <w:ind w:left="325" w:hanging="325"/>
        <w:spacing w:after="0" w:line="235" w:lineRule="auto"/>
        <w:tabs>
          <w:tab w:leader="none" w:pos="325" w:val="left"/>
        </w:tabs>
        <w:numPr>
          <w:ilvl w:val="0"/>
          <w:numId w:val="17"/>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shareholders together representing at least 10% of the share capital may demand that a general meeting of shareholders be called for specific agenda items and specific proposals; and</w:t>
      </w:r>
    </w:p>
    <w:p>
      <w:pPr>
        <w:spacing w:after="0" w:line="280" w:lineRule="exact"/>
        <w:rPr>
          <w:rFonts w:ascii="Times New Roman" w:cs="Times New Roman" w:eastAsia="Times New Roman" w:hAnsi="Times New Roman"/>
          <w:sz w:val="23"/>
          <w:szCs w:val="23"/>
          <w:color w:val="auto"/>
        </w:rPr>
      </w:pPr>
    </w:p>
    <w:p>
      <w:pPr>
        <w:ind w:left="325" w:right="80" w:hanging="325"/>
        <w:spacing w:after="0" w:line="258" w:lineRule="auto"/>
        <w:tabs>
          <w:tab w:leader="none" w:pos="32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shareholders together representing shares with a nominal value of at least 0.5% of the share capital or the voting rights may demand that an agenda item including a specific proposal be put on the agenda for a regularly scheduled general meeting of shareholders, provided such request is made with appropriate notice.</w:t>
      </w:r>
    </w:p>
    <w:p>
      <w:pPr>
        <w:spacing w:after="0" w:line="210" w:lineRule="exact"/>
        <w:rPr>
          <w:sz w:val="20"/>
          <w:szCs w:val="20"/>
          <w:color w:val="auto"/>
        </w:rPr>
      </w:pPr>
    </w:p>
    <w:p>
      <w:pPr>
        <w:jc w:val="both"/>
        <w:ind w:left="5" w:right="180" w:firstLine="324"/>
        <w:spacing w:after="0" w:line="266"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provided that the election of board members has been included as an agenda item.</w:t>
      </w:r>
    </w:p>
    <w:p>
      <w:pPr>
        <w:spacing w:after="0" w:line="176" w:lineRule="exact"/>
        <w:rPr>
          <w:sz w:val="20"/>
          <w:szCs w:val="20"/>
          <w:color w:val="auto"/>
        </w:rPr>
      </w:pPr>
    </w:p>
    <w:p>
      <w:pPr>
        <w:ind w:left="5"/>
        <w:spacing w:after="0" w:line="254" w:lineRule="auto"/>
        <w:rPr>
          <w:sz w:val="20"/>
          <w:szCs w:val="20"/>
          <w:color w:val="auto"/>
        </w:rPr>
      </w:pPr>
      <w:r>
        <w:rPr>
          <w:rFonts w:ascii="Times New Roman" w:cs="Times New Roman" w:eastAsia="Times New Roman" w:hAnsi="Times New Roman"/>
          <w:sz w:val="18"/>
          <w:szCs w:val="18"/>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w:t>
      </w:r>
    </w:p>
    <w:p>
      <w:pPr>
        <w:spacing w:after="0" w:line="200" w:lineRule="exact"/>
        <w:rPr>
          <w:sz w:val="20"/>
          <w:szCs w:val="20"/>
          <w:color w:val="auto"/>
        </w:rPr>
      </w:pPr>
    </w:p>
    <w:p>
      <w:pPr>
        <w:sectPr>
          <w:pgSz w:w="11900" w:h="16838" w:orient="portrait"/>
          <w:cols w:equalWidth="0" w:num="2">
            <w:col w:w="5340" w:space="515"/>
            <w:col w:w="5145"/>
          </w:cols>
          <w:pgMar w:left="440" w:top="644" w:right="459"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Cumulative voting</w:t>
      </w:r>
    </w:p>
    <w:p>
      <w:pPr>
        <w:sectPr>
          <w:pgSz w:w="11900" w:h="16838" w:orient="portrait"/>
          <w:cols w:equalWidth="0" w:num="1">
            <w:col w:w="11000"/>
          </w:cols>
          <w:pgMar w:left="440" w:top="644" w:right="459" w:bottom="1440" w:gutter="0" w:footer="0" w:header="0"/>
          <w:type w:val="continuous"/>
        </w:sect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aggregate amount of compensation for the members of the board of directors and the executive committee as well as for the members of the advisory board, if applicable, is mandatory for listed companies. Re-election is permitted.</w:t>
      </w:r>
    </w:p>
    <w:p>
      <w:pPr>
        <w:spacing w:after="0" w:line="200" w:lineRule="exact"/>
        <w:rPr>
          <w:sz w:val="20"/>
          <w:szCs w:val="20"/>
          <w:color w:val="auto"/>
        </w:rPr>
      </w:pPr>
    </w:p>
    <w:p>
      <w:pPr>
        <w:sectPr>
          <w:pgSz w:w="11900" w:h="16838" w:orient="portrait"/>
          <w:cols w:equalWidth="0" w:num="2">
            <w:col w:w="5200" w:space="660"/>
            <w:col w:w="5140"/>
          </w:cols>
          <w:pgMar w:left="440" w:top="644" w:right="459" w:bottom="1440" w:gutter="0" w:footer="0" w:header="0"/>
          <w:type w:val="continuous"/>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644" w:right="459" w:bottom="1440" w:gutter="0" w:footer="0" w:header="0"/>
          <w:type w:val="continuous"/>
        </w:sectPr>
      </w:pPr>
    </w:p>
    <w:bookmarkStart w:id="25" w:name="page26"/>
    <w:bookmarkEnd w:id="25"/>
    <w:p>
      <w:pPr>
        <w:ind w:left="136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88265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ectPr>
          <w:pgSz w:w="11900" w:h="16838" w:orient="portrait"/>
          <w:cols w:equalWidth="0" w:num="1">
            <w:col w:w="11020"/>
          </w:cols>
          <w:pgMar w:left="440" w:top="644" w:right="439" w:bottom="1440" w:gutter="0" w:footer="0" w:header="0"/>
        </w:sect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166" w:lineRule="exact"/>
        <w:rPr>
          <w:sz w:val="20"/>
          <w:szCs w:val="20"/>
          <w:color w:val="auto"/>
        </w:rPr>
      </w:pPr>
    </w:p>
    <w:p>
      <w:pPr>
        <w:sectPr>
          <w:pgSz w:w="11900" w:h="16838" w:orient="portrait"/>
          <w:cols w:equalWidth="0" w:num="2">
            <w:col w:w="5280" w:space="580"/>
            <w:col w:w="5160"/>
          </w:cols>
          <w:pgMar w:left="440" w:top="644"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Transactions with interested shareholders</w:t>
      </w:r>
    </w:p>
    <w:p>
      <w:pPr>
        <w:sectPr>
          <w:pgSz w:w="11900" w:h="16838" w:orient="portrait"/>
          <w:cols w:equalWidth="0" w:num="1">
            <w:col w:w="11020"/>
          </w:cols>
          <w:pgMar w:left="440" w:top="644" w:right="439" w:bottom="1440" w:gutter="0" w:footer="0" w:header="0"/>
          <w:type w:val="continuous"/>
        </w:sectPr>
      </w:pP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such rule applies to a Swiss corporation.</w:t>
      </w:r>
    </w:p>
    <w:p>
      <w:pPr>
        <w:spacing w:after="0" w:line="1530" w:lineRule="exact"/>
        <w:rPr>
          <w:sz w:val="20"/>
          <w:szCs w:val="20"/>
          <w:color w:val="auto"/>
        </w:rPr>
      </w:pPr>
    </w:p>
    <w:p>
      <w:pPr>
        <w:sectPr>
          <w:pgSz w:w="11900" w:h="16838" w:orient="portrait"/>
          <w:cols w:equalWidth="0" w:num="2">
            <w:col w:w="5160" w:space="700"/>
            <w:col w:w="5160"/>
          </w:cols>
          <w:pgMar w:left="440" w:top="644"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Dissolution; Winding up</w:t>
      </w:r>
    </w:p>
    <w:p>
      <w:pPr>
        <w:sectPr>
          <w:pgSz w:w="11900" w:h="16838" w:orient="portrait"/>
          <w:cols w:equalWidth="0" w:num="1">
            <w:col w:w="11020"/>
          </w:cols>
          <w:pgMar w:left="440" w:top="644" w:right="439" w:bottom="1440" w:gutter="0" w:footer="0" w:header="0"/>
          <w:type w:val="continuous"/>
        </w:sectPr>
      </w:pP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617" w:lineRule="exact"/>
        <w:rPr>
          <w:sz w:val="20"/>
          <w:szCs w:val="20"/>
          <w:color w:val="auto"/>
        </w:rPr>
      </w:pPr>
    </w:p>
    <w:p>
      <w:pPr>
        <w:sectPr>
          <w:pgSz w:w="11900" w:h="16838" w:orient="portrait"/>
          <w:cols w:equalWidth="0" w:num="2">
            <w:col w:w="5340" w:space="520"/>
            <w:col w:w="5160"/>
          </w:cols>
          <w:pgMar w:left="440" w:top="644"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Variation of rights of shares</w:t>
      </w:r>
    </w:p>
    <w:p>
      <w:pPr>
        <w:sectPr>
          <w:pgSz w:w="11900" w:h="16838" w:orient="portrait"/>
          <w:cols w:equalWidth="0" w:num="1">
            <w:col w:w="11020"/>
          </w:cols>
          <w:pgMar w:left="440" w:top="644" w:right="43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with preferential voting rights are not regarded a special class for these purposes.</w:t>
      </w:r>
    </w:p>
    <w:p>
      <w:pPr>
        <w:spacing w:after="0" w:line="200" w:lineRule="exact"/>
        <w:rPr>
          <w:sz w:val="20"/>
          <w:szCs w:val="20"/>
          <w:color w:val="auto"/>
        </w:rPr>
      </w:pPr>
    </w:p>
    <w:p>
      <w:pPr>
        <w:sectPr>
          <w:pgSz w:w="11900" w:h="16838" w:orient="portrait"/>
          <w:cols w:equalWidth="0" w:num="2">
            <w:col w:w="5200" w:space="660"/>
            <w:col w:w="5160"/>
          </w:cols>
          <w:pgMar w:left="440" w:top="644" w:right="43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644" w:right="439" w:bottom="1440" w:gutter="0" w:footer="0" w:header="0"/>
          <w:type w:val="continuous"/>
        </w:sectPr>
      </w:pPr>
    </w:p>
    <w:bookmarkStart w:id="26" w:name="page27"/>
    <w:bookmarkEnd w:id="26"/>
    <w:p>
      <w:pPr>
        <w:ind w:left="1304"/>
        <w:spacing w:after="0"/>
        <w:tabs>
          <w:tab w:leader="none" w:pos="7284"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644" w:right="459" w:bottom="1440" w:gutter="0" w:footer="0" w:header="0"/>
        </w:sect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i w:val="1"/>
          <w:iCs w:val="1"/>
          <w:color w:val="auto"/>
        </w:rPr>
        <w:t>Amendment of governing documents</w:t>
      </w:r>
    </w:p>
    <w:p>
      <w:pPr>
        <w:sectPr>
          <w:pgSz w:w="11900" w:h="16838" w:orient="portrait"/>
          <w:cols w:equalWidth="0" w:num="1">
            <w:col w:w="11004"/>
          </w:cols>
          <w:pgMar w:left="436" w:top="644" w:right="459" w:bottom="1440" w:gutter="0" w:footer="0" w:header="0"/>
          <w:type w:val="continuous"/>
        </w:sectPr>
      </w:pPr>
    </w:p>
    <w:p>
      <w:pPr>
        <w:spacing w:after="0" w:line="23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192" w:lineRule="exact"/>
        <w:rPr>
          <w:sz w:val="20"/>
          <w:szCs w:val="20"/>
          <w:color w:val="auto"/>
        </w:rPr>
      </w:pPr>
    </w:p>
    <w:p>
      <w:pPr>
        <w:sectPr>
          <w:pgSz w:w="11900" w:h="16838" w:orient="portrait"/>
          <w:cols w:equalWidth="0" w:num="2">
            <w:col w:w="5364" w:space="500"/>
            <w:col w:w="5140"/>
          </w:cols>
          <w:pgMar w:left="436" w:top="644"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i w:val="1"/>
          <w:iCs w:val="1"/>
          <w:color w:val="auto"/>
        </w:rPr>
        <w:t>Inspection of Books and Records</w:t>
      </w:r>
    </w:p>
    <w:p>
      <w:pPr>
        <w:sectPr>
          <w:pgSz w:w="11900" w:h="16838" w:orient="portrait"/>
          <w:cols w:equalWidth="0" w:num="1">
            <w:col w:w="11004"/>
          </w:cols>
          <w:pgMar w:left="436" w:top="644" w:right="459" w:bottom="1440" w:gutter="0" w:footer="0" w:header="0"/>
          <w:type w:val="continuous"/>
        </w:sectPr>
      </w:pPr>
    </w:p>
    <w:p>
      <w:pPr>
        <w:spacing w:after="0" w:line="23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such shareholders’ rights, subject to the interests of the corporation. The board of directors has to decide on an inspection request within four months after receipt of such request. Denial of the request will need to be justified in writing. If the board of directors denies an inspection request, shareholders may request the order of an inspection by the court within thirty days. The right to inspect the share register is limited to the right to inspect that shareholder’s own entry in the share register.</w:t>
      </w:r>
    </w:p>
    <w:p>
      <w:pPr>
        <w:spacing w:after="0" w:line="185" w:lineRule="exact"/>
        <w:rPr>
          <w:sz w:val="20"/>
          <w:szCs w:val="20"/>
          <w:color w:val="auto"/>
        </w:rPr>
      </w:pPr>
    </w:p>
    <w:p>
      <w:pPr>
        <w:sectPr>
          <w:pgSz w:w="11900" w:h="16838" w:orient="portrait"/>
          <w:cols w:equalWidth="0" w:num="2">
            <w:col w:w="5304" w:space="560"/>
            <w:col w:w="5140"/>
          </w:cols>
          <w:pgMar w:left="436" w:top="644"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Payment of dividends</w:t>
      </w:r>
    </w:p>
    <w:p>
      <w:pPr>
        <w:sectPr>
          <w:pgSz w:w="11900" w:h="16838" w:orient="portrait"/>
          <w:cols w:equalWidth="0" w:num="1">
            <w:col w:w="11004"/>
          </w:cols>
          <w:pgMar w:left="436" w:top="644" w:right="459" w:bottom="1440" w:gutter="0" w:footer="0" w:header="0"/>
          <w:type w:val="continuous"/>
        </w:sectPr>
      </w:pP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may approve a dividend without shareholder‎</w:t>
      </w:r>
    </w:p>
    <w:p>
      <w:pPr>
        <w:spacing w:after="0" w:line="27" w:lineRule="exact"/>
        <w:rPr>
          <w:sz w:val="20"/>
          <w:szCs w:val="20"/>
          <w:color w:val="auto"/>
        </w:rPr>
      </w:pPr>
    </w:p>
    <w:p>
      <w:pPr>
        <w:ind w:left="164" w:right="40"/>
        <w:spacing w:after="0" w:line="255" w:lineRule="auto"/>
        <w:rPr>
          <w:sz w:val="20"/>
          <w:szCs w:val="20"/>
          <w:color w:val="auto"/>
        </w:rPr>
      </w:pPr>
      <w:r>
        <w:rPr>
          <w:rFonts w:ascii="Times New Roman" w:cs="Times New Roman" w:eastAsia="Times New Roman" w:hAnsi="Times New Roman"/>
          <w:sz w:val="18"/>
          <w:szCs w:val="18"/>
          <w:color w:val="auto"/>
        </w:rPr>
        <w:t>approval. Subject to any restrictions contained‎ in its certificate of incorporation, the board may‎ declare and pay dividends upon the shares of its ‎capital stock either:‎</w:t>
      </w:r>
    </w:p>
    <w:p>
      <w:pPr>
        <w:spacing w:after="0" w:line="223" w:lineRule="exact"/>
        <w:rPr>
          <w:sz w:val="20"/>
          <w:szCs w:val="20"/>
          <w:color w:val="auto"/>
        </w:rPr>
      </w:pPr>
    </w:p>
    <w:p>
      <w:pPr>
        <w:ind w:left="324" w:hanging="324"/>
        <w:spacing w:after="0"/>
        <w:tabs>
          <w:tab w:leader="none" w:pos="324" w:val="left"/>
        </w:tabs>
        <w:numPr>
          <w:ilvl w:val="0"/>
          <w:numId w:val="18"/>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out of its surplus, or</w:t>
      </w:r>
    </w:p>
    <w:p>
      <w:pPr>
        <w:spacing w:after="0" w:line="278" w:lineRule="exact"/>
        <w:rPr>
          <w:rFonts w:ascii="Times New Roman" w:cs="Times New Roman" w:eastAsia="Times New Roman" w:hAnsi="Times New Roman"/>
          <w:sz w:val="23"/>
          <w:szCs w:val="23"/>
          <w:color w:val="auto"/>
        </w:rPr>
      </w:pPr>
    </w:p>
    <w:p>
      <w:pPr>
        <w:ind w:left="324" w:hanging="324"/>
        <w:spacing w:after="0" w:line="242" w:lineRule="auto"/>
        <w:tabs>
          <w:tab w:leader="none" w:pos="3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7"/>
          <w:szCs w:val="17"/>
          <w:color w:val="auto"/>
        </w:rPr>
        <w:t>in case there is no such surplus, out of its net profits for the fiscal year in which the dividend is declared and/or the preceding fiscal year.</w:t>
      </w:r>
    </w:p>
    <w:p>
      <w:pPr>
        <w:spacing w:after="0" w:line="196"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Dividend payments are subject to the approval of the general meeting of shareholders. The board of directors may propose to shareholders that a dividend shall be paid but cannot itself authorize the distribution.</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361" w:lineRule="exact"/>
        <w:rPr>
          <w:sz w:val="20"/>
          <w:szCs w:val="20"/>
          <w:color w:val="auto"/>
        </w:rPr>
      </w:pPr>
    </w:p>
    <w:p>
      <w:pPr>
        <w:sectPr>
          <w:pgSz w:w="11900" w:h="16838" w:orient="portrait"/>
          <w:cols w:equalWidth="0" w:num="2">
            <w:col w:w="5364" w:space="500"/>
            <w:col w:w="5140"/>
          </w:cols>
          <w:pgMar w:left="436" w:top="644" w:right="459" w:bottom="1440" w:gutter="0" w:footer="0" w:header="0"/>
          <w:type w:val="continuous"/>
        </w:sectPr>
      </w:pPr>
    </w:p>
    <w:p>
      <w:pPr>
        <w:spacing w:after="0" w:line="2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4"/>
          </w:cols>
          <w:pgMar w:left="436" w:top="644" w:right="459" w:bottom="1440" w:gutter="0" w:footer="0" w:header="0"/>
          <w:type w:val="continuous"/>
        </w:sectPr>
      </w:pPr>
    </w:p>
    <w:bookmarkStart w:id="27" w:name="page28"/>
    <w:bookmarkEnd w:id="27"/>
    <w:p>
      <w:pPr>
        <w:ind w:left="130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644" w:right="49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Creation and issuance of new shares</w:t>
      </w:r>
    </w:p>
    <w:p>
      <w:pPr>
        <w:sectPr>
          <w:pgSz w:w="11900" w:h="16838" w:orient="portrait"/>
          <w:cols w:equalWidth="0" w:num="1">
            <w:col w:w="10960"/>
          </w:cols>
          <w:pgMar w:left="440" w:top="644" w:right="499" w:bottom="1440" w:gutter="0" w:footer="0" w:header="0"/>
          <w:type w:val="continuous"/>
        </w:sectPr>
      </w:pPr>
    </w:p>
    <w:p>
      <w:pPr>
        <w:spacing w:after="0" w:line="23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creation of shares require a shareholders’ resolution. The creation of capital band or conditional capital requires at least two-thirds of the voting rights represented at the general meeting of shareholders and an absolute majority of the nominal value of shares represented. The board of directors ‎may issue or cancel shares out of the capital band ‎during a period of up to five years by a maximum amount of 50% of the current share capital. Conditional shares are created and issued through the exercise of options and conversion rights related to debt instruments issued by the board of directors or such rights issued to employees.</w:t>
      </w:r>
    </w:p>
    <w:p>
      <w:pPr>
        <w:spacing w:after="0" w:line="194" w:lineRule="exact"/>
        <w:rPr>
          <w:sz w:val="20"/>
          <w:szCs w:val="20"/>
          <w:color w:val="auto"/>
        </w:rPr>
      </w:pPr>
    </w:p>
    <w:p>
      <w:pPr>
        <w:sectPr>
          <w:pgSz w:w="11900" w:h="16838" w:orient="portrait"/>
          <w:cols w:equalWidth="0" w:num="2">
            <w:col w:w="5220" w:space="640"/>
            <w:col w:w="5100"/>
          </w:cols>
          <w:pgMar w:left="440" w:top="644" w:right="4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40" w:top="644" w:right="499" w:bottom="1440" w:gutter="0" w:footer="0" w:header="0"/>
          <w:type w:val="continuous"/>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29" w:name="page30"/>
    <w:bookmarkEnd w:id="2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36" w:right="539" w:bottom="1440" w:gutter="0" w:footer="0" w:header="0"/>
        </w:sectPr>
      </w:pPr>
    </w:p>
    <w:bookmarkStart w:id="30" w:name="page31"/>
    <w:bookmarkEnd w:id="30"/>
    <w:p>
      <w:pPr>
        <w:ind w:left="37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purchase contracts for the purchase or sale of equity securities issued by us.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536" w:right="519" w:bottom="1440" w:gutter="0" w:footer="0" w:header="0"/>
        </w:sectPr>
      </w:pPr>
    </w:p>
    <w:bookmarkStart w:id="31" w:name="page32"/>
    <w:bookmarkEnd w:id="3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common shares, debt securities, warrants or any combination of such securities.</w:t>
      </w:r>
    </w:p>
    <w:p>
      <w:pPr>
        <w:spacing w:after="0" w:line="2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536" w:right="5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common shares or warrants for those securities will be offered under the shareholder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the unsubscribed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Standby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340" w:right="2340" w:firstLine="316"/>
        <w:spacing w:after="0" w:line="500" w:lineRule="auto"/>
        <w:tabs>
          <w:tab w:leader="none" w:pos="9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 The prospectus supplement will state the terms of the offering of the securities, including:</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 w:name="page35"/>
    <w:bookmarkEnd w:id="34"/>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2023 Annual Report on </w:t>
      </w:r>
      <w:hyperlink r:id="rId48">
        <w:r>
          <w:rPr>
            <w:rFonts w:ascii="Times New Roman" w:cs="Times New Roman" w:eastAsia="Times New Roman" w:hAnsi="Times New Roman"/>
            <w:sz w:val="18"/>
            <w:szCs w:val="18"/>
            <w:u w:val="single" w:color="auto"/>
            <w:color w:val="0000EE"/>
          </w:rPr>
          <w:t>Form 20-F for the fiscal year ended December 31,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60" w:val="left"/>
        </w:tabs>
        <w:numPr>
          <w:ilvl w:val="0"/>
          <w:numId w:val="22"/>
        </w:numPr>
        <w:rPr>
          <w:rFonts w:ascii="Times New Roman" w:cs="Times New Roman" w:eastAsia="Times New Roman" w:hAnsi="Times New Roman"/>
          <w:sz w:val="17"/>
          <w:szCs w:val="17"/>
          <w:color w:val="000000"/>
        </w:rPr>
      </w:pPr>
      <w:hyperlink r:id="rId49">
        <w:r>
          <w:rPr>
            <w:rFonts w:ascii="Times New Roman" w:cs="Times New Roman" w:eastAsia="Times New Roman" w:hAnsi="Times New Roman"/>
            <w:sz w:val="17"/>
            <w:szCs w:val="17"/>
            <w:color w:val="auto"/>
          </w:rPr>
          <w:t xml:space="preserve">Our reports on Form 6-K furnished to the SEC on </w:t>
        </w:r>
        <w:r>
          <w:rPr>
            <w:rFonts w:ascii="Times New Roman" w:cs="Times New Roman" w:eastAsia="Times New Roman" w:hAnsi="Times New Roman"/>
            <w:sz w:val="17"/>
            <w:szCs w:val="17"/>
            <w:u w:val="single" w:color="auto"/>
            <w:color w:val="0000EE"/>
          </w:rPr>
          <w:t>January 3,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22, 2024</w:t>
        </w:r>
        <w:r>
          <w:rPr>
            <w:rFonts w:ascii="Times New Roman" w:cs="Times New Roman" w:eastAsia="Times New Roman" w:hAnsi="Times New Roman"/>
            <w:sz w:val="17"/>
            <w:szCs w:val="17"/>
            <w:color w:val="auto"/>
          </w:rPr>
          <w:t xml:space="preserve"> (other than Exhibit 99.1 filed as an exhibit thereto), </w:t>
        </w:r>
        <w:r>
          <w:rPr>
            <w:rFonts w:ascii="Times New Roman" w:cs="Times New Roman" w:eastAsia="Times New Roman" w:hAnsi="Times New Roman"/>
            <w:sz w:val="17"/>
            <w:szCs w:val="17"/>
            <w:u w:val="single" w:color="auto"/>
            <w:color w:val="0000EE"/>
          </w:rPr>
          <w:t>March</w:t>
        </w:r>
      </w:hyperlink>
      <w:r>
        <w:rPr>
          <w:rFonts w:ascii="Times New Roman" w:cs="Times New Roman" w:eastAsia="Times New Roman" w:hAnsi="Times New Roman"/>
          <w:sz w:val="17"/>
          <w:szCs w:val="17"/>
          <w:color w:val="auto"/>
        </w:rPr>
        <w:t xml:space="preserve"> </w:t>
      </w:r>
      <w:hyperlink r:id="rId49">
        <w:r>
          <w:rPr>
            <w:rFonts w:ascii="Times New Roman" w:cs="Times New Roman" w:eastAsia="Times New Roman" w:hAnsi="Times New Roman"/>
            <w:sz w:val="17"/>
            <w:szCs w:val="17"/>
            <w:u w:val="single" w:color="auto"/>
            <w:color w:val="0000EE"/>
          </w:rPr>
          <w:t>14, 2024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(only with respect to “Item 2.C – 2023 and 2022 Board Compensation” and “Item 3.C – 2023 and 2022 Executive Compensation” of</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Exhibit 99.2), </w:t>
      </w:r>
      <w:hyperlink r:id="rId50">
        <w:r>
          <w:rPr>
            <w:rFonts w:ascii="Times New Roman" w:cs="Times New Roman" w:eastAsia="Times New Roman" w:hAnsi="Times New Roman"/>
            <w:sz w:val="17"/>
            <w:szCs w:val="17"/>
            <w:u w:val="single" w:color="auto"/>
            <w:color w:val="0000EE"/>
          </w:rPr>
          <w:t>May 13,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(Film No. 24936707) (other than Exhibit 99.1 filed as an exhibit thereto), </w:t>
      </w:r>
      <w:hyperlink r:id="rId51">
        <w:r>
          <w:rPr>
            <w:rFonts w:ascii="Times New Roman" w:cs="Times New Roman" w:eastAsia="Times New Roman" w:hAnsi="Times New Roman"/>
            <w:sz w:val="17"/>
            <w:szCs w:val="17"/>
            <w:u w:val="single" w:color="auto"/>
            <w:color w:val="0000EE"/>
          </w:rPr>
          <w:t>May 13,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(Film No. 24936766) (other than Exhibit 99.3 filed as an exhibit thereto), </w:t>
      </w:r>
      <w:hyperlink r:id="rId52">
        <w:r>
          <w:rPr>
            <w:rFonts w:ascii="Times New Roman" w:cs="Times New Roman" w:eastAsia="Times New Roman" w:hAnsi="Times New Roman"/>
            <w:sz w:val="17"/>
            <w:szCs w:val="17"/>
            <w:u w:val="single" w:color="auto"/>
            <w:color w:val="0000EE"/>
          </w:rPr>
          <w:t>May 21, 2024</w:t>
        </w:r>
      </w:hyperlink>
      <w:r>
        <w:rPr>
          <w:rFonts w:ascii="Times New Roman" w:cs="Times New Roman" w:eastAsia="Times New Roman" w:hAnsi="Times New Roman"/>
          <w:sz w:val="17"/>
          <w:szCs w:val="17"/>
          <w:color w:val="000000"/>
        </w:rPr>
        <w:t xml:space="preserve">, </w:t>
      </w:r>
      <w:hyperlink r:id="rId53">
        <w:r>
          <w:rPr>
            <w:rFonts w:ascii="Times New Roman" w:cs="Times New Roman" w:eastAsia="Times New Roman" w:hAnsi="Times New Roman"/>
            <w:sz w:val="17"/>
            <w:szCs w:val="17"/>
            <w:u w:val="single" w:color="auto"/>
            <w:color w:val="0000EE"/>
          </w:rPr>
          <w:t>June 20,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and </w:t>
      </w:r>
      <w:hyperlink r:id="rId54">
        <w:r>
          <w:rPr>
            <w:rFonts w:ascii="Times New Roman" w:cs="Times New Roman" w:eastAsia="Times New Roman" w:hAnsi="Times New Roman"/>
            <w:sz w:val="17"/>
            <w:szCs w:val="17"/>
            <w:u w:val="single" w:color="auto"/>
            <w:color w:val="0000EE"/>
          </w:rPr>
          <w:t>July 25,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(other than Exhibit 99.1 filed as an exhibit thereto).</w:t>
      </w:r>
    </w:p>
    <w:p>
      <w:pPr>
        <w:spacing w:after="0" w:line="164" w:lineRule="exact"/>
        <w:rPr>
          <w:rFonts w:ascii="Times New Roman" w:cs="Times New Roman" w:eastAsia="Times New Roman" w:hAnsi="Times New Roman"/>
          <w:sz w:val="17"/>
          <w:szCs w:val="17"/>
          <w:color w:val="000000"/>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0" w:lineRule="exact"/>
        <w:rPr>
          <w:rFonts w:ascii="Times New Roman" w:cs="Times New Roman" w:eastAsia="Times New Roman" w:hAnsi="Times New Roman"/>
          <w:sz w:val="17"/>
          <w:szCs w:val="17"/>
          <w:color w:val="000000"/>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76" w:lineRule="exact"/>
        <w:rPr>
          <w:rFonts w:ascii="Times New Roman" w:cs="Times New Roman" w:eastAsia="Times New Roman" w:hAnsi="Times New Roman"/>
          <w:sz w:val="17"/>
          <w:szCs w:val="17"/>
          <w:color w:val="000000"/>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rFonts w:ascii="Times New Roman" w:cs="Times New Roman" w:eastAsia="Times New Roman" w:hAnsi="Times New Roman"/>
          <w:sz w:val="17"/>
          <w:szCs w:val="17"/>
          <w:color w:val="000000"/>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72" w:lineRule="exact"/>
        <w:rPr>
          <w:rFonts w:ascii="Times New Roman" w:cs="Times New Roman" w:eastAsia="Times New Roman" w:hAnsi="Times New Roman"/>
          <w:sz w:val="17"/>
          <w:szCs w:val="17"/>
          <w:color w:val="000000"/>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3940" w:type="dxa"/>
            <w:vAlign w:val="bottom"/>
            <w:tcBorders>
              <w:bottom w:val="single" w:sz="8" w:color="D5EAEA"/>
            </w:tcBorders>
          </w:tcPr>
          <w:p>
            <w:pPr>
              <w:spacing w:after="0"/>
              <w:rPr>
                <w:sz w:val="20"/>
                <w:szCs w:val="20"/>
                <w:color w:val="auto"/>
              </w:rPr>
            </w:pPr>
          </w:p>
        </w:tc>
        <w:tc>
          <w:tcPr>
            <w:tcW w:w="596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 Be Paid</w:t>
            </w:r>
          </w:p>
        </w:tc>
      </w:tr>
      <w:tr>
        <w:trPr>
          <w:trHeight w:val="210"/>
        </w:trPr>
        <w:tc>
          <w:tcPr>
            <w:tcW w:w="39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5960" w:type="dxa"/>
            <w:vAlign w:val="bottom"/>
            <w:shd w:val="clear" w:color="auto" w:fill="D5EAEA"/>
          </w:tcPr>
          <w:p>
            <w:pPr>
              <w:spacing w:after="0"/>
              <w:rPr>
                <w:sz w:val="18"/>
                <w:szCs w:val="18"/>
                <w:color w:val="auto"/>
              </w:rPr>
            </w:pPr>
          </w:p>
        </w:tc>
        <w:tc>
          <w:tcPr>
            <w:tcW w:w="1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51,660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w:t>
            </w: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596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549"/>
        </w:trPr>
        <w:tc>
          <w:tcPr>
            <w:tcW w:w="39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jc w:val="right"/>
              <w:ind w:right="409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860" w:type="dxa"/>
            <w:vAlign w:val="bottom"/>
            <w:shd w:val="clear" w:color="auto" w:fill="D5EAEA"/>
          </w:tcPr>
          <w:p>
            <w:pPr>
              <w:spacing w:after="0"/>
              <w:rPr>
                <w:sz w:val="18"/>
                <w:szCs w:val="18"/>
                <w:color w:val="auto"/>
              </w:rPr>
            </w:pPr>
          </w:p>
        </w:tc>
        <w:tc>
          <w:tcPr>
            <w:tcW w:w="620" w:type="dxa"/>
            <w:vAlign w:val="bottom"/>
            <w:shd w:val="clear" w:color="auto" w:fill="D5EAEA"/>
          </w:tcPr>
          <w:p>
            <w:pPr>
              <w:spacing w:after="0"/>
              <w:rPr>
                <w:sz w:val="18"/>
                <w:szCs w:val="18"/>
                <w:color w:val="auto"/>
              </w:rPr>
            </w:pPr>
          </w:p>
        </w:tc>
        <w:tc>
          <w:tcPr>
            <w:tcW w:w="7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860" w:type="dxa"/>
            <w:vAlign w:val="bottom"/>
            <w:tcBorders>
              <w:bottom w:val="single" w:sz="8" w:color="D5EAEA"/>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Borders>
              <w:bottom w:val="single" w:sz="8" w:color="D5EAEA"/>
            </w:tcBorders>
            <w:shd w:val="clear" w:color="auto" w:fill="D5EAEA"/>
          </w:tcPr>
          <w:p>
            <w:pPr>
              <w:spacing w:after="0"/>
              <w:rPr>
                <w:sz w:val="18"/>
                <w:szCs w:val="18"/>
                <w:color w:val="auto"/>
              </w:rPr>
            </w:pPr>
          </w:p>
        </w:tc>
        <w:tc>
          <w:tcPr>
            <w:tcW w:w="620" w:type="dxa"/>
            <w:vAlign w:val="bottom"/>
            <w:tcBorders>
              <w:bottom w:val="single" w:sz="8" w:color="auto"/>
            </w:tcBorders>
            <w:shd w:val="clear" w:color="auto" w:fill="D5EAEA"/>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940" w:firstLine="8"/>
        <w:spacing w:after="0" w:line="282"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as an exhibit to a Report on Form 6-K that is incorporated by reference into this prospectus. ** Includes the $43,061.67 previously paid in connection with unsold securities pursuant to Rule 415(a)(6).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our common shares and certain other matters of Swiss law will be passed upon for us by Bär &amp; Karrer Ltd., Zurich,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matters of U.S. federal and New York State law will be passed upon for us by Davis Polk &amp; Wardwell LLP, New York, New York.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20-F for the year ended December 31, 2023 have been so incorporated in reliance on the report of PricewaterhouseCoopers SA, an independent registered accounting firm given the authority of said firm as experts in auditing and accounting. PricewaterhouseCoopers SA is a member of EXPERTsuisse — Swiss Expert Association for Audit, Tax and Fiduciary.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6" w:name="page37"/>
    <w:bookmarkEnd w:id="36"/>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2839720</wp:posOffset>
            </wp:positionH>
            <wp:positionV relativeFrom="page">
              <wp:posOffset>354330</wp:posOffset>
            </wp:positionV>
            <wp:extent cx="1877060" cy="488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883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AC IMMUNE SA</w:t>
      </w:r>
    </w:p>
    <w:p>
      <w:pPr>
        <w:sectPr>
          <w:pgSz w:w="11900" w:h="16838" w:orient="portrait"/>
          <w:cols w:equalWidth="0" w:num="1">
            <w:col w:w="9019"/>
          </w:cols>
          <w:pgMar w:left="1440" w:top="1440"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Subscription Rights</w:t>
      </w:r>
    </w:p>
    <w:p>
      <w:pPr>
        <w:spacing w:after="0" w:line="2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340360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enter into indemnification agreements with each of the members of our board of directors and executive management.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gridSpan w:val="6"/>
          </w:tcPr>
          <w:p>
            <w:pPr>
              <w:ind w:left="16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320" w:type="dxa"/>
            <w:vAlign w:val="bottom"/>
          </w:tcPr>
          <w:p>
            <w:pPr>
              <w:spacing w:after="0"/>
              <w:rPr>
                <w:sz w:val="24"/>
                <w:szCs w:val="24"/>
                <w:color w:val="auto"/>
              </w:rPr>
            </w:pPr>
          </w:p>
        </w:tc>
        <w:tc>
          <w:tcPr>
            <w:tcW w:w="69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The following documents are filed as part of this registration statement:</w:t>
            </w:r>
          </w:p>
        </w:tc>
      </w:tr>
      <w:tr>
        <w:trPr>
          <w:trHeight w:val="41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94"/>
        </w:trPr>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80" w:type="dxa"/>
            <w:vAlign w:val="bottom"/>
            <w:tcBorders>
              <w:bottom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FF"/>
                <w:w w:val="99"/>
              </w:rPr>
              <w:t>Amended and Restated Articles of Association of AC Immune SA</w:t>
            </w:r>
          </w:p>
        </w:tc>
        <w:tc>
          <w:tcPr>
            <w:tcW w:w="1820" w:type="dxa"/>
            <w:vAlign w:val="bottom"/>
            <w:gridSpan w:val="3"/>
          </w:tcPr>
          <w:p>
            <w:pPr>
              <w:spacing w:after="0"/>
              <w:rPr>
                <w:sz w:val="16"/>
                <w:szCs w:val="16"/>
                <w:color w:val="auto"/>
              </w:rPr>
            </w:pPr>
          </w:p>
        </w:tc>
      </w:tr>
      <w:tr>
        <w:trPr>
          <w:trHeight w:val="196"/>
        </w:trPr>
        <w:tc>
          <w:tcPr>
            <w:tcW w:w="500" w:type="dxa"/>
            <w:vAlign w:val="bottom"/>
            <w:gridSpan w:val="3"/>
          </w:tcPr>
          <w:p>
            <w:pPr>
              <w:spacing w:after="0" w:line="196" w:lineRule="exact"/>
              <w:rPr>
                <w:rFonts w:ascii="Times New Roman" w:cs="Times New Roman" w:eastAsia="Times New Roman" w:hAnsi="Times New Roman"/>
                <w:sz w:val="18"/>
                <w:szCs w:val="18"/>
                <w:color w:val="0000FF"/>
                <w:w w:val="96"/>
              </w:rPr>
            </w:pPr>
            <w:hyperlink r:id="rId58">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1***</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0" w:type="dxa"/>
            <w:vAlign w:val="bottom"/>
            <w:gridSpan w:val="10"/>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of Senior Indenture</w:t>
              </w:r>
            </w:hyperlink>
          </w:p>
        </w:tc>
      </w:tr>
      <w:tr>
        <w:trPr>
          <w:trHeight w:val="20"/>
        </w:trPr>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59">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Form of Subordinated Indenture</w:t>
              </w:r>
            </w:hyperlink>
          </w:p>
        </w:tc>
        <w:tc>
          <w:tcPr>
            <w:tcW w:w="4280" w:type="dxa"/>
            <w:vAlign w:val="bottom"/>
            <w:gridSpan w:val="8"/>
          </w:tcPr>
          <w:p>
            <w:pPr>
              <w:spacing w:after="0"/>
              <w:rPr>
                <w:sz w:val="17"/>
                <w:szCs w:val="17"/>
                <w:color w:val="auto"/>
              </w:rPr>
            </w:pPr>
          </w:p>
        </w:tc>
      </w:tr>
      <w:tr>
        <w:trPr>
          <w:trHeight w:val="218"/>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Senior Note</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Subordinated Note</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Purchase Contract</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Form of Subscription Rights Agreement (including form of Subscription Rights Certificate)</w:t>
            </w:r>
          </w:p>
        </w:tc>
      </w:tr>
      <w:tr>
        <w:trPr>
          <w:trHeight w:val="194"/>
        </w:trPr>
        <w:tc>
          <w:tcPr>
            <w:tcW w:w="500" w:type="dxa"/>
            <w:vAlign w:val="bottom"/>
            <w:tcBorders>
              <w:bottom w:val="single" w:sz="8" w:color="0000FF"/>
            </w:tcBorders>
            <w:gridSpan w:val="3"/>
          </w:tcPr>
          <w:p>
            <w:pPr>
              <w:spacing w:after="0" w:line="194" w:lineRule="exact"/>
              <w:rPr>
                <w:rFonts w:ascii="Times New Roman" w:cs="Times New Roman" w:eastAsia="Times New Roman" w:hAnsi="Times New Roman"/>
                <w:sz w:val="18"/>
                <w:szCs w:val="18"/>
                <w:color w:val="0000FF"/>
                <w:w w:val="96"/>
              </w:rPr>
            </w:pPr>
            <w:hyperlink r:id="rId60">
              <w:r>
                <w:rPr>
                  <w:rFonts w:ascii="Times New Roman" w:cs="Times New Roman" w:eastAsia="Times New Roman" w:hAnsi="Times New Roman"/>
                  <w:sz w:val="18"/>
                  <w:szCs w:val="18"/>
                  <w:color w:val="0000FF"/>
                  <w:w w:val="96"/>
                </w:rPr>
                <w:t>5.</w:t>
              </w:r>
              <w:r>
                <w:rPr>
                  <w:rFonts w:ascii="Times New Roman" w:cs="Times New Roman" w:eastAsia="Times New Roman" w:hAnsi="Times New Roman"/>
                  <w:sz w:val="18"/>
                  <w:szCs w:val="18"/>
                  <w:u w:val="single" w:color="auto"/>
                  <w:color w:val="0000FF"/>
                  <w:w w:val="96"/>
                </w:rPr>
                <w:t>1***</w:t>
              </w:r>
            </w:hyperlink>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80" w:type="dxa"/>
            <w:vAlign w:val="bottom"/>
            <w:tcBorders>
              <w:bottom w:val="single" w:sz="8" w:color="0000FF"/>
            </w:tcBorders>
            <w:gridSpan w:val="5"/>
          </w:tcPr>
          <w:p>
            <w:pPr>
              <w:spacing w:after="0" w:line="194"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Opinion of Bär &amp; Karrer Ltd., Swiss Counsel of AC Immune SA</w:t>
              </w:r>
            </w:hyperlink>
          </w:p>
        </w:tc>
        <w:tc>
          <w:tcPr>
            <w:tcW w:w="1920" w:type="dxa"/>
            <w:vAlign w:val="bottom"/>
            <w:gridSpan w:val="5"/>
          </w:tcPr>
          <w:p>
            <w:pPr>
              <w:spacing w:after="0"/>
              <w:rPr>
                <w:sz w:val="16"/>
                <w:szCs w:val="16"/>
                <w:color w:val="auto"/>
              </w:rPr>
            </w:pPr>
          </w:p>
        </w:tc>
      </w:tr>
      <w:tr>
        <w:trPr>
          <w:trHeight w:val="196"/>
        </w:trPr>
        <w:tc>
          <w:tcPr>
            <w:tcW w:w="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61">
              <w:r>
                <w:rPr>
                  <w:rFonts w:ascii="Times New Roman" w:cs="Times New Roman" w:eastAsia="Times New Roman" w:hAnsi="Times New Roman"/>
                  <w:sz w:val="18"/>
                  <w:szCs w:val="18"/>
                  <w:color w:val="0000FF"/>
                  <w:w w:val="96"/>
                </w:rPr>
                <w:t>5.</w:t>
              </w:r>
              <w:r>
                <w:rPr>
                  <w:rFonts w:ascii="Times New Roman" w:cs="Times New Roman" w:eastAsia="Times New Roman" w:hAnsi="Times New Roman"/>
                  <w:sz w:val="18"/>
                  <w:szCs w:val="18"/>
                  <w:u w:val="single" w:color="auto"/>
                  <w:color w:val="0000FF"/>
                  <w:w w:val="96"/>
                </w:rPr>
                <w:t>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Opinion of Davis Polk &amp; Wardwell LLP</w:t>
              </w:r>
            </w:hyperlink>
          </w:p>
        </w:tc>
        <w:tc>
          <w:tcPr>
            <w:tcW w:w="3680" w:type="dxa"/>
            <w:vAlign w:val="bottom"/>
            <w:gridSpan w:val="6"/>
          </w:tcPr>
          <w:p>
            <w:pPr>
              <w:spacing w:after="0"/>
              <w:rPr>
                <w:sz w:val="17"/>
                <w:szCs w:val="17"/>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Consent of PricewaterhouseCoopers SA</w:t>
            </w:r>
          </w:p>
        </w:tc>
      </w:tr>
      <w:tr>
        <w:trPr>
          <w:trHeight w:val="20"/>
        </w:trPr>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23.</w:t>
              </w:r>
              <w:r>
                <w:rPr>
                  <w:rFonts w:ascii="Times New Roman" w:cs="Times New Roman" w:eastAsia="Times New Roman" w:hAnsi="Times New Roman"/>
                  <w:sz w:val="18"/>
                  <w:szCs w:val="18"/>
                  <w:u w:val="single" w:color="auto"/>
                  <w:color w:val="0000FF"/>
                  <w:w w:val="99"/>
                </w:rPr>
                <w:t>2***</w:t>
              </w:r>
            </w:hyperlink>
          </w:p>
        </w:tc>
        <w:tc>
          <w:tcPr>
            <w:tcW w:w="60" w:type="dxa"/>
            <w:vAlign w:val="bottom"/>
          </w:tcPr>
          <w:p>
            <w:pPr>
              <w:spacing w:after="0"/>
              <w:rPr>
                <w:sz w:val="17"/>
                <w:szCs w:val="17"/>
                <w:color w:val="auto"/>
              </w:rPr>
            </w:pPr>
          </w:p>
        </w:tc>
        <w:tc>
          <w:tcPr>
            <w:tcW w:w="6600" w:type="dxa"/>
            <w:vAlign w:val="bottom"/>
            <w:gridSpan w:val="10"/>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Consent of Bär &amp; Karrer Ltd., Swiss Counsel of AC Immune SA (included in exhibit 5.1)</w:t>
              </w:r>
            </w:hyperlink>
          </w:p>
        </w:tc>
      </w:tr>
      <w:tr>
        <w:trPr>
          <w:trHeight w:val="196"/>
        </w:trPr>
        <w:tc>
          <w:tcPr>
            <w:tcW w:w="6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23.</w:t>
              </w:r>
              <w:r>
                <w:rPr>
                  <w:rFonts w:ascii="Times New Roman" w:cs="Times New Roman" w:eastAsia="Times New Roman" w:hAnsi="Times New Roman"/>
                  <w:sz w:val="18"/>
                  <w:szCs w:val="18"/>
                  <w:u w:val="single" w:color="auto"/>
                  <w:color w:val="0000FF"/>
                  <w:w w:val="99"/>
                </w:rPr>
                <w:t>3***</w:t>
              </w:r>
            </w:hyperlink>
          </w:p>
        </w:tc>
        <w:tc>
          <w:tcPr>
            <w:tcW w:w="60" w:type="dxa"/>
            <w:vAlign w:val="bottom"/>
          </w:tcPr>
          <w:p>
            <w:pPr>
              <w:spacing w:after="0"/>
              <w:rPr>
                <w:sz w:val="17"/>
                <w:szCs w:val="17"/>
                <w:color w:val="auto"/>
              </w:rPr>
            </w:pPr>
          </w:p>
        </w:tc>
        <w:tc>
          <w:tcPr>
            <w:tcW w:w="47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Consent of Davis Polk &amp; Wardwell LLP (included in exhibit 5.2)</w:t>
              </w:r>
            </w:hyperlink>
          </w:p>
        </w:tc>
        <w:tc>
          <w:tcPr>
            <w:tcW w:w="1760" w:type="dxa"/>
            <w:vAlign w:val="bottom"/>
            <w:tcBorders>
              <w:top w:val="single" w:sz="8" w:color="0000FF"/>
            </w:tcBorders>
            <w:gridSpan w:val="3"/>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600" w:type="dxa"/>
            <w:vAlign w:val="bottom"/>
            <w:gridSpan w:val="4"/>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24.</w:t>
              </w:r>
              <w:r>
                <w:rPr>
                  <w:rFonts w:ascii="Times New Roman" w:cs="Times New Roman" w:eastAsia="Times New Roman" w:hAnsi="Times New Roman"/>
                  <w:sz w:val="18"/>
                  <w:szCs w:val="18"/>
                  <w:u w:val="single" w:color="auto"/>
                  <w:color w:val="0000FF"/>
                  <w:w w:val="99"/>
                </w:rPr>
                <w:t>1***</w:t>
              </w:r>
            </w:hyperlink>
          </w:p>
        </w:tc>
        <w:tc>
          <w:tcPr>
            <w:tcW w:w="60" w:type="dxa"/>
            <w:vAlign w:val="bottom"/>
          </w:tcPr>
          <w:p>
            <w:pPr>
              <w:spacing w:after="0"/>
              <w:rPr>
                <w:sz w:val="17"/>
                <w:szCs w:val="17"/>
                <w:color w:val="auto"/>
              </w:rPr>
            </w:pPr>
          </w:p>
        </w:tc>
        <w:tc>
          <w:tcPr>
            <w:tcW w:w="6600" w:type="dxa"/>
            <w:vAlign w:val="bottom"/>
            <w:gridSpan w:val="10"/>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Powers of attorney (included on signature page to the registration statement)</w:t>
              </w:r>
            </w:hyperlink>
          </w:p>
        </w:tc>
      </w:tr>
      <w:tr>
        <w:trPr>
          <w:trHeight w:val="218"/>
        </w:trPr>
        <w:tc>
          <w:tcPr>
            <w:tcW w:w="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w w:val="96"/>
              </w:rPr>
              <w:t>25.1**</w:t>
            </w: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55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Statement of Eligibility on Form T-1 for Senior Indenture</w:t>
            </w:r>
          </w:p>
        </w:tc>
        <w:tc>
          <w:tcPr>
            <w:tcW w:w="1100" w:type="dxa"/>
            <w:vAlign w:val="bottom"/>
            <w:gridSpan w:val="2"/>
          </w:tcPr>
          <w:p>
            <w:pPr>
              <w:spacing w:after="0"/>
              <w:rPr>
                <w:sz w:val="18"/>
                <w:szCs w:val="18"/>
                <w:color w:val="auto"/>
              </w:rPr>
            </w:pPr>
          </w:p>
        </w:tc>
      </w:tr>
      <w:tr>
        <w:trPr>
          <w:trHeight w:val="216"/>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Statement of Eligibility on Form T-1 for Subordinated Indenture</w:t>
            </w:r>
          </w:p>
        </w:tc>
      </w:tr>
      <w:tr>
        <w:trPr>
          <w:trHeight w:val="194"/>
        </w:trPr>
        <w:tc>
          <w:tcPr>
            <w:tcW w:w="4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107*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8"/>
              </w:rPr>
              <w:t>Calculation of Filing Fees Table</w:t>
            </w:r>
          </w:p>
        </w:tc>
        <w:tc>
          <w:tcPr>
            <w:tcW w:w="4280" w:type="dxa"/>
            <w:vAlign w:val="bottom"/>
            <w:gridSpan w:val="8"/>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712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67"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280" w:hanging="227"/>
        <w:spacing w:after="0"/>
        <w:tabs>
          <w:tab w:leader="none" w:pos="2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by amendment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8" w:name="page39"/>
    <w:bookmarkEnd w:id="38"/>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512" w:hanging="512"/>
        <w:spacing w:after="0"/>
        <w:tabs>
          <w:tab w:leader="none" w:pos="5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972" w:right="200" w:hanging="324"/>
        <w:spacing w:after="0" w:line="255" w:lineRule="auto"/>
        <w:tabs>
          <w:tab w:leader="none" w:pos="97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972" w:right="480" w:hanging="324"/>
        <w:spacing w:after="0" w:line="282" w:lineRule="auto"/>
        <w:tabs>
          <w:tab w:leader="none" w:pos="97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227" w:lineRule="exact"/>
        <w:rPr>
          <w:sz w:val="20"/>
          <w:szCs w:val="20"/>
          <w:color w:val="auto"/>
        </w:rPr>
      </w:pPr>
    </w:p>
    <w:p>
      <w:pPr>
        <w:ind w:left="1292" w:right="40" w:hanging="320"/>
        <w:spacing w:after="0" w:line="261" w:lineRule="auto"/>
        <w:tabs>
          <w:tab w:leader="none" w:pos="12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79" w:lineRule="exact"/>
        <w:rPr>
          <w:rFonts w:ascii="Times New Roman" w:cs="Times New Roman" w:eastAsia="Times New Roman" w:hAnsi="Times New Roman"/>
          <w:sz w:val="18"/>
          <w:szCs w:val="18"/>
          <w:color w:val="auto"/>
        </w:rPr>
      </w:pPr>
    </w:p>
    <w:p>
      <w:pPr>
        <w:ind w:left="1292" w:right="180" w:hanging="320"/>
        <w:spacing w:after="0" w:line="258" w:lineRule="auto"/>
        <w:tabs>
          <w:tab w:leader="none" w:pos="12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(a)(1)(ii) and (a)(1)(iii) of this section do not apply if the registration statement is on Form S-3 (§ 239.13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p>
      <w:pPr>
        <w:spacing w:after="0" w:line="183" w:lineRule="exact"/>
        <w:rPr>
          <w:rFonts w:ascii="Times New Roman" w:cs="Times New Roman" w:eastAsia="Times New Roman" w:hAnsi="Times New Roman"/>
          <w:sz w:val="18"/>
          <w:szCs w:val="18"/>
          <w:color w:val="auto"/>
        </w:rPr>
      </w:pPr>
    </w:p>
    <w:p>
      <w:pPr>
        <w:ind w:left="1292" w:right="360" w:hanging="320"/>
        <w:spacing w:after="0" w:line="266" w:lineRule="auto"/>
        <w:tabs>
          <w:tab w:leader="none" w:pos="12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further, however, that paragraphs (a)(1)(i) and (a)(1)(ii) do not apply if the registration statement is for an offering of asset-backed securities on Form S-1 (§ 239.11 of this chapter) or Form S-3 (§ 239.13 of this chapter), and the information required to be included in a post-effective amendment is provided pursuant to Item 1100(c) of Regulation AB (§ 229.1100(c)).</w:t>
      </w:r>
    </w:p>
    <w:p>
      <w:pPr>
        <w:spacing w:after="0" w:line="175" w:lineRule="exact"/>
        <w:rPr>
          <w:rFonts w:ascii="Times New Roman" w:cs="Times New Roman" w:eastAsia="Times New Roman" w:hAnsi="Times New Roman"/>
          <w:sz w:val="18"/>
          <w:szCs w:val="18"/>
          <w:color w:val="auto"/>
        </w:rPr>
      </w:pPr>
    </w:p>
    <w:p>
      <w:pPr>
        <w:ind w:left="652" w:right="60" w:hanging="328"/>
        <w:spacing w:after="0" w:line="266"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52" w:right="100" w:hanging="328"/>
        <w:spacing w:after="0" w:line="261"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w:t>
      </w:r>
    </w:p>
    <w:p>
      <w:pPr>
        <w:spacing w:after="0" w:line="28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536" w:right="379" w:bottom="1440" w:gutter="0" w:footer="0" w:header="0"/>
        </w:sectPr>
      </w:pPr>
    </w:p>
    <w:bookmarkStart w:id="39" w:name="page40"/>
    <w:bookmarkEnd w:id="39"/>
    <w:p>
      <w:pPr>
        <w:ind w:left="660" w:right="200"/>
        <w:spacing w:after="0" w:line="258" w:lineRule="auto"/>
        <w:rPr>
          <w:sz w:val="20"/>
          <w:szCs w:val="20"/>
          <w:color w:val="auto"/>
        </w:rPr>
      </w:pPr>
      <w:r>
        <w:rPr>
          <w:rFonts w:ascii="Times New Roman" w:cs="Times New Roman" w:eastAsia="Times New Roman" w:hAnsi="Times New Roman"/>
          <w:sz w:val="18"/>
          <w:szCs w:val="18"/>
          <w:color w:val="auto"/>
        </w:rPr>
        <w:t>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300" w:hanging="320"/>
        <w:spacing w:after="0" w:line="253"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9"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ind w:left="340" w:right="100"/>
        <w:spacing w:after="0" w:line="282" w:lineRule="auto"/>
        <w:rPr>
          <w:sz w:val="20"/>
          <w:szCs w:val="20"/>
          <w:color w:val="auto"/>
        </w:rPr>
      </w:pPr>
      <w:r>
        <w:rPr>
          <w:rFonts w:ascii="Times New Roman" w:cs="Times New Roman" w:eastAsia="Times New Roman" w:hAnsi="Times New Roman"/>
          <w:sz w:val="18"/>
          <w:szCs w:val="18"/>
          <w:color w:val="auto"/>
        </w:rPr>
        <w:t>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left="340" w:hanging="332"/>
        <w:spacing w:after="0" w:line="254"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rFonts w:ascii="Times New Roman" w:cs="Times New Roman" w:eastAsia="Times New Roman" w:hAnsi="Times New Roman"/>
          <w:sz w:val="18"/>
          <w:szCs w:val="18"/>
          <w:color w:val="auto"/>
        </w:rPr>
      </w:pPr>
    </w:p>
    <w:p>
      <w:pPr>
        <w:ind w:left="660" w:right="140" w:hanging="328"/>
        <w:spacing w:after="0" w:line="276" w:lineRule="auto"/>
        <w:tabs>
          <w:tab w:leader="none" w:pos="6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w:t>
      </w:r>
    </w:p>
    <w:p>
      <w:pPr>
        <w:ind w:left="920" w:hanging="264"/>
        <w:spacing w:after="0"/>
        <w:tabs>
          <w:tab w:leader="none" w:pos="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497(h) under the Securities Act shall be deemed to be part of this registration statement as of the time it was declared effective.</w:t>
      </w:r>
    </w:p>
    <w:p>
      <w:pPr>
        <w:spacing w:after="0" w:line="206"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section 310 of the Trust Indenture Act (“Act”) in accordance with the rules and regulations prescribed by the Commission under section 305(b)</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Act.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Lausanne, Switzerland on July 26, 2024.</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 IMMUNE SA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536" w:right="339" w:bottom="1440" w:gutter="0" w:footer="0" w:header="0"/>
        </w:sectPr>
      </w:pP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885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Andrea Pfeifer</w:t>
      </w:r>
    </w:p>
    <w:p>
      <w:pPr>
        <w:spacing w:after="0" w:line="31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88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Christopher Roberts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19685</wp:posOffset>
            </wp:positionV>
            <wp:extent cx="2280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19685</wp:posOffset>
            </wp:positionV>
            <wp:extent cx="2280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555" w:lineRule="exact"/>
        <w:rPr>
          <w:sz w:val="20"/>
          <w:szCs w:val="20"/>
          <w:color w:val="auto"/>
        </w:rPr>
      </w:pPr>
    </w:p>
    <w:p>
      <w:pPr>
        <w:sectPr>
          <w:pgSz w:w="11900" w:h="16838" w:orient="portrait"/>
          <w:cols w:equalWidth="0" w:num="3">
            <w:col w:w="3800" w:space="720"/>
            <w:col w:w="3720" w:space="720"/>
            <w:col w:w="2280"/>
          </w:cols>
          <w:pgMar w:left="320" w:top="536" w:right="339" w:bottom="1440" w:gutter="0" w:footer="0" w:header="0"/>
          <w:type w:val="continuous"/>
        </w:sectPr>
      </w:pPr>
    </w:p>
    <w:p>
      <w:pPr>
        <w:spacing w:after="0" w:line="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Douglas Williams</w:t>
      </w:r>
    </w:p>
    <w:p>
      <w:pPr>
        <w:spacing w:after="0" w:line="25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Monika Bütler</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Carl June</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Werner Lanthaler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2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July 26, 2024</w:t>
            </w:r>
          </w:p>
        </w:tc>
      </w:tr>
      <w:tr>
        <w:trPr>
          <w:trHeight w:val="689"/>
        </w:trPr>
        <w:tc>
          <w:tcPr>
            <w:tcW w:w="29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July 26, 2024</w:t>
            </w:r>
          </w:p>
        </w:tc>
      </w:tr>
      <w:tr>
        <w:trPr>
          <w:trHeight w:val="661"/>
        </w:trPr>
        <w:tc>
          <w:tcPr>
            <w:tcW w:w="29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July 26, 2024</w:t>
            </w:r>
          </w:p>
        </w:tc>
      </w:tr>
      <w:tr>
        <w:trPr>
          <w:trHeight w:val="662"/>
        </w:trPr>
        <w:tc>
          <w:tcPr>
            <w:tcW w:w="29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July 26,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651510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080" w:space="720"/>
            <w:col w:w="6440"/>
          </w:cols>
          <w:pgMar w:left="320" w:top="536" w:right="339" w:bottom="1440" w:gutter="0" w:footer="0" w:header="0"/>
          <w:type w:val="continuous"/>
        </w:sectPr>
      </w:pPr>
    </w:p>
    <w:bookmarkStart w:id="42" w:name="page43"/>
    <w:bookmarkEnd w:id="42"/>
    <w:p>
      <w:pPr>
        <w:jc w:val="cente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Monica Shaw</w:t>
      </w:r>
    </w:p>
    <w:p>
      <w:pPr>
        <w:spacing w:after="0" w:line="27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Roy Twyman</w:t>
      </w:r>
    </w:p>
    <w:p>
      <w:pPr>
        <w:spacing w:after="0" w:line="2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AC Immune USA, Inc.</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885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jc w:val="center"/>
        <w:ind w:left="20"/>
        <w:spacing w:after="0"/>
        <w:rPr>
          <w:sz w:val="20"/>
          <w:szCs w:val="20"/>
          <w:color w:val="auto"/>
        </w:rPr>
      </w:pPr>
      <w:r>
        <w:rPr>
          <w:rFonts w:ascii="Times New Roman" w:cs="Times New Roman" w:eastAsia="Times New Roman" w:hAnsi="Times New Roman"/>
          <w:sz w:val="18"/>
          <w:szCs w:val="18"/>
          <w:color w:val="auto"/>
        </w:rPr>
        <w:t>Christopher Roberts</w:t>
      </w:r>
    </w:p>
    <w:p>
      <w:pPr>
        <w:spacing w:after="0" w:line="2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Chief Financial Officer of AC Immune USA, Inc.</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 /s/ Christopher Roberts, as attorney-in-fact</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Representative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933450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ectPr>
          <w:pgSz w:w="11900" w:h="16838" w:orient="portrait"/>
          <w:cols w:equalWidth="0" w:num="3">
            <w:col w:w="3600" w:space="340"/>
            <w:col w:w="4300" w:space="720"/>
            <w:col w:w="1179"/>
          </w:cols>
          <w:pgMar w:left="320" w:top="540"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80" w:type="dxa"/>
            <w:vAlign w:val="bottom"/>
            <w:tcBorders>
              <w:top w:val="single" w:sz="8" w:color="auto"/>
              <w:left w:val="single" w:sz="8" w:color="auto"/>
            </w:tcBorders>
          </w:tcPr>
          <w:p>
            <w:pPr>
              <w:spacing w:after="0"/>
              <w:rPr>
                <w:sz w:val="24"/>
                <w:szCs w:val="24"/>
                <w:color w:val="auto"/>
              </w:rPr>
            </w:pPr>
          </w:p>
        </w:tc>
        <w:tc>
          <w:tcPr>
            <w:tcW w:w="4940" w:type="dxa"/>
            <w:vAlign w:val="bottom"/>
            <w:tcBorders>
              <w:top w:val="single" w:sz="8" w:color="auto"/>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ARTICLES OF ASSOCIATION</w:t>
            </w:r>
          </w:p>
        </w:tc>
        <w:tc>
          <w:tcPr>
            <w:tcW w:w="22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960" w:type="dxa"/>
            <w:vAlign w:val="bottom"/>
            <w:tcBorders>
              <w:top w:val="single" w:sz="8" w:color="auto"/>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6"/>
              </w:rPr>
              <w:t>STATUTS</w:t>
            </w:r>
          </w:p>
        </w:tc>
      </w:tr>
      <w:tr>
        <w:trPr>
          <w:trHeight w:val="405"/>
        </w:trPr>
        <w:tc>
          <w:tcPr>
            <w:tcW w:w="580" w:type="dxa"/>
            <w:vAlign w:val="bottom"/>
            <w:tcBorders>
              <w:left w:val="single" w:sz="8" w:color="auto"/>
            </w:tcBorders>
          </w:tcPr>
          <w:p>
            <w:pPr>
              <w:spacing w:after="0"/>
              <w:rPr>
                <w:sz w:val="24"/>
                <w:szCs w:val="24"/>
                <w:color w:val="auto"/>
              </w:rPr>
            </w:pPr>
          </w:p>
        </w:tc>
        <w:tc>
          <w:tcPr>
            <w:tcW w:w="49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3"/>
              </w:rPr>
              <w:t>of</w:t>
            </w: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4"/>
              </w:rPr>
              <w:t>de</w:t>
            </w:r>
          </w:p>
        </w:tc>
      </w:tr>
      <w:tr>
        <w:trPr>
          <w:trHeight w:val="361"/>
        </w:trPr>
        <w:tc>
          <w:tcPr>
            <w:tcW w:w="580" w:type="dxa"/>
            <w:vAlign w:val="bottom"/>
            <w:tcBorders>
              <w:left w:val="single" w:sz="8" w:color="auto"/>
            </w:tcBorders>
          </w:tcPr>
          <w:p>
            <w:pPr>
              <w:spacing w:after="0"/>
              <w:rPr>
                <w:sz w:val="24"/>
                <w:szCs w:val="24"/>
                <w:color w:val="auto"/>
              </w:rPr>
            </w:pPr>
          </w:p>
        </w:tc>
        <w:tc>
          <w:tcPr>
            <w:tcW w:w="494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AC Immune SA</w:t>
            </w: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AC Immune SA</w:t>
            </w:r>
          </w:p>
        </w:tc>
      </w:tr>
      <w:tr>
        <w:trPr>
          <w:trHeight w:val="203"/>
        </w:trPr>
        <w:tc>
          <w:tcPr>
            <w:tcW w:w="5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jc w:val="center"/>
              <w:ind w:right="490"/>
              <w:spacing w:after="0" w:line="202" w:lineRule="exact"/>
              <w:rPr>
                <w:sz w:val="20"/>
                <w:szCs w:val="20"/>
                <w:color w:val="auto"/>
              </w:rPr>
            </w:pPr>
            <w:r>
              <w:rPr>
                <w:rFonts w:ascii="Arial" w:cs="Arial" w:eastAsia="Arial" w:hAnsi="Arial"/>
                <w:sz w:val="18"/>
                <w:szCs w:val="18"/>
                <w:b w:val="1"/>
                <w:bCs w:val="1"/>
                <w:color w:val="auto"/>
                <w:w w:val="99"/>
              </w:rPr>
              <w:t>(AC Immune AG)</w:t>
            </w:r>
          </w:p>
        </w:tc>
        <w:tc>
          <w:tcPr>
            <w:tcW w:w="2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960" w:type="dxa"/>
            <w:vAlign w:val="bottom"/>
            <w:tcBorders>
              <w:right w:val="single" w:sz="8" w:color="auto"/>
            </w:tcBorders>
          </w:tcPr>
          <w:p>
            <w:pPr>
              <w:jc w:val="center"/>
              <w:ind w:right="470"/>
              <w:spacing w:after="0" w:line="202" w:lineRule="exact"/>
              <w:rPr>
                <w:sz w:val="20"/>
                <w:szCs w:val="20"/>
                <w:color w:val="auto"/>
              </w:rPr>
            </w:pPr>
            <w:r>
              <w:rPr>
                <w:rFonts w:ascii="Arial" w:cs="Arial" w:eastAsia="Arial" w:hAnsi="Arial"/>
                <w:sz w:val="18"/>
                <w:szCs w:val="18"/>
                <w:b w:val="1"/>
                <w:bCs w:val="1"/>
                <w:color w:val="auto"/>
                <w:w w:val="99"/>
              </w:rPr>
              <w:t>(AC Immune AG)</w:t>
            </w:r>
          </w:p>
        </w:tc>
      </w:tr>
      <w:tr>
        <w:trPr>
          <w:trHeight w:val="247"/>
        </w:trPr>
        <w:tc>
          <w:tcPr>
            <w:tcW w:w="58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(AC Immune Ltd)</w:t>
            </w:r>
          </w:p>
        </w:tc>
        <w:tc>
          <w:tcPr>
            <w:tcW w:w="22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496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(AC Immune Ltd)</w:t>
            </w:r>
          </w:p>
        </w:tc>
      </w:tr>
      <w:tr>
        <w:trPr>
          <w:trHeight w:val="405"/>
        </w:trPr>
        <w:tc>
          <w:tcPr>
            <w:tcW w:w="580" w:type="dxa"/>
            <w:vAlign w:val="bottom"/>
            <w:tcBorders>
              <w:left w:val="single" w:sz="8" w:color="auto"/>
            </w:tcBorders>
          </w:tcPr>
          <w:p>
            <w:pPr>
              <w:spacing w:after="0"/>
              <w:rPr>
                <w:sz w:val="24"/>
                <w:szCs w:val="24"/>
                <w:color w:val="auto"/>
              </w:rPr>
            </w:pPr>
          </w:p>
        </w:tc>
        <w:tc>
          <w:tcPr>
            <w:tcW w:w="494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with registered office in</w:t>
            </w: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avec siège à</w:t>
            </w:r>
          </w:p>
        </w:tc>
      </w:tr>
      <w:tr>
        <w:trPr>
          <w:trHeight w:val="405"/>
        </w:trPr>
        <w:tc>
          <w:tcPr>
            <w:tcW w:w="580" w:type="dxa"/>
            <w:vAlign w:val="bottom"/>
            <w:tcBorders>
              <w:left w:val="single" w:sz="8" w:color="auto"/>
            </w:tcBorders>
          </w:tcPr>
          <w:p>
            <w:pPr>
              <w:spacing w:after="0"/>
              <w:rPr>
                <w:sz w:val="24"/>
                <w:szCs w:val="24"/>
                <w:color w:val="auto"/>
              </w:rPr>
            </w:pPr>
          </w:p>
        </w:tc>
        <w:tc>
          <w:tcPr>
            <w:tcW w:w="494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Ecublens (VD)</w:t>
            </w: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Ecublens (VD)</w:t>
            </w:r>
          </w:p>
        </w:tc>
      </w:tr>
      <w:tr>
        <w:trPr>
          <w:trHeight w:val="397"/>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rPr>
              <w:t>La version française de ces statuts fait foi.</w:t>
            </w:r>
          </w:p>
        </w:tc>
      </w:tr>
      <w:tr>
        <w:trPr>
          <w:trHeight w:val="266"/>
        </w:trPr>
        <w:tc>
          <w:tcPr>
            <w:tcW w:w="580" w:type="dxa"/>
            <w:vAlign w:val="bottom"/>
            <w:tcBorders>
              <w:left w:val="single" w:sz="8" w:color="auto"/>
              <w:bottom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960" w:type="dxa"/>
            <w:vAlign w:val="bottom"/>
            <w:tcBorders>
              <w:bottom w:val="single" w:sz="8" w:color="auto"/>
              <w:right w:val="single" w:sz="8" w:color="auto"/>
            </w:tcBorders>
          </w:tcPr>
          <w:p>
            <w:pPr>
              <w:spacing w:after="0"/>
              <w:rPr>
                <w:sz w:val="23"/>
                <w:szCs w:val="23"/>
                <w:color w:val="auto"/>
              </w:rPr>
            </w:pPr>
          </w:p>
        </w:tc>
      </w:tr>
      <w:tr>
        <w:trPr>
          <w:trHeight w:val="258"/>
        </w:trPr>
        <w:tc>
          <w:tcPr>
            <w:tcW w:w="5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w:t>
            </w:r>
          </w:p>
        </w:tc>
        <w:tc>
          <w:tcPr>
            <w:tcW w:w="49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CORPORATE NAME, PRINCIPAL OFFICE, DURATION</w:t>
            </w:r>
          </w:p>
        </w:tc>
        <w:tc>
          <w:tcPr>
            <w:tcW w:w="220" w:type="dxa"/>
            <w:vAlign w:val="bottom"/>
            <w:tcBorders>
              <w:right w:val="single" w:sz="8" w:color="auto"/>
            </w:tcBorders>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I.</w:t>
            </w:r>
          </w:p>
        </w:tc>
        <w:tc>
          <w:tcPr>
            <w:tcW w:w="496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9"/>
              </w:rPr>
              <w:t>RAISON SOCIALE, SIÈGE, DURÉE ET BUT DE LA</w:t>
            </w:r>
          </w:p>
        </w:tc>
      </w:tr>
      <w:tr>
        <w:trPr>
          <w:trHeight w:val="247"/>
        </w:trPr>
        <w:tc>
          <w:tcPr>
            <w:tcW w:w="58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AND PURPOSE OF THE COMPANY</w:t>
            </w:r>
          </w:p>
        </w:tc>
        <w:tc>
          <w:tcPr>
            <w:tcW w:w="22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SOCIÉTÉ</w:t>
            </w:r>
          </w:p>
        </w:tc>
      </w:tr>
      <w:tr>
        <w:trPr>
          <w:trHeight w:val="258"/>
        </w:trPr>
        <w:tc>
          <w:tcPr>
            <w:tcW w:w="552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500" w:type="dxa"/>
            <w:vAlign w:val="bottom"/>
            <w:tcBorders>
              <w:bottom w:val="single" w:sz="8" w:color="auto"/>
              <w:right w:val="single" w:sz="8" w:color="auto"/>
            </w:tcBorders>
            <w:gridSpan w:val="2"/>
          </w:tcPr>
          <w:p>
            <w:pPr>
              <w:spacing w:after="0"/>
              <w:rPr>
                <w:sz w:val="22"/>
                <w:szCs w:val="22"/>
                <w:color w:val="auto"/>
              </w:rPr>
            </w:pPr>
          </w:p>
        </w:tc>
      </w:tr>
      <w:tr>
        <w:trPr>
          <w:trHeight w:val="303"/>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1  Corporate Name and Duration</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1  Raison sociale et durée</w:t>
            </w:r>
          </w:p>
        </w:tc>
      </w:tr>
      <w:tr>
        <w:trPr>
          <w:trHeight w:val="397"/>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Sous la raison sociale</w:t>
            </w:r>
          </w:p>
        </w:tc>
      </w:tr>
      <w:tr>
        <w:trPr>
          <w:trHeight w:val="369"/>
        </w:trPr>
        <w:tc>
          <w:tcPr>
            <w:tcW w:w="580" w:type="dxa"/>
            <w:vAlign w:val="bottom"/>
            <w:tcBorders>
              <w:left w:val="single" w:sz="8" w:color="auto"/>
            </w:tcBorders>
          </w:tcPr>
          <w:p>
            <w:pPr>
              <w:spacing w:after="0"/>
              <w:rPr>
                <w:sz w:val="24"/>
                <w:szCs w:val="24"/>
                <w:color w:val="auto"/>
              </w:rPr>
            </w:pPr>
          </w:p>
        </w:tc>
        <w:tc>
          <w:tcPr>
            <w:tcW w:w="49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w w:val="99"/>
              </w:rPr>
              <w:t>AC Immune SA</w:t>
            </w: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9"/>
              </w:rPr>
              <w:t>AC Immune SA</w:t>
            </w:r>
          </w:p>
        </w:tc>
      </w:tr>
      <w:tr>
        <w:trPr>
          <w:trHeight w:val="203"/>
        </w:trPr>
        <w:tc>
          <w:tcPr>
            <w:tcW w:w="580" w:type="dxa"/>
            <w:vAlign w:val="bottom"/>
            <w:tcBorders>
              <w:left w:val="single" w:sz="8" w:color="auto"/>
            </w:tcBorders>
          </w:tcPr>
          <w:p>
            <w:pPr>
              <w:spacing w:after="0"/>
              <w:rPr>
                <w:sz w:val="17"/>
                <w:szCs w:val="17"/>
                <w:color w:val="auto"/>
              </w:rPr>
            </w:pPr>
          </w:p>
        </w:tc>
        <w:tc>
          <w:tcPr>
            <w:tcW w:w="4940" w:type="dxa"/>
            <w:vAlign w:val="bottom"/>
            <w:tcBorders>
              <w:right w:val="single" w:sz="8" w:color="auto"/>
            </w:tcBorders>
          </w:tcPr>
          <w:p>
            <w:pPr>
              <w:jc w:val="center"/>
              <w:ind w:right="470"/>
              <w:spacing w:after="0" w:line="202" w:lineRule="exact"/>
              <w:rPr>
                <w:sz w:val="20"/>
                <w:szCs w:val="20"/>
                <w:color w:val="auto"/>
              </w:rPr>
            </w:pPr>
            <w:r>
              <w:rPr>
                <w:rFonts w:ascii="Arial" w:cs="Arial" w:eastAsia="Arial" w:hAnsi="Arial"/>
                <w:sz w:val="18"/>
                <w:szCs w:val="18"/>
                <w:color w:val="auto"/>
                <w:w w:val="99"/>
              </w:rPr>
              <w:t>(AC Immune AG)</w:t>
            </w:r>
          </w:p>
        </w:tc>
        <w:tc>
          <w:tcPr>
            <w:tcW w:w="2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960" w:type="dxa"/>
            <w:vAlign w:val="bottom"/>
            <w:tcBorders>
              <w:right w:val="single" w:sz="8" w:color="auto"/>
            </w:tcBorders>
          </w:tcPr>
          <w:p>
            <w:pPr>
              <w:jc w:val="center"/>
              <w:ind w:right="490"/>
              <w:spacing w:after="0" w:line="202" w:lineRule="exact"/>
              <w:rPr>
                <w:sz w:val="20"/>
                <w:szCs w:val="20"/>
                <w:color w:val="auto"/>
              </w:rPr>
            </w:pPr>
            <w:r>
              <w:rPr>
                <w:rFonts w:ascii="Arial" w:cs="Arial" w:eastAsia="Arial" w:hAnsi="Arial"/>
                <w:sz w:val="18"/>
                <w:szCs w:val="18"/>
                <w:color w:val="auto"/>
                <w:w w:val="99"/>
              </w:rPr>
              <w:t>(AC Immune AG)</w:t>
            </w:r>
          </w:p>
        </w:tc>
      </w:tr>
      <w:tr>
        <w:trPr>
          <w:trHeight w:val="239"/>
        </w:trPr>
        <w:tc>
          <w:tcPr>
            <w:tcW w:w="580" w:type="dxa"/>
            <w:vAlign w:val="bottom"/>
            <w:tcBorders>
              <w:left w:val="single" w:sz="8" w:color="auto"/>
            </w:tcBorders>
          </w:tcPr>
          <w:p>
            <w:pPr>
              <w:spacing w:after="0"/>
              <w:rPr>
                <w:sz w:val="20"/>
                <w:szCs w:val="20"/>
                <w:color w:val="auto"/>
              </w:rPr>
            </w:pPr>
          </w:p>
        </w:tc>
        <w:tc>
          <w:tcPr>
            <w:tcW w:w="494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w w:val="99"/>
              </w:rPr>
              <w:t>(AC Immune Ltd)</w:t>
            </w:r>
          </w:p>
        </w:tc>
        <w:tc>
          <w:tcPr>
            <w:tcW w:w="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9"/>
              </w:rPr>
              <w:t>(AC Immune Ltd)</w:t>
            </w:r>
          </w:p>
        </w:tc>
      </w:tr>
      <w:tr>
        <w:trPr>
          <w:trHeight w:val="36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there exists a company pursuant to the provisions of Articles 620 </w:t>
            </w:r>
            <w:r>
              <w:rPr>
                <w:rFonts w:ascii="Arial" w:cs="Arial" w:eastAsia="Arial" w:hAnsi="Arial"/>
                <w:sz w:val="18"/>
                <w:szCs w:val="18"/>
                <w:i w:val="1"/>
                <w:iCs w:val="1"/>
                <w:color w:val="auto"/>
              </w:rPr>
              <w:t>et</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il existe une société conformément aux articles 620 ss. du Code des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i w:val="1"/>
                <w:iCs w:val="1"/>
                <w:color w:val="auto"/>
              </w:rPr>
              <w:t xml:space="preserve">seq. </w:t>
            </w:r>
            <w:r>
              <w:rPr>
                <w:rFonts w:ascii="Arial" w:cs="Arial" w:eastAsia="Arial" w:hAnsi="Arial"/>
                <w:sz w:val="18"/>
                <w:szCs w:val="18"/>
                <w:color w:val="auto"/>
              </w:rPr>
              <w:t>of the Swiss Code of Obligations (CO) with registered office in</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Obligations suisse (CO) ayant son siège à Ecublens (VD). La durée</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Ecublens (VD). The duration of the Company is unlimited.</w:t>
            </w:r>
          </w:p>
        </w:tc>
        <w:tc>
          <w:tcPr>
            <w:tcW w:w="2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 la société est illimitée.</w:t>
            </w:r>
          </w:p>
        </w:tc>
      </w:tr>
      <w:tr>
        <w:trPr>
          <w:trHeight w:val="63"/>
        </w:trPr>
        <w:tc>
          <w:tcPr>
            <w:tcW w:w="580" w:type="dxa"/>
            <w:vAlign w:val="bottom"/>
            <w:tcBorders>
              <w:left w:val="single" w:sz="8" w:color="auto"/>
              <w:bottom w:val="single" w:sz="8" w:color="auto"/>
            </w:tcBorders>
          </w:tcPr>
          <w:p>
            <w:pPr>
              <w:spacing w:after="0"/>
              <w:rPr>
                <w:sz w:val="5"/>
                <w:szCs w:val="5"/>
                <w:color w:val="auto"/>
              </w:rPr>
            </w:pPr>
          </w:p>
        </w:tc>
        <w:tc>
          <w:tcPr>
            <w:tcW w:w="49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r>
      <w:tr>
        <w:trPr>
          <w:trHeight w:val="303"/>
        </w:trPr>
        <w:tc>
          <w:tcPr>
            <w:tcW w:w="5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2</w:t>
            </w:r>
          </w:p>
        </w:tc>
        <w:tc>
          <w:tcPr>
            <w:tcW w:w="49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Purpose</w:t>
            </w: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Art. 2</w:t>
            </w:r>
          </w:p>
        </w:tc>
        <w:tc>
          <w:tcPr>
            <w:tcW w:w="4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But</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purpose of the Company is the research, study, development,</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but  de  la  société  est  la  recherche,  les  études,  le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manufacture,  promotion,  sale  and  marketing  of  products  and</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développement, la fabrication, la promotion, la vente et le marketing</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substances within the pharmaceutical and nutrition industry as well</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des  produits  et  des  substances  au  sein  de  l'industrie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as the purchase, sale and exploitation of patents and licenses in this</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pharmaceutique et de la nutrition ainsi que l'achat, la vente et</w:t>
            </w:r>
          </w:p>
        </w:tc>
      </w:tr>
      <w:tr>
        <w:trPr>
          <w:trHeight w:val="239"/>
        </w:trPr>
        <w:tc>
          <w:tcPr>
            <w:tcW w:w="5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field.</w:t>
            </w:r>
          </w:p>
        </w:tc>
        <w:tc>
          <w:tcPr>
            <w:tcW w:w="49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l'exploitation de brevets et de licences dans ce domaine.</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50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Company may engage in any activities which are apt to favor</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La société peut se livrer à des activités qui sont de nature à</w:t>
            </w:r>
          </w:p>
        </w:tc>
      </w:tr>
      <w:tr>
        <w:trPr>
          <w:trHeight w:val="202"/>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w w:val="99"/>
              </w:rPr>
              <w:t>the purpose of the Company directly or indirectly. The Company may</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favoriser directement ou indirectement le but de la société. La</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also acquire and sell real estate.</w:t>
            </w:r>
          </w:p>
        </w:tc>
        <w:tc>
          <w:tcPr>
            <w:tcW w:w="2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société peut également acquérir et vendre des biens immobiliers.</w:t>
            </w:r>
          </w:p>
        </w:tc>
      </w:tr>
      <w:tr>
        <w:trPr>
          <w:trHeight w:val="64"/>
        </w:trPr>
        <w:tc>
          <w:tcPr>
            <w:tcW w:w="580" w:type="dxa"/>
            <w:vAlign w:val="bottom"/>
            <w:tcBorders>
              <w:left w:val="single" w:sz="8" w:color="auto"/>
              <w:bottom w:val="single" w:sz="8" w:color="auto"/>
            </w:tcBorders>
          </w:tcPr>
          <w:p>
            <w:pPr>
              <w:spacing w:after="0"/>
              <w:rPr>
                <w:sz w:val="5"/>
                <w:szCs w:val="5"/>
                <w:color w:val="auto"/>
              </w:rPr>
            </w:pPr>
          </w:p>
        </w:tc>
        <w:tc>
          <w:tcPr>
            <w:tcW w:w="49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r>
      <w:tr>
        <w:trPr>
          <w:trHeight w:val="709"/>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91"/>
        </w:trPr>
        <w:tc>
          <w:tcPr>
            <w:tcW w:w="5520" w:type="dxa"/>
            <w:vAlign w:val="bottom"/>
            <w:tcBorders>
              <w:bottom w:val="single" w:sz="8" w:color="auto"/>
            </w:tcBorders>
            <w:gridSpan w:val="2"/>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500" w:type="dxa"/>
            <w:vAlign w:val="bottom"/>
            <w:tcBorders>
              <w:bottom w:val="single" w:sz="8" w:color="auto"/>
            </w:tcBorders>
            <w:gridSpan w:val="2"/>
          </w:tcPr>
          <w:p>
            <w:pPr>
              <w:spacing w:after="0"/>
              <w:rPr>
                <w:sz w:val="7"/>
                <w:szCs w:val="7"/>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The Company may open branch offices in Switzerland and abroad</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La société peut ouvrir des succursales en Suisse et à l'étranger et</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and may also acquire participations in other companies.</w:t>
            </w:r>
          </w:p>
        </w:tc>
        <w:tc>
          <w:tcPr>
            <w:tcW w:w="2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peut également acquérir des participations dans d'autres sociétés.</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50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w w:val="99"/>
                <w:vertAlign w:val="superscript"/>
              </w:rPr>
              <w:t>4</w:t>
            </w:r>
            <w:r>
              <w:rPr>
                <w:rFonts w:ascii="Arial" w:cs="Arial" w:eastAsia="Arial" w:hAnsi="Arial"/>
                <w:sz w:val="18"/>
                <w:szCs w:val="18"/>
                <w:color w:val="auto"/>
                <w:w w:val="99"/>
              </w:rPr>
              <w:t xml:space="preserve"> The Company may provide securities to its subsidiaries and supply</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La société peut fournir des titres à ses filiales et des garanties</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guarantees.</w:t>
            </w:r>
          </w:p>
        </w:tc>
        <w:tc>
          <w:tcPr>
            <w:tcW w:w="2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d'approvisionnement.</w:t>
            </w:r>
          </w:p>
        </w:tc>
      </w:tr>
      <w:tr>
        <w:trPr>
          <w:trHeight w:val="63"/>
        </w:trPr>
        <w:tc>
          <w:tcPr>
            <w:tcW w:w="420" w:type="dxa"/>
            <w:vAlign w:val="bottom"/>
            <w:tcBorders>
              <w:left w:val="single" w:sz="8" w:color="auto"/>
              <w:bottom w:val="single" w:sz="8" w:color="auto"/>
            </w:tcBorders>
          </w:tcPr>
          <w:p>
            <w:pPr>
              <w:spacing w:after="0"/>
              <w:rPr>
                <w:sz w:val="5"/>
                <w:szCs w:val="5"/>
                <w:color w:val="auto"/>
              </w:rPr>
            </w:pPr>
          </w:p>
        </w:tc>
        <w:tc>
          <w:tcPr>
            <w:tcW w:w="510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r>
      <w:tr>
        <w:trPr>
          <w:trHeight w:val="303"/>
        </w:trPr>
        <w:tc>
          <w:tcPr>
            <w:tcW w:w="4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II.</w:t>
            </w:r>
          </w:p>
        </w:tc>
        <w:tc>
          <w:tcPr>
            <w:tcW w:w="510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SHARE CAPITAL AND SHARES</w:t>
            </w:r>
          </w:p>
        </w:tc>
        <w:tc>
          <w:tcPr>
            <w:tcW w:w="220" w:type="dxa"/>
            <w:vAlign w:val="bottom"/>
            <w:tcBorders>
              <w:right w:val="single" w:sz="8" w:color="auto"/>
            </w:tcBorders>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II.</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CAPITAL-ACTIONS ET ACTIONS</w:t>
            </w:r>
          </w:p>
        </w:tc>
      </w:tr>
      <w:tr>
        <w:trPr>
          <w:trHeight w:val="56"/>
        </w:trPr>
        <w:tc>
          <w:tcPr>
            <w:tcW w:w="552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500" w:type="dxa"/>
            <w:vAlign w:val="bottom"/>
            <w:tcBorders>
              <w:bottom w:val="single" w:sz="8" w:color="auto"/>
              <w:right w:val="single" w:sz="8" w:color="auto"/>
            </w:tcBorders>
            <w:gridSpan w:val="2"/>
          </w:tcPr>
          <w:p>
            <w:pPr>
              <w:spacing w:after="0"/>
              <w:rPr>
                <w:sz w:val="4"/>
                <w:szCs w:val="4"/>
                <w:color w:val="auto"/>
              </w:rPr>
            </w:pPr>
          </w:p>
        </w:tc>
      </w:tr>
      <w:tr>
        <w:trPr>
          <w:trHeight w:val="302"/>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3  Share Capital and Shares</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  Capital-actions et actions</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Share Capital of the Company is CHF 2'196'858.10. It is</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w w:val="98"/>
                <w:vertAlign w:val="superscript"/>
              </w:rPr>
              <w:t>1</w:t>
            </w:r>
            <w:r>
              <w:rPr>
                <w:rFonts w:ascii="Arial" w:cs="Arial" w:eastAsia="Arial" w:hAnsi="Arial"/>
                <w:sz w:val="18"/>
                <w:szCs w:val="18"/>
                <w:color w:val="auto"/>
                <w:w w:val="98"/>
              </w:rPr>
              <w:t xml:space="preserve"> Le capital-actions de la société se monte à CHF 2'196'858.10. Il est</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divided into 109'842'905 registered shares with a nominal value of</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divisé en 109'842'905 actions nominatives d'une valeur nominale de</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CHF 0.02 each, fully paid-in.</w:t>
            </w:r>
          </w:p>
        </w:tc>
        <w:tc>
          <w:tcPr>
            <w:tcW w:w="2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CHF 0.02 chacune, entièrement libérées.</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50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According to the contribution in kind agreement dated October</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Selon contrat d’apport du 12 octobre 2021, la société acquiert de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12th, 2021, the Company acquires from Affiris AG (FN 240538), a</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Affiris AG (FN 240538), société de droit autrichien ayant son siège à</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company incorporated under Austrian law with its registered office in</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Vienne (Autriche) les droits liés à des brevets, dépôts de brevets,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Vienna (Austria), the rights related to patents, patent applications,</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marques et savoir-faire. Cet apport est fait et accepté pour le prix de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trademarks and know-how. This contribution is made and accepted</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USD 53'702'500.--, et payé par la remise à l'apporteur d’un total de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for the price of USD 53,702,500.--, and paid by the delivery to the</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6'501'513 actions nominatives de la société d'une valeur nominale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contributor of a total of 6,501,513 fully paid up registered shares of</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 CHF 0.02 chacune, entièrement libérées.</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Company with a nominal value of CHF 0.02 each.</w:t>
            </w:r>
          </w:p>
        </w:tc>
        <w:tc>
          <w:tcPr>
            <w:tcW w:w="2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880" w:type="dxa"/>
            <w:vAlign w:val="bottom"/>
            <w:tcBorders>
              <w:right w:val="single" w:sz="8" w:color="auto"/>
            </w:tcBorders>
          </w:tcPr>
          <w:p>
            <w:pPr>
              <w:spacing w:after="0"/>
              <w:rPr>
                <w:sz w:val="20"/>
                <w:szCs w:val="20"/>
                <w:color w:val="auto"/>
              </w:rPr>
            </w:pP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500" w:type="dxa"/>
            <w:vAlign w:val="bottom"/>
            <w:tcBorders>
              <w:bottom w:val="single" w:sz="8" w:color="auto"/>
              <w:right w:val="single" w:sz="8" w:color="auto"/>
            </w:tcBorders>
            <w:gridSpan w:val="2"/>
          </w:tcPr>
          <w:p>
            <w:pPr>
              <w:spacing w:after="0"/>
              <w:rPr>
                <w:sz w:val="5"/>
                <w:szCs w:val="5"/>
                <w:color w:val="auto"/>
              </w:rPr>
            </w:pPr>
          </w:p>
        </w:tc>
      </w:tr>
      <w:tr>
        <w:trPr>
          <w:trHeight w:val="258"/>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22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3a Augmentation autorisée du</w:t>
            </w:r>
          </w:p>
        </w:tc>
      </w:tr>
      <w:tr>
        <w:trPr>
          <w:trHeight w:val="247"/>
        </w:trPr>
        <w:tc>
          <w:tcPr>
            <w:tcW w:w="420" w:type="dxa"/>
            <w:vAlign w:val="bottom"/>
            <w:tcBorders>
              <w:lef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capital-actions</w:t>
            </w:r>
          </w:p>
        </w:tc>
      </w:tr>
      <w:tr>
        <w:trPr>
          <w:trHeight w:val="56"/>
        </w:trPr>
        <w:tc>
          <w:tcPr>
            <w:tcW w:w="552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500" w:type="dxa"/>
            <w:vAlign w:val="bottom"/>
            <w:tcBorders>
              <w:bottom w:val="single" w:sz="8" w:color="auto"/>
              <w:right w:val="single" w:sz="8" w:color="auto"/>
            </w:tcBorders>
            <w:gridSpan w:val="2"/>
          </w:tcPr>
          <w:p>
            <w:pPr>
              <w:spacing w:after="0"/>
              <w:rPr>
                <w:sz w:val="4"/>
                <w:szCs w:val="4"/>
                <w:color w:val="auto"/>
              </w:rPr>
            </w:pPr>
          </w:p>
        </w:tc>
      </w:tr>
      <w:tr>
        <w:trPr>
          <w:trHeight w:val="295"/>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(abrogé)</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(abrogé)</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r>
      <w:tr>
        <w:trPr>
          <w:trHeight w:val="258"/>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3b Conditional capital for financing and other purposes</w:t>
            </w:r>
          </w:p>
        </w:tc>
        <w:tc>
          <w:tcPr>
            <w:tcW w:w="220" w:type="dxa"/>
            <w:vAlign w:val="bottom"/>
            <w:tcBorders>
              <w:right w:val="single" w:sz="8" w:color="auto"/>
            </w:tcBorders>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Art. 3b</w:t>
            </w:r>
          </w:p>
        </w:tc>
        <w:tc>
          <w:tcPr>
            <w:tcW w:w="48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Capital conditionnel pour des financements et autres</w:t>
            </w:r>
          </w:p>
        </w:tc>
      </w:tr>
      <w:tr>
        <w:trPr>
          <w:trHeight w:val="247"/>
        </w:trPr>
        <w:tc>
          <w:tcPr>
            <w:tcW w:w="420" w:type="dxa"/>
            <w:vAlign w:val="bottom"/>
            <w:tcBorders>
              <w:lef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objets</w:t>
            </w:r>
          </w:p>
        </w:tc>
      </w:tr>
      <w:tr>
        <w:trPr>
          <w:trHeight w:val="56"/>
        </w:trPr>
        <w:tc>
          <w:tcPr>
            <w:tcW w:w="552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500" w:type="dxa"/>
            <w:vAlign w:val="bottom"/>
            <w:tcBorders>
              <w:bottom w:val="single" w:sz="8" w:color="auto"/>
              <w:right w:val="single" w:sz="8" w:color="auto"/>
            </w:tcBorders>
            <w:gridSpan w:val="2"/>
          </w:tcPr>
          <w:p>
            <w:pPr>
              <w:spacing w:after="0"/>
              <w:rPr>
                <w:sz w:val="4"/>
                <w:szCs w:val="4"/>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share capital of the Company shall be increased by a</w:t>
            </w:r>
          </w:p>
        </w:tc>
        <w:tc>
          <w:tcPr>
            <w:tcW w:w="22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capital-actions de la société peut être augmenté d'un montant</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maximum amount of CHF 100,000 through the issue of a maximum</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maximum  de  CHF  100’000  par  l'émission  d'un  maximum  de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of 5,000,000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5’000’000 d’actions nominatives, d'une valeur nominale de CHF 0.02</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value of CHF 0.02 through the optional or mandatory exercise of</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chacune,  à  libérer  entièrement,  suite  à  l'exercice  optionnel  ou</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conversion, exchange, option, warrant or similar rights or obligations</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obligatoire de droits de conversion, d’échange, d'option, d’acquisition</w:t>
            </w:r>
          </w:p>
        </w:tc>
      </w:tr>
      <w:tr>
        <w:trPr>
          <w:trHeight w:val="202"/>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w w:val="99"/>
              </w:rPr>
              <w:t>for the subscription of shares granted to shareholders or third parties</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 warrants ») ou de droits ou obligations similaires portant sur la</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on a standalone basis or in connection with bonds, notes, options,</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souscription d’actions, accordés aux actionnaires ou à des tiers sur</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warrants  or  other  securities  or  contractual  obligations  of  the</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une  base  individuelle  ou  en  relation  avec  des  obligations,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Company or any subsidiaries of the Company, including convertible</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reconnaissances de dette (« notes »), options, droits d’acquisition («</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debt instruments, as may be amended or novated from time to time.</w:t>
            </w: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warrants ») ou autres titres ou obligations contractuelles de la</w:t>
            </w:r>
          </w:p>
        </w:tc>
      </w:tr>
      <w:tr>
        <w:trPr>
          <w:trHeight w:val="203"/>
        </w:trPr>
        <w:tc>
          <w:tcPr>
            <w:tcW w:w="420" w:type="dxa"/>
            <w:vAlign w:val="bottom"/>
            <w:tcBorders>
              <w:left w:val="single" w:sz="8" w:color="auto"/>
            </w:tcBorders>
          </w:tcPr>
          <w:p>
            <w:pPr>
              <w:spacing w:after="0"/>
              <w:rPr>
                <w:sz w:val="17"/>
                <w:szCs w:val="17"/>
                <w:color w:val="auto"/>
              </w:rPr>
            </w:pPr>
          </w:p>
        </w:tc>
        <w:tc>
          <w:tcPr>
            <w:tcW w:w="51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0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société ou de filiales de la société, y compris les instruments</w:t>
            </w:r>
          </w:p>
        </w:tc>
      </w:tr>
      <w:tr>
        <w:trPr>
          <w:trHeight w:val="239"/>
        </w:trPr>
        <w:tc>
          <w:tcPr>
            <w:tcW w:w="420" w:type="dxa"/>
            <w:vAlign w:val="bottom"/>
            <w:tcBorders>
              <w:left w:val="single" w:sz="8" w:color="auto"/>
            </w:tcBorders>
          </w:tcPr>
          <w:p>
            <w:pPr>
              <w:spacing w:after="0"/>
              <w:rPr>
                <w:sz w:val="20"/>
                <w:szCs w:val="20"/>
                <w:color w:val="auto"/>
              </w:rPr>
            </w:pPr>
          </w:p>
        </w:tc>
        <w:tc>
          <w:tcPr>
            <w:tcW w:w="51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d'emprunt convertible, tels que modifiés ou novés ultérieurement.</w:t>
            </w:r>
          </w:p>
        </w:tc>
      </w:tr>
      <w:tr>
        <w:trPr>
          <w:trHeight w:val="63"/>
        </w:trPr>
        <w:tc>
          <w:tcPr>
            <w:tcW w:w="420" w:type="dxa"/>
            <w:vAlign w:val="bottom"/>
            <w:tcBorders>
              <w:left w:val="single" w:sz="8" w:color="auto"/>
              <w:bottom w:val="single" w:sz="8" w:color="auto"/>
            </w:tcBorders>
          </w:tcPr>
          <w:p>
            <w:pPr>
              <w:spacing w:after="0"/>
              <w:rPr>
                <w:sz w:val="5"/>
                <w:szCs w:val="5"/>
                <w:color w:val="auto"/>
              </w:rPr>
            </w:pPr>
          </w:p>
        </w:tc>
        <w:tc>
          <w:tcPr>
            <w:tcW w:w="510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r>
      <w:tr>
        <w:trPr>
          <w:trHeight w:val="709"/>
        </w:trPr>
        <w:tc>
          <w:tcPr>
            <w:tcW w:w="4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90"/>
        </w:trPr>
        <w:tc>
          <w:tcPr>
            <w:tcW w:w="5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Shareholders'  subscription  rights  are  excluded.  Shareholders'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w w:val="99"/>
                <w:vertAlign w:val="superscript"/>
              </w:rPr>
              <w:t>2</w:t>
            </w:r>
            <w:r>
              <w:rPr>
                <w:rFonts w:ascii="Arial" w:cs="Arial" w:eastAsia="Arial" w:hAnsi="Arial"/>
                <w:sz w:val="18"/>
                <w:szCs w:val="18"/>
                <w:color w:val="auto"/>
                <w:w w:val="99"/>
              </w:rPr>
              <w:t xml:space="preserve"> Le droit de souscription préférentiel des actionnaires est exclu. Les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advance subscription rights with regard to the new bonds, warrants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droits de souscription préférentiels préalables des actionnaires à</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 similar instruments may be restricted or excluded by decision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l'égard des nouvelles obligations, nouveaux droits d’acquisition («</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Board  of  Directors  in  order  to  finance  or  re-finance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warrants ») ou instruments similaires peuvent être limités ou exclus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acquisition of companies, parts of companies or holdings, or new</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par décision du conseil d'administration afin de financer ou de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investments  planned  by  the  Company,  or  in  order  to  issue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refinancer  l'acquisition  d'entreprises,  parts  d'entreprises  ou  de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convertible bonds and warrants on the international capital markets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holdings, ou de nouveaux investissements prévus par la société, ou</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 through private placement. If advance subscription rights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en  vue  d'émettre  des  obligations  convertibles  et  des  droits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excluded, then (1) the instruments are to be placed at market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d’acquisition  («  warrants  »)  sur  les  marchés  internationaux  de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conditions, (2) the exercise period is not to exceed ten years from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capitaux ou par placement privé. Si les droits de souscription</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date of issue for warrants and twenty years for conversion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préférentiels préalables sont exclus, (1) les instruments doivent être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 (3) the conversion or exercise price for the new shares is to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attribués aux conditions du marché, (2) la période d'exercice ne doit</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set at least in line with the market conditions prevailing at the date 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pas dépasser dix ans à partir de la date d'émission des droits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which  the  instruments  are  issued.  The  respective  holders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d’acquisitions  («  warrants  »)  et  vingt  ans  pour  les  droits  de</w:t>
            </w:r>
          </w:p>
        </w:tc>
      </w:tr>
      <w:tr>
        <w:trPr>
          <w:trHeight w:val="202"/>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conversion and/or option or warrant rights are entitled to subscribe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conversion et (3) le prix de conversion ou d'exercice des actions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new shares.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nouvelles doit être fixé au moins aux conditions du marché prévalant</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à la date à laquelle les instruments sont émis. Les détenteurs</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respectifs  de  droits  de  conversion  et/ou  option  ou  de  droits</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d’acquisition (« warrants ») ont le droit de souscrire les nouvelles</w:t>
            </w: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actions.</w:t>
            </w: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The exercise of conversion or option rights, as well as the waiver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L’exercice des droits de conversion ou d’options, de même que la</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such rights, may be exercised by written declaration or by electronic</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renonciation à ces droits, s’exercent par déclaration écrite ou par</w:t>
            </w: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means.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voie électronique.</w:t>
            </w: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The acquisition of registered shares through the exercise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L'acquisition d'actions nominatives par l'exercice de droits ou de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conversion rights or warrants and any transfers of registered shares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bons de conversion et les transferts d'actions nominatives sont</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shall be subject to the restrictions specified in Article 4 of the Articles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assujetties aux restrictions prévues par l'article 4 des statuts.</w:t>
            </w: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 Association.</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90"/>
        </w:trPr>
        <w:tc>
          <w:tcPr>
            <w:tcW w:w="5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58"/>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3c Conditional Share Capital Increase for Employee Benefit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3c Augmentation conditionnelle du capital-actions pour les</w:t>
            </w:r>
          </w:p>
        </w:tc>
      </w:tr>
      <w:tr>
        <w:trPr>
          <w:trHeight w:val="247"/>
        </w:trPr>
        <w:tc>
          <w:tcPr>
            <w:tcW w:w="554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Plans</w:t>
            </w:r>
          </w:p>
        </w:tc>
        <w:tc>
          <w:tcPr>
            <w:tcW w:w="220" w:type="dxa"/>
            <w:vAlign w:val="bottom"/>
            <w:tcBorders>
              <w:right w:val="single" w:sz="8" w:color="auto"/>
            </w:tcBorders>
          </w:tcPr>
          <w:p>
            <w:pPr>
              <w:spacing w:after="0"/>
              <w:rPr>
                <w:sz w:val="21"/>
                <w:szCs w:val="21"/>
                <w:color w:val="auto"/>
              </w:rPr>
            </w:pPr>
          </w:p>
        </w:tc>
        <w:tc>
          <w:tcPr>
            <w:tcW w:w="5480" w:type="dxa"/>
            <w:vAlign w:val="bottom"/>
            <w:tcBorders>
              <w:right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plans d'avantages sociaux</w:t>
            </w:r>
          </w:p>
        </w:tc>
      </w:tr>
      <w:tr>
        <w:trPr>
          <w:trHeight w:val="56"/>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1</w:t>
            </w:r>
            <w:r>
              <w:rPr>
                <w:rFonts w:ascii="Arial" w:cs="Arial" w:eastAsia="Arial" w:hAnsi="Arial"/>
                <w:sz w:val="18"/>
                <w:szCs w:val="18"/>
                <w:color w:val="auto"/>
                <w:w w:val="99"/>
              </w:rPr>
              <w:t xml:space="preserve"> The share capital of the Company shall be increased by an amount</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capital social de la société sera augmenté d'un montant ne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not exceeding CHF 91'844.20 through the issue of a maximum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dépassant pas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4'592'210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CHF 91'844.20 par l'émission d'un maximum de 4'592'210 actions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value of CHF 0.02, in connection with the exercise of option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nominatives,  entièrement  libérées,  chacune  avec  une  valeur</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granted to any employee of the Company or a subsidiary, and 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nominale de CHF 0.02, dans le cadre de l'exercice de droits d'option</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consultant, members of the Board of Directors, or other person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accordés à tout employé de la Société ou d'une succursale, et à tout</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providing services to the Company or a subsidiary.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consultant, aux membres du conseil d'administration, ou à d'autres</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personnes fournissant des services en faveur de la Société ou d'une</w:t>
            </w: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filiale.</w:t>
            </w: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Shareholders' subscription rights shall be excluded with regard to</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 droit de souscription préférentiel des actionnaires est exclu à</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these shares. These new registered shares may be issued at a price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l'égard de ces actions. Ces nouvelles actions nominatives peuvent</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below the current market price. The Board of Directors shall specify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être émises à un prix inférieur au prix du marché actuel. Le conseil</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precise conditions of issue including the issue price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doit préciser les conditions précises d'émission, y</w:t>
            </w: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compris le prix d'émission des actions.</w:t>
            </w: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The acquisition of registered shares in connection with employee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w w:val="98"/>
                <w:vertAlign w:val="superscript"/>
              </w:rPr>
              <w:t>3</w:t>
            </w:r>
            <w:r>
              <w:rPr>
                <w:rFonts w:ascii="Arial" w:cs="Arial" w:eastAsia="Arial" w:hAnsi="Arial"/>
                <w:sz w:val="18"/>
                <w:szCs w:val="18"/>
                <w:color w:val="auto"/>
                <w:w w:val="98"/>
              </w:rPr>
              <w:t xml:space="preserve"> L'acquisition d'actions nominatives dans le cadre de la participation</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participation and any further transfers of registered shares shall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des  employés  et  d'autres  transferts  d'actions  nominatives  sont</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subject to the restrictions specified in Article 4 of the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soumis aux restrictions prévues à l'article 4 des statuts.</w:t>
            </w: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4  Share Register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4  Registre des actions</w:t>
            </w:r>
          </w:p>
        </w:tc>
      </w:tr>
      <w:tr>
        <w:trPr>
          <w:trHeight w:val="401"/>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Company shall maintain a share register in which it shall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 société tient un registre des actions nominatives, dans lequel</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register the name, first name and place of residence (in case of legal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sont inscrits le nom, le prénom et l'adresse (dans le cas d'une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persons the place of incorporation) of the owners and usufructuaries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personne morale, le siège) des propriétaires et des usufruitiers des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its registered shares. Natural and legal persons as well as legal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actions.  Les  personnes  physiques  et  morales  ainsi  que  les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representatives of minors etc. entitled by law to the voting rights of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représentants légaux des mineurs etc. autorisés par la loi à voter</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 which they do not own will be noted in the share register upon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alors  qu'ils  ne  sont  pas  propriétaires  des  actions  seront,  sur</w:t>
            </w: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request.</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demande, inscrits dans le registre des actions.</w:t>
            </w:r>
          </w:p>
        </w:tc>
      </w:tr>
      <w:tr>
        <w:trPr>
          <w:trHeight w:val="64"/>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90"/>
        </w:trPr>
        <w:tc>
          <w:tcPr>
            <w:tcW w:w="5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Upon request, acquirers of shares will be registered in the share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Sur demande, les acquéreurs d'actions seront inscrits dans le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register without limitation as shareholders if they expressly certify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registre  des  actions  sans  limitation  comme  actionnaires  s'ils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that they acquired the shares in their own name and for their own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attestent expressément qu'ils ont acquis les actions en leur propre</w:t>
            </w: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nom et pour leur propre compte.</w:t>
            </w: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Persons  who  do  not  expressly  declare  in  the  registration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Les  personnes  qui  ne  déclarent  pas  expressément  dans  la</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application that they are holding the shares on their own account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demande d'inscription qu'ils détiennent les actions pour leur propre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(thereafter:  nominees)  shall  forthwith  be  entered  on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compte (par la suite: les candidats) doivent immédiatement être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register as shareholders with voting rights up to a maximum of 3</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inscrits dans le registre des actions comme actionnaires avec droit</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percent of the share capital. Beyond that limit, registered shares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de vote pour un maximum de 3 pour cent du capital-actions. Au-delà</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nominees shall only be entered as voting if the nominees in question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cette limite, les actions nominatives des candidats ne sont</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confirm in writing that they are willing to disclose the names,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inscrites  avec  droit  de  vote  que  si  les  candidats  en  question</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addresses and shareholdings of the persons on whose account they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confirment par écrit qu'ils sont prêts à divulguer les noms, adresses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hold 0.5 percent or more of the share capital.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et  participations  des  personnes  pour  le  compte  desquelles  ils</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concludes  agreements  with  nominees  that  among  other  things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détiennent 0,5 pour cent ou plus du capital-actions. Le conseil</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govern the representation of shareholders and the voting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conclut des accords avec les candidats qui, entre</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autres choses, régissent la représentation des actionnaires et des</w:t>
            </w: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droits de vote.</w:t>
            </w: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After hearing the registered shareholder or nominee, the Board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Après avoir entendu l'actionnaire enregistré ou le candidat, le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Directors may remove entries in the share register with retroactive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conseil d'administration peut supprimer des inscriptions dans le</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effect as per the date of entry, if such entry was based on false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registre des actions avec effet rétroactif à la date d'inscription, si</w:t>
            </w: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information. The party affected must be informed of such removal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cette inscription était basée sur de fausses informations. La partie</w:t>
            </w: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immediately.</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touchée doit être immédiatement informée de cette suppression.</w:t>
            </w:r>
          </w:p>
        </w:tc>
      </w:tr>
      <w:tr>
        <w:trPr>
          <w:trHeight w:val="266"/>
        </w:trPr>
        <w:tc>
          <w:tcPr>
            <w:tcW w:w="5540" w:type="dxa"/>
            <w:vAlign w:val="bottom"/>
            <w:tcBorders>
              <w:left w:val="single" w:sz="8" w:color="auto"/>
              <w:bottom w:val="single" w:sz="8" w:color="auto"/>
              <w:right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5480" w:type="dxa"/>
            <w:vAlign w:val="bottom"/>
            <w:tcBorders>
              <w:bottom w:val="single" w:sz="8" w:color="auto"/>
              <w:right w:val="single" w:sz="8" w:color="auto"/>
            </w:tcBorders>
          </w:tcPr>
          <w:p>
            <w:pPr>
              <w:spacing w:after="0"/>
              <w:rPr>
                <w:sz w:val="23"/>
                <w:szCs w:val="23"/>
                <w:color w:val="auto"/>
              </w:rPr>
            </w:pPr>
          </w:p>
        </w:tc>
      </w:tr>
      <w:tr>
        <w:trPr>
          <w:trHeight w:val="709"/>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0"/>
        </w:trPr>
        <w:tc>
          <w:tcPr>
            <w:tcW w:w="5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jc w:val="right"/>
              <w:spacing w:after="0" w:line="298"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No individual or legal entity may, directly or indirectly, formally,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Aucune personne physique ou morale ne peut, directement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constructively or beneficially own (as defined in the next paragraph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indirectement, formellement ou implicitement détenir à son profit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below) or otherwise control voting rights ("Controlled Shares") with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(comme défini dans le paragraphe ci-dessous) ou, d'une autre</w:t>
            </w:r>
          </w:p>
        </w:tc>
        <w:tc>
          <w:tcPr>
            <w:tcW w:w="0" w:type="dxa"/>
            <w:vAlign w:val="bottom"/>
          </w:tcPr>
          <w:p>
            <w:pPr>
              <w:spacing w:after="0"/>
              <w:rPr>
                <w:sz w:val="1"/>
                <w:szCs w:val="1"/>
                <w:color w:val="auto"/>
              </w:rPr>
            </w:pPr>
          </w:p>
        </w:tc>
      </w:tr>
      <w:tr>
        <w:trPr>
          <w:trHeight w:val="221"/>
        </w:trPr>
        <w:tc>
          <w:tcPr>
            <w:tcW w:w="5540" w:type="dxa"/>
            <w:vAlign w:val="bottom"/>
            <w:tcBorders>
              <w:left w:val="single" w:sz="8" w:color="auto"/>
              <w:right w:val="single" w:sz="8" w:color="auto"/>
            </w:tcBorders>
          </w:tcPr>
          <w:p>
            <w:pPr>
              <w:jc w:val="right"/>
              <w:spacing w:after="0" w:line="221" w:lineRule="exact"/>
              <w:rPr>
                <w:sz w:val="20"/>
                <w:szCs w:val="20"/>
                <w:color w:val="auto"/>
              </w:rPr>
            </w:pPr>
            <w:r>
              <w:rPr>
                <w:rFonts w:ascii="Arial" w:cs="Arial" w:eastAsia="Arial" w:hAnsi="Arial"/>
                <w:sz w:val="16"/>
                <w:szCs w:val="16"/>
                <w:color w:val="auto"/>
              </w:rPr>
              <w:t xml:space="preserve">respect to 33 </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25"/>
                <w:szCs w:val="25"/>
                <w:color w:val="auto"/>
                <w:vertAlign w:val="subscript"/>
              </w:rPr>
              <w:t>3</w:t>
            </w:r>
            <w:r>
              <w:rPr>
                <w:rFonts w:ascii="Arial" w:cs="Arial" w:eastAsia="Arial" w:hAnsi="Arial"/>
                <w:sz w:val="16"/>
                <w:szCs w:val="16"/>
                <w:color w:val="auto"/>
              </w:rPr>
              <w:t xml:space="preserve"> % or more of the registered share capital recorded</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manière, contrôler le droit de vote (les "Actions Contrôlées") de 33</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in the Commercial Register except if such individual or legal entity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5"/>
                <w:szCs w:val="15"/>
                <w:color w:val="auto"/>
              </w:rPr>
              <w:t>/  % ou plus du capital-actions nominatif tel qu'inscrit au registre du</w:t>
            </w:r>
          </w:p>
        </w:tc>
        <w:tc>
          <w:tcPr>
            <w:tcW w:w="0" w:type="dxa"/>
            <w:vAlign w:val="bottom"/>
          </w:tcPr>
          <w:p>
            <w:pPr>
              <w:spacing w:after="0"/>
              <w:rPr>
                <w:sz w:val="1"/>
                <w:szCs w:val="1"/>
                <w:color w:val="auto"/>
              </w:rPr>
            </w:pPr>
          </w:p>
        </w:tc>
      </w:tr>
      <w:tr>
        <w:trPr>
          <w:trHeight w:val="49"/>
        </w:trPr>
        <w:tc>
          <w:tcPr>
            <w:tcW w:w="5540" w:type="dxa"/>
            <w:vAlign w:val="bottom"/>
            <w:tcBorders>
              <w:left w:val="single" w:sz="8" w:color="auto"/>
              <w:righ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80" w:type="dxa"/>
            <w:vAlign w:val="bottom"/>
          </w:tcPr>
          <w:p>
            <w:pPr>
              <w:ind w:left="120"/>
              <w:spacing w:after="0" w:line="49" w:lineRule="exact"/>
              <w:rPr>
                <w:sz w:val="20"/>
                <w:szCs w:val="20"/>
                <w:color w:val="auto"/>
              </w:rPr>
            </w:pPr>
            <w:r>
              <w:rPr>
                <w:rFonts w:ascii="Arial" w:cs="Arial" w:eastAsia="Arial" w:hAnsi="Arial"/>
                <w:sz w:val="5"/>
                <w:szCs w:val="5"/>
                <w:color w:val="auto"/>
              </w:rPr>
              <w:t>3</w:t>
            </w:r>
          </w:p>
        </w:tc>
        <w:tc>
          <w:tcPr>
            <w:tcW w:w="4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has submitted prior to the acquisition of such Controlled Shares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commerce sauf si cette personne physique ou morale a présenté</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orderly tender offer to all shareholders with a minimum price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avant l'acquisition de ces Actions Contrôlée une offre publique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higher of (i) the volume weighted average price of the last 60 trading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d'achat en bonne et due forme à tous les actionnaires à un prix</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days prior to the publication of the tender offer or (ii) the highest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minimum équivalent au montant le plus élevé entre (i) le cours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price paid by such individual or legal entity in the 12 months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moyen pondéré en fonction du volume des 60 derniers jours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preceding to the publication of the tender offer. Those associated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bourse précédant la publication de l'offre publique d'achat et (ii) le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through capital, voting power, joint management or in any other way,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plus haut prix payé par cette personne physique ou morale dans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or joining for the acquisition of shares, shall be regarded as one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12 mois précédant la publication de l'offre publique d'achat. Les</w:t>
            </w:r>
          </w:p>
        </w:tc>
        <w:tc>
          <w:tcPr>
            <w:tcW w:w="0" w:type="dxa"/>
            <w:vAlign w:val="bottom"/>
          </w:tcPr>
          <w:p>
            <w:pPr>
              <w:spacing w:after="0"/>
              <w:rPr>
                <w:sz w:val="1"/>
                <w:szCs w:val="1"/>
                <w:color w:val="auto"/>
              </w:rPr>
            </w:pPr>
          </w:p>
        </w:tc>
      </w:tr>
      <w:tr>
        <w:trPr>
          <w:trHeight w:val="221"/>
        </w:trPr>
        <w:tc>
          <w:tcPr>
            <w:tcW w:w="5540" w:type="dxa"/>
            <w:vAlign w:val="bottom"/>
            <w:tcBorders>
              <w:left w:val="single" w:sz="8" w:color="auto"/>
              <w:right w:val="single" w:sz="8" w:color="auto"/>
            </w:tcBorders>
          </w:tcPr>
          <w:p>
            <w:pPr>
              <w:jc w:val="right"/>
              <w:spacing w:after="0" w:line="221" w:lineRule="exact"/>
              <w:rPr>
                <w:sz w:val="20"/>
                <w:szCs w:val="20"/>
                <w:color w:val="auto"/>
              </w:rPr>
            </w:pPr>
            <w:r>
              <w:rPr>
                <w:rFonts w:ascii="Arial" w:cs="Arial" w:eastAsia="Arial" w:hAnsi="Arial"/>
                <w:sz w:val="16"/>
                <w:szCs w:val="16"/>
                <w:color w:val="auto"/>
              </w:rPr>
              <w:t xml:space="preserve">person. The registered shares exceeding the limit of 33 </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25"/>
                <w:szCs w:val="25"/>
                <w:color w:val="auto"/>
                <w:vertAlign w:val="subscript"/>
              </w:rPr>
              <w:t>3</w:t>
            </w:r>
            <w:r>
              <w:rPr>
                <w:rFonts w:ascii="Arial" w:cs="Arial" w:eastAsia="Arial" w:hAnsi="Arial"/>
                <w:sz w:val="16"/>
                <w:szCs w:val="16"/>
                <w:color w:val="auto"/>
              </w:rPr>
              <w:t xml:space="preserve"> % and</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personnes associées par le capital, les droits de vote, une gestion</w:t>
            </w:r>
          </w:p>
        </w:tc>
        <w:tc>
          <w:tcPr>
            <w:tcW w:w="0" w:type="dxa"/>
            <w:vAlign w:val="bottom"/>
          </w:tcPr>
          <w:p>
            <w:pPr>
              <w:spacing w:after="0"/>
              <w:rPr>
                <w:sz w:val="1"/>
                <w:szCs w:val="1"/>
                <w:color w:val="auto"/>
              </w:rPr>
            </w:pPr>
          </w:p>
        </w:tc>
      </w:tr>
      <w:tr>
        <w:trPr>
          <w:trHeight w:val="184"/>
        </w:trPr>
        <w:tc>
          <w:tcPr>
            <w:tcW w:w="5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not benefiting from the exemption regarding a tender offer shall be</w:t>
            </w:r>
          </w:p>
        </w:tc>
        <w:tc>
          <w:tcPr>
            <w:tcW w:w="220" w:type="dxa"/>
            <w:vAlign w:val="bottom"/>
            <w:tcBorders>
              <w:right w:val="single" w:sz="8" w:color="auto"/>
            </w:tcBorders>
          </w:tcPr>
          <w:p>
            <w:pPr>
              <w:spacing w:after="0"/>
              <w:rPr>
                <w:sz w:val="15"/>
                <w:szCs w:val="15"/>
                <w:color w:val="auto"/>
              </w:rPr>
            </w:pPr>
          </w:p>
        </w:tc>
        <w:tc>
          <w:tcPr>
            <w:tcW w:w="548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18"/>
                <w:szCs w:val="18"/>
                <w:color w:val="auto"/>
              </w:rPr>
              <w:t>commune ou de toute autre manière, ou qui se joignent pour une</w:t>
            </w: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acquisition d'actions, sont considérées comme une personne. Les</w:t>
            </w:r>
          </w:p>
        </w:tc>
        <w:tc>
          <w:tcPr>
            <w:tcW w:w="0" w:type="dxa"/>
            <w:vAlign w:val="bottom"/>
          </w:tcPr>
          <w:p>
            <w:pPr>
              <w:spacing w:after="0"/>
              <w:rPr>
                <w:sz w:val="1"/>
                <w:szCs w:val="1"/>
                <w:color w:val="auto"/>
              </w:rPr>
            </w:pPr>
          </w:p>
        </w:tc>
      </w:tr>
      <w:tr>
        <w:trPr>
          <w:trHeight w:val="139"/>
        </w:trPr>
        <w:tc>
          <w:tcPr>
            <w:tcW w:w="5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entered in the share register as shares without voting rights.</w:t>
            </w:r>
          </w:p>
        </w:tc>
        <w:tc>
          <w:tcPr>
            <w:tcW w:w="220" w:type="dxa"/>
            <w:vAlign w:val="bottom"/>
            <w:tcBorders>
              <w:right w:val="single" w:sz="8" w:color="auto"/>
            </w:tcBorders>
          </w:tcPr>
          <w:p>
            <w:pPr>
              <w:spacing w:after="0"/>
              <w:rPr>
                <w:sz w:val="12"/>
                <w:szCs w:val="12"/>
                <w:color w:val="auto"/>
              </w:rPr>
            </w:pPr>
          </w:p>
        </w:tc>
        <w:tc>
          <w:tcPr>
            <w:tcW w:w="54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540" w:type="dxa"/>
            <w:vAlign w:val="bottom"/>
            <w:tcBorders>
              <w:left w:val="single" w:sz="8" w:color="auto"/>
              <w:right w:val="single" w:sz="8" w:color="auto"/>
            </w:tcBorders>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480" w:type="dxa"/>
            <w:vAlign w:val="bottom"/>
            <w:tcBorders>
              <w:right w:val="single" w:sz="8" w:color="auto"/>
            </w:tcBorders>
            <w:gridSpan w:val="2"/>
            <w:vMerge w:val="restart"/>
          </w:tcPr>
          <w:p>
            <w:pPr>
              <w:spacing w:after="0" w:line="217" w:lineRule="exact"/>
              <w:rPr>
                <w:sz w:val="20"/>
                <w:szCs w:val="20"/>
                <w:color w:val="auto"/>
              </w:rPr>
            </w:pPr>
            <w:r>
              <w:rPr>
                <w:rFonts w:ascii="Arial" w:cs="Arial" w:eastAsia="Arial" w:hAnsi="Arial"/>
                <w:sz w:val="16"/>
                <w:szCs w:val="16"/>
                <w:color w:val="auto"/>
              </w:rPr>
              <w:t xml:space="preserve">actions nominatives dépassant la limite de 33 </w:t>
            </w:r>
            <w:r>
              <w:rPr>
                <w:rFonts w:ascii="Arial" w:cs="Arial" w:eastAsia="Arial" w:hAnsi="Arial"/>
                <w:sz w:val="25"/>
                <w:szCs w:val="25"/>
                <w:color w:val="auto"/>
                <w:vertAlign w:val="superscript"/>
              </w:rPr>
              <w:t>1</w:t>
            </w:r>
            <w:r>
              <w:rPr>
                <w:rFonts w:ascii="Arial" w:cs="Arial" w:eastAsia="Arial" w:hAnsi="Arial"/>
                <w:sz w:val="16"/>
                <w:szCs w:val="16"/>
                <w:color w:val="auto"/>
              </w:rPr>
              <w:t>/  % et ne bénéficiant</w:t>
            </w:r>
          </w:p>
        </w:tc>
        <w:tc>
          <w:tcPr>
            <w:tcW w:w="0" w:type="dxa"/>
            <w:vAlign w:val="bottom"/>
          </w:tcPr>
          <w:p>
            <w:pPr>
              <w:spacing w:after="0"/>
              <w:rPr>
                <w:sz w:val="1"/>
                <w:szCs w:val="1"/>
                <w:color w:val="auto"/>
              </w:rPr>
            </w:pPr>
          </w:p>
        </w:tc>
      </w:tr>
      <w:tr>
        <w:trPr>
          <w:trHeight w:val="117"/>
        </w:trPr>
        <w:tc>
          <w:tcPr>
            <w:tcW w:w="5540" w:type="dxa"/>
            <w:vAlign w:val="bottom"/>
            <w:tcBorders>
              <w:left w:val="single" w:sz="8" w:color="auto"/>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4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540" w:type="dxa"/>
            <w:vAlign w:val="bottom"/>
            <w:tcBorders>
              <w:left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4900" w:type="dxa"/>
            <w:vAlign w:val="bottom"/>
            <w:tcBorders>
              <w:right w:val="single" w:sz="8" w:color="auto"/>
            </w:tcBorders>
          </w:tcPr>
          <w:p>
            <w:pPr>
              <w:jc w:val="right"/>
              <w:ind w:right="1514"/>
              <w:spacing w:after="0" w:line="49" w:lineRule="exact"/>
              <w:rPr>
                <w:sz w:val="20"/>
                <w:szCs w:val="20"/>
                <w:color w:val="auto"/>
              </w:rPr>
            </w:pPr>
            <w:r>
              <w:rPr>
                <w:rFonts w:ascii="Arial" w:cs="Arial" w:eastAsia="Arial" w:hAnsi="Arial"/>
                <w:sz w:val="5"/>
                <w:szCs w:val="5"/>
                <w:color w:val="auto"/>
              </w:rPr>
              <w:t>3</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pas  de  l'exemption  relative  à  une  offre  publique  d'achat  sont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inscrites dans le registre des actions comme des actions sans droit</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 vote.</w:t>
            </w:r>
          </w:p>
        </w:tc>
        <w:tc>
          <w:tcPr>
            <w:tcW w:w="0" w:type="dxa"/>
            <w:vAlign w:val="bottom"/>
          </w:tcPr>
          <w:p>
            <w:pPr>
              <w:spacing w:after="0"/>
              <w:rPr>
                <w:sz w:val="1"/>
                <w:szCs w:val="1"/>
                <w:color w:val="auto"/>
              </w:rPr>
            </w:pP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jc w:val="right"/>
              <w:spacing w:after="0" w:line="298" w:lineRule="exact"/>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For the purposes of this Article 4, "Controlled Shares" in reference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Aux fins du présent article 4, Actions Contrôlées signifie en</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 any individual or entity means: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référence à toute personne physique ou morale:</w:t>
            </w:r>
          </w:p>
        </w:tc>
        <w:tc>
          <w:tcPr>
            <w:tcW w:w="0" w:type="dxa"/>
            <w:vAlign w:val="bottom"/>
          </w:tcPr>
          <w:p>
            <w:pPr>
              <w:spacing w:after="0"/>
              <w:rPr>
                <w:sz w:val="1"/>
                <w:szCs w:val="1"/>
                <w:color w:val="auto"/>
              </w:rPr>
            </w:pPr>
          </w:p>
        </w:tc>
      </w:tr>
      <w:tr>
        <w:trPr>
          <w:trHeight w:val="369"/>
        </w:trPr>
        <w:tc>
          <w:tcPr>
            <w:tcW w:w="5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(a)  all shares of the Company directly, indirectly or constructively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   toutes  actions  directement,  indirectement  ou  implicitement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owned by such individual or entity; provided that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détenues par cette personne physique ou morale, à condition</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(i) shares owned, directly or indirectly, by or for a partnership, or</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rPr>
              <w:t>que</w:t>
            </w:r>
          </w:p>
        </w:tc>
        <w:tc>
          <w:tcPr>
            <w:tcW w:w="0" w:type="dxa"/>
            <w:vAlign w:val="bottom"/>
          </w:tcPr>
          <w:p>
            <w:pPr>
              <w:spacing w:after="0"/>
              <w:rPr>
                <w:sz w:val="1"/>
                <w:szCs w:val="1"/>
                <w:color w:val="auto"/>
              </w:rPr>
            </w:pPr>
          </w:p>
        </w:tc>
      </w:tr>
      <w:tr>
        <w:trPr>
          <w:trHeight w:val="166"/>
        </w:trPr>
        <w:tc>
          <w:tcPr>
            <w:tcW w:w="5540" w:type="dxa"/>
            <w:vAlign w:val="bottom"/>
            <w:tcBorders>
              <w:left w:val="single" w:sz="8" w:color="auto"/>
              <w:righ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4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trust  or  estate  will  be  considered  as  being  owned</w:t>
            </w:r>
          </w:p>
        </w:tc>
        <w:tc>
          <w:tcPr>
            <w:tcW w:w="220" w:type="dxa"/>
            <w:vAlign w:val="bottom"/>
            <w:tcBorders>
              <w:right w:val="single" w:sz="8" w:color="auto"/>
            </w:tcBorders>
          </w:tcPr>
          <w:p>
            <w:pPr>
              <w:spacing w:after="0"/>
              <w:rPr>
                <w:sz w:val="17"/>
                <w:szCs w:val="17"/>
                <w:color w:val="auto"/>
              </w:rPr>
            </w:pPr>
          </w:p>
        </w:tc>
        <w:tc>
          <w:tcPr>
            <w:tcW w:w="580" w:type="dxa"/>
            <w:vAlign w:val="bottom"/>
          </w:tcPr>
          <w:p>
            <w:pPr>
              <w:ind w:left="300"/>
              <w:spacing w:after="0" w:line="202" w:lineRule="exact"/>
              <w:rPr>
                <w:sz w:val="20"/>
                <w:szCs w:val="20"/>
                <w:color w:val="auto"/>
              </w:rPr>
            </w:pPr>
            <w:r>
              <w:rPr>
                <w:rFonts w:ascii="Arial" w:cs="Arial" w:eastAsia="Arial" w:hAnsi="Arial"/>
                <w:sz w:val="18"/>
                <w:szCs w:val="18"/>
                <w:color w:val="auto"/>
              </w:rPr>
              <w:t>(i)</w:t>
            </w: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les actions détenues, directement ou indirectement, par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proportionately by its partners, or beneficiaries; and</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pour  un  partenariat,  une  fiducie  ou  une  communauté</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d'héritiers  sont  considérées  comme  étant  détenues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(ii) shares owned, directly or indirectly, by or for a corporation will</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proportionnellement par leurs partenaires ou bénéficiaires;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be  considered  as  being  owned  proportionately  by  any</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shareholder owning 50% or more of the outstanding voting</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shares of such corporation; and</w:t>
            </w:r>
          </w:p>
        </w:tc>
        <w:tc>
          <w:tcPr>
            <w:tcW w:w="220" w:type="dxa"/>
            <w:vAlign w:val="bottom"/>
            <w:tcBorders>
              <w:right w:val="single" w:sz="8" w:color="auto"/>
            </w:tcBorders>
          </w:tcPr>
          <w:p>
            <w:pPr>
              <w:spacing w:after="0"/>
              <w:rPr>
                <w:sz w:val="17"/>
                <w:szCs w:val="17"/>
                <w:color w:val="auto"/>
              </w:rPr>
            </w:pPr>
          </w:p>
        </w:tc>
        <w:tc>
          <w:tcPr>
            <w:tcW w:w="580" w:type="dxa"/>
            <w:vAlign w:val="bottom"/>
          </w:tcPr>
          <w:p>
            <w:pPr>
              <w:ind w:left="300"/>
              <w:spacing w:after="0" w:line="202" w:lineRule="exact"/>
              <w:rPr>
                <w:sz w:val="20"/>
                <w:szCs w:val="20"/>
                <w:color w:val="auto"/>
              </w:rPr>
            </w:pPr>
            <w:r>
              <w:rPr>
                <w:rFonts w:ascii="Arial" w:cs="Arial" w:eastAsia="Arial" w:hAnsi="Arial"/>
                <w:sz w:val="18"/>
                <w:szCs w:val="18"/>
                <w:color w:val="auto"/>
              </w:rPr>
              <w:t>(ii)</w:t>
            </w: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les actions détenues, directement ou indirectement, par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pour une société seront considérées comme étant détenues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(iii) shares subject to options, warrants or other similar rights</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proportionnellement par tout actionnaire détenant 50%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shall be deemed to be owned; and</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plus des actions avec droit de vote en circulation de cette</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(b)  all shares of the Company directly, indirectly beneficially owned</w:t>
            </w:r>
          </w:p>
        </w:tc>
        <w:tc>
          <w:tcPr>
            <w:tcW w:w="2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société; et</w:t>
            </w:r>
          </w:p>
        </w:tc>
        <w:tc>
          <w:tcPr>
            <w:tcW w:w="0" w:type="dxa"/>
            <w:vAlign w:val="bottom"/>
          </w:tcPr>
          <w:p>
            <w:pPr>
              <w:spacing w:after="0"/>
              <w:rPr>
                <w:sz w:val="1"/>
                <w:szCs w:val="1"/>
                <w:color w:val="auto"/>
              </w:rPr>
            </w:pPr>
          </w:p>
        </w:tc>
      </w:tr>
      <w:tr>
        <w:trPr>
          <w:trHeight w:val="166"/>
        </w:trPr>
        <w:tc>
          <w:tcPr>
            <w:tcW w:w="5540" w:type="dxa"/>
            <w:vAlign w:val="bottom"/>
            <w:tcBorders>
              <w:left w:val="single" w:sz="8" w:color="auto"/>
              <w:righ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4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by such individual or entity; provided that</w:t>
            </w:r>
          </w:p>
        </w:tc>
        <w:tc>
          <w:tcPr>
            <w:tcW w:w="220" w:type="dxa"/>
            <w:vAlign w:val="bottom"/>
            <w:tcBorders>
              <w:right w:val="single" w:sz="8" w:color="auto"/>
            </w:tcBorders>
          </w:tcPr>
          <w:p>
            <w:pPr>
              <w:spacing w:after="0"/>
              <w:rPr>
                <w:sz w:val="17"/>
                <w:szCs w:val="17"/>
                <w:color w:val="auto"/>
              </w:rPr>
            </w:pPr>
          </w:p>
        </w:tc>
        <w:tc>
          <w:tcPr>
            <w:tcW w:w="580" w:type="dxa"/>
            <w:vAlign w:val="bottom"/>
          </w:tcPr>
          <w:p>
            <w:pPr>
              <w:ind w:left="300"/>
              <w:spacing w:after="0" w:line="202" w:lineRule="exact"/>
              <w:rPr>
                <w:sz w:val="20"/>
                <w:szCs w:val="20"/>
                <w:color w:val="auto"/>
              </w:rPr>
            </w:pPr>
            <w:r>
              <w:rPr>
                <w:rFonts w:ascii="Arial" w:cs="Arial" w:eastAsia="Arial" w:hAnsi="Arial"/>
                <w:sz w:val="18"/>
                <w:szCs w:val="18"/>
                <w:color w:val="auto"/>
              </w:rPr>
              <w:t>(iii)</w:t>
            </w:r>
          </w:p>
        </w:tc>
        <w:tc>
          <w:tcPr>
            <w:tcW w:w="4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les actions sujettes à des options, des bons de souscription</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 autres droits semblables sont réputées être détenues; et</w:t>
            </w:r>
          </w:p>
        </w:tc>
        <w:tc>
          <w:tcPr>
            <w:tcW w:w="0" w:type="dxa"/>
            <w:vAlign w:val="bottom"/>
          </w:tcPr>
          <w:p>
            <w:pPr>
              <w:spacing w:after="0"/>
              <w:rPr>
                <w:sz w:val="1"/>
                <w:szCs w:val="1"/>
                <w:color w:val="auto"/>
              </w:rPr>
            </w:pPr>
          </w:p>
        </w:tc>
      </w:tr>
      <w:tr>
        <w:trPr>
          <w:trHeight w:val="369"/>
        </w:trPr>
        <w:tc>
          <w:tcPr>
            <w:tcW w:w="554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4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toutes  actions  de  la  société  détenues  directement,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indirectement ou à son profit par cette personne physique ou</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rPr>
              <w:t>morale, à condition que</w:t>
            </w:r>
          </w:p>
        </w:tc>
        <w:tc>
          <w:tcPr>
            <w:tcW w:w="0" w:type="dxa"/>
            <w:vAlign w:val="bottom"/>
          </w:tcPr>
          <w:p>
            <w:pPr>
              <w:spacing w:after="0"/>
              <w:rPr>
                <w:sz w:val="1"/>
                <w:szCs w:val="1"/>
                <w:color w:val="auto"/>
              </w:rPr>
            </w:pPr>
          </w:p>
        </w:tc>
      </w:tr>
      <w:tr>
        <w:trPr>
          <w:trHeight w:val="64"/>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9" w:name="page50"/>
    <w:bookmarkEnd w:id="49"/>
    <w:p>
      <w:pPr>
        <w:ind w:left="10755"/>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85090</wp:posOffset>
            </wp:positionV>
            <wp:extent cx="7132320" cy="384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3848735"/>
                    </a:xfrm>
                    <a:prstGeom prst="rect">
                      <a:avLst/>
                    </a:prstGeom>
                    <a:noFill/>
                  </pic:spPr>
                </pic:pic>
              </a:graphicData>
            </a:graphic>
          </wp:anchor>
        </w:drawing>
      </w:r>
    </w:p>
    <w:p>
      <w:pPr>
        <w:sectPr>
          <w:pgSz w:w="11900" w:h="16838" w:orient="portrait"/>
          <w:cols w:equalWidth="0" w:num="1">
            <w:col w:w="10875"/>
          </w:cols>
          <w:pgMar w:left="665" w:top="229" w:right="359" w:bottom="1440" w:gutter="0" w:footer="0" w:header="0"/>
        </w:sectPr>
      </w:pPr>
    </w:p>
    <w:p>
      <w:pPr>
        <w:spacing w:after="0" w:line="210" w:lineRule="exact"/>
        <w:rPr>
          <w:sz w:val="20"/>
          <w:szCs w:val="20"/>
          <w:color w:val="auto"/>
        </w:rPr>
      </w:pPr>
    </w:p>
    <w:p>
      <w:pPr>
        <w:jc w:val="both"/>
        <w:ind w:left="315" w:hanging="315"/>
        <w:spacing w:after="0" w:line="247" w:lineRule="auto"/>
        <w:tabs>
          <w:tab w:leader="none" w:pos="3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160" w:lineRule="exact"/>
        <w:rPr>
          <w:rFonts w:ascii="Arial" w:cs="Arial" w:eastAsia="Arial" w:hAnsi="Arial"/>
          <w:sz w:val="18"/>
          <w:szCs w:val="18"/>
          <w:color w:val="auto"/>
        </w:rPr>
      </w:pPr>
    </w:p>
    <w:p>
      <w:pPr>
        <w:ind w:left="655" w:hanging="331"/>
        <w:spacing w:after="0" w:line="271" w:lineRule="auto"/>
        <w:tabs>
          <w:tab w:leader="none" w:pos="723" w:val="left"/>
        </w:tabs>
        <w:numPr>
          <w:ilvl w:val="1"/>
          <w:numId w:val="33"/>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40" w:lineRule="exact"/>
        <w:rPr>
          <w:rFonts w:ascii="Arial" w:cs="Arial" w:eastAsia="Arial" w:hAnsi="Arial"/>
          <w:sz w:val="18"/>
          <w:szCs w:val="18"/>
          <w:color w:val="auto"/>
        </w:rPr>
      </w:pPr>
    </w:p>
    <w:p>
      <w:pPr>
        <w:ind w:left="655" w:right="20" w:hanging="331"/>
        <w:spacing w:after="0" w:line="271" w:lineRule="auto"/>
        <w:tabs>
          <w:tab w:leader="none" w:pos="621"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40" w:lineRule="exact"/>
        <w:rPr>
          <w:rFonts w:ascii="Arial" w:cs="Arial" w:eastAsia="Arial" w:hAnsi="Arial"/>
          <w:sz w:val="18"/>
          <w:szCs w:val="18"/>
          <w:color w:val="auto"/>
        </w:rPr>
      </w:pPr>
    </w:p>
    <w:p>
      <w:pPr>
        <w:jc w:val="both"/>
        <w:ind w:left="315" w:hanging="315"/>
        <w:spacing w:after="0"/>
        <w:tabs>
          <w:tab w:leader="none" w:pos="2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66" w:lineRule="exact"/>
        <w:rPr>
          <w:rFonts w:ascii="Arial" w:cs="Arial" w:eastAsia="Arial" w:hAnsi="Arial"/>
          <w:sz w:val="18"/>
          <w:szCs w:val="18"/>
          <w:color w:val="auto"/>
        </w:rPr>
      </w:pPr>
    </w:p>
    <w:p>
      <w:pPr>
        <w:jc w:val="both"/>
        <w:ind w:left="315" w:hanging="315"/>
        <w:spacing w:after="0" w:line="239" w:lineRule="auto"/>
        <w:tabs>
          <w:tab w:leader="none" w:pos="3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505460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331" w:hanging="331"/>
        <w:spacing w:after="0" w:line="247" w:lineRule="auto"/>
        <w:tabs>
          <w:tab w:leader="none" w:pos="2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160" w:lineRule="exact"/>
        <w:rPr>
          <w:rFonts w:ascii="Arial" w:cs="Arial" w:eastAsia="Arial" w:hAnsi="Arial"/>
          <w:sz w:val="18"/>
          <w:szCs w:val="18"/>
          <w:color w:val="auto"/>
        </w:rPr>
      </w:pPr>
    </w:p>
    <w:p>
      <w:pPr>
        <w:ind w:left="831" w:hanging="389"/>
        <w:spacing w:after="0" w:line="271" w:lineRule="auto"/>
        <w:tabs>
          <w:tab w:leader="none" w:pos="869" w:val="left"/>
        </w:tabs>
        <w:numPr>
          <w:ilvl w:val="2"/>
          <w:numId w:val="34"/>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140" w:lineRule="exact"/>
        <w:rPr>
          <w:rFonts w:ascii="Arial" w:cs="Arial" w:eastAsia="Arial" w:hAnsi="Arial"/>
          <w:sz w:val="18"/>
          <w:szCs w:val="18"/>
          <w:color w:val="auto"/>
        </w:rPr>
      </w:pPr>
    </w:p>
    <w:p>
      <w:pPr>
        <w:ind w:left="831" w:hanging="389"/>
        <w:spacing w:after="0" w:line="271" w:lineRule="auto"/>
        <w:tabs>
          <w:tab w:leader="none" w:pos="804" w:val="left"/>
        </w:tabs>
        <w:numPr>
          <w:ilvl w:val="2"/>
          <w:numId w:val="34"/>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40" w:lineRule="exact"/>
        <w:rPr>
          <w:rFonts w:ascii="Arial" w:cs="Arial" w:eastAsia="Arial" w:hAnsi="Arial"/>
          <w:sz w:val="18"/>
          <w:szCs w:val="18"/>
          <w:color w:val="auto"/>
        </w:rPr>
      </w:pPr>
    </w:p>
    <w:p>
      <w:pPr>
        <w:jc w:val="both"/>
        <w:ind w:left="331" w:hanging="331"/>
        <w:spacing w:after="0"/>
        <w:tabs>
          <w:tab w:leader="none" w:pos="3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66" w:lineRule="exact"/>
        <w:rPr>
          <w:rFonts w:ascii="Arial" w:cs="Arial" w:eastAsia="Arial" w:hAnsi="Arial"/>
          <w:sz w:val="18"/>
          <w:szCs w:val="18"/>
          <w:color w:val="auto"/>
        </w:rPr>
      </w:pPr>
    </w:p>
    <w:p>
      <w:pPr>
        <w:jc w:val="both"/>
        <w:ind w:left="331" w:hanging="331"/>
        <w:spacing w:after="0" w:line="237" w:lineRule="auto"/>
        <w:tabs>
          <w:tab w:leader="none" w:pos="4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 souscription; (B) par la conversion d'un titre; (C) en vertu du pouvoir de révoquer une fiducie, compte discrétionnaire ou accord semblable; ou</w:t>
      </w:r>
    </w:p>
    <w:p>
      <w:pPr>
        <w:spacing w:after="0" w:line="4" w:lineRule="exact"/>
        <w:rPr>
          <w:rFonts w:ascii="Arial" w:cs="Arial" w:eastAsia="Arial" w:hAnsi="Arial"/>
          <w:sz w:val="18"/>
          <w:szCs w:val="18"/>
          <w:color w:val="auto"/>
        </w:rPr>
      </w:pPr>
    </w:p>
    <w:p>
      <w:pPr>
        <w:ind w:left="331" w:hanging="7"/>
        <w:spacing w:after="0" w:line="250" w:lineRule="auto"/>
        <w:tabs>
          <w:tab w:leader="none" w:pos="6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conformément à la résiliation automatique d'une fiducie, compte discrétionnaire ou accord semblable.</w:t>
      </w:r>
    </w:p>
    <w:p>
      <w:pPr>
        <w:sectPr>
          <w:pgSz w:w="11900" w:h="16838" w:orient="portrait"/>
          <w:cols w:equalWidth="0" w:num="2">
            <w:col w:w="5175" w:space="549"/>
            <w:col w:w="5151"/>
          </w:cols>
          <w:pgMar w:left="665" w:top="229" w:right="359" w:bottom="1440" w:gutter="0" w:footer="0" w:header="0"/>
          <w:type w:val="continuous"/>
        </w:sectPr>
      </w:pPr>
    </w:p>
    <w:bookmarkStart w:id="50" w:name="page51"/>
    <w:bookmarkEnd w:id="50"/>
    <w:tbl>
      <w:tblPr>
        <w:tblLayout w:type="fixed"/>
        <w:tblInd w:w="1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91"/>
        </w:trPr>
        <w:tc>
          <w:tcPr>
            <w:tcW w:w="5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The limit of 33 1/3 % of the registered share capital also applies to</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La limite de 33 1/3 % du capital-actions nominatif s'applique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subscription for, or acquisition of, registered shares by exercising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également à la souscription ou l'acquisition d'actions nominatives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option  or  convertible  rights  arising  from  registered  or  bearer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par l'exercice d'options ou de droits convertibles découlant de titres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securities or any other securities issued by the Company or third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nominatifs ou au porteur ou d'autres titres émis par la société ou par</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parties, as well as by means of exercising purchased preemptive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des tiers, ainsi que par le biais de l'exercice de droits de souscription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rights arising from either registered or bearer shares. The registered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préférentiels achetés découlant d'actions nominatives ou au porteur.</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shares exceeding the limit of 33 1/3 % shall be entered in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Les actions nominatives dépassant la limite de 33 1/3 % sont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register as shares without voting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inscrites dans le registre des actions comme des actions sans droit</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 vote.</w:t>
            </w:r>
          </w:p>
        </w:tc>
        <w:tc>
          <w:tcPr>
            <w:tcW w:w="0" w:type="dxa"/>
            <w:vAlign w:val="bottom"/>
          </w:tcPr>
          <w:p>
            <w:pPr>
              <w:spacing w:after="0"/>
              <w:rPr>
                <w:sz w:val="1"/>
                <w:szCs w:val="1"/>
                <w:color w:val="auto"/>
              </w:rPr>
            </w:pP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8</w:t>
            </w:r>
            <w:r>
              <w:rPr>
                <w:rFonts w:ascii="Arial" w:cs="Arial" w:eastAsia="Arial" w:hAnsi="Arial"/>
                <w:sz w:val="18"/>
                <w:szCs w:val="18"/>
                <w:color w:val="auto"/>
                <w:w w:val="99"/>
              </w:rPr>
              <w:t xml:space="preserve"> The Board of Directors may in special cases approve exceptions to</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Le  conseil  d'administration  peut  dans  des  cas  particuliers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above  regulations.  The  Board  of  Directors  is  in  addition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approuver des exceptions aux règles précitées. Il est en outre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authorized, after due consultation with the person concerned,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autorisé,  après  consultation  avec  la  personne  concernée,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delete with retroactive effect entries in the share register which were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supprimer avec effet rétroactif des inscriptions du registre des</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effected on the basis of false information.</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actions qui ont été effectuées sur la base de fausses informations.</w:t>
            </w:r>
          </w:p>
        </w:tc>
        <w:tc>
          <w:tcPr>
            <w:tcW w:w="0" w:type="dxa"/>
            <w:vAlign w:val="bottom"/>
          </w:tcPr>
          <w:p>
            <w:pPr>
              <w:spacing w:after="0"/>
              <w:rPr>
                <w:sz w:val="1"/>
                <w:szCs w:val="1"/>
                <w:color w:val="auto"/>
              </w:rPr>
            </w:pP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5  Share Certificates and Intermediated Securities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5  Certificats d'actions et titres</w:t>
            </w:r>
          </w:p>
        </w:tc>
        <w:tc>
          <w:tcPr>
            <w:tcW w:w="0" w:type="dxa"/>
            <w:vAlign w:val="bottom"/>
          </w:tcPr>
          <w:p>
            <w:pPr>
              <w:spacing w:after="0"/>
              <w:rPr>
                <w:sz w:val="1"/>
                <w:szCs w:val="1"/>
                <w:color w:val="auto"/>
              </w:rPr>
            </w:pPr>
          </w:p>
        </w:tc>
      </w:tr>
      <w:tr>
        <w:trPr>
          <w:trHeight w:val="247"/>
        </w:trPr>
        <w:tc>
          <w:tcPr>
            <w:tcW w:w="5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Company may issue registered shares in the form of single</w:t>
            </w:r>
          </w:p>
        </w:tc>
        <w:tc>
          <w:tcPr>
            <w:tcW w:w="220" w:type="dxa"/>
            <w:vAlign w:val="bottom"/>
            <w:tcBorders>
              <w:right w:val="single" w:sz="8" w:color="auto"/>
            </w:tcBorders>
          </w:tcPr>
          <w:p>
            <w:pPr>
              <w:spacing w:after="0"/>
              <w:rPr>
                <w:sz w:val="21"/>
                <w:szCs w:val="21"/>
                <w:color w:val="auto"/>
              </w:rPr>
            </w:pPr>
          </w:p>
        </w:tc>
        <w:tc>
          <w:tcPr>
            <w:tcW w:w="5480" w:type="dxa"/>
            <w:vAlign w:val="bottom"/>
            <w:tcBorders>
              <w:right w:val="single" w:sz="8" w:color="auto"/>
            </w:tcBorders>
          </w:tcPr>
          <w:p>
            <w:pPr>
              <w:jc w:val="right"/>
              <w:ind w:right="3750"/>
              <w:spacing w:after="0"/>
              <w:rPr>
                <w:sz w:val="20"/>
                <w:szCs w:val="20"/>
                <w:color w:val="auto"/>
              </w:rPr>
            </w:pPr>
            <w:r>
              <w:rPr>
                <w:rFonts w:ascii="Arial" w:cs="Arial" w:eastAsia="Arial" w:hAnsi="Arial"/>
                <w:sz w:val="18"/>
                <w:szCs w:val="18"/>
                <w:b w:val="1"/>
                <w:bCs w:val="1"/>
                <w:color w:val="auto"/>
              </w:rPr>
              <w:t>intermédiés</w:t>
            </w:r>
          </w:p>
        </w:tc>
        <w:tc>
          <w:tcPr>
            <w:tcW w:w="0" w:type="dxa"/>
            <w:vAlign w:val="bottom"/>
          </w:tcPr>
          <w:p>
            <w:pPr>
              <w:spacing w:after="0"/>
              <w:rPr>
                <w:sz w:val="1"/>
                <w:szCs w:val="1"/>
                <w:color w:val="auto"/>
              </w:rPr>
            </w:pPr>
          </w:p>
        </w:tc>
      </w:tr>
      <w:tr>
        <w:trPr>
          <w:trHeight w:val="199"/>
        </w:trPr>
        <w:tc>
          <w:tcPr>
            <w:tcW w:w="55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vMerge w:val="restart"/>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 société peut émettre des actions nominatives sous forme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certificates, global certificates and uncertificated securities. Under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conditions set forth by statutory law, the Company may convert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certificats  individuels,  de  certificats  globaux  et  de  titres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its registered shares from one form into another form at any time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dématérialisés. Dans les conditions prévues par la loi, la société</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without the approval of the shareholders.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peut convertir ses actions nominatives d'une forme en une autre</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forme, à tout moment et sans l'approbation des actionnaires.</w:t>
            </w:r>
          </w:p>
        </w:tc>
        <w:tc>
          <w:tcPr>
            <w:tcW w:w="0" w:type="dxa"/>
            <w:vAlign w:val="bottom"/>
          </w:tcPr>
          <w:p>
            <w:pPr>
              <w:spacing w:after="0"/>
              <w:rPr>
                <w:sz w:val="1"/>
                <w:szCs w:val="1"/>
                <w:color w:val="auto"/>
              </w:rPr>
            </w:pPr>
          </w:p>
        </w:tc>
      </w:tr>
      <w:tr>
        <w:trPr>
          <w:trHeight w:val="63"/>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shareholder has no right to demand a conversion of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L'actionnaire n'a pas le droit d'exiger une conversion d'actions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registered shares. Each shareholder may, however, at any time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nominatives. Chaque actionnaire peut toutefois, à tout moment,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request a written confirmation from the Company of the registered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demander  une  confirmation  écrite  de  la  société  du  nombres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shares held by such shareholder, as reflected in the share register.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d'actions nominatives détenues par cet actionnaire telles qu'inscrites</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 registre du commerce.</w:t>
            </w:r>
          </w:p>
        </w:tc>
        <w:tc>
          <w:tcPr>
            <w:tcW w:w="0" w:type="dxa"/>
            <w:vAlign w:val="bottom"/>
          </w:tcPr>
          <w:p>
            <w:pPr>
              <w:spacing w:after="0"/>
              <w:rPr>
                <w:sz w:val="1"/>
                <w:szCs w:val="1"/>
                <w:color w:val="auto"/>
              </w:rPr>
            </w:pPr>
          </w:p>
        </w:tc>
      </w:tr>
      <w:tr>
        <w:trPr>
          <w:trHeight w:val="64"/>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4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The transfer of intermediated securities and the pledging of these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Le transfert des titres intermédiés et la mise en gage de ces titres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intermediated securities shall be based on the provisions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intermédiés suivent les dispositions de la Loi fédérale sur les titres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Swiss Federal Intermediated Securities Act. Transfer of propriety as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intermédiés. Le transfert de propriété à titre de sûreté par cession</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collateral by means of written assignment are not permitted.</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écrite n'est pas autorisé.</w:t>
            </w:r>
          </w:p>
        </w:tc>
        <w:tc>
          <w:tcPr>
            <w:tcW w:w="0" w:type="dxa"/>
            <w:vAlign w:val="bottom"/>
          </w:tcPr>
          <w:p>
            <w:pPr>
              <w:spacing w:after="0"/>
              <w:rPr>
                <w:sz w:val="1"/>
                <w:szCs w:val="1"/>
                <w:color w:val="auto"/>
              </w:rPr>
            </w:pPr>
          </w:p>
        </w:tc>
      </w:tr>
      <w:tr>
        <w:trPr>
          <w:trHeight w:val="64"/>
        </w:trPr>
        <w:tc>
          <w:tcPr>
            <w:tcW w:w="554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tcPr>
          <w:p>
            <w:pPr>
              <w:ind w:left="486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6   Exercise of Shareholders Rights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6   Exercice des droits des actionnaires</w:t>
            </w:r>
          </w:p>
        </w:tc>
        <w:tc>
          <w:tcPr>
            <w:tcW w:w="0" w:type="dxa"/>
            <w:vAlign w:val="bottom"/>
          </w:tcPr>
          <w:p>
            <w:pPr>
              <w:spacing w:after="0"/>
              <w:rPr>
                <w:sz w:val="1"/>
                <w:szCs w:val="1"/>
                <w:color w:val="auto"/>
              </w:rPr>
            </w:pP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shares are indivisible and the Company recognizes only one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Les actions sont indivisibles et la société ne reconnaît qu'un seul</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single representative per share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représentant par action.</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right to vote and the other rights pertaining to a registered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w w:val="99"/>
                <w:vertAlign w:val="superscript"/>
              </w:rPr>
              <w:t>2</w:t>
            </w:r>
            <w:r>
              <w:rPr>
                <w:rFonts w:ascii="Arial" w:cs="Arial" w:eastAsia="Arial" w:hAnsi="Arial"/>
                <w:sz w:val="18"/>
                <w:szCs w:val="18"/>
                <w:color w:val="auto"/>
                <w:w w:val="99"/>
              </w:rPr>
              <w:t xml:space="preserve"> Le droit de vote et les autres droits relatifs à une action nominative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share may only be exercised by a shareholder, a usufructuary or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ne peuvent être exercés que par un actionnaire, un usufruitier ou un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Nominee who is registered with the right to vote in the share register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Actionnaire Désigné qui est inscrit avec le droit de vote dans le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and by persons who are entitled by law to the voting rights of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registre des actions et par des personnes autorisées par la loi à</w:t>
            </w:r>
          </w:p>
        </w:tc>
        <w:tc>
          <w:tcPr>
            <w:tcW w:w="0" w:type="dxa"/>
            <w:vAlign w:val="bottom"/>
          </w:tcPr>
          <w:p>
            <w:pPr>
              <w:spacing w:after="0"/>
              <w:rPr>
                <w:sz w:val="1"/>
                <w:szCs w:val="1"/>
                <w:color w:val="auto"/>
              </w:rPr>
            </w:pPr>
          </w:p>
        </w:tc>
      </w:tr>
      <w:tr>
        <w:trPr>
          <w:trHeight w:val="239"/>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9"/>
              </w:rPr>
              <w:t>share.</w:t>
            </w:r>
          </w:p>
        </w:tc>
        <w:tc>
          <w:tcPr>
            <w:tcW w:w="498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exercer les droits de vote d'une action.</w:t>
            </w:r>
          </w:p>
        </w:tc>
        <w:tc>
          <w:tcPr>
            <w:tcW w:w="0" w:type="dxa"/>
            <w:vAlign w:val="bottom"/>
          </w:tcPr>
          <w:p>
            <w:pPr>
              <w:spacing w:after="0"/>
              <w:rPr>
                <w:sz w:val="1"/>
                <w:szCs w:val="1"/>
                <w:color w:val="auto"/>
              </w:rPr>
            </w:pPr>
          </w:p>
        </w:tc>
      </w:tr>
      <w:tr>
        <w:trPr>
          <w:trHeight w:val="63"/>
        </w:trPr>
        <w:tc>
          <w:tcPr>
            <w:tcW w:w="540" w:type="dxa"/>
            <w:vAlign w:val="bottom"/>
            <w:tcBorders>
              <w:left w:val="single" w:sz="8" w:color="auto"/>
              <w:bottom w:val="single" w:sz="8" w:color="auto"/>
            </w:tcBorders>
          </w:tcPr>
          <w:p>
            <w:pPr>
              <w:spacing w:after="0"/>
              <w:rPr>
                <w:sz w:val="5"/>
                <w:szCs w:val="5"/>
                <w:color w:val="auto"/>
              </w:rPr>
            </w:pPr>
          </w:p>
        </w:tc>
        <w:tc>
          <w:tcPr>
            <w:tcW w:w="49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III.</w:t>
            </w:r>
          </w:p>
        </w:tc>
        <w:tc>
          <w:tcPr>
            <w:tcW w:w="49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CORPORATE STRUCTURE</w:t>
            </w:r>
          </w:p>
        </w:tc>
        <w:tc>
          <w:tcPr>
            <w:tcW w:w="240" w:type="dxa"/>
            <w:vAlign w:val="bottom"/>
            <w:tcBorders>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50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STRUCTURE DE LA SOCIÉTÉ</w:t>
            </w:r>
          </w:p>
        </w:tc>
        <w:tc>
          <w:tcPr>
            <w:tcW w:w="0" w:type="dxa"/>
            <w:vAlign w:val="bottom"/>
          </w:tcPr>
          <w:p>
            <w:pPr>
              <w:spacing w:after="0"/>
              <w:rPr>
                <w:sz w:val="1"/>
                <w:szCs w:val="1"/>
                <w:color w:val="auto"/>
              </w:rPr>
            </w:pPr>
          </w:p>
        </w:tc>
      </w:tr>
      <w:tr>
        <w:trPr>
          <w:trHeight w:val="55"/>
        </w:trPr>
        <w:tc>
          <w:tcPr>
            <w:tcW w:w="540" w:type="dxa"/>
            <w:vAlign w:val="bottom"/>
            <w:tcBorders>
              <w:left w:val="single" w:sz="8" w:color="auto"/>
              <w:bottom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7</w:t>
            </w:r>
          </w:p>
        </w:tc>
        <w:tc>
          <w:tcPr>
            <w:tcW w:w="49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Organization</w:t>
            </w:r>
          </w:p>
        </w:tc>
        <w:tc>
          <w:tcPr>
            <w:tcW w:w="240" w:type="dxa"/>
            <w:vAlign w:val="bottom"/>
            <w:tcBorders>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w w:val="99"/>
              </w:rPr>
              <w:t>Art. 7</w:t>
            </w:r>
          </w:p>
        </w:tc>
        <w:tc>
          <w:tcPr>
            <w:tcW w:w="50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Organisation</w:t>
            </w:r>
          </w:p>
        </w:tc>
        <w:tc>
          <w:tcPr>
            <w:tcW w:w="0" w:type="dxa"/>
            <w:vAlign w:val="bottom"/>
          </w:tcPr>
          <w:p>
            <w:pPr>
              <w:spacing w:after="0"/>
              <w:rPr>
                <w:sz w:val="1"/>
                <w:szCs w:val="1"/>
                <w:color w:val="auto"/>
              </w:rPr>
            </w:pPr>
          </w:p>
        </w:tc>
      </w:tr>
      <w:tr>
        <w:trPr>
          <w:trHeight w:val="397"/>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corporate bodies are: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organes de la société sont:</w:t>
            </w:r>
          </w:p>
        </w:tc>
        <w:tc>
          <w:tcPr>
            <w:tcW w:w="0" w:type="dxa"/>
            <w:vAlign w:val="bottom"/>
          </w:tcPr>
          <w:p>
            <w:pPr>
              <w:spacing w:after="0"/>
              <w:rPr>
                <w:sz w:val="1"/>
                <w:szCs w:val="1"/>
                <w:color w:val="auto"/>
              </w:rPr>
            </w:pPr>
          </w:p>
        </w:tc>
      </w:tr>
      <w:tr>
        <w:trPr>
          <w:trHeight w:val="405"/>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General Meeting;</w:t>
            </w:r>
          </w:p>
        </w:tc>
        <w:tc>
          <w:tcPr>
            <w:tcW w:w="240" w:type="dxa"/>
            <w:vAlign w:val="bottom"/>
            <w:tcBorders>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A.</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L'assemblée générale;</w:t>
            </w:r>
          </w:p>
        </w:tc>
        <w:tc>
          <w:tcPr>
            <w:tcW w:w="0" w:type="dxa"/>
            <w:vAlign w:val="bottom"/>
          </w:tcPr>
          <w:p>
            <w:pPr>
              <w:spacing w:after="0"/>
              <w:rPr>
                <w:sz w:val="1"/>
                <w:szCs w:val="1"/>
                <w:color w:val="auto"/>
              </w:rPr>
            </w:pPr>
          </w:p>
        </w:tc>
      </w:tr>
      <w:tr>
        <w:trPr>
          <w:trHeight w:val="405"/>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Board of Directors;</w:t>
            </w:r>
          </w:p>
        </w:tc>
        <w:tc>
          <w:tcPr>
            <w:tcW w:w="240" w:type="dxa"/>
            <w:vAlign w:val="bottom"/>
            <w:tcBorders>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 conseil d'administration;</w:t>
            </w:r>
          </w:p>
        </w:tc>
        <w:tc>
          <w:tcPr>
            <w:tcW w:w="0" w:type="dxa"/>
            <w:vAlign w:val="bottom"/>
          </w:tcPr>
          <w:p>
            <w:pPr>
              <w:spacing w:after="0"/>
              <w:rPr>
                <w:sz w:val="1"/>
                <w:szCs w:val="1"/>
                <w:color w:val="auto"/>
              </w:rPr>
            </w:pPr>
          </w:p>
        </w:tc>
      </w:tr>
      <w:tr>
        <w:trPr>
          <w:trHeight w:val="405"/>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4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Auditors.</w:t>
            </w:r>
          </w:p>
        </w:tc>
        <w:tc>
          <w:tcPr>
            <w:tcW w:w="240" w:type="dxa"/>
            <w:vAlign w:val="bottom"/>
            <w:tcBorders>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C.</w:t>
            </w:r>
          </w:p>
        </w:tc>
        <w:tc>
          <w:tcPr>
            <w:tcW w:w="5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l'organe de révision.</w:t>
            </w:r>
          </w:p>
        </w:tc>
        <w:tc>
          <w:tcPr>
            <w:tcW w:w="0" w:type="dxa"/>
            <w:vAlign w:val="bottom"/>
          </w:tcPr>
          <w:p>
            <w:pPr>
              <w:spacing w:after="0"/>
              <w:rPr>
                <w:sz w:val="1"/>
                <w:szCs w:val="1"/>
                <w:color w:val="auto"/>
              </w:rPr>
            </w:pPr>
          </w:p>
        </w:tc>
      </w:tr>
      <w:tr>
        <w:trPr>
          <w:trHeight w:val="63"/>
        </w:trPr>
        <w:tc>
          <w:tcPr>
            <w:tcW w:w="540" w:type="dxa"/>
            <w:vAlign w:val="bottom"/>
            <w:tcBorders>
              <w:left w:val="single" w:sz="8" w:color="auto"/>
              <w:bottom w:val="single" w:sz="8" w:color="auto"/>
            </w:tcBorders>
          </w:tcPr>
          <w:p>
            <w:pPr>
              <w:spacing w:after="0"/>
              <w:rPr>
                <w:sz w:val="5"/>
                <w:szCs w:val="5"/>
                <w:color w:val="auto"/>
              </w:rPr>
            </w:pPr>
          </w:p>
        </w:tc>
        <w:tc>
          <w:tcPr>
            <w:tcW w:w="49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IV.</w:t>
            </w:r>
          </w:p>
        </w:tc>
        <w:tc>
          <w:tcPr>
            <w:tcW w:w="49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THE GENERAL MEETING</w:t>
            </w:r>
          </w:p>
        </w:tc>
        <w:tc>
          <w:tcPr>
            <w:tcW w:w="240" w:type="dxa"/>
            <w:vAlign w:val="bottom"/>
            <w:tcBorders>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IV.</w:t>
            </w:r>
          </w:p>
        </w:tc>
        <w:tc>
          <w:tcPr>
            <w:tcW w:w="50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L'ASSEMBLÉE GÉNÉRALE</w:t>
            </w:r>
          </w:p>
        </w:tc>
        <w:tc>
          <w:tcPr>
            <w:tcW w:w="0" w:type="dxa"/>
            <w:vAlign w:val="bottom"/>
          </w:tcPr>
          <w:p>
            <w:pPr>
              <w:spacing w:after="0"/>
              <w:rPr>
                <w:sz w:val="1"/>
                <w:szCs w:val="1"/>
                <w:color w:val="auto"/>
              </w:rPr>
            </w:pPr>
          </w:p>
        </w:tc>
      </w:tr>
      <w:tr>
        <w:trPr>
          <w:trHeight w:val="55"/>
        </w:trPr>
        <w:tc>
          <w:tcPr>
            <w:tcW w:w="540" w:type="dxa"/>
            <w:vAlign w:val="bottom"/>
            <w:tcBorders>
              <w:left w:val="single" w:sz="8" w:color="auto"/>
              <w:bottom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5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8</w:t>
            </w:r>
          </w:p>
        </w:tc>
        <w:tc>
          <w:tcPr>
            <w:tcW w:w="49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Powers</w:t>
            </w:r>
          </w:p>
        </w:tc>
        <w:tc>
          <w:tcPr>
            <w:tcW w:w="240" w:type="dxa"/>
            <w:vAlign w:val="bottom"/>
            <w:tcBorders>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w w:val="99"/>
              </w:rPr>
              <w:t>Art. 8</w:t>
            </w:r>
          </w:p>
        </w:tc>
        <w:tc>
          <w:tcPr>
            <w:tcW w:w="50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Pouvoirs</w:t>
            </w:r>
          </w:p>
        </w:tc>
        <w:tc>
          <w:tcPr>
            <w:tcW w:w="0" w:type="dxa"/>
            <w:vAlign w:val="bottom"/>
          </w:tcPr>
          <w:p>
            <w:pPr>
              <w:spacing w:after="0"/>
              <w:rPr>
                <w:sz w:val="1"/>
                <w:szCs w:val="1"/>
                <w:color w:val="auto"/>
              </w:rPr>
            </w:pPr>
          </w:p>
        </w:tc>
      </w:tr>
      <w:tr>
        <w:trPr>
          <w:trHeight w:val="36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General Meeting is the supreme body of the Company. It has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L'assemblée générale est le pouvoir suprême de la société. Elle a</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following non delegable powers: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droits intransmissibles suivants:</w:t>
            </w:r>
          </w:p>
        </w:tc>
        <w:tc>
          <w:tcPr>
            <w:tcW w:w="0" w:type="dxa"/>
            <w:vAlign w:val="bottom"/>
          </w:tcPr>
          <w:p>
            <w:pPr>
              <w:spacing w:after="0"/>
              <w:rPr>
                <w:sz w:val="1"/>
                <w:szCs w:val="1"/>
                <w:color w:val="auto"/>
              </w:rPr>
            </w:pPr>
          </w:p>
        </w:tc>
      </w:tr>
      <w:tr>
        <w:trPr>
          <w:trHeight w:val="405"/>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  to adopt and amend the Articles of Association;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   adopter et modifier les statuts;</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   to elect and remove the members of the Board of Directors,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  nommer et révoquer les membres du conseil d'administration, le</w:t>
            </w:r>
          </w:p>
        </w:tc>
        <w:tc>
          <w:tcPr>
            <w:tcW w:w="0" w:type="dxa"/>
            <w:vAlign w:val="bottom"/>
          </w:tcPr>
          <w:p>
            <w:pPr>
              <w:spacing w:after="0"/>
              <w:rPr>
                <w:sz w:val="1"/>
                <w:szCs w:val="1"/>
                <w:color w:val="auto"/>
              </w:rPr>
            </w:pPr>
          </w:p>
        </w:tc>
      </w:tr>
      <w:tr>
        <w:trPr>
          <w:trHeight w:val="202"/>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Chairman  of  the  Board  of  Directors,  the  members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40"/>
              <w:spacing w:after="0" w:line="202" w:lineRule="exact"/>
              <w:rPr>
                <w:sz w:val="20"/>
                <w:szCs w:val="20"/>
                <w:color w:val="auto"/>
              </w:rPr>
            </w:pPr>
            <w:r>
              <w:rPr>
                <w:rFonts w:ascii="Arial" w:cs="Arial" w:eastAsia="Arial" w:hAnsi="Arial"/>
                <w:sz w:val="18"/>
                <w:szCs w:val="18"/>
                <w:color w:val="auto"/>
              </w:rPr>
              <w:t>président du conseil d'administration, les membres du comité</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Compensation,   Nomination  and   Corporate   Governance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40"/>
              <w:spacing w:after="0" w:line="202" w:lineRule="exact"/>
              <w:rPr>
                <w:sz w:val="20"/>
                <w:szCs w:val="20"/>
                <w:color w:val="auto"/>
              </w:rPr>
            </w:pPr>
            <w:r>
              <w:rPr>
                <w:rFonts w:ascii="Arial" w:cs="Arial" w:eastAsia="Arial" w:hAnsi="Arial"/>
                <w:sz w:val="18"/>
                <w:szCs w:val="18"/>
                <w:color w:val="auto"/>
              </w:rPr>
              <w:t>de  rémunération,  de  nomination  et  de  gouvernance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Committee, the Auditors and the Independent Proxy;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40"/>
              <w:spacing w:after="0" w:line="202" w:lineRule="exact"/>
              <w:rPr>
                <w:sz w:val="20"/>
                <w:szCs w:val="20"/>
                <w:color w:val="auto"/>
              </w:rPr>
            </w:pPr>
            <w:r>
              <w:rPr>
                <w:rFonts w:ascii="Arial" w:cs="Arial" w:eastAsia="Arial" w:hAnsi="Arial"/>
                <w:sz w:val="18"/>
                <w:szCs w:val="18"/>
                <w:color w:val="auto"/>
              </w:rPr>
              <w:t>d’entreprise,   l'organe   de   révision   et   le   mandataire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c)  to approve the management report, the annual consolidated and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indépendant;</w:t>
            </w:r>
          </w:p>
        </w:tc>
        <w:tc>
          <w:tcPr>
            <w:tcW w:w="0" w:type="dxa"/>
            <w:vAlign w:val="bottom"/>
          </w:tcPr>
          <w:p>
            <w:pPr>
              <w:spacing w:after="0"/>
              <w:rPr>
                <w:sz w:val="1"/>
                <w:szCs w:val="1"/>
                <w:color w:val="auto"/>
              </w:rPr>
            </w:pPr>
          </w:p>
        </w:tc>
      </w:tr>
      <w:tr>
        <w:trPr>
          <w:trHeight w:val="166"/>
        </w:trPr>
        <w:tc>
          <w:tcPr>
            <w:tcW w:w="5520" w:type="dxa"/>
            <w:vAlign w:val="bottom"/>
            <w:tcBorders>
              <w:left w:val="single" w:sz="8" w:color="auto"/>
              <w:right w:val="single" w:sz="8" w:color="auto"/>
            </w:tcBorders>
            <w:gridSpan w:val="2"/>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stand-alone accounts and other reports legally required, and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   approuver le rapport de gestion, les comptes annuels sur une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determine the allocation of profits, in particular with regard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40"/>
              <w:spacing w:after="0" w:line="202" w:lineRule="exact"/>
              <w:rPr>
                <w:sz w:val="20"/>
                <w:szCs w:val="20"/>
                <w:color w:val="auto"/>
              </w:rPr>
            </w:pPr>
            <w:r>
              <w:rPr>
                <w:rFonts w:ascii="Arial" w:cs="Arial" w:eastAsia="Arial" w:hAnsi="Arial"/>
                <w:sz w:val="18"/>
                <w:szCs w:val="18"/>
                <w:color w:val="auto"/>
              </w:rPr>
              <w:t>base individuelle et consolidés et tous autres rapports requis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dividends;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40"/>
              <w:spacing w:after="0" w:line="202" w:lineRule="exact"/>
              <w:rPr>
                <w:sz w:val="20"/>
                <w:szCs w:val="20"/>
                <w:color w:val="auto"/>
              </w:rPr>
            </w:pPr>
            <w:r>
              <w:rPr>
                <w:rFonts w:ascii="Arial" w:cs="Arial" w:eastAsia="Arial" w:hAnsi="Arial"/>
                <w:sz w:val="18"/>
                <w:szCs w:val="18"/>
                <w:color w:val="auto"/>
              </w:rPr>
              <w:t>par  la  loi  et  déterminer  la  répartition  des  bénéfices,  en</w:t>
            </w:r>
          </w:p>
        </w:tc>
        <w:tc>
          <w:tcPr>
            <w:tcW w:w="0" w:type="dxa"/>
            <w:vAlign w:val="bottom"/>
          </w:tcPr>
          <w:p>
            <w:pPr>
              <w:spacing w:after="0"/>
              <w:rPr>
                <w:sz w:val="1"/>
                <w:szCs w:val="1"/>
                <w:color w:val="auto"/>
              </w:rPr>
            </w:pPr>
          </w:p>
        </w:tc>
      </w:tr>
      <w:tr>
        <w:trPr>
          <w:trHeight w:val="239"/>
        </w:trPr>
        <w:tc>
          <w:tcPr>
            <w:tcW w:w="540" w:type="dxa"/>
            <w:vAlign w:val="bottom"/>
            <w:tcBorders>
              <w:left w:val="single" w:sz="8" w:color="auto"/>
            </w:tcBorders>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particulier en ce qui concerne les dividendes;</w:t>
            </w:r>
          </w:p>
        </w:tc>
        <w:tc>
          <w:tcPr>
            <w:tcW w:w="0" w:type="dxa"/>
            <w:vAlign w:val="bottom"/>
          </w:tcPr>
          <w:p>
            <w:pPr>
              <w:spacing w:after="0"/>
              <w:rPr>
                <w:sz w:val="1"/>
                <w:szCs w:val="1"/>
                <w:color w:val="auto"/>
              </w:rPr>
            </w:pPr>
          </w:p>
        </w:tc>
      </w:tr>
      <w:tr>
        <w:trPr>
          <w:trHeight w:val="63"/>
        </w:trPr>
        <w:tc>
          <w:tcPr>
            <w:tcW w:w="540" w:type="dxa"/>
            <w:vAlign w:val="bottom"/>
            <w:tcBorders>
              <w:left w:val="single" w:sz="8" w:color="auto"/>
              <w:bottom w:val="single" w:sz="8" w:color="auto"/>
            </w:tcBorders>
          </w:tcPr>
          <w:p>
            <w:pPr>
              <w:spacing w:after="0"/>
              <w:rPr>
                <w:sz w:val="5"/>
                <w:szCs w:val="5"/>
                <w:color w:val="auto"/>
              </w:rPr>
            </w:pPr>
          </w:p>
        </w:tc>
        <w:tc>
          <w:tcPr>
            <w:tcW w:w="49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2" w:name="page53"/>
    <w:bookmarkEnd w:id="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10</w:t>
            </w:r>
          </w:p>
        </w:tc>
      </w:tr>
      <w:tr>
        <w:trPr>
          <w:trHeight w:val="293"/>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   to determine the interim dividend and approve the interim</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   fixer  le  dividende  intermédiaire  et  approuver  les  comptes</w:t>
            </w: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account required therefor;</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intermédiaires nécessaires à cet effet;</w:t>
            </w:r>
          </w:p>
        </w:tc>
      </w:tr>
      <w:tr>
        <w:trPr>
          <w:trHeight w:val="405"/>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  to pass resolutions on repaying the statutory capital reserve;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  décider du remboursement de la réserve légale issue du capital</w:t>
            </w: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   to discharge the members of the Board of Directors and of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  donner décharge aux membres du conseil d'administration et au</w:t>
            </w: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Executive Committee;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comité exécutif;</w:t>
            </w:r>
          </w:p>
        </w:tc>
      </w:tr>
      <w:tr>
        <w:trPr>
          <w:trHeight w:val="405"/>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  to delist the securities of the Company;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  procéder à la décotation des titres de participation de la société;</w:t>
            </w: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 to approve the aggregate amounts of compensation of the Board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 approuver les montants globaux des rémunérations du conseil</w:t>
            </w: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of Directors and the Executive Committee in accordance with</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d'administration et du comité exécutif conformément à l'article</w:t>
            </w: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Article 18 of the Articles of Association; and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18 des statuts; et</w:t>
            </w: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  to pass resolutions concerning all matters which are reserved to</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  prendre les décisions sur toutes les affaires qui sont attribuées à</w:t>
            </w: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the authority of the General Meeting by law or by the Articles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l'assemblée générale par la loi ou les statuts.</w:t>
            </w: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Association.</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9   Ordinary General Meeting</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9   Assemblée générale ordinaire</w:t>
            </w:r>
          </w:p>
        </w:tc>
      </w:tr>
      <w:tr>
        <w:trPr>
          <w:trHeight w:val="36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Ordinary General Meeting shall be held annually within six</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L'assemblée générale ordinaire aura lieu chaque année dans les six</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months after the close of the business year. General Meetings are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mois qui suivent la clôture de l'exercice. Les assemblées générales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held at such time and at such physical location, which may be within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sont tenues à la date et au lieu physique, qui peut être en ou hors 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or outside Switzerland, as determined by the Board of Directors.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 Suisse, tel que déterminé par le conseil d'administration. 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Board of Directors may provide that shareholders who are not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conseil  d’administration  peut  prévoir  que  les  actionnaires  non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present at the place of the General Meeting may exercise their rights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présents au lieu de l’assemblée générale puissent exercer leurs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by electronic means and may also order that the General Meeting be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droits  par  des  moyens  électroniques,  également  ordonner  que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held by electronic means without a venue.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l’assemblée générale soit tenue sous forme électronique sans lieu</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 réunion physique.</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10  Extraordinary General Meeting</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10  Assemblée générale extraordinaire</w:t>
            </w:r>
          </w:p>
        </w:tc>
      </w:tr>
      <w:tr>
        <w:trPr>
          <w:trHeight w:val="361"/>
        </w:trPr>
        <w:tc>
          <w:tcPr>
            <w:tcW w:w="5520" w:type="dxa"/>
            <w:vAlign w:val="bottom"/>
            <w:tcBorders>
              <w:left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Les assemblées générales extraordinaires peuvent être convoquées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Extraordinary General Meetings may be called by resolution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par décision de l'assemblée générale, l'organe de révision ou le</w:t>
            </w:r>
          </w:p>
        </w:tc>
      </w:tr>
      <w:tr>
        <w:trPr>
          <w:trHeight w:val="202"/>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the Auditors or the Board of Directors, or by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conseil d'administration, ou par des actionnaires avec droit de vote,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shareholders with voting powers, provided they represent at least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à condition qu'ils représentent au moins 5% du capital-actions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5% of the share capital or of the votes and who submit (a)(1)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des voix et qu'ils soumettent (a) (1) une demande signée par</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request signed by such shareholder(s) that specifies the item(s)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le(s)dit(s) actionnaire(s) qui spécifie les objets à faire figurer sur</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included on the agenda, (2) the respective proposals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l'ordre  du  jour,  (2)  les  propositions  respectives  de  cet  (ces)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shareholder(s)  and  (3)  evidence  of  the  required  shareholdings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actionnaire(s) et (3) la preuve des participations requises inscrites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recorded in the share register and (b) if applicable such other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dans le registre des actions et (b) le cas échéant, les autres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information as would be required to be included in the invitation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informations  qui  doivent  être  mentionnées  dans  l’invitation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pursuant to the rules of the country where the Company's shares are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conformément aux règles du pays où les actions de la société sont</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primarily listed.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principalement cotées.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11  Notice and Agenda of Shareholders' Meetings</w:t>
            </w:r>
          </w:p>
        </w:tc>
        <w:tc>
          <w:tcPr>
            <w:tcW w:w="240" w:type="dxa"/>
            <w:vAlign w:val="bottom"/>
            <w:tcBorders>
              <w:right w:val="single" w:sz="8" w:color="auto"/>
            </w:tcBorders>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Art. 11</w:t>
            </w:r>
          </w:p>
        </w:tc>
        <w:tc>
          <w:tcPr>
            <w:tcW w:w="4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Convocations et ordres du jour des assemblées</w:t>
            </w:r>
          </w:p>
        </w:tc>
        <w:tc>
          <w:tcPr>
            <w:tcW w:w="0" w:type="dxa"/>
            <w:vAlign w:val="bottom"/>
          </w:tcPr>
          <w:p>
            <w:pPr>
              <w:spacing w:after="0"/>
              <w:rPr>
                <w:sz w:val="1"/>
                <w:szCs w:val="1"/>
                <w:color w:val="auto"/>
              </w:rPr>
            </w:pPr>
          </w:p>
        </w:tc>
      </w:tr>
      <w:tr>
        <w:trPr>
          <w:trHeight w:val="247"/>
        </w:trPr>
        <w:tc>
          <w:tcPr>
            <w:tcW w:w="5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Notice of a General Meeting shall be given by the Board of</w:t>
            </w:r>
          </w:p>
        </w:tc>
        <w:tc>
          <w:tcPr>
            <w:tcW w:w="24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860" w:type="dxa"/>
            <w:vAlign w:val="bottom"/>
            <w:tcBorders>
              <w:right w:val="single" w:sz="8" w:color="auto"/>
            </w:tcBorders>
          </w:tcPr>
          <w:p>
            <w:pPr>
              <w:jc w:val="right"/>
              <w:ind w:right="3910"/>
              <w:spacing w:after="0"/>
              <w:rPr>
                <w:sz w:val="20"/>
                <w:szCs w:val="20"/>
                <w:color w:val="auto"/>
              </w:rPr>
            </w:pPr>
            <w:r>
              <w:rPr>
                <w:rFonts w:ascii="Arial" w:cs="Arial" w:eastAsia="Arial" w:hAnsi="Arial"/>
                <w:sz w:val="18"/>
                <w:szCs w:val="18"/>
                <w:b w:val="1"/>
                <w:bCs w:val="1"/>
                <w:color w:val="auto"/>
                <w:w w:val="99"/>
              </w:rPr>
              <w:t>générales</w:t>
            </w:r>
          </w:p>
        </w:tc>
        <w:tc>
          <w:tcPr>
            <w:tcW w:w="0" w:type="dxa"/>
            <w:vAlign w:val="bottom"/>
          </w:tcPr>
          <w:p>
            <w:pPr>
              <w:spacing w:after="0"/>
              <w:rPr>
                <w:sz w:val="1"/>
                <w:szCs w:val="1"/>
                <w:color w:val="auto"/>
              </w:rPr>
            </w:pPr>
          </w:p>
        </w:tc>
      </w:tr>
      <w:tr>
        <w:trPr>
          <w:trHeight w:val="199"/>
        </w:trPr>
        <w:tc>
          <w:tcPr>
            <w:tcW w:w="5520" w:type="dxa"/>
            <w:vAlign w:val="bottom"/>
            <w:tcBorders>
              <w:left w:val="single" w:sz="8" w:color="auto"/>
              <w:right w:val="single" w:sz="8" w:color="auto"/>
            </w:tcBorders>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L'assemblée   générale   est   convoquée   par   le   conseil</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Directors or, if necessary, by the Auditors, not later than twenty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calendar days prior to the date of the General Meeting. Notice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d'administration ou, si nécessaire, par l'organe de révision, au moins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shall be given by way of a one-time announcement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20 jours avant la tenue de l'assemblée générale. La convocation à</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the official means of publication of the Company pursuant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l'assemblée  générale  doit  être  faite  au  moyen  d'une  seule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Article 46 of these Articles of Association. The notice period shall be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publication conformément à l'article 46 de ces statuts. La période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deemed to have been observed if notice of the General Meeting 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préavis  sera  réputée  avoir  été  respectée  si  la  convocation  à</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published in such official means of publication, it being understood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l'assemblée générale est publiée conformément à l'article 46 de ces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that the date of publication shall not be computed in the notice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statuts, étant entendu que la date de publication ne doit pas être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period. Shareholders of record may in addition be informed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calculée  dans  la  période  de  préavis.  Les  actionnaires  inscrits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by ordinary mail or e-mail.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peuvent en outre être informés de l'assemblée générale par courrier</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ordinaire ou par e-mail.</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notice of a General Meeting shall specify (i) the date,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La convocation à l'assemblée générale doit préciser (i) la date,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starting time, the form and the location of the General Meeting, (ii)</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l’heure, la forme et le lieu de l’assemblée générale (ii) les objets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items on the agenda, (iii) the proposals of the Board of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l'ordre  du  jour,  (iii)  les  propositions  du  conseil  d'administration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with a short explanation for these proposals, (iv) if applicable, 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accompagnées d’une motivation succincte pour ces propositions,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shareholders’ proposals with a short explanation of each (v)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(iv)   le   cas   échéant,   les   propositions   des   actionnaires,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name and the address of the independent proxy, and (vi), in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accompagnées d’une motivation succincte, (v) le nom et l’adresse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event of elections, the name(s) of the candidate(s) that has or have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du représentant indépendant, et (vi), dans le cas d'élections, le/les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been put on the ballot for election.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nom(s) du/des candidat(s) qui a ou ont été mis sur le bulletin de vote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pour l'élection.</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Shareholders who represent an aggregate of at least 0.5 percent of</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Les actionnaires qui représentent un total d'au moins 0.5 pour cent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share capital or of the votes may demand that (i) an item be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du capital-actions ou des voix peuvent exiger l’inscription dans la</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placed on the agenda of a General Meeting, and (ii) proposals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convocation à l’assemblée générale (i) d'un objet de l'ordre du jour</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relating to items on the agenda be included in the invitation to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et (ii) des propositions concernant des objets de l’ordre du jour.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Such requests must be made in writing, delivered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telles demandes doivent être faites par écrit et remises ou envoyées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or mailed and received at the registered office of the Company at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et reçues au siège de la société au moins 60 jours avant le premier</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least 60 calendar days before the first anniversary of the date that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anniversaire de la date de la convocation de la dernière assemblée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Company's invitation notice was issued to shareholders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générale ordinaire. Les actionnaires peuvent joindre une explication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connection  with  the  previous  year's  Ordinary  General  Meeting.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succincte à leur demande d’inscription d’un objet à l’ordre du jour ou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Shareholders may submit a brief explanation when requesting an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à  leur  proposition  qui  sera  retranscrite  dans  la  convocation  à</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item to be placed on the agenda or making a proposal to be included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l’assemblée générale. Cette explication doit être brève, claire et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the invitation to the General Meeting. Such statement shall be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concise.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short, clear and concise.</w:t>
            </w:r>
          </w:p>
        </w:tc>
        <w:tc>
          <w:tcPr>
            <w:tcW w:w="24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Each request for inclusion of an item on the agenda or proposal</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Chaque demande d'inscription d'un objet à l'ordre du jour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concerning agenda items must include (i) the name and address, as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proposition relative à un objet à l’ordre du jour doit inclure (i) le nom</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they appear on the Company's register of shareholders,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et l'adresse, tels qu'ils apparaissent dans le registre des actionnaires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shareholder; (ii) the number of shares of the Company which are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 la société, de l'/des actionnaire(s); (ii) le nombre d'actions de la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beneficially owned by such shareholder; (iii) the dates upon which</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société effectivement détenues par (un) tel(s) actionnaire(s); (iii) 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shareholder acquired such shares; and (iv) documentary support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dates d’acquisition de ces actions; (iv) et la base documentaire</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 any claim of beneficial ownership.</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justifiant la propriété effective.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No resolution may be passed at a General Meeting concerning an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Aucune décision ne peut être adoptée lors d'une assemblée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item in relation to which due notice was not given with the exception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générale si un objet n'a pas été inscrit à l'ordre du jour dans le délai</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requests for the convening of an Extraordinary General Meeting,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  préavis  à  l’exception  des  requêtes  de  convocation  d’une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for the initiation of a special investigation and for the election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assemblée générale extraordinaire, d’institution d’un examen spécial</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Auditors.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ou de l’élection des réviseurs.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No advance notice is required to propose motions on duly notified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Aucun préavis n'est nécessaire pour proposer des motions sur 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agenda items or to debate items without passing resolutions.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objets inscrits à l'ordre du jour ou débattre d’objets sans prendre de</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décisions.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4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12  Documentation</w:t>
            </w:r>
          </w:p>
        </w:tc>
        <w:tc>
          <w:tcPr>
            <w:tcW w:w="240" w:type="dxa"/>
            <w:vAlign w:val="bottom"/>
            <w:tcBorders>
              <w:right w:val="single" w:sz="8" w:color="auto"/>
            </w:tcBorders>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Art. 12</w:t>
            </w:r>
          </w:p>
        </w:tc>
        <w:tc>
          <w:tcPr>
            <w:tcW w:w="48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Documents</w:t>
            </w:r>
          </w:p>
        </w:tc>
      </w:tr>
      <w:tr>
        <w:trPr>
          <w:trHeight w:val="36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annual business report, the compensation report, the Auditors'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 rapport de gestion annuel, le rapport de rémunération, le rapport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report and any other reports that require shareholder approval shall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des réviseurs et tout autre rapport nécessitant l’approbation des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published on the Company's website at least 20 days prior to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actionnaires doivent être publiés sur le site internet de la société au</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of the Ordinary General Meeting.</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moins 20 jours avant la date de l'assemblée générale ordinaire.</w:t>
            </w:r>
          </w:p>
        </w:tc>
      </w:tr>
      <w:tr>
        <w:trPr>
          <w:trHeight w:val="266"/>
        </w:trPr>
        <w:tc>
          <w:tcPr>
            <w:tcW w:w="5520" w:type="dxa"/>
            <w:vAlign w:val="bottom"/>
            <w:tcBorders>
              <w:left w:val="single" w:sz="8" w:color="auto"/>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840" w:type="dxa"/>
            <w:vAlign w:val="bottom"/>
            <w:tcBorders>
              <w:bottom w:val="single" w:sz="8" w:color="auto"/>
              <w:right w:val="single" w:sz="8" w:color="auto"/>
            </w:tcBorders>
          </w:tcPr>
          <w:p>
            <w:pPr>
              <w:spacing w:after="0"/>
              <w:rPr>
                <w:sz w:val="23"/>
                <w:szCs w:val="23"/>
                <w:color w:val="auto"/>
              </w:rPr>
            </w:pPr>
          </w:p>
        </w:tc>
      </w:tr>
      <w:tr>
        <w:trPr>
          <w:trHeight w:val="30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13  Meeting of All Shareholders</w:t>
            </w:r>
          </w:p>
        </w:tc>
        <w:tc>
          <w:tcPr>
            <w:tcW w:w="240" w:type="dxa"/>
            <w:vAlign w:val="bottom"/>
            <w:tcBorders>
              <w:right w:val="single" w:sz="8" w:color="auto"/>
            </w:tcBorders>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Art. 13</w:t>
            </w:r>
          </w:p>
        </w:tc>
        <w:tc>
          <w:tcPr>
            <w:tcW w:w="48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Assemblée universelle</w:t>
            </w:r>
          </w:p>
        </w:tc>
      </w:tr>
      <w:tr>
        <w:trPr>
          <w:trHeight w:val="36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Shareholders or their proxies representing all shares issued may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propriétaires ou les représentants de la totalité des actions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hold a General Meeting without observing the formalities required for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peuvent, s'il n'y a pas d'opposition, tenir une assemblée générale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calling a meeting, unless objection is raised. At such a meeting,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sans observer les  formes  prévues  pour  sa  convocation.  Aussi</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discussions may be held and resolutions passed on all matters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longtemps que les propriétaires ou les représentants de la totalité</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within the scope of the powers of a General Meeting for so long as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des actions sont présents, cette assemblée a le droit de délibérer et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shareholders or proxies representing all shares issued are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 statuer valablement sur tous les objets qui sont du ressort de</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present.</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l'assemblée générale.</w:t>
            </w:r>
          </w:p>
        </w:tc>
      </w:tr>
      <w:tr>
        <w:trPr>
          <w:trHeight w:val="266"/>
        </w:trPr>
        <w:tc>
          <w:tcPr>
            <w:tcW w:w="5520" w:type="dxa"/>
            <w:vAlign w:val="bottom"/>
            <w:tcBorders>
              <w:left w:val="single" w:sz="8" w:color="auto"/>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840" w:type="dxa"/>
            <w:vAlign w:val="bottom"/>
            <w:tcBorders>
              <w:bottom w:val="single" w:sz="8" w:color="auto"/>
              <w:right w:val="single" w:sz="8" w:color="auto"/>
            </w:tcBorders>
          </w:tcPr>
          <w:p>
            <w:pPr>
              <w:spacing w:after="0"/>
              <w:rPr>
                <w:sz w:val="23"/>
                <w:szCs w:val="23"/>
                <w:color w:val="auto"/>
              </w:rPr>
            </w:pPr>
          </w:p>
        </w:tc>
      </w:tr>
      <w:tr>
        <w:trPr>
          <w:trHeight w:val="304"/>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14  Chairman and Scrutineers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14  Président et scrutateurs</w:t>
            </w: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Chairman of the Board of Directors shall preside over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L'assemblée générale est présidée par le président du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In  his  absence,  a  member  of  the  Board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En  cas  d'empêchement,  un  autre  membre  du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Directors or another Chairman of the Meeting designated by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conseil  d'administration  ou  un  président  ad  hoc  nommé  par</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General Meeting shall preside.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l'assemblée générale préside celle-ci.</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Chairman of the Meeting shall designate a Secretary and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 président de l'assemblée générale désigne un secrétaire et les</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scrutineers who need not be shareholders.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scrutateurs qui ne doivent pas nécessairement être actionnaires.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15  Minutes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15  Procès-verbal</w:t>
            </w: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Board of Directors is responsible for the keeping of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conseil d'administration est responsable de la tenue du procès-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minutes of the Meeting, which shall state the number, kind, nominal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verbal de l'assemblée, qui doit indiquer le nombre, le type, la valeur</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value of shares represented by the shareholders, by the corporate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nominale des actions représentées par les actionnaires, par 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bodies and by the Independent Proxy and gives information 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organes sociaux et par le représentant indépendant et donne des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resolutions  passed,  elections,  requests  for  information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informations sur les décisions adoptées, les élections, les demandes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information as well as declarations given by the shareholders.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renseignements et les informations ainsi que les déclarations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minutes shall be signed by the Chairman and the Secretary.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faites  par  les  actionnaires.  Le  procès-verbal  est  signé  par  le</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président et le secrétaire.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shareholders may request access to the minutes within 30</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actionnaires ont le droit de demander accès au procès-verbal</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days from the General Meeting.</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dans les 30 jours suivants l’assemblée générale.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16  Right to Vote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16  Droit de vote</w:t>
            </w:r>
          </w:p>
        </w:tc>
      </w:tr>
      <w:tr>
        <w:trPr>
          <w:trHeight w:val="501"/>
        </w:trPr>
        <w:tc>
          <w:tcPr>
            <w:tcW w:w="5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Each share entitles to one vote.</w:t>
            </w:r>
          </w:p>
        </w:tc>
        <w:tc>
          <w:tcPr>
            <w:tcW w:w="24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Chaque action donne droit à une voix.</w:t>
            </w: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Each shareholder may be represented at a General Meeting by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Chaque  actionnaire  peut  se  faire  représenter  à  l'assemblée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any person who is so authorized by a written proxy. A proxy need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générale par toute personne qui est autorisée par une procuration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not be a shareholder.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écrite.  Le  représentant  ne  doit  pas  nécessairement  être  un</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actionnaire.</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Each shareholder may be represented by the Independent Proxy.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Chaque actionnaire peut se faire représenter par le représentant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requirements regarding proxies and instructions are determined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by the Board of Directors.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instructions sont déterminées par le conseil d'administration.</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17 Resolutions and Elections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17  Décisions and élections</w:t>
            </w: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All voting and elections are held openly or electronically. A written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Tous votes et élections sont tenus ouvertement ou par voie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voting or election shall be held if instructed so by the Chairman or if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decided by the General Meeting.</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générale, un vote ou une élection doit être tenu par écrit.</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6" w:name="page57"/>
    <w:bookmarkEnd w:id="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Pr>
          <w:p>
            <w:pPr>
              <w:ind w:left="466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General Meeting shall pass its resolutions and carry out its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Sous réserve des dispositions impératives de la loi ou des statuts,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l'assemblée générale prend ses décisions et procède aux élections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abstentions and empty or invalid votes, unless statutory law or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à  la  majorité  simple  des  voix  émises  sans  tenir  compte  des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Articles of Association state otherwise. In the event of tie votes,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abstentions,  votes  blancs  ou  non-valables,  sauf  dispositions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proposal shall be refused. The Chairman shall not have a casting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contraires impératives de la loi ou des statuts. En cas de partage</w:t>
            </w:r>
          </w:p>
        </w:tc>
        <w:tc>
          <w:tcPr>
            <w:tcW w:w="0" w:type="dxa"/>
            <w:vAlign w:val="bottom"/>
          </w:tcPr>
          <w:p>
            <w:pPr>
              <w:spacing w:after="0"/>
              <w:rPr>
                <w:sz w:val="1"/>
                <w:szCs w:val="1"/>
                <w:color w:val="auto"/>
              </w:rPr>
            </w:pPr>
          </w:p>
        </w:tc>
      </w:tr>
      <w:tr>
        <w:trPr>
          <w:trHeight w:val="203"/>
        </w:trPr>
        <w:tc>
          <w:tcPr>
            <w:tcW w:w="64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vote.</w:t>
            </w:r>
          </w:p>
        </w:tc>
        <w:tc>
          <w:tcPr>
            <w:tcW w:w="4880" w:type="dxa"/>
            <w:vAlign w:val="bottom"/>
            <w:tcBorders>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égal des voix, la proposition sera refusée. Le président n'a pas voix</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prépondérante.</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A resolution of the General Meeting passed by at least two thirds of</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Une décision de l'assemblée générale recueillant au moins les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the  represented  share  votes  and  the  absolute  majority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deux tiers des voix attribuées aux actions représentées et la majorité</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represented shares par value is required for:</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absolue des valeurs nominales représentées est nécessaire pour:</w:t>
            </w:r>
          </w:p>
        </w:tc>
        <w:tc>
          <w:tcPr>
            <w:tcW w:w="0" w:type="dxa"/>
            <w:vAlign w:val="bottom"/>
          </w:tcPr>
          <w:p>
            <w:pPr>
              <w:spacing w:after="0"/>
              <w:rPr>
                <w:sz w:val="1"/>
                <w:szCs w:val="1"/>
                <w:color w:val="auto"/>
              </w:rPr>
            </w:pPr>
          </w:p>
        </w:tc>
      </w:tr>
      <w:tr>
        <w:trPr>
          <w:trHeight w:val="405"/>
        </w:trPr>
        <w:tc>
          <w:tcPr>
            <w:tcW w:w="55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  The cases listed in art. 704 para. 1 CO, i.e.: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  les cas énumérés dans l'art. 704 al. 1 CO, soit :</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8"/>
                <w:szCs w:val="18"/>
                <w:color w:val="auto"/>
              </w:rPr>
              <w:t>(i)  pour la modification du but social;</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rPr>
              <w:t>(i)  the change of the Company purpose;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80" w:type="dxa"/>
            <w:vAlign w:val="bottom"/>
            <w:vMerge w:val="restart"/>
          </w:tcPr>
          <w:p>
            <w:pPr>
              <w:ind w:left="300"/>
              <w:spacing w:after="0"/>
              <w:rPr>
                <w:sz w:val="20"/>
                <w:szCs w:val="20"/>
                <w:color w:val="auto"/>
              </w:rPr>
            </w:pPr>
            <w:r>
              <w:rPr>
                <w:rFonts w:ascii="Arial" w:cs="Arial" w:eastAsia="Arial" w:hAnsi="Arial"/>
                <w:sz w:val="18"/>
                <w:szCs w:val="18"/>
                <w:color w:val="auto"/>
              </w:rPr>
              <w:t>(ii)</w:t>
            </w:r>
          </w:p>
        </w:tc>
        <w:tc>
          <w:tcPr>
            <w:tcW w:w="4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pour la réunion d’actions, pour autant que le consentement</w:t>
            </w:r>
          </w:p>
        </w:tc>
        <w:tc>
          <w:tcPr>
            <w:tcW w:w="0" w:type="dxa"/>
            <w:vAlign w:val="bottom"/>
          </w:tcPr>
          <w:p>
            <w:pPr>
              <w:spacing w:after="0"/>
              <w:rPr>
                <w:sz w:val="1"/>
                <w:szCs w:val="1"/>
                <w:color w:val="auto"/>
              </w:rPr>
            </w:pPr>
          </w:p>
        </w:tc>
      </w:tr>
      <w:tr>
        <w:trPr>
          <w:trHeight w:val="166"/>
        </w:trPr>
        <w:tc>
          <w:tcPr>
            <w:tcW w:w="640" w:type="dxa"/>
            <w:vAlign w:val="bottom"/>
            <w:tcBorders>
              <w:left w:val="single" w:sz="8" w:color="auto"/>
            </w:tcBorders>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80" w:type="dxa"/>
            <w:vAlign w:val="bottom"/>
            <w:vMerge w:val="continue"/>
          </w:tcPr>
          <w:p>
            <w:pPr>
              <w:spacing w:after="0"/>
              <w:rPr>
                <w:sz w:val="14"/>
                <w:szCs w:val="14"/>
                <w:color w:val="auto"/>
              </w:rPr>
            </w:pPr>
          </w:p>
        </w:tc>
        <w:tc>
          <w:tcPr>
            <w:tcW w:w="49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 w:type="dxa"/>
            <w:vAlign w:val="bottom"/>
            <w:tcBorders>
              <w:left w:val="single" w:sz="8" w:color="auto"/>
            </w:tcBorders>
          </w:tcPr>
          <w:p>
            <w:pPr>
              <w:ind w:left="340"/>
              <w:spacing w:after="0" w:line="202" w:lineRule="exact"/>
              <w:rPr>
                <w:sz w:val="20"/>
                <w:szCs w:val="20"/>
                <w:color w:val="auto"/>
              </w:rPr>
            </w:pPr>
            <w:r>
              <w:rPr>
                <w:rFonts w:ascii="Arial" w:cs="Arial" w:eastAsia="Arial" w:hAnsi="Arial"/>
                <w:sz w:val="18"/>
                <w:szCs w:val="18"/>
                <w:color w:val="auto"/>
              </w:rPr>
              <w:t>(ii)</w:t>
            </w:r>
          </w:p>
        </w:tc>
        <w:tc>
          <w:tcPr>
            <w:tcW w:w="4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consolidation of shares, unless the consent of all the</w:t>
            </w:r>
          </w:p>
        </w:tc>
        <w:tc>
          <w:tcPr>
            <w:tcW w:w="2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tous les actionnaires concernés ne soit pas requis;</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shareholders concerned is required;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8"/>
                <w:szCs w:val="18"/>
                <w:color w:val="auto"/>
              </w:rPr>
              <w:t>(iii) pour l’augmentation du capital-actions au moyen des fonds</w:t>
            </w:r>
          </w:p>
        </w:tc>
        <w:tc>
          <w:tcPr>
            <w:tcW w:w="0" w:type="dxa"/>
            <w:vAlign w:val="bottom"/>
          </w:tcPr>
          <w:p>
            <w:pPr>
              <w:spacing w:after="0"/>
              <w:rPr>
                <w:sz w:val="1"/>
                <w:szCs w:val="1"/>
                <w:color w:val="auto"/>
              </w:rPr>
            </w:pPr>
          </w:p>
        </w:tc>
      </w:tr>
      <w:tr>
        <w:trPr>
          <w:trHeight w:val="166"/>
        </w:trPr>
        <w:tc>
          <w:tcPr>
            <w:tcW w:w="640" w:type="dxa"/>
            <w:vAlign w:val="bottom"/>
            <w:tcBorders>
              <w:left w:val="single" w:sz="8" w:color="auto"/>
            </w:tcBorders>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340"/>
              <w:spacing w:after="0" w:line="202" w:lineRule="exact"/>
              <w:rPr>
                <w:sz w:val="20"/>
                <w:szCs w:val="20"/>
                <w:color w:val="auto"/>
              </w:rPr>
            </w:pPr>
            <w:r>
              <w:rPr>
                <w:rFonts w:ascii="Arial" w:cs="Arial" w:eastAsia="Arial" w:hAnsi="Arial"/>
                <w:sz w:val="18"/>
                <w:szCs w:val="18"/>
                <w:color w:val="auto"/>
              </w:rPr>
              <w:t>(iii)   a  capital  increase  from  equity  capital,  in  return  for</w:t>
            </w:r>
          </w:p>
        </w:tc>
        <w:tc>
          <w:tcPr>
            <w:tcW w:w="2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propres, contre apport en nature ou par compensation, et</w:t>
            </w:r>
          </w:p>
        </w:tc>
        <w:tc>
          <w:tcPr>
            <w:tcW w:w="0" w:type="dxa"/>
            <w:vAlign w:val="bottom"/>
          </w:tcPr>
          <w:p>
            <w:pPr>
              <w:spacing w:after="0"/>
              <w:rPr>
                <w:sz w:val="1"/>
                <w:szCs w:val="1"/>
                <w:color w:val="auto"/>
              </w:rPr>
            </w:pPr>
          </w:p>
        </w:tc>
      </w:tr>
      <w:tr>
        <w:trPr>
          <w:trHeight w:val="203"/>
        </w:trPr>
        <w:tc>
          <w:tcPr>
            <w:tcW w:w="64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contributions in kind or by offset with a claim, and the</w:t>
            </w:r>
          </w:p>
        </w:tc>
        <w:tc>
          <w:tcPr>
            <w:tcW w:w="2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pour l’attribution d’avantages particuliers;</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granting of special privileges;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8"/>
                <w:szCs w:val="18"/>
                <w:color w:val="auto"/>
              </w:rPr>
              <w:t>(iv) pour la limitation ou la suppression du droit de souscription</w:t>
            </w:r>
          </w:p>
        </w:tc>
        <w:tc>
          <w:tcPr>
            <w:tcW w:w="0" w:type="dxa"/>
            <w:vAlign w:val="bottom"/>
          </w:tcPr>
          <w:p>
            <w:pPr>
              <w:spacing w:after="0"/>
              <w:rPr>
                <w:sz w:val="1"/>
                <w:szCs w:val="1"/>
                <w:color w:val="auto"/>
              </w:rPr>
            </w:pPr>
          </w:p>
        </w:tc>
      </w:tr>
      <w:tr>
        <w:trPr>
          <w:trHeight w:val="166"/>
        </w:trPr>
        <w:tc>
          <w:tcPr>
            <w:tcW w:w="640" w:type="dxa"/>
            <w:vAlign w:val="bottom"/>
            <w:tcBorders>
              <w:left w:val="single" w:sz="8" w:color="auto"/>
            </w:tcBorders>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(iv)</w:t>
            </w:r>
          </w:p>
        </w:tc>
        <w:tc>
          <w:tcPr>
            <w:tcW w:w="4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restriction or cancellation of the preemptive rights;</w:t>
            </w:r>
          </w:p>
        </w:tc>
        <w:tc>
          <w:tcPr>
            <w:tcW w:w="24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préférentiel;</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(v)  the introduction of conditional capital, or the introduction of</w:t>
            </w:r>
          </w:p>
        </w:tc>
        <w:tc>
          <w:tcPr>
            <w:tcW w:w="240" w:type="dxa"/>
            <w:vAlign w:val="bottom"/>
            <w:tcBorders>
              <w:right w:val="single" w:sz="8" w:color="auto"/>
            </w:tcBorders>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(v)</w:t>
            </w:r>
          </w:p>
        </w:tc>
        <w:tc>
          <w:tcPr>
            <w:tcW w:w="4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pour la création d’un capital conditionnel ou l’institution d’une</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capital band;</w:t>
            </w:r>
          </w:p>
        </w:tc>
        <w:tc>
          <w:tcPr>
            <w:tcW w:w="24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marge de fluctuation du capital;</w:t>
            </w:r>
          </w:p>
        </w:tc>
        <w:tc>
          <w:tcPr>
            <w:tcW w:w="0" w:type="dxa"/>
            <w:vAlign w:val="bottom"/>
          </w:tcPr>
          <w:p>
            <w:pPr>
              <w:spacing w:after="0"/>
              <w:rPr>
                <w:sz w:val="1"/>
                <w:szCs w:val="1"/>
                <w:color w:val="auto"/>
              </w:rPr>
            </w:pPr>
          </w:p>
        </w:tc>
      </w:tr>
      <w:tr>
        <w:trPr>
          <w:trHeight w:val="405"/>
        </w:trPr>
        <w:tc>
          <w:tcPr>
            <w:tcW w:w="6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(vi)</w:t>
            </w:r>
          </w:p>
        </w:tc>
        <w:tc>
          <w:tcPr>
            <w:tcW w:w="4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conversion of participation certificates into shares;</w:t>
            </w:r>
          </w:p>
        </w:tc>
        <w:tc>
          <w:tcPr>
            <w:tcW w:w="240" w:type="dxa"/>
            <w:vAlign w:val="bottom"/>
            <w:tcBorders>
              <w:right w:val="single" w:sz="8" w:color="auto"/>
            </w:tcBorders>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(vi)</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pour la transformation de bons de participation en actions;</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9"/>
              </w:rPr>
              <w:t>(vii) the alleviation or restriction of the transferability of registered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(vii) pour l’atténuation ou la restriction de la transmissibilité des</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24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actions nominatives;</w:t>
            </w:r>
          </w:p>
        </w:tc>
        <w:tc>
          <w:tcPr>
            <w:tcW w:w="0" w:type="dxa"/>
            <w:vAlign w:val="bottom"/>
          </w:tcPr>
          <w:p>
            <w:pPr>
              <w:spacing w:after="0"/>
              <w:rPr>
                <w:sz w:val="1"/>
                <w:szCs w:val="1"/>
                <w:color w:val="auto"/>
              </w:rPr>
            </w:pPr>
          </w:p>
        </w:tc>
      </w:tr>
      <w:tr>
        <w:trPr>
          <w:trHeight w:val="266"/>
        </w:trPr>
        <w:tc>
          <w:tcPr>
            <w:tcW w:w="640" w:type="dxa"/>
            <w:vAlign w:val="bottom"/>
            <w:tcBorders>
              <w:left w:val="single" w:sz="8" w:color="auto"/>
              <w:bottom w:val="single" w:sz="8" w:color="auto"/>
            </w:tcBorders>
          </w:tcPr>
          <w:p>
            <w:pPr>
              <w:spacing w:after="0"/>
              <w:rPr>
                <w:sz w:val="23"/>
                <w:szCs w:val="23"/>
                <w:color w:val="auto"/>
              </w:rPr>
            </w:pPr>
          </w:p>
        </w:tc>
        <w:tc>
          <w:tcPr>
            <w:tcW w:w="48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9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09"/>
        </w:trPr>
        <w:tc>
          <w:tcPr>
            <w:tcW w:w="6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tcPr>
          <w:p>
            <w:pPr>
              <w:ind w:left="46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90"/>
        </w:trPr>
        <w:tc>
          <w:tcPr>
            <w:tcW w:w="578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5780" w:type="dxa"/>
            <w:vAlign w:val="bottom"/>
          </w:tcPr>
          <w:p>
            <w:pPr>
              <w:ind w:left="340"/>
              <w:spacing w:after="0"/>
              <w:rPr>
                <w:sz w:val="20"/>
                <w:szCs w:val="20"/>
                <w:color w:val="auto"/>
              </w:rPr>
            </w:pPr>
            <w:r>
              <w:rPr>
                <w:rFonts w:ascii="Arial" w:cs="Arial" w:eastAsia="Arial" w:hAnsi="Arial"/>
                <w:sz w:val="18"/>
                <w:szCs w:val="18"/>
                <w:color w:val="auto"/>
              </w:rPr>
              <w:t>(viii) the introduction of shares with preferential right to vote;</w:t>
            </w: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(viii) pour l’introduction d’actions à droit de vote privilégié;</w:t>
            </w:r>
          </w:p>
        </w:tc>
        <w:tc>
          <w:tcPr>
            <w:tcW w:w="0" w:type="dxa"/>
            <w:vAlign w:val="bottom"/>
          </w:tcPr>
          <w:p>
            <w:pPr>
              <w:spacing w:after="0"/>
              <w:rPr>
                <w:sz w:val="1"/>
                <w:szCs w:val="1"/>
                <w:color w:val="auto"/>
              </w:rPr>
            </w:pPr>
          </w:p>
        </w:tc>
      </w:tr>
      <w:tr>
        <w:trPr>
          <w:trHeight w:val="369"/>
        </w:trPr>
        <w:tc>
          <w:tcPr>
            <w:tcW w:w="5780" w:type="dxa"/>
            <w:vAlign w:val="bottom"/>
          </w:tcPr>
          <w:p>
            <w:pPr>
              <w:ind w:left="340"/>
              <w:spacing w:after="0"/>
              <w:rPr>
                <w:sz w:val="20"/>
                <w:szCs w:val="20"/>
                <w:color w:val="auto"/>
              </w:rPr>
            </w:pPr>
            <w:r>
              <w:rPr>
                <w:rFonts w:ascii="Arial" w:cs="Arial" w:eastAsia="Arial" w:hAnsi="Arial"/>
                <w:sz w:val="18"/>
                <w:szCs w:val="18"/>
                <w:color w:val="auto"/>
              </w:rPr>
              <w:t>(ix) change in the currency of the equity capital;</w:t>
            </w:r>
          </w:p>
        </w:tc>
        <w:tc>
          <w:tcPr>
            <w:tcW w:w="580" w:type="dxa"/>
            <w:vAlign w:val="bottom"/>
          </w:tcPr>
          <w:p>
            <w:pPr>
              <w:ind w:left="280"/>
              <w:spacing w:after="0"/>
              <w:rPr>
                <w:sz w:val="20"/>
                <w:szCs w:val="20"/>
                <w:color w:val="auto"/>
              </w:rPr>
            </w:pPr>
            <w:r>
              <w:rPr>
                <w:rFonts w:ascii="Arial" w:cs="Arial" w:eastAsia="Arial" w:hAnsi="Arial"/>
                <w:sz w:val="18"/>
                <w:szCs w:val="18"/>
                <w:color w:val="auto"/>
              </w:rPr>
              <w:t>(ix)</w:t>
            </w:r>
          </w:p>
        </w:tc>
        <w:tc>
          <w:tcPr>
            <w:tcW w:w="4880" w:type="dxa"/>
            <w:vAlign w:val="bottom"/>
          </w:tcPr>
          <w:p>
            <w:pPr>
              <w:ind w:left="80"/>
              <w:spacing w:after="0"/>
              <w:rPr>
                <w:sz w:val="20"/>
                <w:szCs w:val="20"/>
                <w:color w:val="auto"/>
              </w:rPr>
            </w:pPr>
            <w:r>
              <w:rPr>
                <w:rFonts w:ascii="Arial" w:cs="Arial" w:eastAsia="Arial" w:hAnsi="Arial"/>
                <w:sz w:val="18"/>
                <w:szCs w:val="18"/>
                <w:color w:val="auto"/>
              </w:rPr>
              <w:t>pour le changement de la monnaie dans laquelle le capital-</w:t>
            </w:r>
          </w:p>
        </w:tc>
        <w:tc>
          <w:tcPr>
            <w:tcW w:w="0" w:type="dxa"/>
            <w:vAlign w:val="bottom"/>
          </w:tcPr>
          <w:p>
            <w:pPr>
              <w:spacing w:after="0"/>
              <w:rPr>
                <w:sz w:val="1"/>
                <w:szCs w:val="1"/>
                <w:color w:val="auto"/>
              </w:rPr>
            </w:pPr>
          </w:p>
        </w:tc>
      </w:tr>
      <w:tr>
        <w:trPr>
          <w:trHeight w:val="239"/>
        </w:trPr>
        <w:tc>
          <w:tcPr>
            <w:tcW w:w="5780" w:type="dxa"/>
            <w:vAlign w:val="bottom"/>
            <w:vMerge w:val="restart"/>
          </w:tcPr>
          <w:p>
            <w:pPr>
              <w:ind w:left="340"/>
              <w:spacing w:after="0"/>
              <w:rPr>
                <w:sz w:val="20"/>
                <w:szCs w:val="20"/>
                <w:color w:val="auto"/>
              </w:rPr>
            </w:pPr>
            <w:r>
              <w:rPr>
                <w:rFonts w:ascii="Arial" w:cs="Arial" w:eastAsia="Arial" w:hAnsi="Arial"/>
                <w:sz w:val="18"/>
                <w:szCs w:val="18"/>
                <w:color w:val="auto"/>
              </w:rPr>
              <w:t>(x)  the introduction of a casting vote for the chair of the General</w:t>
            </w:r>
          </w:p>
        </w:tc>
        <w:tc>
          <w:tcPr>
            <w:tcW w:w="5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actions est fixé;</w:t>
            </w:r>
          </w:p>
        </w:tc>
        <w:tc>
          <w:tcPr>
            <w:tcW w:w="0" w:type="dxa"/>
            <w:vAlign w:val="bottom"/>
          </w:tcPr>
          <w:p>
            <w:pPr>
              <w:spacing w:after="0"/>
              <w:rPr>
                <w:sz w:val="1"/>
                <w:szCs w:val="1"/>
                <w:color w:val="auto"/>
              </w:rPr>
            </w:pPr>
          </w:p>
        </w:tc>
      </w:tr>
      <w:tr>
        <w:trPr>
          <w:trHeight w:val="166"/>
        </w:trPr>
        <w:tc>
          <w:tcPr>
            <w:tcW w:w="57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660"/>
              <w:spacing w:after="0" w:line="202" w:lineRule="exact"/>
              <w:rPr>
                <w:sz w:val="20"/>
                <w:szCs w:val="20"/>
                <w:color w:val="auto"/>
              </w:rPr>
            </w:pPr>
            <w:r>
              <w:rPr>
                <w:rFonts w:ascii="Arial" w:cs="Arial" w:eastAsia="Arial" w:hAnsi="Arial"/>
                <w:sz w:val="18"/>
                <w:szCs w:val="18"/>
                <w:color w:val="auto"/>
              </w:rPr>
              <w:t>Meeting;</w:t>
            </w:r>
          </w:p>
        </w:tc>
        <w:tc>
          <w:tcPr>
            <w:tcW w:w="580" w:type="dxa"/>
            <w:vAlign w:val="bottom"/>
          </w:tcPr>
          <w:p>
            <w:pPr>
              <w:ind w:left="280"/>
              <w:spacing w:after="0" w:line="202" w:lineRule="exact"/>
              <w:rPr>
                <w:sz w:val="20"/>
                <w:szCs w:val="20"/>
                <w:color w:val="auto"/>
              </w:rPr>
            </w:pPr>
            <w:r>
              <w:rPr>
                <w:rFonts w:ascii="Arial" w:cs="Arial" w:eastAsia="Arial" w:hAnsi="Arial"/>
                <w:sz w:val="18"/>
                <w:szCs w:val="18"/>
                <w:color w:val="auto"/>
              </w:rPr>
              <w:t>(x)</w:t>
            </w:r>
          </w:p>
        </w:tc>
        <w:tc>
          <w:tcPr>
            <w:tcW w:w="4880" w:type="dxa"/>
            <w:vAlign w:val="bottom"/>
          </w:tcPr>
          <w:p>
            <w:pPr>
              <w:ind w:left="60"/>
              <w:spacing w:after="0" w:line="202" w:lineRule="exact"/>
              <w:rPr>
                <w:sz w:val="20"/>
                <w:szCs w:val="20"/>
                <w:color w:val="auto"/>
              </w:rPr>
            </w:pPr>
            <w:r>
              <w:rPr>
                <w:rFonts w:ascii="Arial" w:cs="Arial" w:eastAsia="Arial" w:hAnsi="Arial"/>
                <w:sz w:val="18"/>
                <w:szCs w:val="18"/>
                <w:color w:val="auto"/>
              </w:rPr>
              <w:t>pour l’introduction de la voix prépondérante du président à</w:t>
            </w:r>
          </w:p>
        </w:tc>
        <w:tc>
          <w:tcPr>
            <w:tcW w:w="0" w:type="dxa"/>
            <w:vAlign w:val="bottom"/>
          </w:tcPr>
          <w:p>
            <w:pPr>
              <w:spacing w:after="0"/>
              <w:rPr>
                <w:sz w:val="1"/>
                <w:szCs w:val="1"/>
                <w:color w:val="auto"/>
              </w:rPr>
            </w:pPr>
          </w:p>
        </w:tc>
      </w:tr>
      <w:tr>
        <w:trPr>
          <w:trHeight w:val="221"/>
        </w:trPr>
        <w:tc>
          <w:tcPr>
            <w:tcW w:w="5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l’assemblée générale;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-958850</wp:posOffset>
            </wp:positionV>
            <wp:extent cx="7132320" cy="5923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5923280"/>
                    </a:xfrm>
                    <a:prstGeom prst="rect">
                      <a:avLst/>
                    </a:prstGeom>
                    <a:noFill/>
                  </pic:spPr>
                </pic:pic>
              </a:graphicData>
            </a:graphic>
          </wp:anchor>
        </w:drawing>
      </w:r>
    </w:p>
    <w:p>
      <w:pPr>
        <w:ind w:left="780" w:hanging="435"/>
        <w:spacing w:after="0" w:line="234"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provision of the Articles of Association on holding the</w:t>
      </w: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5360" w:type="dxa"/>
            <w:vAlign w:val="bottom"/>
          </w:tcPr>
          <w:p>
            <w:pPr>
              <w:ind w:left="400"/>
              <w:spacing w:after="0" w:line="185" w:lineRule="exact"/>
              <w:rPr>
                <w:sz w:val="20"/>
                <w:szCs w:val="20"/>
                <w:color w:val="auto"/>
              </w:rPr>
            </w:pPr>
            <w:r>
              <w:rPr>
                <w:rFonts w:ascii="Arial" w:cs="Arial" w:eastAsia="Arial" w:hAnsi="Arial"/>
                <w:sz w:val="18"/>
                <w:szCs w:val="18"/>
                <w:color w:val="auto"/>
              </w:rPr>
              <w:t>General Meeting abroad;</w:t>
            </w:r>
          </w:p>
        </w:tc>
        <w:tc>
          <w:tcPr>
            <w:tcW w:w="360" w:type="dxa"/>
            <w:vAlign w:val="bottom"/>
          </w:tcPr>
          <w:p>
            <w:pPr>
              <w:spacing w:after="0"/>
              <w:rPr>
                <w:sz w:val="16"/>
                <w:szCs w:val="16"/>
                <w:color w:val="auto"/>
              </w:rPr>
            </w:pPr>
          </w:p>
        </w:tc>
        <w:tc>
          <w:tcPr>
            <w:tcW w:w="400" w:type="dxa"/>
            <w:vAlign w:val="bottom"/>
          </w:tcPr>
          <w:p>
            <w:pPr>
              <w:ind w:left="80"/>
              <w:spacing w:after="0" w:line="185" w:lineRule="exact"/>
              <w:rPr>
                <w:sz w:val="20"/>
                <w:szCs w:val="20"/>
                <w:color w:val="auto"/>
              </w:rPr>
            </w:pPr>
            <w:r>
              <w:rPr>
                <w:rFonts w:ascii="Arial" w:cs="Arial" w:eastAsia="Arial" w:hAnsi="Arial"/>
                <w:sz w:val="18"/>
                <w:szCs w:val="18"/>
                <w:color w:val="auto"/>
              </w:rPr>
              <w:t>(xi)</w:t>
            </w:r>
          </w:p>
        </w:tc>
        <w:tc>
          <w:tcPr>
            <w:tcW w:w="4860" w:type="dxa"/>
            <w:vAlign w:val="bottom"/>
          </w:tcPr>
          <w:p>
            <w:pPr>
              <w:ind w:left="80"/>
              <w:spacing w:after="0" w:line="185" w:lineRule="exact"/>
              <w:rPr>
                <w:sz w:val="20"/>
                <w:szCs w:val="20"/>
                <w:color w:val="auto"/>
              </w:rPr>
            </w:pPr>
            <w:r>
              <w:rPr>
                <w:rFonts w:ascii="Arial" w:cs="Arial" w:eastAsia="Arial" w:hAnsi="Arial"/>
                <w:sz w:val="18"/>
                <w:szCs w:val="18"/>
                <w:color w:val="auto"/>
              </w:rPr>
              <w:t>pour l’introduction d’une disposition statutaire prévoyant la</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360" w:type="dxa"/>
            <w:vAlign w:val="bottom"/>
            <w:vMerge w:val="restart"/>
          </w:tcPr>
          <w:p>
            <w:pPr>
              <w:ind w:left="80"/>
              <w:spacing w:after="0"/>
              <w:rPr>
                <w:sz w:val="20"/>
                <w:szCs w:val="20"/>
                <w:color w:val="auto"/>
              </w:rPr>
            </w:pPr>
            <w:r>
              <w:rPr>
                <w:rFonts w:ascii="Arial" w:cs="Arial" w:eastAsia="Arial" w:hAnsi="Arial"/>
                <w:sz w:val="18"/>
                <w:szCs w:val="18"/>
                <w:color w:val="auto"/>
              </w:rPr>
              <w:t>(xii) the delisting of the equity securities of the Company;</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tenue de l’assemblée générale à l’étranger;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(xii)</w:t>
            </w:r>
          </w:p>
        </w:tc>
        <w:tc>
          <w:tcPr>
            <w:tcW w:w="4860" w:type="dxa"/>
            <w:vAlign w:val="bottom"/>
            <w:vMerge w:val="restart"/>
          </w:tcPr>
          <w:p>
            <w:pPr>
              <w:ind w:left="80"/>
              <w:spacing w:after="0"/>
              <w:rPr>
                <w:sz w:val="20"/>
                <w:szCs w:val="20"/>
                <w:color w:val="auto"/>
              </w:rPr>
            </w:pPr>
            <w:r>
              <w:rPr>
                <w:rFonts w:ascii="Arial" w:cs="Arial" w:eastAsia="Arial" w:hAnsi="Arial"/>
                <w:sz w:val="18"/>
                <w:szCs w:val="18"/>
                <w:color w:val="auto"/>
              </w:rPr>
              <w:t>pour la décotation des titres de participation de la société;</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360" w:type="dxa"/>
            <w:vAlign w:val="bottom"/>
            <w:vMerge w:val="restart"/>
          </w:tcPr>
          <w:p>
            <w:pPr>
              <w:ind w:left="80"/>
              <w:spacing w:after="0"/>
              <w:rPr>
                <w:sz w:val="20"/>
                <w:szCs w:val="20"/>
                <w:color w:val="auto"/>
              </w:rPr>
            </w:pPr>
            <w:r>
              <w:rPr>
                <w:rFonts w:ascii="Arial" w:cs="Arial" w:eastAsia="Arial" w:hAnsi="Arial"/>
                <w:sz w:val="18"/>
                <w:szCs w:val="18"/>
                <w:color w:val="auto"/>
              </w:rPr>
              <w:t>(xiii) the change of the domicile of the Company;</w:t>
            </w:r>
          </w:p>
        </w:tc>
        <w:tc>
          <w:tcPr>
            <w:tcW w:w="3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5260" w:type="dxa"/>
            <w:vAlign w:val="bottom"/>
            <w:gridSpan w:val="2"/>
            <w:vMerge w:val="restart"/>
          </w:tcPr>
          <w:p>
            <w:pPr>
              <w:ind w:left="80"/>
              <w:spacing w:after="0"/>
              <w:rPr>
                <w:sz w:val="20"/>
                <w:szCs w:val="20"/>
                <w:color w:val="auto"/>
              </w:rPr>
            </w:pPr>
            <w:r>
              <w:rPr>
                <w:rFonts w:ascii="Arial" w:cs="Arial" w:eastAsia="Arial" w:hAnsi="Arial"/>
                <w:sz w:val="18"/>
                <w:szCs w:val="18"/>
                <w:color w:val="auto"/>
              </w:rPr>
              <w:t>(xiii) pour le transfert du siège de la société;</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360" w:type="dxa"/>
            <w:vAlign w:val="bottom"/>
            <w:vMerge w:val="restart"/>
          </w:tcPr>
          <w:p>
            <w:pPr>
              <w:ind w:left="80"/>
              <w:spacing w:after="0"/>
              <w:rPr>
                <w:sz w:val="20"/>
                <w:szCs w:val="20"/>
                <w:color w:val="auto"/>
              </w:rPr>
            </w:pPr>
            <w:r>
              <w:rPr>
                <w:rFonts w:ascii="Arial" w:cs="Arial" w:eastAsia="Arial" w:hAnsi="Arial"/>
                <w:sz w:val="18"/>
                <w:szCs w:val="18"/>
                <w:color w:val="auto"/>
              </w:rPr>
              <w:t>(xiv) the introduction of an arbitration clause in the Articles of</w:t>
            </w:r>
          </w:p>
        </w:tc>
        <w:tc>
          <w:tcPr>
            <w:tcW w:w="360" w:type="dxa"/>
            <w:vAlign w:val="bottom"/>
          </w:tcPr>
          <w:p>
            <w:pPr>
              <w:spacing w:after="0"/>
              <w:rPr>
                <w:sz w:val="17"/>
                <w:szCs w:val="17"/>
                <w:color w:val="auto"/>
              </w:rPr>
            </w:pPr>
          </w:p>
        </w:tc>
        <w:tc>
          <w:tcPr>
            <w:tcW w:w="5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5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Association;</w:t>
            </w:r>
          </w:p>
        </w:tc>
        <w:tc>
          <w:tcPr>
            <w:tcW w:w="360" w:type="dxa"/>
            <w:vAlign w:val="bottom"/>
          </w:tcPr>
          <w:p>
            <w:pPr>
              <w:spacing w:after="0"/>
              <w:rPr>
                <w:sz w:val="20"/>
                <w:szCs w:val="20"/>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(xiv) pour l’introduction d’une clause d’arbitrage dans les statuts;</w:t>
            </w: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(xv) the dissolution of the Company;</w:t>
            </w:r>
          </w:p>
        </w:tc>
        <w:tc>
          <w:tcPr>
            <w:tcW w:w="36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99"/>
              </w:rPr>
              <w:t>(xv)</w:t>
            </w:r>
          </w:p>
        </w:tc>
        <w:tc>
          <w:tcPr>
            <w:tcW w:w="4860" w:type="dxa"/>
            <w:vAlign w:val="bottom"/>
          </w:tcPr>
          <w:p>
            <w:pPr>
              <w:ind w:left="80"/>
              <w:spacing w:after="0"/>
              <w:rPr>
                <w:sz w:val="20"/>
                <w:szCs w:val="20"/>
                <w:color w:val="auto"/>
              </w:rPr>
            </w:pPr>
            <w:r>
              <w:rPr>
                <w:rFonts w:ascii="Arial" w:cs="Arial" w:eastAsia="Arial" w:hAnsi="Arial"/>
                <w:sz w:val="18"/>
                <w:szCs w:val="18"/>
                <w:color w:val="auto"/>
              </w:rPr>
              <w:t>pour la dissolution de la société;</w:t>
            </w:r>
          </w:p>
        </w:tc>
        <w:tc>
          <w:tcPr>
            <w:tcW w:w="0" w:type="dxa"/>
            <w:vAlign w:val="bottom"/>
          </w:tcPr>
          <w:p>
            <w:pPr>
              <w:spacing w:after="0"/>
              <w:rPr>
                <w:sz w:val="1"/>
                <w:szCs w:val="1"/>
                <w:color w:val="auto"/>
              </w:rPr>
            </w:pPr>
          </w:p>
        </w:tc>
      </w:tr>
      <w:tr>
        <w:trPr>
          <w:trHeight w:val="36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  the merger, de-merger or conversion of the Company (subject to</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b)  la fusion, la scission ou la conversion de la société (sous réserve</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mandatory law);</w:t>
            </w:r>
          </w:p>
        </w:tc>
        <w:tc>
          <w:tcPr>
            <w:tcW w:w="360" w:type="dxa"/>
            <w:vAlign w:val="bottom"/>
          </w:tcPr>
          <w:p>
            <w:pPr>
              <w:spacing w:after="0"/>
              <w:rPr>
                <w:sz w:val="20"/>
                <w:szCs w:val="20"/>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des dispositions impératives);</w:t>
            </w:r>
          </w:p>
        </w:tc>
        <w:tc>
          <w:tcPr>
            <w:tcW w:w="0" w:type="dxa"/>
            <w:vAlign w:val="bottom"/>
          </w:tcPr>
          <w:p>
            <w:pPr>
              <w:spacing w:after="0"/>
              <w:rPr>
                <w:sz w:val="1"/>
                <w:szCs w:val="1"/>
                <w:color w:val="auto"/>
              </w:rPr>
            </w:pPr>
          </w:p>
        </w:tc>
      </w:tr>
      <w:tr>
        <w:trPr>
          <w:trHeight w:val="36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   the conversion of registered shares into bearer shares and vice</w:t>
            </w:r>
          </w:p>
        </w:tc>
        <w:tc>
          <w:tcPr>
            <w:tcW w:w="360" w:type="dxa"/>
            <w:vAlign w:val="bottom"/>
          </w:tcPr>
          <w:p>
            <w:pPr>
              <w:ind w:left="120"/>
              <w:spacing w:after="0"/>
              <w:rPr>
                <w:sz w:val="20"/>
                <w:szCs w:val="20"/>
                <w:color w:val="auto"/>
              </w:rPr>
            </w:pPr>
            <w:r>
              <w:rPr>
                <w:rFonts w:ascii="Arial" w:cs="Arial" w:eastAsia="Arial" w:hAnsi="Arial"/>
                <w:sz w:val="18"/>
                <w:szCs w:val="18"/>
                <w:color w:val="auto"/>
              </w:rPr>
              <w:t>c)</w:t>
            </w:r>
          </w:p>
        </w:tc>
        <w:tc>
          <w:tcPr>
            <w:tcW w:w="5260" w:type="dxa"/>
            <w:vAlign w:val="bottom"/>
            <w:gridSpan w:val="2"/>
          </w:tcPr>
          <w:p>
            <w:pPr>
              <w:ind w:left="240"/>
              <w:spacing w:after="0"/>
              <w:rPr>
                <w:sz w:val="20"/>
                <w:szCs w:val="20"/>
                <w:color w:val="auto"/>
              </w:rPr>
            </w:pPr>
            <w:r>
              <w:rPr>
                <w:rFonts w:ascii="Arial" w:cs="Arial" w:eastAsia="Arial" w:hAnsi="Arial"/>
                <w:sz w:val="18"/>
                <w:szCs w:val="18"/>
                <w:color w:val="auto"/>
              </w:rPr>
              <w:t>la conversion d'actions nominatives en actions au porteur et</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versa; and</w:t>
            </w:r>
          </w:p>
        </w:tc>
        <w:tc>
          <w:tcPr>
            <w:tcW w:w="360" w:type="dxa"/>
            <w:vAlign w:val="bottom"/>
          </w:tcPr>
          <w:p>
            <w:pPr>
              <w:spacing w:after="0"/>
              <w:rPr>
                <w:sz w:val="20"/>
                <w:szCs w:val="20"/>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vice versa; et</w:t>
            </w:r>
          </w:p>
        </w:tc>
        <w:tc>
          <w:tcPr>
            <w:tcW w:w="0" w:type="dxa"/>
            <w:vAlign w:val="bottom"/>
          </w:tcPr>
          <w:p>
            <w:pPr>
              <w:spacing w:after="0"/>
              <w:rPr>
                <w:sz w:val="1"/>
                <w:szCs w:val="1"/>
                <w:color w:val="auto"/>
              </w:rPr>
            </w:pPr>
          </w:p>
        </w:tc>
      </w:tr>
      <w:tr>
        <w:trPr>
          <w:trHeight w:val="36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   the amendment or elimination of the provisions of Article 4 and</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  la modification ou la suppression des dispositions des articles 4</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29 of the Articles of Association as well as those contained in</w:t>
            </w:r>
          </w:p>
        </w:tc>
        <w:tc>
          <w:tcPr>
            <w:tcW w:w="360" w:type="dxa"/>
            <w:vAlign w:val="bottom"/>
          </w:tcPr>
          <w:p>
            <w:pPr>
              <w:spacing w:after="0"/>
              <w:rPr>
                <w:sz w:val="17"/>
                <w:szCs w:val="17"/>
                <w:color w:val="auto"/>
              </w:rPr>
            </w:pPr>
          </w:p>
        </w:tc>
        <w:tc>
          <w:tcPr>
            <w:tcW w:w="52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et 29 des statuts ainsi que ceux contenues dans le présent</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this Article 17.</w:t>
            </w:r>
          </w:p>
        </w:tc>
        <w:tc>
          <w:tcPr>
            <w:tcW w:w="360" w:type="dxa"/>
            <w:vAlign w:val="bottom"/>
          </w:tcPr>
          <w:p>
            <w:pPr>
              <w:spacing w:after="0"/>
              <w:rPr>
                <w:sz w:val="20"/>
                <w:szCs w:val="20"/>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article 17.</w:t>
            </w:r>
          </w:p>
        </w:tc>
        <w:tc>
          <w:tcPr>
            <w:tcW w:w="0" w:type="dxa"/>
            <w:vAlign w:val="bottom"/>
          </w:tcPr>
          <w:p>
            <w:pPr>
              <w:spacing w:after="0"/>
              <w:rPr>
                <w:sz w:val="1"/>
                <w:szCs w:val="1"/>
                <w:color w:val="auto"/>
              </w:rPr>
            </w:pPr>
          </w:p>
        </w:tc>
      </w:tr>
      <w:tr>
        <w:trPr>
          <w:trHeight w:val="266"/>
        </w:trPr>
        <w:tc>
          <w:tcPr>
            <w:tcW w:w="5620" w:type="dxa"/>
            <w:vAlign w:val="bottom"/>
            <w:tcBorders>
              <w:bottom w:val="single" w:sz="8" w:color="auto"/>
            </w:tcBorders>
            <w:gridSpan w:val="2"/>
          </w:tcPr>
          <w:p>
            <w:pPr>
              <w:spacing w:after="0"/>
              <w:rPr>
                <w:sz w:val="23"/>
                <w:szCs w:val="23"/>
                <w:color w:val="auto"/>
              </w:rPr>
            </w:pPr>
          </w:p>
        </w:tc>
        <w:tc>
          <w:tcPr>
            <w:tcW w:w="5620" w:type="dxa"/>
            <w:vAlign w:val="bottom"/>
            <w:tcBorders>
              <w:bottom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Art. 18  Votes on Compensation</w:t>
            </w:r>
          </w:p>
        </w:tc>
        <w:tc>
          <w:tcPr>
            <w:tcW w:w="562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 18  Votes sur la rémunération</w:t>
            </w:r>
          </w:p>
        </w:tc>
        <w:tc>
          <w:tcPr>
            <w:tcW w:w="0" w:type="dxa"/>
            <w:vAlign w:val="bottom"/>
          </w:tcPr>
          <w:p>
            <w:pPr>
              <w:spacing w:after="0"/>
              <w:rPr>
                <w:sz w:val="1"/>
                <w:szCs w:val="1"/>
                <w:color w:val="auto"/>
              </w:rPr>
            </w:pPr>
          </w:p>
        </w:tc>
      </w:tr>
      <w:tr>
        <w:trPr>
          <w:trHeight w:val="401"/>
        </w:trPr>
        <w:tc>
          <w:tcPr>
            <w:tcW w:w="5620" w:type="dxa"/>
            <w:vAlign w:val="bottom"/>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General Meeting shall approve annually and separately the</w:t>
            </w:r>
          </w:p>
        </w:tc>
        <w:tc>
          <w:tcPr>
            <w:tcW w:w="5620" w:type="dxa"/>
            <w:vAlign w:val="bottom"/>
            <w:gridSpan w:val="3"/>
          </w:tcPr>
          <w:p>
            <w:pPr>
              <w:ind w:left="1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L'assemblée générale approuve annuellement et séparément les</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proposals of the Board of Directors in relation to the maximum</w:t>
            </w:r>
          </w:p>
        </w:tc>
        <w:tc>
          <w:tcPr>
            <w:tcW w:w="5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propositions du conseil d’administration relatives au montant global</w:t>
            </w:r>
          </w:p>
        </w:tc>
        <w:tc>
          <w:tcPr>
            <w:tcW w:w="0" w:type="dxa"/>
            <w:vAlign w:val="bottom"/>
          </w:tcPr>
          <w:p>
            <w:pPr>
              <w:spacing w:after="0"/>
              <w:rPr>
                <w:sz w:val="1"/>
                <w:szCs w:val="1"/>
                <w:color w:val="auto"/>
              </w:rPr>
            </w:pP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aggregate amount of:</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maximal de:</w:t>
            </w:r>
          </w:p>
        </w:tc>
        <w:tc>
          <w:tcPr>
            <w:tcW w:w="0" w:type="dxa"/>
            <w:vAlign w:val="bottom"/>
          </w:tcPr>
          <w:p>
            <w:pPr>
              <w:spacing w:after="0"/>
              <w:rPr>
                <w:sz w:val="1"/>
                <w:szCs w:val="1"/>
                <w:color w:val="auto"/>
              </w:rPr>
            </w:pPr>
          </w:p>
        </w:tc>
      </w:tr>
      <w:tr>
        <w:trPr>
          <w:trHeight w:val="36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   compensation of the Board of Directors for the period until the</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a)  la rémunération du conseil d'administration pour la période allant</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next Ordinary General Meeting;</w:t>
            </w:r>
          </w:p>
        </w:tc>
        <w:tc>
          <w:tcPr>
            <w:tcW w:w="360" w:type="dxa"/>
            <w:vAlign w:val="bottom"/>
          </w:tcPr>
          <w:p>
            <w:pPr>
              <w:spacing w:after="0"/>
              <w:rPr>
                <w:sz w:val="20"/>
                <w:szCs w:val="20"/>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jusqu'à l'assemblée générale ordinaire suivante;</w:t>
            </w:r>
          </w:p>
        </w:tc>
        <w:tc>
          <w:tcPr>
            <w:tcW w:w="0" w:type="dxa"/>
            <w:vAlign w:val="bottom"/>
          </w:tcPr>
          <w:p>
            <w:pPr>
              <w:spacing w:after="0"/>
              <w:rPr>
                <w:sz w:val="1"/>
                <w:szCs w:val="1"/>
                <w:color w:val="auto"/>
              </w:rPr>
            </w:pPr>
          </w:p>
        </w:tc>
      </w:tr>
      <w:tr>
        <w:trPr>
          <w:trHeight w:val="369"/>
        </w:trPr>
        <w:tc>
          <w:tcPr>
            <w:tcW w:w="260" w:type="dxa"/>
            <w:vAlign w:val="bottom"/>
          </w:tcPr>
          <w:p>
            <w:pPr>
              <w:ind w:left="20"/>
              <w:spacing w:after="0"/>
              <w:rPr>
                <w:sz w:val="20"/>
                <w:szCs w:val="20"/>
                <w:color w:val="auto"/>
              </w:rPr>
            </w:pPr>
            <w:r>
              <w:rPr>
                <w:rFonts w:ascii="Arial" w:cs="Arial" w:eastAsia="Arial" w:hAnsi="Arial"/>
                <w:sz w:val="18"/>
                <w:szCs w:val="18"/>
                <w:color w:val="auto"/>
              </w:rPr>
              <w:t>b)</w:t>
            </w:r>
          </w:p>
        </w:tc>
        <w:tc>
          <w:tcPr>
            <w:tcW w:w="5360" w:type="dxa"/>
            <w:vAlign w:val="bottom"/>
          </w:tcPr>
          <w:p>
            <w:pPr>
              <w:ind w:left="280"/>
              <w:spacing w:after="0"/>
              <w:rPr>
                <w:sz w:val="20"/>
                <w:szCs w:val="20"/>
                <w:color w:val="auto"/>
              </w:rPr>
            </w:pPr>
            <w:r>
              <w:rPr>
                <w:rFonts w:ascii="Arial" w:cs="Arial" w:eastAsia="Arial" w:hAnsi="Arial"/>
                <w:sz w:val="18"/>
                <w:szCs w:val="18"/>
                <w:color w:val="auto"/>
              </w:rPr>
              <w:t>compensation of the Executive Committee for the following</w:t>
            </w:r>
          </w:p>
        </w:tc>
        <w:tc>
          <w:tcPr>
            <w:tcW w:w="360" w:type="dxa"/>
            <w:vAlign w:val="bottom"/>
          </w:tcPr>
          <w:p>
            <w:pPr>
              <w:ind w:left="120"/>
              <w:spacing w:after="0"/>
              <w:rPr>
                <w:sz w:val="20"/>
                <w:szCs w:val="20"/>
                <w:color w:val="auto"/>
              </w:rPr>
            </w:pPr>
            <w:r>
              <w:rPr>
                <w:rFonts w:ascii="Arial" w:cs="Arial" w:eastAsia="Arial" w:hAnsi="Arial"/>
                <w:sz w:val="18"/>
                <w:szCs w:val="18"/>
                <w:color w:val="auto"/>
              </w:rPr>
              <w:t>b)</w:t>
            </w:r>
          </w:p>
        </w:tc>
        <w:tc>
          <w:tcPr>
            <w:tcW w:w="5260" w:type="dxa"/>
            <w:vAlign w:val="bottom"/>
            <w:gridSpan w:val="2"/>
          </w:tcPr>
          <w:p>
            <w:pPr>
              <w:ind w:left="260"/>
              <w:spacing w:after="0"/>
              <w:rPr>
                <w:sz w:val="20"/>
                <w:szCs w:val="20"/>
                <w:color w:val="auto"/>
              </w:rPr>
            </w:pPr>
            <w:r>
              <w:rPr>
                <w:rFonts w:ascii="Arial" w:cs="Arial" w:eastAsia="Arial" w:hAnsi="Arial"/>
                <w:sz w:val="18"/>
                <w:szCs w:val="18"/>
                <w:color w:val="auto"/>
              </w:rPr>
              <w:t>la rémunération du comité exécutif pour l’exercice annuel</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financial year.</w:t>
            </w:r>
          </w:p>
        </w:tc>
        <w:tc>
          <w:tcPr>
            <w:tcW w:w="360" w:type="dxa"/>
            <w:vAlign w:val="bottom"/>
          </w:tcPr>
          <w:p>
            <w:pPr>
              <w:spacing w:after="0"/>
              <w:rPr>
                <w:sz w:val="20"/>
                <w:szCs w:val="20"/>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suivant.</w:t>
            </w:r>
          </w:p>
        </w:tc>
        <w:tc>
          <w:tcPr>
            <w:tcW w:w="0" w:type="dxa"/>
            <w:vAlign w:val="bottom"/>
          </w:tcPr>
          <w:p>
            <w:pPr>
              <w:spacing w:after="0"/>
              <w:rPr>
                <w:sz w:val="1"/>
                <w:szCs w:val="1"/>
                <w:color w:val="auto"/>
              </w:rPr>
            </w:pPr>
          </w:p>
        </w:tc>
      </w:tr>
      <w:tr>
        <w:trPr>
          <w:trHeight w:val="64"/>
        </w:trPr>
        <w:tc>
          <w:tcPr>
            <w:tcW w:w="5620" w:type="dxa"/>
            <w:vAlign w:val="bottom"/>
            <w:tcBorders>
              <w:bottom w:val="single" w:sz="8" w:color="auto"/>
            </w:tcBorders>
            <w:gridSpan w:val="2"/>
          </w:tcPr>
          <w:p>
            <w:pPr>
              <w:spacing w:after="0"/>
              <w:rPr>
                <w:sz w:val="5"/>
                <w:szCs w:val="5"/>
                <w:color w:val="auto"/>
              </w:rPr>
            </w:pPr>
          </w:p>
        </w:tc>
        <w:tc>
          <w:tcPr>
            <w:tcW w:w="562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620" w:type="dxa"/>
            <w:vAlign w:val="bottom"/>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total compensation amount for the Executive Committee</w:t>
            </w:r>
          </w:p>
        </w:tc>
        <w:tc>
          <w:tcPr>
            <w:tcW w:w="5620" w:type="dxa"/>
            <w:vAlign w:val="bottom"/>
            <w:gridSpan w:val="3"/>
          </w:tcPr>
          <w:p>
            <w:pPr>
              <w:ind w:left="1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 montant total de rémunération du comité exécutif comprend les</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includes pension contributions for the benefit of the members of the</w:t>
            </w:r>
          </w:p>
        </w:tc>
        <w:tc>
          <w:tcPr>
            <w:tcW w:w="5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cotisations de retraite professionnelle au profit des membres du</w:t>
            </w:r>
          </w:p>
        </w:tc>
        <w:tc>
          <w:tcPr>
            <w:tcW w:w="0" w:type="dxa"/>
            <w:vAlign w:val="bottom"/>
          </w:tcPr>
          <w:p>
            <w:pPr>
              <w:spacing w:after="0"/>
              <w:rPr>
                <w:sz w:val="1"/>
                <w:szCs w:val="1"/>
                <w:color w:val="auto"/>
              </w:rPr>
            </w:pP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Executive Committee.</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comité exécutif.</w:t>
            </w:r>
          </w:p>
        </w:tc>
        <w:tc>
          <w:tcPr>
            <w:tcW w:w="0" w:type="dxa"/>
            <w:vAlign w:val="bottom"/>
          </w:tcPr>
          <w:p>
            <w:pPr>
              <w:spacing w:after="0"/>
              <w:rPr>
                <w:sz w:val="1"/>
                <w:szCs w:val="1"/>
                <w:color w:val="auto"/>
              </w:rPr>
            </w:pPr>
          </w:p>
        </w:tc>
      </w:tr>
      <w:tr>
        <w:trPr>
          <w:trHeight w:val="793"/>
        </w:trPr>
        <w:tc>
          <w:tcPr>
            <w:tcW w:w="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If the General Meeting refuses to approve a respective proposal by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Si  l'assemblée  générale  refuse  d'approuver  une  proposition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Board of Directors, the Board of Directors may either submit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soumise par le conseil d'administration, le conseil d'administration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new proposal at the same meeting or determine a maximum total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peut, soit présenter une nouvelle proposition à la même séance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remuneration or several maximum partial remunerations, subject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déterminer  une  rémunération  maximale  totale  ou  plusieurs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relevant  principles  of  the  compensation,  or  submit  a  new</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rémunérations maximales partielles, sous réserve des principes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proposal to the next General Meeting for approval. The Company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concernant la rémunération, soit soumettre une nouvelle proposition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may pay remunerations within the framework of the maximum total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à la prochaine assemblée générale pour approbation. La société</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 partial remuneration and subject to the approval by the General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peut verser des rémunérations dans le cadre de la rémunération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Meeting.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maximale totale ou partielle et sous réserve de l'approbation par</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l'assemblée générale.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The Board of Directors shall submit the compensation report to an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w w:val="99"/>
                <w:vertAlign w:val="superscript"/>
              </w:rPr>
              <w:t>4</w:t>
            </w:r>
            <w:r>
              <w:rPr>
                <w:rFonts w:ascii="Arial" w:cs="Arial" w:eastAsia="Arial" w:hAnsi="Arial"/>
                <w:sz w:val="18"/>
                <w:szCs w:val="18"/>
                <w:color w:val="auto"/>
                <w:w w:val="99"/>
              </w:rPr>
              <w:t xml:space="preserve"> Le conseil d'administration soumet le rapport de rémunération à un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advisory vote of the General Meeting if variable remuneration 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vote consultatif de l'assemblée générale en cas de vote prospectif</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voted on prospectively.</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sur une rémunération variable.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19  Independent Proxy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19  Représentant indépendant</w:t>
            </w:r>
          </w:p>
        </w:tc>
      </w:tr>
      <w:tr>
        <w:trPr>
          <w:trHeight w:val="36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Independent Proxy shall be elected by the Ordinary General</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  représentant  indépendant  est  élu  par  l'assemblée  générale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Meeting for a term of one year until the end of the next Ordinary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ordinaire pour une durée d'un an jusqu'à la fin de la prochaine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Re-election is permitted. The Independent Proxy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informs the Company about number, type, par value and category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représentant indépendant informe la société sur le nombre, le type,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represented shares. The Chairman of the Board discloses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 valeur nominale et la catégorie des actions représentées. 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information  to  the  General  Meeting.  The  other  duties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président du conseil d'administration communique ces informations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Independent  Proxy  are  determined  by  the  applicable  statutory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à  l'assemblée  générale.  Les  autres  fonctions  du  représentant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provisions.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indépendant  sont  déterminées  par  les  dispositions  statutaires</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applicables.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9" w:name="page60"/>
    <w:bookmarkEnd w:id="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90"/>
        </w:trPr>
        <w:tc>
          <w:tcPr>
            <w:tcW w:w="66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303"/>
        </w:trPr>
        <w:tc>
          <w:tcPr>
            <w:tcW w:w="6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V.</w:t>
            </w:r>
          </w:p>
        </w:tc>
        <w:tc>
          <w:tcPr>
            <w:tcW w:w="4860" w:type="dxa"/>
            <w:vAlign w:val="bottom"/>
            <w:tcBorders>
              <w:right w:val="single" w:sz="8" w:color="auto"/>
            </w:tcBorders>
          </w:tcPr>
          <w:p>
            <w:pPr>
              <w:jc w:val="right"/>
              <w:ind w:right="2630"/>
              <w:spacing w:after="0"/>
              <w:rPr>
                <w:sz w:val="20"/>
                <w:szCs w:val="20"/>
                <w:color w:val="auto"/>
              </w:rPr>
            </w:pPr>
            <w:r>
              <w:rPr>
                <w:rFonts w:ascii="Arial" w:cs="Arial" w:eastAsia="Arial" w:hAnsi="Arial"/>
                <w:sz w:val="18"/>
                <w:szCs w:val="18"/>
                <w:b w:val="1"/>
                <w:bCs w:val="1"/>
                <w:color w:val="auto"/>
              </w:rPr>
              <w:t>BOARD OF DIRECTORS</w:t>
            </w:r>
          </w:p>
        </w:tc>
        <w:tc>
          <w:tcPr>
            <w:tcW w:w="240" w:type="dxa"/>
            <w:vAlign w:val="bottom"/>
            <w:tcBorders>
              <w:right w:val="single" w:sz="8" w:color="auto"/>
            </w:tcBorders>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V.</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CONSEIL D'ADMINISTRATION</w:t>
            </w:r>
          </w:p>
        </w:tc>
      </w:tr>
      <w:tr>
        <w:trPr>
          <w:trHeight w:val="56"/>
        </w:trPr>
        <w:tc>
          <w:tcPr>
            <w:tcW w:w="5520" w:type="dxa"/>
            <w:vAlign w:val="bottom"/>
            <w:tcBorders>
              <w:left w:val="single" w:sz="8" w:color="auto"/>
              <w:bottom w:val="single" w:sz="8" w:color="auto"/>
              <w:right w:val="single" w:sz="8" w:color="auto"/>
            </w:tcBorders>
            <w:gridSpan w:val="2"/>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302"/>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20  Number of Members, Term of Office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20  Nombre de membres, durée de la fonction</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w w:val="99"/>
                <w:vertAlign w:val="superscript"/>
              </w:rPr>
              <w:t>1</w:t>
            </w:r>
            <w:r>
              <w:rPr>
                <w:rFonts w:ascii="Arial" w:cs="Arial" w:eastAsia="Arial" w:hAnsi="Arial"/>
                <w:sz w:val="18"/>
                <w:szCs w:val="18"/>
                <w:color w:val="auto"/>
                <w:w w:val="99"/>
              </w:rPr>
              <w:t xml:space="preserve"> The Board of Directors shall consist of at least 3 and not more than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conseil d'administration se compose d'au minimum 3 et au</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9  members. This  maximum  number  may be  exceeded  if  it 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maximum 9 membres. Ce nombre maximum pourra être dépassé s’il</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necessary  to  satisfy   nationality,   residency   and/or  gender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est nécessaire de satisfaire à des conditions de nationalités, de</w:t>
            </w:r>
          </w:p>
        </w:tc>
      </w:tr>
      <w:tr>
        <w:trPr>
          <w:trHeight w:val="202"/>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requirements under Swiss or foreign laws. The chairman and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résidences ou de genres selon le droit suisse ou étranger. Le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members of the Board of Directors are individually elected by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président et les membres du conseil d'administration sont élus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General Meeting for a term of one year until the end of the next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individuellement par l'assemblée générale pour un mandat d'un an</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w w:val="99"/>
              </w:rPr>
              <w:t>Ordinary General Meeting, provided that he/she does not resign or 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jusqu'à la fin de la prochaine assemblée générale ordinaire, à</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not replaced during his/her term.</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condition qu'il/elle ne démissionne pas ou ne soit pas remplacé(e)</w:t>
            </w:r>
          </w:p>
        </w:tc>
      </w:tr>
      <w:tr>
        <w:trPr>
          <w:trHeight w:val="239"/>
        </w:trPr>
        <w:tc>
          <w:tcPr>
            <w:tcW w:w="660" w:type="dxa"/>
            <w:vAlign w:val="bottom"/>
            <w:tcBorders>
              <w:left w:val="single" w:sz="8" w:color="auto"/>
            </w:tcBorders>
          </w:tcPr>
          <w:p>
            <w:pPr>
              <w:spacing w:after="0"/>
              <w:rPr>
                <w:sz w:val="20"/>
                <w:szCs w:val="20"/>
                <w:color w:val="auto"/>
              </w:rPr>
            </w:pPr>
          </w:p>
        </w:tc>
        <w:tc>
          <w:tcPr>
            <w:tcW w:w="486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durant son mandat.</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members of the Board of Directors may be re-elected without</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membres du conseil d'administration peuvent être réélus sans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limitation. The maximum age limit of members of the Board shall be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limitation. La limite d’âge des membres du conseil d'administration</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75 years. When a member of the Board of Directors reaches this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est fixée à 75 ans. Lorsqu'un membre du conseil d'administration</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age limit during his term of office, such term shall automatically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atteint cette limite d'âge durant son mandat, ledit mandat sera</w:t>
            </w:r>
          </w:p>
        </w:tc>
      </w:tr>
      <w:tr>
        <w:trPr>
          <w:trHeight w:val="202"/>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extend to the next Ordinary General Meeting. The General Meeting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automatiquement prolongé jusqu'à la prochaine assemblée générale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may resolve to grant an exception to the age limit.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ordinaire.  L'assemblée  générale  peut  décider  d'accorder  une</w:t>
            </w:r>
          </w:p>
        </w:tc>
      </w:tr>
      <w:tr>
        <w:trPr>
          <w:trHeight w:val="239"/>
        </w:trPr>
        <w:tc>
          <w:tcPr>
            <w:tcW w:w="660" w:type="dxa"/>
            <w:vAlign w:val="bottom"/>
            <w:tcBorders>
              <w:left w:val="single" w:sz="8" w:color="auto"/>
            </w:tcBorders>
          </w:tcPr>
          <w:p>
            <w:pPr>
              <w:spacing w:after="0"/>
              <w:rPr>
                <w:sz w:val="20"/>
                <w:szCs w:val="20"/>
                <w:color w:val="auto"/>
              </w:rPr>
            </w:pPr>
          </w:p>
        </w:tc>
        <w:tc>
          <w:tcPr>
            <w:tcW w:w="486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dérogation à la limite d'âge.</w:t>
            </w:r>
          </w:p>
        </w:tc>
      </w:tr>
      <w:tr>
        <w:trPr>
          <w:trHeight w:val="63"/>
        </w:trPr>
        <w:tc>
          <w:tcPr>
            <w:tcW w:w="660" w:type="dxa"/>
            <w:vAlign w:val="bottom"/>
            <w:tcBorders>
              <w:left w:val="single" w:sz="8" w:color="auto"/>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r>
      <w:tr>
        <w:trPr>
          <w:trHeight w:val="302"/>
        </w:trPr>
        <w:tc>
          <w:tcPr>
            <w:tcW w:w="6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21</w:t>
            </w:r>
          </w:p>
        </w:tc>
        <w:tc>
          <w:tcPr>
            <w:tcW w:w="4860" w:type="dxa"/>
            <w:vAlign w:val="bottom"/>
            <w:tcBorders>
              <w:right w:val="single" w:sz="8" w:color="auto"/>
            </w:tcBorders>
          </w:tcPr>
          <w:p>
            <w:pPr>
              <w:jc w:val="right"/>
              <w:ind w:right="3530"/>
              <w:spacing w:after="0"/>
              <w:rPr>
                <w:sz w:val="20"/>
                <w:szCs w:val="20"/>
                <w:color w:val="auto"/>
              </w:rPr>
            </w:pPr>
            <w:r>
              <w:rPr>
                <w:rFonts w:ascii="Arial" w:cs="Arial" w:eastAsia="Arial" w:hAnsi="Arial"/>
                <w:sz w:val="18"/>
                <w:szCs w:val="18"/>
                <w:b w:val="1"/>
                <w:bCs w:val="1"/>
                <w:color w:val="auto"/>
              </w:rPr>
              <w:t>Constitution</w:t>
            </w:r>
          </w:p>
        </w:tc>
        <w:tc>
          <w:tcPr>
            <w:tcW w:w="240" w:type="dxa"/>
            <w:vAlign w:val="bottom"/>
            <w:tcBorders>
              <w:right w:val="single" w:sz="8" w:color="auto"/>
            </w:tcBorders>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Art. 21</w:t>
            </w:r>
          </w:p>
        </w:tc>
        <w:tc>
          <w:tcPr>
            <w:tcW w:w="48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Constitution</w:t>
            </w:r>
          </w:p>
        </w:tc>
      </w:tr>
      <w:tr>
        <w:trPr>
          <w:trHeight w:val="36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Subject to the powers of the General Meeting, the Board of Directors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determines its own organization. It may appoint a Secretary who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d'administration détermine sa propre organisation. Il peut nommer</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need not be a member of the Board of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un secrétaire qui ne doit pas nécessairement être un membre du</w:t>
            </w:r>
          </w:p>
        </w:tc>
      </w:tr>
      <w:tr>
        <w:trPr>
          <w:trHeight w:val="239"/>
        </w:trPr>
        <w:tc>
          <w:tcPr>
            <w:tcW w:w="660" w:type="dxa"/>
            <w:vAlign w:val="bottom"/>
            <w:tcBorders>
              <w:left w:val="single" w:sz="8" w:color="auto"/>
            </w:tcBorders>
          </w:tcPr>
          <w:p>
            <w:pPr>
              <w:spacing w:after="0"/>
              <w:rPr>
                <w:sz w:val="20"/>
                <w:szCs w:val="20"/>
                <w:color w:val="auto"/>
              </w:rPr>
            </w:pPr>
          </w:p>
        </w:tc>
        <w:tc>
          <w:tcPr>
            <w:tcW w:w="486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conseil d'administration.</w:t>
            </w:r>
          </w:p>
        </w:tc>
      </w:tr>
      <w:tr>
        <w:trPr>
          <w:trHeight w:val="63"/>
        </w:trPr>
        <w:tc>
          <w:tcPr>
            <w:tcW w:w="660" w:type="dxa"/>
            <w:vAlign w:val="bottom"/>
            <w:tcBorders>
              <w:left w:val="single" w:sz="8" w:color="auto"/>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r>
      <w:tr>
        <w:trPr>
          <w:trHeight w:val="303"/>
        </w:trPr>
        <w:tc>
          <w:tcPr>
            <w:tcW w:w="66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22</w:t>
            </w:r>
          </w:p>
        </w:tc>
        <w:tc>
          <w:tcPr>
            <w:tcW w:w="4860" w:type="dxa"/>
            <w:vAlign w:val="bottom"/>
            <w:tcBorders>
              <w:right w:val="single" w:sz="8" w:color="auto"/>
            </w:tcBorders>
          </w:tcPr>
          <w:p>
            <w:pPr>
              <w:jc w:val="right"/>
              <w:ind w:right="2630"/>
              <w:spacing w:after="0"/>
              <w:rPr>
                <w:sz w:val="20"/>
                <w:szCs w:val="20"/>
                <w:color w:val="auto"/>
              </w:rPr>
            </w:pPr>
            <w:r>
              <w:rPr>
                <w:rFonts w:ascii="Arial" w:cs="Arial" w:eastAsia="Arial" w:hAnsi="Arial"/>
                <w:sz w:val="18"/>
                <w:szCs w:val="18"/>
                <w:b w:val="1"/>
                <w:bCs w:val="1"/>
                <w:color w:val="auto"/>
              </w:rPr>
              <w:t>Function, Organization</w:t>
            </w:r>
          </w:p>
        </w:tc>
        <w:tc>
          <w:tcPr>
            <w:tcW w:w="240" w:type="dxa"/>
            <w:vAlign w:val="bottom"/>
            <w:tcBorders>
              <w:right w:val="single" w:sz="8" w:color="auto"/>
            </w:tcBorders>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Art. 22</w:t>
            </w:r>
          </w:p>
        </w:tc>
        <w:tc>
          <w:tcPr>
            <w:tcW w:w="48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Fonction, organisation</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It is the Board of Directors' duty to lead the Company and to</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conseil d'administration exerce la direction de la société et en</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supervise the management. The Board of Directors represents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supervise  la  gestion.  Le  conseil  d'administration  représente  la</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Company and may take decisions on all affairs which are not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société et peut prendre les décisions sur toutes les affaires qui ne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assigned to any other body of the Company by law, the Articles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sont pas attribuées à un autre organe de la société par la loi, les</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Association or the organizational regulations.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statuts ou le règlement d'organisation.</w:t>
            </w:r>
          </w:p>
        </w:tc>
      </w:tr>
      <w:tr>
        <w:trPr>
          <w:trHeight w:val="63"/>
        </w:trPr>
        <w:tc>
          <w:tcPr>
            <w:tcW w:w="660" w:type="dxa"/>
            <w:vAlign w:val="bottom"/>
            <w:tcBorders>
              <w:left w:val="single" w:sz="8" w:color="auto"/>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r>
      <w:tr>
        <w:trPr>
          <w:trHeight w:val="709"/>
        </w:trPr>
        <w:tc>
          <w:tcPr>
            <w:tcW w:w="6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tcPr>
          <w:p>
            <w:pPr>
              <w:ind w:left="50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90"/>
        </w:trPr>
        <w:tc>
          <w:tcPr>
            <w:tcW w:w="5620" w:type="dxa"/>
            <w:vAlign w:val="bottom"/>
            <w:tcBorders>
              <w:bottom w:val="single" w:sz="8" w:color="auto"/>
            </w:tcBorders>
            <w:gridSpan w:val="2"/>
          </w:tcPr>
          <w:p>
            <w:pPr>
              <w:spacing w:after="0"/>
              <w:rPr>
                <w:sz w:val="7"/>
                <w:szCs w:val="7"/>
                <w:color w:val="auto"/>
              </w:rPr>
            </w:pPr>
          </w:p>
        </w:tc>
        <w:tc>
          <w:tcPr>
            <w:tcW w:w="562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5620" w:type="dxa"/>
            <w:vAlign w:val="bottom"/>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Board of Directors shall enact the organizational regulations</w:t>
            </w:r>
          </w:p>
        </w:tc>
        <w:tc>
          <w:tcPr>
            <w:tcW w:w="5620" w:type="dxa"/>
            <w:vAlign w:val="bottom"/>
            <w:gridSpan w:val="2"/>
          </w:tcPr>
          <w:p>
            <w:pPr>
              <w:ind w:left="1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 conseil d'administration édicte le règlement d'organisation et</w:t>
            </w:r>
          </w:p>
        </w:tc>
        <w:tc>
          <w:tcPr>
            <w:tcW w:w="0" w:type="dxa"/>
            <w:vAlign w:val="bottom"/>
          </w:tcPr>
          <w:p>
            <w:pPr>
              <w:spacing w:after="0"/>
              <w:rPr>
                <w:sz w:val="1"/>
                <w:szCs w:val="1"/>
                <w:color w:val="auto"/>
              </w:rPr>
            </w:pP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and arrange for the appropriate contractual relationships.</w:t>
            </w: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s'occupe des relations contractuelles appropriées.</w:t>
            </w:r>
          </w:p>
        </w:tc>
        <w:tc>
          <w:tcPr>
            <w:tcW w:w="0" w:type="dxa"/>
            <w:vAlign w:val="bottom"/>
          </w:tcPr>
          <w:p>
            <w:pPr>
              <w:spacing w:after="0"/>
              <w:rPr>
                <w:sz w:val="1"/>
                <w:szCs w:val="1"/>
                <w:color w:val="auto"/>
              </w:rPr>
            </w:pPr>
          </w:p>
        </w:tc>
      </w:tr>
      <w:tr>
        <w:trPr>
          <w:trHeight w:val="63"/>
        </w:trPr>
        <w:tc>
          <w:tcPr>
            <w:tcW w:w="600" w:type="dxa"/>
            <w:vAlign w:val="bottom"/>
            <w:tcBorders>
              <w:bottom w:val="single" w:sz="8" w:color="auto"/>
            </w:tcBorders>
          </w:tcPr>
          <w:p>
            <w:pPr>
              <w:spacing w:after="0"/>
              <w:rPr>
                <w:sz w:val="5"/>
                <w:szCs w:val="5"/>
                <w:color w:val="auto"/>
              </w:rPr>
            </w:pPr>
          </w:p>
        </w:tc>
        <w:tc>
          <w:tcPr>
            <w:tcW w:w="5020" w:type="dxa"/>
            <w:vAlign w:val="bottom"/>
            <w:tcBorders>
              <w:bottom w:val="single" w:sz="8" w:color="auto"/>
            </w:tcBorders>
          </w:tcPr>
          <w:p>
            <w:pPr>
              <w:spacing w:after="0"/>
              <w:rPr>
                <w:sz w:val="5"/>
                <w:szCs w:val="5"/>
                <w:color w:val="auto"/>
              </w:rPr>
            </w:pPr>
          </w:p>
        </w:tc>
        <w:tc>
          <w:tcPr>
            <w:tcW w:w="56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9"/>
              </w:rPr>
              <w:t>Art. 23</w:t>
            </w:r>
          </w:p>
        </w:tc>
        <w:tc>
          <w:tcPr>
            <w:tcW w:w="5020" w:type="dxa"/>
            <w:vAlign w:val="bottom"/>
          </w:tcPr>
          <w:p>
            <w:pPr>
              <w:ind w:left="240"/>
              <w:spacing w:after="0"/>
              <w:rPr>
                <w:sz w:val="20"/>
                <w:szCs w:val="20"/>
                <w:color w:val="auto"/>
              </w:rPr>
            </w:pPr>
            <w:r>
              <w:rPr>
                <w:rFonts w:ascii="Arial" w:cs="Arial" w:eastAsia="Arial" w:hAnsi="Arial"/>
                <w:sz w:val="18"/>
                <w:szCs w:val="18"/>
                <w:b w:val="1"/>
                <w:bCs w:val="1"/>
                <w:color w:val="auto"/>
              </w:rPr>
              <w:t>Powers</w:t>
            </w:r>
          </w:p>
        </w:tc>
        <w:tc>
          <w:tcPr>
            <w:tcW w:w="5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 23   Pouvoirs</w:t>
            </w:r>
          </w:p>
        </w:tc>
        <w:tc>
          <w:tcPr>
            <w:tcW w:w="0" w:type="dxa"/>
            <w:vAlign w:val="bottom"/>
          </w:tcPr>
          <w:p>
            <w:pPr>
              <w:spacing w:after="0"/>
              <w:rPr>
                <w:sz w:val="1"/>
                <w:szCs w:val="1"/>
                <w:color w:val="auto"/>
              </w:rPr>
            </w:pPr>
          </w:p>
        </w:tc>
      </w:tr>
      <w:tr>
        <w:trPr>
          <w:trHeight w:val="401"/>
        </w:trPr>
        <w:tc>
          <w:tcPr>
            <w:tcW w:w="5620" w:type="dxa"/>
            <w:vAlign w:val="bottom"/>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Board of Directors has the following non-delegable and</w:t>
            </w:r>
          </w:p>
        </w:tc>
        <w:tc>
          <w:tcPr>
            <w:tcW w:w="5620" w:type="dxa"/>
            <w:vAlign w:val="bottom"/>
            <w:gridSpan w:val="2"/>
          </w:tcPr>
          <w:p>
            <w:pPr>
              <w:ind w:left="1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conseil d'administration a les attributions intransmissibles et</w:t>
            </w:r>
          </w:p>
        </w:tc>
        <w:tc>
          <w:tcPr>
            <w:tcW w:w="0" w:type="dxa"/>
            <w:vAlign w:val="bottom"/>
          </w:tcPr>
          <w:p>
            <w:pPr>
              <w:spacing w:after="0"/>
              <w:rPr>
                <w:sz w:val="1"/>
                <w:szCs w:val="1"/>
                <w:color w:val="auto"/>
              </w:rPr>
            </w:pP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inalienable duties:</w:t>
            </w: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inaliénables suivantes:</w:t>
            </w:r>
          </w:p>
        </w:tc>
        <w:tc>
          <w:tcPr>
            <w:tcW w:w="0" w:type="dxa"/>
            <w:vAlign w:val="bottom"/>
          </w:tcPr>
          <w:p>
            <w:pPr>
              <w:spacing w:after="0"/>
              <w:rPr>
                <w:sz w:val="1"/>
                <w:szCs w:val="1"/>
                <w:color w:val="auto"/>
              </w:rPr>
            </w:pPr>
          </w:p>
        </w:tc>
      </w:tr>
      <w:tr>
        <w:trPr>
          <w:trHeight w:val="36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   the overall management of the Company and the issuing of all</w:t>
            </w: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a) exercer la haute direction de la société et établir les instructions</w:t>
            </w:r>
          </w:p>
        </w:tc>
        <w:tc>
          <w:tcPr>
            <w:tcW w:w="0" w:type="dxa"/>
            <w:vAlign w:val="bottom"/>
          </w:tcPr>
          <w:p>
            <w:pPr>
              <w:spacing w:after="0"/>
              <w:rPr>
                <w:sz w:val="1"/>
                <w:szCs w:val="1"/>
                <w:color w:val="auto"/>
              </w:rPr>
            </w:pPr>
          </w:p>
        </w:tc>
      </w:tr>
      <w:tr>
        <w:trPr>
          <w:trHeight w:val="239"/>
        </w:trPr>
        <w:tc>
          <w:tcPr>
            <w:tcW w:w="5620" w:type="dxa"/>
            <w:vAlign w:val="bottom"/>
            <w:gridSpan w:val="2"/>
          </w:tcPr>
          <w:p>
            <w:pPr>
              <w:ind w:left="400"/>
              <w:spacing w:after="0"/>
              <w:rPr>
                <w:sz w:val="20"/>
                <w:szCs w:val="20"/>
                <w:color w:val="auto"/>
              </w:rPr>
            </w:pPr>
            <w:r>
              <w:rPr>
                <w:rFonts w:ascii="Arial" w:cs="Arial" w:eastAsia="Arial" w:hAnsi="Arial"/>
                <w:sz w:val="18"/>
                <w:szCs w:val="18"/>
                <w:color w:val="auto"/>
              </w:rPr>
              <w:t>necessary directives;</w:t>
            </w:r>
          </w:p>
        </w:tc>
        <w:tc>
          <w:tcPr>
            <w:tcW w:w="340" w:type="dxa"/>
            <w:vAlign w:val="bottom"/>
          </w:tcPr>
          <w:p>
            <w:pPr>
              <w:spacing w:after="0"/>
              <w:rPr>
                <w:sz w:val="20"/>
                <w:szCs w:val="20"/>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nécessaires;</w:t>
            </w:r>
          </w:p>
        </w:tc>
        <w:tc>
          <w:tcPr>
            <w:tcW w:w="0" w:type="dxa"/>
            <w:vAlign w:val="bottom"/>
          </w:tcPr>
          <w:p>
            <w:pPr>
              <w:spacing w:after="0"/>
              <w:rPr>
                <w:sz w:val="1"/>
                <w:szCs w:val="1"/>
                <w:color w:val="auto"/>
              </w:rPr>
            </w:pPr>
          </w:p>
        </w:tc>
      </w:tr>
      <w:tr>
        <w:trPr>
          <w:trHeight w:val="405"/>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  determination of the Company's organisation;</w:t>
            </w:r>
          </w:p>
        </w:tc>
        <w:tc>
          <w:tcPr>
            <w:tcW w:w="340" w:type="dxa"/>
            <w:vAlign w:val="bottom"/>
          </w:tcPr>
          <w:p>
            <w:pPr>
              <w:ind w:left="120"/>
              <w:spacing w:after="0"/>
              <w:rPr>
                <w:sz w:val="20"/>
                <w:szCs w:val="20"/>
                <w:color w:val="auto"/>
              </w:rPr>
            </w:pPr>
            <w:r>
              <w:rPr>
                <w:rFonts w:ascii="Arial" w:cs="Arial" w:eastAsia="Arial" w:hAnsi="Arial"/>
                <w:sz w:val="18"/>
                <w:szCs w:val="18"/>
                <w:color w:val="auto"/>
              </w:rPr>
              <w:t>b)</w:t>
            </w:r>
          </w:p>
        </w:tc>
        <w:tc>
          <w:tcPr>
            <w:tcW w:w="5280" w:type="dxa"/>
            <w:vAlign w:val="bottom"/>
          </w:tcPr>
          <w:p>
            <w:pPr>
              <w:ind w:left="100"/>
              <w:spacing w:after="0"/>
              <w:rPr>
                <w:sz w:val="20"/>
                <w:szCs w:val="20"/>
                <w:color w:val="auto"/>
              </w:rPr>
            </w:pPr>
            <w:r>
              <w:rPr>
                <w:rFonts w:ascii="Arial" w:cs="Arial" w:eastAsia="Arial" w:hAnsi="Arial"/>
                <w:sz w:val="18"/>
                <w:szCs w:val="18"/>
                <w:color w:val="auto"/>
              </w:rPr>
              <w:t>fixer l'organisation;</w:t>
            </w:r>
          </w:p>
        </w:tc>
        <w:tc>
          <w:tcPr>
            <w:tcW w:w="0" w:type="dxa"/>
            <w:vAlign w:val="bottom"/>
          </w:tcPr>
          <w:p>
            <w:pPr>
              <w:spacing w:after="0"/>
              <w:rPr>
                <w:sz w:val="1"/>
                <w:szCs w:val="1"/>
                <w:color w:val="auto"/>
              </w:rPr>
            </w:pPr>
          </w:p>
        </w:tc>
      </w:tr>
      <w:tr>
        <w:trPr>
          <w:trHeight w:val="36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  the organisation of the accounting, financial control and financial</w:t>
            </w: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c)  fixer les principes de la comptabilité et du contrôle financier ainsi</w:t>
            </w:r>
          </w:p>
        </w:tc>
        <w:tc>
          <w:tcPr>
            <w:tcW w:w="0" w:type="dxa"/>
            <w:vAlign w:val="bottom"/>
          </w:tcPr>
          <w:p>
            <w:pPr>
              <w:spacing w:after="0"/>
              <w:rPr>
                <w:sz w:val="1"/>
                <w:szCs w:val="1"/>
                <w:color w:val="auto"/>
              </w:rPr>
            </w:pPr>
          </w:p>
        </w:tc>
      </w:tr>
      <w:tr>
        <w:trPr>
          <w:trHeight w:val="203"/>
        </w:trPr>
        <w:tc>
          <w:tcPr>
            <w:tcW w:w="56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planning systems as required for management of the Company;</w:t>
            </w:r>
          </w:p>
        </w:tc>
        <w:tc>
          <w:tcPr>
            <w:tcW w:w="34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que le plan financier pour autant que celui-ci soit nécessaire à la</w:t>
            </w:r>
          </w:p>
        </w:tc>
        <w:tc>
          <w:tcPr>
            <w:tcW w:w="0" w:type="dxa"/>
            <w:vAlign w:val="bottom"/>
          </w:tcPr>
          <w:p>
            <w:pPr>
              <w:spacing w:after="0"/>
              <w:rPr>
                <w:sz w:val="1"/>
                <w:szCs w:val="1"/>
                <w:color w:val="auto"/>
              </w:rPr>
            </w:pPr>
          </w:p>
        </w:tc>
      </w:tr>
      <w:tr>
        <w:trPr>
          <w:trHeight w:val="239"/>
        </w:trPr>
        <w:tc>
          <w:tcPr>
            <w:tcW w:w="600" w:type="dxa"/>
            <w:vAlign w:val="bottom"/>
            <w:vMerge w:val="restart"/>
          </w:tcPr>
          <w:p>
            <w:pPr>
              <w:ind w:left="20"/>
              <w:spacing w:after="0"/>
              <w:rPr>
                <w:sz w:val="20"/>
                <w:szCs w:val="20"/>
                <w:color w:val="auto"/>
              </w:rPr>
            </w:pPr>
            <w:r>
              <w:rPr>
                <w:rFonts w:ascii="Arial" w:cs="Arial" w:eastAsia="Arial" w:hAnsi="Arial"/>
                <w:sz w:val="18"/>
                <w:szCs w:val="18"/>
                <w:color w:val="auto"/>
              </w:rPr>
              <w:t>d)</w:t>
            </w:r>
          </w:p>
        </w:tc>
        <w:tc>
          <w:tcPr>
            <w:tcW w:w="5020" w:type="dxa"/>
            <w:vAlign w:val="bottom"/>
            <w:vMerge w:val="restart"/>
          </w:tcPr>
          <w:p>
            <w:pPr>
              <w:spacing w:after="0"/>
              <w:rPr>
                <w:sz w:val="20"/>
                <w:szCs w:val="20"/>
                <w:color w:val="auto"/>
              </w:rPr>
            </w:pPr>
            <w:r>
              <w:rPr>
                <w:rFonts w:ascii="Arial" w:cs="Arial" w:eastAsia="Arial" w:hAnsi="Arial"/>
                <w:sz w:val="18"/>
                <w:szCs w:val="18"/>
                <w:color w:val="auto"/>
              </w:rPr>
              <w:t>the appointment and dismissal of persons entrusted with</w:t>
            </w:r>
          </w:p>
        </w:tc>
        <w:tc>
          <w:tcPr>
            <w:tcW w:w="340" w:type="dxa"/>
            <w:vAlign w:val="bottom"/>
          </w:tcPr>
          <w:p>
            <w:pPr>
              <w:spacing w:after="0"/>
              <w:rPr>
                <w:sz w:val="20"/>
                <w:szCs w:val="20"/>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gestion de la société;</w:t>
            </w:r>
          </w:p>
        </w:tc>
        <w:tc>
          <w:tcPr>
            <w:tcW w:w="0" w:type="dxa"/>
            <w:vAlign w:val="bottom"/>
          </w:tcPr>
          <w:p>
            <w:pPr>
              <w:spacing w:after="0"/>
              <w:rPr>
                <w:sz w:val="1"/>
                <w:szCs w:val="1"/>
                <w:color w:val="auto"/>
              </w:rPr>
            </w:pPr>
          </w:p>
        </w:tc>
      </w:tr>
      <w:tr>
        <w:trPr>
          <w:trHeight w:val="166"/>
        </w:trPr>
        <w:tc>
          <w:tcPr>
            <w:tcW w:w="60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managing and representing the Company;</w:t>
            </w:r>
          </w:p>
        </w:tc>
        <w:tc>
          <w:tcPr>
            <w:tcW w:w="340" w:type="dxa"/>
            <w:vAlign w:val="bottom"/>
          </w:tcPr>
          <w:p>
            <w:pPr>
              <w:ind w:left="120"/>
              <w:spacing w:after="0" w:line="202" w:lineRule="exact"/>
              <w:rPr>
                <w:sz w:val="20"/>
                <w:szCs w:val="20"/>
                <w:color w:val="auto"/>
              </w:rPr>
            </w:pPr>
            <w:r>
              <w:rPr>
                <w:rFonts w:ascii="Arial" w:cs="Arial" w:eastAsia="Arial" w:hAnsi="Arial"/>
                <w:sz w:val="18"/>
                <w:szCs w:val="18"/>
                <w:color w:val="auto"/>
              </w:rPr>
              <w:t>d)</w:t>
            </w:r>
          </w:p>
        </w:tc>
        <w:tc>
          <w:tcPr>
            <w:tcW w:w="5280" w:type="dxa"/>
            <w:vAlign w:val="bottom"/>
          </w:tcPr>
          <w:p>
            <w:pPr>
              <w:ind w:left="60"/>
              <w:spacing w:after="0" w:line="202" w:lineRule="exact"/>
              <w:rPr>
                <w:sz w:val="20"/>
                <w:szCs w:val="20"/>
                <w:color w:val="auto"/>
              </w:rPr>
            </w:pPr>
            <w:r>
              <w:rPr>
                <w:rFonts w:ascii="Arial" w:cs="Arial" w:eastAsia="Arial" w:hAnsi="Arial"/>
                <w:sz w:val="18"/>
                <w:szCs w:val="18"/>
                <w:color w:val="auto"/>
              </w:rPr>
              <w:t>nommer et révoquer les personnes chargées de la gestion et de</w:t>
            </w: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la représentation;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-2536190</wp:posOffset>
            </wp:positionV>
            <wp:extent cx="7132320" cy="5434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32320" cy="5434965"/>
                    </a:xfrm>
                    <a:prstGeom prst="rect">
                      <a:avLst/>
                    </a:prstGeom>
                    <a:noFill/>
                  </pic:spPr>
                </pic:pic>
              </a:graphicData>
            </a:graphic>
          </wp:anchor>
        </w:drawing>
      </w:r>
    </w:p>
    <w:p>
      <w:pPr>
        <w:ind w:left="420" w:hanging="399"/>
        <w:spacing w:after="0" w:line="234"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w:t>
      </w:r>
    </w:p>
    <w:tbl>
      <w:tblPr>
        <w:tblLayout w:type="fixed"/>
        <w:tblInd w:w="2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5360" w:type="dxa"/>
            <w:vAlign w:val="bottom"/>
          </w:tcPr>
          <w:p>
            <w:pPr>
              <w:ind w:left="140"/>
              <w:spacing w:after="0" w:line="185" w:lineRule="exact"/>
              <w:rPr>
                <w:sz w:val="20"/>
                <w:szCs w:val="20"/>
                <w:color w:val="auto"/>
              </w:rPr>
            </w:pPr>
            <w:r>
              <w:rPr>
                <w:rFonts w:ascii="Arial" w:cs="Arial" w:eastAsia="Arial" w:hAnsi="Arial"/>
                <w:sz w:val="18"/>
                <w:szCs w:val="18"/>
                <w:color w:val="auto"/>
              </w:rPr>
              <w:t>Company, in particular with regard to compliance with the law,</w:t>
            </w:r>
          </w:p>
        </w:tc>
        <w:tc>
          <w:tcPr>
            <w:tcW w:w="5600" w:type="dxa"/>
            <w:vAlign w:val="bottom"/>
            <w:gridSpan w:val="2"/>
          </w:tcPr>
          <w:p>
            <w:pPr>
              <w:jc w:val="right"/>
              <w:spacing w:after="0" w:line="185" w:lineRule="exact"/>
              <w:rPr>
                <w:sz w:val="20"/>
                <w:szCs w:val="20"/>
                <w:color w:val="auto"/>
              </w:rPr>
            </w:pPr>
            <w:r>
              <w:rPr>
                <w:rFonts w:ascii="Arial" w:cs="Arial" w:eastAsia="Arial" w:hAnsi="Arial"/>
                <w:sz w:val="18"/>
                <w:szCs w:val="18"/>
                <w:color w:val="auto"/>
              </w:rPr>
              <w:t>e)  exercer la haute surveillance sur les personnes chargées de la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Articles of Association, operational regulations and directives;</w:t>
            </w:r>
          </w:p>
        </w:tc>
        <w:tc>
          <w:tcPr>
            <w:tcW w:w="340" w:type="dxa"/>
            <w:vAlign w:val="bottom"/>
          </w:tcPr>
          <w:p>
            <w:pPr>
              <w:spacing w:after="0"/>
              <w:rPr>
                <w:sz w:val="17"/>
                <w:szCs w:val="17"/>
                <w:color w:val="auto"/>
              </w:rPr>
            </w:pPr>
          </w:p>
        </w:tc>
        <w:tc>
          <w:tcPr>
            <w:tcW w:w="5260" w:type="dxa"/>
            <w:vAlign w:val="bottom"/>
          </w:tcPr>
          <w:p>
            <w:pPr>
              <w:jc w:val="right"/>
              <w:spacing w:after="0" w:line="202" w:lineRule="exact"/>
              <w:rPr>
                <w:sz w:val="20"/>
                <w:szCs w:val="20"/>
                <w:color w:val="auto"/>
              </w:rPr>
            </w:pPr>
            <w:r>
              <w:rPr>
                <w:rFonts w:ascii="Arial" w:cs="Arial" w:eastAsia="Arial" w:hAnsi="Arial"/>
                <w:sz w:val="18"/>
                <w:szCs w:val="18"/>
                <w:color w:val="auto"/>
              </w:rPr>
              <w:t>gestion pour s'assurer notamment qu'elles observent la loi, les</w:t>
            </w:r>
          </w:p>
        </w:tc>
        <w:tc>
          <w:tcPr>
            <w:tcW w:w="0" w:type="dxa"/>
            <w:vAlign w:val="bottom"/>
          </w:tcPr>
          <w:p>
            <w:pPr>
              <w:spacing w:after="0"/>
              <w:rPr>
                <w:sz w:val="1"/>
                <w:szCs w:val="1"/>
                <w:color w:val="auto"/>
              </w:rPr>
            </w:pPr>
          </w:p>
        </w:tc>
      </w:tr>
      <w:tr>
        <w:trPr>
          <w:trHeight w:val="239"/>
        </w:trPr>
        <w:tc>
          <w:tcPr>
            <w:tcW w:w="240" w:type="dxa"/>
            <w:vAlign w:val="bottom"/>
            <w:vMerge w:val="restart"/>
          </w:tcPr>
          <w:p>
            <w:pPr>
              <w:spacing w:after="0"/>
              <w:rPr>
                <w:sz w:val="20"/>
                <w:szCs w:val="20"/>
                <w:color w:val="auto"/>
              </w:rPr>
            </w:pPr>
            <w:r>
              <w:rPr>
                <w:rFonts w:ascii="Arial" w:cs="Arial" w:eastAsia="Arial" w:hAnsi="Arial"/>
                <w:sz w:val="18"/>
                <w:szCs w:val="18"/>
                <w:color w:val="auto"/>
              </w:rPr>
              <w:t>f)</w:t>
            </w:r>
          </w:p>
        </w:tc>
        <w:tc>
          <w:tcPr>
            <w:tcW w:w="5360" w:type="dxa"/>
            <w:vAlign w:val="bottom"/>
            <w:vMerge w:val="restart"/>
          </w:tcPr>
          <w:p>
            <w:pPr>
              <w:ind w:left="220"/>
              <w:spacing w:after="0"/>
              <w:rPr>
                <w:sz w:val="20"/>
                <w:szCs w:val="20"/>
                <w:color w:val="auto"/>
              </w:rPr>
            </w:pPr>
            <w:r>
              <w:rPr>
                <w:rFonts w:ascii="Arial" w:cs="Arial" w:eastAsia="Arial" w:hAnsi="Arial"/>
                <w:sz w:val="18"/>
                <w:szCs w:val="18"/>
                <w:color w:val="auto"/>
              </w:rPr>
              <w:t>compilation of the annual report and of other reports that are</w:t>
            </w:r>
          </w:p>
        </w:tc>
        <w:tc>
          <w:tcPr>
            <w:tcW w:w="34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statuts, les règlements et les instructions données;</w:t>
            </w:r>
          </w:p>
        </w:tc>
        <w:tc>
          <w:tcPr>
            <w:tcW w:w="0" w:type="dxa"/>
            <w:vAlign w:val="bottom"/>
          </w:tcPr>
          <w:p>
            <w:pPr>
              <w:spacing w:after="0"/>
              <w:rPr>
                <w:sz w:val="1"/>
                <w:szCs w:val="1"/>
                <w:color w:val="auto"/>
              </w:rPr>
            </w:pPr>
          </w:p>
        </w:tc>
      </w:tr>
      <w:tr>
        <w:trPr>
          <w:trHeight w:val="166"/>
        </w:trPr>
        <w:tc>
          <w:tcPr>
            <w:tcW w:w="240" w:type="dxa"/>
            <w:vAlign w:val="bottom"/>
            <w:vMerge w:val="continue"/>
          </w:tcPr>
          <w:p>
            <w:pPr>
              <w:spacing w:after="0"/>
              <w:rPr>
                <w:sz w:val="14"/>
                <w:szCs w:val="14"/>
                <w:color w:val="auto"/>
              </w:rPr>
            </w:pPr>
          </w:p>
        </w:tc>
        <w:tc>
          <w:tcPr>
            <w:tcW w:w="5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subject to mandatory approval by the Board of Directors;</w:t>
            </w:r>
          </w:p>
        </w:tc>
        <w:tc>
          <w:tcPr>
            <w:tcW w:w="340" w:type="dxa"/>
            <w:vAlign w:val="bottom"/>
          </w:tcPr>
          <w:p>
            <w:pPr>
              <w:ind w:left="120"/>
              <w:spacing w:after="0" w:line="202" w:lineRule="exact"/>
              <w:rPr>
                <w:sz w:val="20"/>
                <w:szCs w:val="20"/>
                <w:color w:val="auto"/>
              </w:rPr>
            </w:pPr>
            <w:r>
              <w:rPr>
                <w:rFonts w:ascii="Arial" w:cs="Arial" w:eastAsia="Arial" w:hAnsi="Arial"/>
                <w:sz w:val="18"/>
                <w:szCs w:val="18"/>
                <w:color w:val="auto"/>
              </w:rPr>
              <w:t>f)</w:t>
            </w:r>
          </w:p>
        </w:tc>
        <w:tc>
          <w:tcPr>
            <w:tcW w:w="5260" w:type="dxa"/>
            <w:vAlign w:val="bottom"/>
          </w:tcPr>
          <w:p>
            <w:pPr>
              <w:jc w:val="right"/>
              <w:spacing w:after="0" w:line="202" w:lineRule="exact"/>
              <w:rPr>
                <w:sz w:val="20"/>
                <w:szCs w:val="20"/>
                <w:color w:val="auto"/>
              </w:rPr>
            </w:pPr>
            <w:r>
              <w:rPr>
                <w:rFonts w:ascii="Arial" w:cs="Arial" w:eastAsia="Arial" w:hAnsi="Arial"/>
                <w:sz w:val="18"/>
                <w:szCs w:val="18"/>
                <w:color w:val="auto"/>
              </w:rPr>
              <w:t>établir le rapport de gestion et tous autres rapports soumis à</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l’approbation obligatoire du conseil d’administration ;</w:t>
            </w:r>
          </w:p>
        </w:tc>
        <w:tc>
          <w:tcPr>
            <w:tcW w:w="0" w:type="dxa"/>
            <w:vAlign w:val="bottom"/>
          </w:tcPr>
          <w:p>
            <w:pPr>
              <w:spacing w:after="0"/>
              <w:rPr>
                <w:sz w:val="1"/>
                <w:szCs w:val="1"/>
                <w:color w:val="auto"/>
              </w:rPr>
            </w:pPr>
          </w:p>
        </w:tc>
      </w:tr>
    </w:tbl>
    <w:p>
      <w:pPr>
        <w:ind w:left="440" w:hanging="419"/>
        <w:spacing w:after="0" w:line="23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preparation for the General Meeting and implementation of its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resolutions;</w:t>
            </w:r>
          </w:p>
        </w:tc>
        <w:tc>
          <w:tcPr>
            <w:tcW w:w="5620" w:type="dxa"/>
            <w:vAlign w:val="bottom"/>
          </w:tcPr>
          <w:p>
            <w:pPr>
              <w:ind w:left="120"/>
              <w:spacing w:after="0"/>
              <w:rPr>
                <w:sz w:val="20"/>
                <w:szCs w:val="20"/>
                <w:color w:val="auto"/>
              </w:rPr>
            </w:pPr>
            <w:r>
              <w:rPr>
                <w:rFonts w:ascii="Arial" w:cs="Arial" w:eastAsia="Arial" w:hAnsi="Arial"/>
                <w:sz w:val="18"/>
                <w:szCs w:val="18"/>
                <w:color w:val="auto"/>
              </w:rPr>
              <w:t>g)  préparer l'assemblée générale et exécuter ses décisions;</w:t>
            </w:r>
          </w:p>
        </w:tc>
      </w:tr>
      <w:tr>
        <w:trPr>
          <w:trHeight w:val="351"/>
        </w:trPr>
        <w:tc>
          <w:tcPr>
            <w:tcW w:w="300" w:type="dxa"/>
            <w:vAlign w:val="bottom"/>
          </w:tcPr>
          <w:p>
            <w:pPr>
              <w:ind w:left="20"/>
              <w:spacing w:after="0"/>
              <w:rPr>
                <w:sz w:val="20"/>
                <w:szCs w:val="20"/>
                <w:color w:val="auto"/>
              </w:rPr>
            </w:pPr>
            <w:r>
              <w:rPr>
                <w:rFonts w:ascii="Arial" w:cs="Arial" w:eastAsia="Arial" w:hAnsi="Arial"/>
                <w:sz w:val="18"/>
                <w:szCs w:val="18"/>
                <w:color w:val="auto"/>
              </w:rPr>
              <w:t>h)</w:t>
            </w:r>
          </w:p>
        </w:tc>
        <w:tc>
          <w:tcPr>
            <w:tcW w:w="5320" w:type="dxa"/>
            <w:vAlign w:val="bottom"/>
          </w:tcPr>
          <w:p>
            <w:pPr>
              <w:ind w:left="260"/>
              <w:spacing w:after="0"/>
              <w:rPr>
                <w:sz w:val="20"/>
                <w:szCs w:val="20"/>
                <w:color w:val="auto"/>
              </w:rPr>
            </w:pPr>
            <w:r>
              <w:rPr>
                <w:rFonts w:ascii="Arial" w:cs="Arial" w:eastAsia="Arial" w:hAnsi="Arial"/>
                <w:sz w:val="18"/>
                <w:szCs w:val="18"/>
                <w:color w:val="auto"/>
              </w:rPr>
              <w:t>the preparation of the compensation report and to request</w:t>
            </w:r>
          </w:p>
        </w:tc>
        <w:tc>
          <w:tcPr>
            <w:tcW w:w="5620" w:type="dxa"/>
            <w:vAlign w:val="bottom"/>
          </w:tcPr>
          <w:p>
            <w:pPr>
              <w:ind w:left="120"/>
              <w:spacing w:after="0"/>
              <w:rPr>
                <w:sz w:val="20"/>
                <w:szCs w:val="20"/>
                <w:color w:val="auto"/>
              </w:rPr>
            </w:pPr>
            <w:r>
              <w:rPr>
                <w:rFonts w:ascii="Arial" w:cs="Arial" w:eastAsia="Arial" w:hAnsi="Arial"/>
                <w:sz w:val="18"/>
                <w:szCs w:val="18"/>
                <w:color w:val="auto"/>
              </w:rPr>
              <w:t>h) préparer le rapport de rémunération et demander l'approbation</w:t>
            </w:r>
          </w:p>
        </w:tc>
      </w:tr>
      <w:tr>
        <w:trPr>
          <w:trHeight w:val="203"/>
        </w:trPr>
        <w:tc>
          <w:tcPr>
            <w:tcW w:w="300" w:type="dxa"/>
            <w:vAlign w:val="bottom"/>
          </w:tcPr>
          <w:p>
            <w:pPr>
              <w:spacing w:after="0"/>
              <w:rPr>
                <w:sz w:val="17"/>
                <w:szCs w:val="17"/>
                <w:color w:val="auto"/>
              </w:rPr>
            </w:pPr>
          </w:p>
        </w:tc>
        <w:tc>
          <w:tcPr>
            <w:tcW w:w="5320" w:type="dxa"/>
            <w:vAlign w:val="bottom"/>
          </w:tcPr>
          <w:p>
            <w:pPr>
              <w:ind w:left="100"/>
              <w:spacing w:after="0" w:line="202" w:lineRule="exact"/>
              <w:rPr>
                <w:sz w:val="20"/>
                <w:szCs w:val="20"/>
                <w:color w:val="auto"/>
              </w:rPr>
            </w:pPr>
            <w:r>
              <w:rPr>
                <w:rFonts w:ascii="Arial" w:cs="Arial" w:eastAsia="Arial" w:hAnsi="Arial"/>
                <w:sz w:val="18"/>
                <w:szCs w:val="18"/>
                <w:color w:val="auto"/>
              </w:rPr>
              <w:t>approval by the General Meeting regarding compensation of the</w:t>
            </w:r>
          </w:p>
        </w:tc>
        <w:tc>
          <w:tcPr>
            <w:tcW w:w="5620" w:type="dxa"/>
            <w:vAlign w:val="bottom"/>
          </w:tcPr>
          <w:p>
            <w:pPr>
              <w:ind w:left="460"/>
              <w:spacing w:after="0" w:line="202" w:lineRule="exact"/>
              <w:rPr>
                <w:sz w:val="20"/>
                <w:szCs w:val="20"/>
                <w:color w:val="auto"/>
              </w:rPr>
            </w:pPr>
            <w:r>
              <w:rPr>
                <w:rFonts w:ascii="Arial" w:cs="Arial" w:eastAsia="Arial" w:hAnsi="Arial"/>
                <w:sz w:val="18"/>
                <w:szCs w:val="18"/>
                <w:color w:val="auto"/>
              </w:rPr>
              <w:t>par l'assemblée générale en ce qui concerne la rémunération du</w:t>
            </w:r>
          </w:p>
        </w:tc>
      </w:tr>
      <w:tr>
        <w:trPr>
          <w:trHeight w:val="239"/>
        </w:trPr>
        <w:tc>
          <w:tcPr>
            <w:tcW w:w="3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Board of Directors and the Executive Committee; and</w:t>
            </w:r>
          </w:p>
        </w:tc>
        <w:tc>
          <w:tcPr>
            <w:tcW w:w="5620" w:type="dxa"/>
            <w:vAlign w:val="bottom"/>
          </w:tcPr>
          <w:p>
            <w:pPr>
              <w:ind w:left="460"/>
              <w:spacing w:after="0"/>
              <w:rPr>
                <w:sz w:val="20"/>
                <w:szCs w:val="20"/>
                <w:color w:val="auto"/>
              </w:rPr>
            </w:pPr>
            <w:r>
              <w:rPr>
                <w:rFonts w:ascii="Arial" w:cs="Arial" w:eastAsia="Arial" w:hAnsi="Arial"/>
                <w:sz w:val="18"/>
                <w:szCs w:val="18"/>
                <w:color w:val="auto"/>
              </w:rPr>
              <w:t>conseil d'administration et du comité exécutif; et</w:t>
            </w:r>
          </w:p>
        </w:tc>
      </w:tr>
      <w:tr>
        <w:trPr>
          <w:trHeight w:val="369"/>
        </w:trPr>
        <w:tc>
          <w:tcPr>
            <w:tcW w:w="300" w:type="dxa"/>
            <w:vAlign w:val="bottom"/>
          </w:tcPr>
          <w:p>
            <w:pPr>
              <w:ind w:left="20"/>
              <w:spacing w:after="0"/>
              <w:rPr>
                <w:sz w:val="20"/>
                <w:szCs w:val="20"/>
                <w:color w:val="auto"/>
              </w:rPr>
            </w:pPr>
            <w:r>
              <w:rPr>
                <w:rFonts w:ascii="Arial" w:cs="Arial" w:eastAsia="Arial" w:hAnsi="Arial"/>
                <w:sz w:val="18"/>
                <w:szCs w:val="18"/>
                <w:color w:val="auto"/>
              </w:rPr>
              <w:t>i)</w:t>
            </w:r>
          </w:p>
        </w:tc>
        <w:tc>
          <w:tcPr>
            <w:tcW w:w="5320" w:type="dxa"/>
            <w:vAlign w:val="bottom"/>
          </w:tcPr>
          <w:p>
            <w:pPr>
              <w:ind w:left="260"/>
              <w:spacing w:after="0"/>
              <w:rPr>
                <w:sz w:val="20"/>
                <w:szCs w:val="20"/>
                <w:color w:val="auto"/>
              </w:rPr>
            </w:pPr>
            <w:r>
              <w:rPr>
                <w:rFonts w:ascii="Arial" w:cs="Arial" w:eastAsia="Arial" w:hAnsi="Arial"/>
                <w:sz w:val="18"/>
                <w:szCs w:val="18"/>
                <w:color w:val="auto"/>
              </w:rPr>
              <w:t>the application for a debt restructuring moratorium and the</w:t>
            </w:r>
          </w:p>
        </w:tc>
        <w:tc>
          <w:tcPr>
            <w:tcW w:w="5620" w:type="dxa"/>
            <w:vAlign w:val="bottom"/>
          </w:tcPr>
          <w:p>
            <w:pPr>
              <w:ind w:left="120"/>
              <w:spacing w:after="0"/>
              <w:rPr>
                <w:sz w:val="20"/>
                <w:szCs w:val="20"/>
                <w:color w:val="auto"/>
              </w:rPr>
            </w:pPr>
            <w:r>
              <w:rPr>
                <w:rFonts w:ascii="Arial" w:cs="Arial" w:eastAsia="Arial" w:hAnsi="Arial"/>
                <w:sz w:val="18"/>
                <w:szCs w:val="18"/>
                <w:color w:val="auto"/>
              </w:rPr>
              <w:t>i)  déposer une demande de sursis concordataire et aviser le juge</w:t>
            </w:r>
          </w:p>
        </w:tc>
      </w:tr>
      <w:tr>
        <w:trPr>
          <w:trHeight w:val="203"/>
        </w:trPr>
        <w:tc>
          <w:tcPr>
            <w:tcW w:w="300" w:type="dxa"/>
            <w:vAlign w:val="bottom"/>
          </w:tcPr>
          <w:p>
            <w:pPr>
              <w:spacing w:after="0"/>
              <w:rPr>
                <w:sz w:val="17"/>
                <w:szCs w:val="17"/>
                <w:color w:val="auto"/>
              </w:rPr>
            </w:pPr>
          </w:p>
        </w:tc>
        <w:tc>
          <w:tcPr>
            <w:tcW w:w="5320" w:type="dxa"/>
            <w:vAlign w:val="bottom"/>
          </w:tcPr>
          <w:p>
            <w:pPr>
              <w:ind w:left="100"/>
              <w:spacing w:after="0" w:line="202" w:lineRule="exact"/>
              <w:rPr>
                <w:sz w:val="20"/>
                <w:szCs w:val="20"/>
                <w:color w:val="auto"/>
              </w:rPr>
            </w:pPr>
            <w:r>
              <w:rPr>
                <w:rFonts w:ascii="Arial" w:cs="Arial" w:eastAsia="Arial" w:hAnsi="Arial"/>
                <w:sz w:val="18"/>
                <w:szCs w:val="18"/>
                <w:color w:val="auto"/>
              </w:rPr>
              <w:t>notification to the court in the event that the Company is</w:t>
            </w:r>
          </w:p>
        </w:tc>
        <w:tc>
          <w:tcPr>
            <w:tcW w:w="5620" w:type="dxa"/>
            <w:vAlign w:val="bottom"/>
          </w:tcPr>
          <w:p>
            <w:pPr>
              <w:ind w:left="460"/>
              <w:spacing w:after="0" w:line="202" w:lineRule="exact"/>
              <w:rPr>
                <w:sz w:val="20"/>
                <w:szCs w:val="20"/>
                <w:color w:val="auto"/>
              </w:rPr>
            </w:pPr>
            <w:r>
              <w:rPr>
                <w:rFonts w:ascii="Arial" w:cs="Arial" w:eastAsia="Arial" w:hAnsi="Arial"/>
                <w:sz w:val="18"/>
                <w:szCs w:val="18"/>
                <w:color w:val="auto"/>
              </w:rPr>
              <w:t>en cas de surendettement.</w:t>
            </w:r>
          </w:p>
        </w:tc>
      </w:tr>
      <w:tr>
        <w:trPr>
          <w:trHeight w:val="239"/>
        </w:trPr>
        <w:tc>
          <w:tcPr>
            <w:tcW w:w="3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overindebted.</w:t>
            </w:r>
          </w:p>
        </w:tc>
        <w:tc>
          <w:tcPr>
            <w:tcW w:w="5620" w:type="dxa"/>
            <w:vAlign w:val="bottom"/>
          </w:tcPr>
          <w:p>
            <w:pPr>
              <w:spacing w:after="0"/>
              <w:rPr>
                <w:sz w:val="20"/>
                <w:szCs w:val="20"/>
                <w:color w:val="auto"/>
              </w:rPr>
            </w:pPr>
          </w:p>
        </w:tc>
      </w:tr>
      <w:tr>
        <w:trPr>
          <w:trHeight w:val="63"/>
        </w:trPr>
        <w:tc>
          <w:tcPr>
            <w:tcW w:w="5620" w:type="dxa"/>
            <w:vAlign w:val="bottom"/>
            <w:tcBorders>
              <w:bottom w:val="single" w:sz="8" w:color="auto"/>
            </w:tcBorders>
            <w:gridSpan w:val="2"/>
          </w:tcPr>
          <w:p>
            <w:pPr>
              <w:spacing w:after="0"/>
              <w:rPr>
                <w:sz w:val="5"/>
                <w:szCs w:val="5"/>
                <w:color w:val="auto"/>
              </w:rPr>
            </w:pPr>
          </w:p>
        </w:tc>
        <w:tc>
          <w:tcPr>
            <w:tcW w:w="5620" w:type="dxa"/>
            <w:vAlign w:val="bottom"/>
            <w:tcBorders>
              <w:bottom w:val="single" w:sz="8" w:color="auto"/>
            </w:tcBorders>
          </w:tcPr>
          <w:p>
            <w:pPr>
              <w:spacing w:after="0"/>
              <w:rPr>
                <w:sz w:val="5"/>
                <w:szCs w:val="5"/>
                <w:color w:val="auto"/>
              </w:rPr>
            </w:pPr>
          </w:p>
        </w:tc>
      </w:tr>
      <w:tr>
        <w:trPr>
          <w:trHeight w:val="299"/>
        </w:trPr>
        <w:tc>
          <w:tcPr>
            <w:tcW w:w="5620" w:type="dxa"/>
            <w:vAlign w:val="bottom"/>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Board of Directors may assign responsibility for preparing and</w:t>
            </w:r>
          </w:p>
        </w:tc>
        <w:tc>
          <w:tcPr>
            <w:tcW w:w="5620" w:type="dxa"/>
            <w:vAlign w:val="bottom"/>
          </w:tcPr>
          <w:p>
            <w:pPr>
              <w:ind w:left="1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  conseil  d'administration  peut  déléguer  à  un  ou  plusieurs</w:t>
            </w:r>
          </w:p>
        </w:tc>
      </w:tr>
      <w:tr>
        <w:trPr>
          <w:trHeight w:val="202"/>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implementing  its  resolutions  or  monitoring  transactions  to</w:t>
            </w:r>
          </w:p>
        </w:tc>
        <w:tc>
          <w:tcPr>
            <w:tcW w:w="5620" w:type="dxa"/>
            <w:vAlign w:val="bottom"/>
          </w:tcPr>
          <w:p>
            <w:pPr>
              <w:ind w:left="120"/>
              <w:spacing w:after="0" w:line="202" w:lineRule="exact"/>
              <w:rPr>
                <w:sz w:val="20"/>
                <w:szCs w:val="20"/>
                <w:color w:val="auto"/>
              </w:rPr>
            </w:pPr>
            <w:r>
              <w:rPr>
                <w:rFonts w:ascii="Arial" w:cs="Arial" w:eastAsia="Arial" w:hAnsi="Arial"/>
                <w:sz w:val="18"/>
                <w:szCs w:val="18"/>
                <w:color w:val="auto"/>
              </w:rPr>
              <w:t>membres, regroupés en comités, la charge de préparer et d'exécuter</w:t>
            </w: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committees  or  individual  members.  It  must  ensure  appropriate</w:t>
            </w:r>
          </w:p>
        </w:tc>
        <w:tc>
          <w:tcPr>
            <w:tcW w:w="5620" w:type="dxa"/>
            <w:vAlign w:val="bottom"/>
          </w:tcPr>
          <w:p>
            <w:pPr>
              <w:ind w:left="120"/>
              <w:spacing w:after="0" w:line="202" w:lineRule="exact"/>
              <w:rPr>
                <w:sz w:val="20"/>
                <w:szCs w:val="20"/>
                <w:color w:val="auto"/>
              </w:rPr>
            </w:pPr>
            <w:r>
              <w:rPr>
                <w:rFonts w:ascii="Arial" w:cs="Arial" w:eastAsia="Arial" w:hAnsi="Arial"/>
                <w:sz w:val="18"/>
                <w:szCs w:val="18"/>
                <w:color w:val="auto"/>
              </w:rPr>
              <w:t>ses décisions ou de surveiller certaines affaires. Il veille à ce que</w:t>
            </w: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reporting to its members.</w:t>
            </w:r>
          </w:p>
        </w:tc>
        <w:tc>
          <w:tcPr>
            <w:tcW w:w="5620" w:type="dxa"/>
            <w:vAlign w:val="bottom"/>
          </w:tcPr>
          <w:p>
            <w:pPr>
              <w:ind w:left="120"/>
              <w:spacing w:after="0"/>
              <w:rPr>
                <w:sz w:val="20"/>
                <w:szCs w:val="20"/>
                <w:color w:val="auto"/>
              </w:rPr>
            </w:pPr>
            <w:r>
              <w:rPr>
                <w:rFonts w:ascii="Arial" w:cs="Arial" w:eastAsia="Arial" w:hAnsi="Arial"/>
                <w:sz w:val="18"/>
                <w:szCs w:val="18"/>
                <w:color w:val="auto"/>
              </w:rPr>
              <w:t>ses membres soient convenablement informés.</w:t>
            </w:r>
          </w:p>
        </w:tc>
      </w:tr>
      <w:tr>
        <w:trPr>
          <w:trHeight w:val="793"/>
        </w:trPr>
        <w:tc>
          <w:tcPr>
            <w:tcW w:w="3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24   Representation of the Company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24   Représentation de la société</w:t>
            </w:r>
          </w:p>
        </w:tc>
      </w:tr>
      <w:tr>
        <w:trPr>
          <w:trHeight w:val="36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The Board of Directors shall assign the persons with signatory power</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  conseil  d'administration  nomme  les  personnes  pouvant</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 the Company and the kind of signatory power.</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représenter la société ainsi que le mode de signature.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25   Delegation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25   Délégation</w:t>
            </w:r>
          </w:p>
        </w:tc>
      </w:tr>
      <w:tr>
        <w:trPr>
          <w:trHeight w:val="36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Moreover, the Board of Directors is authorized to delegate, in part or</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entirely, the management and the representation of the Company,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déléguer, en partie ou entièrement, la gestion et la représentation 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within the limits of the law, to one or more individual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 société à un ou plusieurs administrateurs (délégués) ou à des</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(Delegates) or to third parties pursuant to organizational regulations.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tiers conformément au règlement d'organisation.</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26   Meetings, Resolutions and Minutes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organization of the meetings, the presence quorum and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L'organisation des réunions, le quorum de présence et l'adoption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passing of resolutions of the Board of Directors is determined by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décisions  du  conseil  d'administration  sont  prévus  dans  le</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organizational regulations.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règlement d'organisation.</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Meetings may be held by telephone, videoconferences or other</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réunions   peuvent   avoir   lieu   par   téléphone,   par</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electronic means. Resolutions may also be passed by way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vidéoconférence ou autres moyens électroniques. Les décisions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circulation,  in  written  form  or  by  other  means  of  data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peuvent également être prises par voie de circulation, par voie écrite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communications,  provided  that  no  member  requests  oral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ou par autre transmission de données, à condition qu'aucun membre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deliberation.  When  resolutions  are  made  electronically,  no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ne demande une délibération orale. Lorsque des décisions sont</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signatures are required.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prises par voie électronique, les signatures ne sont pas nécessaires.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Minutes are kept of the Board of Directors' discussions and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Les délibérations et les décisions du conseil d'administration sont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resolutions and signed by the chairman and the minute-taker.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consignées dans un procès-verbal signé par le président et le</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rédacteur du procès-verbal.</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27   Right to information and inspection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Any member of the Board of Directors may request information on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w w:val="99"/>
                <w:vertAlign w:val="superscript"/>
              </w:rPr>
              <w:t>1</w:t>
            </w:r>
            <w:r>
              <w:rPr>
                <w:rFonts w:ascii="Arial" w:cs="Arial" w:eastAsia="Arial" w:hAnsi="Arial"/>
                <w:sz w:val="18"/>
                <w:szCs w:val="18"/>
                <w:color w:val="auto"/>
                <w:w w:val="99"/>
              </w:rPr>
              <w:t xml:space="preserve"> Chaque membre du conseil d'administration a le droit d'obtenir des</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any Company business.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renseignements sur toutes les affaires de la société.</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Outside meetings, any member may request information from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En  dehors  des  séances,  chaque  membre  du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persons  entrusted  with  managing  the  Company's  business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peut exiger des personnes chargées de la gestion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concerning the Company's business performance and, with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des  renseignements  sur  la  marche  de  l'entreprise  et,  avec</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chairman's authorisation, specific transactions.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l'autorisation du président, sur des affaires déterminées.</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Where required for the performance of his/her duties, any member</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w w:val="98"/>
                <w:vertAlign w:val="superscript"/>
              </w:rPr>
              <w:t>3</w:t>
            </w:r>
            <w:r>
              <w:rPr>
                <w:rFonts w:ascii="Arial" w:cs="Arial" w:eastAsia="Arial" w:hAnsi="Arial"/>
                <w:sz w:val="18"/>
                <w:szCs w:val="18"/>
                <w:color w:val="auto"/>
                <w:w w:val="98"/>
              </w:rPr>
              <w:t xml:space="preserve"> Dans la mesure où cela est nécessaire à l'accomplissement de ses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may request the chairman to have books of account and documents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tâches, chaque membre du conseil d'administration peut demander</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made available to him/her for inspection.</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au président la production des livres ou des dossiers.</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If the chairman refuses a request for information, a request to be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Si le président rejette une demande de renseignement, d'audition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heard or an application to inspect documents, the Board of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ou de consultation, le conseil d'administration tranche.</w:t>
            </w:r>
          </w:p>
        </w:tc>
        <w:tc>
          <w:tcPr>
            <w:tcW w:w="0" w:type="dxa"/>
            <w:vAlign w:val="bottom"/>
          </w:tcPr>
          <w:p>
            <w:pPr>
              <w:spacing w:after="0"/>
              <w:rPr>
                <w:sz w:val="1"/>
                <w:szCs w:val="1"/>
                <w:color w:val="auto"/>
              </w:rPr>
            </w:pPr>
          </w:p>
        </w:tc>
      </w:tr>
      <w:tr>
        <w:trPr>
          <w:trHeight w:val="239"/>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rules on the matter.</w:t>
            </w:r>
          </w:p>
        </w:tc>
        <w:tc>
          <w:tcPr>
            <w:tcW w:w="392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600" w:type="dxa"/>
            <w:vAlign w:val="bottom"/>
            <w:tcBorders>
              <w:left w:val="single" w:sz="8" w:color="auto"/>
              <w:bottom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28</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Compensation, Nomination and Corporate</w:t>
            </w:r>
          </w:p>
        </w:tc>
        <w:tc>
          <w:tcPr>
            <w:tcW w:w="240" w:type="dxa"/>
            <w:vAlign w:val="bottom"/>
            <w:tcBorders>
              <w:right w:val="single" w:sz="8" w:color="auto"/>
            </w:tcBorders>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rPr>
              <w:t>Art. 28</w:t>
            </w:r>
          </w:p>
        </w:tc>
        <w:tc>
          <w:tcPr>
            <w:tcW w:w="47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Comité de rémunération, de nomination et de</w:t>
            </w:r>
          </w:p>
        </w:tc>
        <w:tc>
          <w:tcPr>
            <w:tcW w:w="0" w:type="dxa"/>
            <w:vAlign w:val="bottom"/>
          </w:tcPr>
          <w:p>
            <w:pPr>
              <w:spacing w:after="0"/>
              <w:rPr>
                <w:sz w:val="1"/>
                <w:szCs w:val="1"/>
                <w:color w:val="auto"/>
              </w:rPr>
            </w:pPr>
          </w:p>
        </w:tc>
      </w:tr>
      <w:tr>
        <w:trPr>
          <w:trHeight w:val="247"/>
        </w:trPr>
        <w:tc>
          <w:tcPr>
            <w:tcW w:w="5520" w:type="dxa"/>
            <w:vAlign w:val="bottom"/>
            <w:tcBorders>
              <w:left w:val="single" w:sz="8" w:color="auto"/>
              <w:right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Governance Committee</w:t>
            </w:r>
          </w:p>
        </w:tc>
        <w:tc>
          <w:tcPr>
            <w:tcW w:w="2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474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gouvernance d’entreprise</w:t>
            </w:r>
          </w:p>
        </w:tc>
        <w:tc>
          <w:tcPr>
            <w:tcW w:w="0" w:type="dxa"/>
            <w:vAlign w:val="bottom"/>
          </w:tcPr>
          <w:p>
            <w:pPr>
              <w:spacing w:after="0"/>
              <w:rPr>
                <w:sz w:val="1"/>
                <w:szCs w:val="1"/>
                <w:color w:val="auto"/>
              </w:rPr>
            </w:pP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Compensation,  Nomination  and  Corporate  Governance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 comité de rémunération, de nomination et de gouvernance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Committee shall comprise at least 2 members. The members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d’entreprise se compose d'au moins 2 membres. Les membres du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Compensation, Nomination and Corporate Governance Committee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comité  de  rémunération,  de  nomination  et  de  gouvernance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shall be individually elected by the Ordinary General Meeting from</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d’entreprise sont élus par l'assemblée générale ordinaire parmi les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among the members of the Board of Directors for a term of one year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membres du conseil d'administration pour un mandat d'un an jusqu'à</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until the next Ordinary General Meeting. Re-election is permitted.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  prochaine  assemblée  générale  ordinaire.  Une  réélection  est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The  Compensation,  Nomination  and  Corporate  Governance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possible.  Le  comité  de  rémunération,  de  nomination  et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Committee has the following duties: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gouvernance d’entreprise a les fonctions suivantes:</w:t>
            </w:r>
          </w:p>
        </w:tc>
        <w:tc>
          <w:tcPr>
            <w:tcW w:w="0" w:type="dxa"/>
            <w:vAlign w:val="bottom"/>
          </w:tcPr>
          <w:p>
            <w:pPr>
              <w:spacing w:after="0"/>
              <w:rPr>
                <w:sz w:val="1"/>
                <w:szCs w:val="1"/>
                <w:color w:val="auto"/>
              </w:rPr>
            </w:pPr>
          </w:p>
        </w:tc>
      </w:tr>
      <w:tr>
        <w:trPr>
          <w:trHeight w:val="369"/>
        </w:trPr>
        <w:tc>
          <w:tcPr>
            <w:tcW w:w="1600" w:type="dxa"/>
            <w:vAlign w:val="bottom"/>
            <w:tcBorders>
              <w:left w:val="single" w:sz="8" w:color="auto"/>
            </w:tcBorders>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 élaborer des principes de rémunération des membres du conseil</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 to draw up principles for compensation of members of the Board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d'administration et du comité exécutif et de les soumettre au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of Directors and the Executive Committee and to submit them</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conseil d'administration pour approbation;</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to the Board of Directors for approval;</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b)   soumettre au conseil d'administration la proposition qui sera</w:t>
            </w:r>
          </w:p>
        </w:tc>
        <w:tc>
          <w:tcPr>
            <w:tcW w:w="0" w:type="dxa"/>
            <w:vAlign w:val="bottom"/>
          </w:tcPr>
          <w:p>
            <w:pPr>
              <w:spacing w:after="0"/>
              <w:rPr>
                <w:sz w:val="1"/>
                <w:szCs w:val="1"/>
                <w:color w:val="auto"/>
              </w:rPr>
            </w:pPr>
          </w:p>
        </w:tc>
      </w:tr>
      <w:tr>
        <w:trPr>
          <w:trHeight w:val="166"/>
        </w:trPr>
        <w:tc>
          <w:tcPr>
            <w:tcW w:w="1600" w:type="dxa"/>
            <w:vAlign w:val="bottom"/>
            <w:tcBorders>
              <w:left w:val="single" w:sz="8" w:color="auto"/>
            </w:tcBorders>
          </w:tcPr>
          <w:p>
            <w:pPr>
              <w:spacing w:after="0"/>
              <w:rPr>
                <w:sz w:val="14"/>
                <w:szCs w:val="14"/>
                <w:color w:val="auto"/>
              </w:rPr>
            </w:pPr>
          </w:p>
        </w:tc>
        <w:tc>
          <w:tcPr>
            <w:tcW w:w="392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b)  to submit to the Board of Directors the proposal to be submitted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soumise à l'assemblée générale ordinaire pour la rémunération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to  the  Ordinary  General  Meeting  for  the  maximum  total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totale  maximale  du  conseil  d'administration  et  du  comité</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compensation  of  the  Board  of  Directors  and  Executive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exécutif;</w:t>
            </w:r>
          </w:p>
        </w:tc>
        <w:tc>
          <w:tcPr>
            <w:tcW w:w="0" w:type="dxa"/>
            <w:vAlign w:val="bottom"/>
          </w:tcPr>
          <w:p>
            <w:pPr>
              <w:spacing w:after="0"/>
              <w:rPr>
                <w:sz w:val="1"/>
                <w:szCs w:val="1"/>
                <w:color w:val="auto"/>
              </w:rPr>
            </w:pPr>
          </w:p>
        </w:tc>
      </w:tr>
      <w:tr>
        <w:trPr>
          <w:trHeight w:val="239"/>
        </w:trPr>
        <w:tc>
          <w:tcPr>
            <w:tcW w:w="160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Committee;</w:t>
            </w:r>
          </w:p>
        </w:tc>
        <w:tc>
          <w:tcPr>
            <w:tcW w:w="392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   sous réserve et dans les limites de la rémunération maximale</w:t>
            </w:r>
          </w:p>
        </w:tc>
        <w:tc>
          <w:tcPr>
            <w:tcW w:w="0" w:type="dxa"/>
            <w:vAlign w:val="bottom"/>
          </w:tcPr>
          <w:p>
            <w:pPr>
              <w:spacing w:after="0"/>
              <w:rPr>
                <w:sz w:val="1"/>
                <w:szCs w:val="1"/>
                <w:color w:val="auto"/>
              </w:rPr>
            </w:pPr>
          </w:p>
        </w:tc>
      </w:tr>
      <w:tr>
        <w:trPr>
          <w:trHeight w:val="166"/>
        </w:trPr>
        <w:tc>
          <w:tcPr>
            <w:tcW w:w="1600" w:type="dxa"/>
            <w:vAlign w:val="bottom"/>
            <w:tcBorders>
              <w:left w:val="single" w:sz="8" w:color="auto"/>
            </w:tcBorders>
          </w:tcPr>
          <w:p>
            <w:pPr>
              <w:spacing w:after="0"/>
              <w:rPr>
                <w:sz w:val="14"/>
                <w:szCs w:val="14"/>
                <w:color w:val="auto"/>
              </w:rPr>
            </w:pPr>
          </w:p>
        </w:tc>
        <w:tc>
          <w:tcPr>
            <w:tcW w:w="392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  subject to and within the bounds of the maximum compensation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approuvée  par  l'assemblée  générale  ordinaire,  demander</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approved by the Ordinary General Meeting, to request approval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l'approbation du conseil d'administration quant aux paquets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by  the  Board  of  Directors  of  the  individual  remuneration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rémunération individuels devant être versés aux membres du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packages to be paid to members of the Board of Directors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conseil d'administration et aux membres du comité exécutif;</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members of the Executive Committee;</w:t>
            </w:r>
          </w:p>
        </w:tc>
        <w:tc>
          <w:tcPr>
            <w:tcW w:w="2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1600" w:type="dxa"/>
            <w:vAlign w:val="bottom"/>
            <w:tcBorders>
              <w:left w:val="single" w:sz="8" w:color="auto"/>
              <w:bottom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16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3" w:name="page64"/>
    <w:bookmarkEnd w:id="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ind w:left="498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90"/>
        </w:trPr>
        <w:tc>
          <w:tcPr>
            <w:tcW w:w="30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52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to request approval by the Board of Directors regarding the</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   requérir l'approbation du conseil d'administration sur la fixation</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determination  of  the  compensation-related  targets  for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d'objectifs liés à la rémunération pour le comité exécutif;</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Executive Committee;</w:t>
            </w:r>
          </w:p>
        </w:tc>
        <w:tc>
          <w:tcPr>
            <w:tcW w:w="240" w:type="dxa"/>
            <w:vAlign w:val="bottom"/>
            <w:tcBorders>
              <w:right w:val="single" w:sz="8" w:color="auto"/>
            </w:tcBorders>
          </w:tcPr>
          <w:p>
            <w:pPr>
              <w:spacing w:after="0"/>
              <w:rPr>
                <w:sz w:val="20"/>
                <w:szCs w:val="20"/>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e)</w:t>
            </w:r>
          </w:p>
        </w:tc>
        <w:tc>
          <w:tcPr>
            <w:tcW w:w="52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requérir l'approbation du conseil d'administration sur les</w:t>
            </w:r>
          </w:p>
        </w:tc>
        <w:tc>
          <w:tcPr>
            <w:tcW w:w="0" w:type="dxa"/>
            <w:vAlign w:val="bottom"/>
          </w:tcPr>
          <w:p>
            <w:pPr>
              <w:spacing w:after="0"/>
              <w:rPr>
                <w:sz w:val="1"/>
                <w:szCs w:val="1"/>
                <w:color w:val="auto"/>
              </w:rPr>
            </w:pPr>
          </w:p>
        </w:tc>
      </w:tr>
      <w:tr>
        <w:trPr>
          <w:trHeight w:val="166"/>
        </w:trPr>
        <w:tc>
          <w:tcPr>
            <w:tcW w:w="300" w:type="dxa"/>
            <w:vAlign w:val="bottom"/>
            <w:tcBorders>
              <w:left w:val="single" w:sz="8" w:color="auto"/>
            </w:tcBorders>
          </w:tcPr>
          <w:p>
            <w:pPr>
              <w:spacing w:after="0"/>
              <w:rPr>
                <w:sz w:val="14"/>
                <w:szCs w:val="14"/>
                <w:color w:val="auto"/>
              </w:rPr>
            </w:pPr>
          </w:p>
        </w:tc>
        <w:tc>
          <w:tcPr>
            <w:tcW w:w="522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60" w:type="dxa"/>
            <w:vAlign w:val="bottom"/>
            <w:vMerge w:val="continue"/>
          </w:tcPr>
          <w:p>
            <w:pPr>
              <w:spacing w:after="0"/>
              <w:rPr>
                <w:sz w:val="14"/>
                <w:szCs w:val="14"/>
                <w:color w:val="auto"/>
              </w:rPr>
            </w:pPr>
          </w:p>
        </w:tc>
        <w:tc>
          <w:tcPr>
            <w:tcW w:w="52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e)</w:t>
            </w:r>
          </w:p>
        </w:tc>
        <w:tc>
          <w:tcPr>
            <w:tcW w:w="522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to request approval by the Board of Directors regarding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adaptations des statuts relatives à la rémunération; et</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adjustments  to  the  Articles  of  Association  relating  to</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f)  préparer le rapport de rémunération et le soumettre au conseil</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f)  to prepare the Compensation Report and submit it to the Board of</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d'administration.</w:t>
            </w:r>
          </w:p>
        </w:tc>
        <w:tc>
          <w:tcPr>
            <w:tcW w:w="0" w:type="dxa"/>
            <w:vAlign w:val="bottom"/>
          </w:tcPr>
          <w:p>
            <w:pPr>
              <w:spacing w:after="0"/>
              <w:rPr>
                <w:sz w:val="1"/>
                <w:szCs w:val="1"/>
                <w:color w:val="auto"/>
              </w:rPr>
            </w:pPr>
          </w:p>
        </w:tc>
      </w:tr>
      <w:tr>
        <w:trPr>
          <w:trHeight w:val="166"/>
        </w:trPr>
        <w:tc>
          <w:tcPr>
            <w:tcW w:w="5520" w:type="dxa"/>
            <w:vAlign w:val="bottom"/>
            <w:tcBorders>
              <w:left w:val="single" w:sz="8" w:color="auto"/>
              <w:right w:val="single" w:sz="8" w:color="auto"/>
            </w:tcBorders>
            <w:gridSpan w:val="2"/>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Directors.</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Board of Directors shall set out any further duties and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  conseil  d'administration  fixe  toutes  autres  fonctions  et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responsibilities  vested  on  the  Compensation,  Nomination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responsabilités dévolues au comité de rémunération, de nomination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Corporate Governance Committee in the Company's Organizational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et de gouvernance d’entreprise dans le règlement d'organisation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Rules.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 société.</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If there are vacancies on the Compensation, Nomination and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S'il y a des postes vacants au sein du comité de rémunération,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Corporate Governance Committee, the Board of Directors may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nomination   et   de   gouvernance   d’entreprise,   le   conseil</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appoint substitutes from amongst its members for the remaining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d'administration peut désigner des substituts parmi ses membres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term of office.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pour la durée restante du terme de fonction.</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The  Board  of  Directors  shall  elect  a  chairman  of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Le  conseil  d'administration  élit  un  président  du  comité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Compensation, Nomination and Corporate Governance Committee.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rémunération, de nomination et de gouvernance d’entreprise.</w:t>
            </w:r>
          </w:p>
        </w:tc>
        <w:tc>
          <w:tcPr>
            <w:tcW w:w="0" w:type="dxa"/>
            <w:vAlign w:val="bottom"/>
          </w:tcPr>
          <w:p>
            <w:pPr>
              <w:spacing w:after="0"/>
              <w:rPr>
                <w:sz w:val="1"/>
                <w:szCs w:val="1"/>
                <w:color w:val="auto"/>
              </w:rPr>
            </w:pPr>
          </w:p>
        </w:tc>
      </w:tr>
      <w:tr>
        <w:trPr>
          <w:trHeight w:val="63"/>
        </w:trPr>
        <w:tc>
          <w:tcPr>
            <w:tcW w:w="300" w:type="dxa"/>
            <w:vAlign w:val="bottom"/>
            <w:tcBorders>
              <w:left w:val="single" w:sz="8" w:color="auto"/>
              <w:bottom w:val="single" w:sz="8" w:color="auto"/>
            </w:tcBorders>
          </w:tcPr>
          <w:p>
            <w:pPr>
              <w:spacing w:after="0"/>
              <w:rPr>
                <w:sz w:val="5"/>
                <w:szCs w:val="5"/>
                <w:color w:val="auto"/>
              </w:rPr>
            </w:pPr>
          </w:p>
        </w:tc>
        <w:tc>
          <w:tcPr>
            <w:tcW w:w="522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4" w:name="page65"/>
    <w:bookmarkEnd w:id="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29   Indemnification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29   Indemnisation</w:t>
            </w:r>
          </w:p>
        </w:tc>
      </w:tr>
      <w:tr>
        <w:trPr>
          <w:trHeight w:val="56"/>
        </w:trPr>
        <w:tc>
          <w:tcPr>
            <w:tcW w:w="552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As far as is permissible under applicable law, the Company shall</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Dans  la  mesure  permise  par  la  loi  applicable,  la  société</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indemnify any current or former member of the Board of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indemnisera   tout   membre   actuel   ou   ancien   du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current and former members of the Executive Committee, or 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les  membres  actuels  et  anciens  membres  du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person who is serving or has served at the request of the Company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comité exécutif, ou toute personne qui sert ou a servi à la demande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as a member of the Board of Directors or member of the Executive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la société en tant que membre du conseil d'administration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Committee (each individually, a "Covered Person"), against 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membre du comité exécutif (chacun individuellement, une "Personne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expenses, including attorneys' fees, judgments, fines, and amounts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Couverte"), pour toutes les dépenses, y compris les honoraires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paid in settlement actually and reasonably incurred by him or her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d'avocat, jugements, amendes, et montants versés effectivement et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connection with any threatened, pending, or completed action, suit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raisonnablement à titre de règlement dans le cadre de toute action,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 proceeding, whether civil, criminal or administrative, to which 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poursuite ou procédure imminente, pendante ou terminée, qu'elle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 she was, is, or is threatened to be made a party, or is otherwise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soit civile, pénale ou administrative, à laquelle il ou elle a été, est,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involved (a "Proceeding"). This provision shall not indemnify 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est menacé d'être partie, ou est impliqué de toute autre manière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Covered Person against any liability arising out of (a) any fraud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(une "Procédure"). Cette disposition ne doit pas indemniser 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dishonesty in the performance of such Covered Person's duty to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Personne Couverte contre une responsabilité découlant de (a) 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Company, or (b) such Covered Party's conscious, intentional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fraude ou une malhonnêteté de cette Personne Couverte dans</w:t>
            </w:r>
          </w:p>
        </w:tc>
      </w:tr>
      <w:tr>
        <w:trPr>
          <w:trHeight w:val="202"/>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willful or grossly negligent breach of the obligation to act honestly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l'exercice de ses fonctions vis-à-vis de la société, ou (b) 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 in good faith with a view to the best interests of the Company.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violation  consciente,  intentionnelle  ou  volontaire  ou  gravement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Notwithstanding  the  preceding  sentence,  this  section  shall  not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négligente de l'obligation de cette Personne Couverte d'agir avec</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extend to any person holding the office of Auditor or special auditor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honnêteté  en  tenant  compte  du  meilleur  intérêt  de  la  société.</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the Company.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Nonobstant ce qui précède, cette disposition ne s'étend pas aux</w:t>
            </w: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personnes qui occupent le poste de réviseur ou de réviseur spécial</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 la société.</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the case of any Proceeding by or in the name of the Company,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Dans le cas de toute Procédure intentée par ou au nom de la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Company  shall  indemnify  each  Covered  Person  against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société, la société doit indemniser chaque Personne Couverte pour</w:t>
            </w:r>
          </w:p>
        </w:tc>
      </w:tr>
      <w:tr>
        <w:trPr>
          <w:trHeight w:val="202"/>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expenses,  including  attorneys'  fees,  actually  and  reasonably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les dépenses, y compris les honoraires d'avocat, effectivement et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incurred in connection with the defense or settlement thereof, except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raisonnablement encourus dans le cadre de la défense ou du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that no indemnification shall be made in respect of any claim, issue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règlement dans le cadre de la Procédure. Aucune indemnisation 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or matter as to which a Covered Person shall have been adjudged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sera  octroyée  pour  une  réclamation,  problème  ou  affaire  pour</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liable for fraud or dishonesty in the performance of his or her duty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laquelle une Personne Couverte est tenue responsable à la suite 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the Company, or for conscious, intentional or willful or grossly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fraude ou de malhonnêteté dans l'exercice de ses fonctions vis-à-vis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negligent breach of his or her obligation to act honestly and in good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la société, ou à cause d'une violation consciente, intentionnelle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faith with a view to the best interests of the Company, unless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ou volontaire ou gravement négligente de l'obligation de la Personne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only to the extent that a court in which such action or suit was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Couverte d'agir avec honnêteté en tenant compte du meilleur intérêt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brought  shall  determine  upon  application  that  despite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la société, sauf et uniquement si un tribunal auquel une telle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adjudication of liability, but in view of all the circumstances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action  ou  poursuite  a  été  porté  détermine  que,  malgré  la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case, such Covered Person is fairly and reasonably entitled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reconnaissance de la responsabilité, mais compte tenu de toutes 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indemnity  for  such  expenses  as  the  court  shall  deem  proper.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circonstances  du  cas  d'espèce,  cette  Personne  Couverte  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Notwithstanding  the  preceding  sentence,  this  section  shall  not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équitablement et raisonnablement droit à une indemnisation de ces</w:t>
            </w:r>
          </w:p>
        </w:tc>
      </w:tr>
      <w:tr>
        <w:trPr>
          <w:trHeight w:val="202"/>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extend to any person holding the office of Auditor or special auditor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dépenses, mais uniquement à hauteur du montant que le tribunal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the Company.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jugera  convenable.  Nonobstant  la  phrase  précédente,  cette</w:t>
            </w: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disposition ne s'étend pas aux personnes qui occupent le poste de</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réviseur ou de réviseur spécial de la société.</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Any indemnification under this Article 29 (unless ordered by a</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Toute  indemnisation  en  vertu  du  présent  article  29  (sauf  si</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court) shall be made by the Company only as authorized in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ordonnée par un tribunal) doit être octroyée par la société dans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specific  case  upon  a  determination  that  indemnification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chaque cas dans les limites de l'autorisation sur la base d'une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Covered  Person  is  proper  in  the  circumstances  because  such</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détermination que l'indemnisation de la Personne Couverte est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person has met the applicable standard of conduct set forth in this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appropriée dans les circonstances parce que cette personne 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Article 29. Such determination shall be made, with respect to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satisfait au standard de conduite applicable énoncé dans le présent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Covered Person (a) by a majority vote of the members of the Board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article 29. Une telle décision concernant une Personne Couverte doit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Directors who are not parties to such proceeding (referred to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être prise (a) par la majorité des votes des membres du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this paragraph as "Non-Involved Members"), irrespective of a lack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qui ne sont pas parties à cette procédure (définis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 quorum; (b) by a committee of Non-Involved Members designated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dans cet alinéa comme « Membres Non-concernés »), même si 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by a majority vote of the Non-Involved Members , irrespective of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quorum requis n'est pas réuni; (b) par un comité de Membres Non-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lack of a quorum; (c) if there is no such Non-Involved Member, by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concernés désignés par une majorité des votes des Membres Non-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independent legal counsel in a written opinion; or (d) by the General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concernés , même si le quorum requis n'est pas réuni; (c) s'il n'y 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Meeting. To the extent, however, that any Covered Person has been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pas  de  Membre  Non-concerné,  par  un  conseiller  juridique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successful on the merits or otherwise in defense of any proceeding,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indépendant dans un avis écrit; ou (d) par l'assemblée générale.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 in defense of any claim, issue or matter therein, such Covered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Dans la mesure, cependant, où une Personne Couverte a gagné sur</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Person shall be indemnified against expenses (including attorneys'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le fond ou autrement dans la défense d'une procédure, ou dans la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fees) actually and reasonably incurred by such person in connection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défense  de  toute  réclamation,  problème  ou  affaire  dans  cette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therewith, without the necessity of authorization in the specific case.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procédure, cette Personne Couverte doit être indemnisée pour les</w:t>
            </w: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dépenses  (y  compris  les  honoraires  d'avocat)  effectivement  et</w:t>
            </w: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raisonnablement encourus dans le cadre de l'affaire en question</w:t>
            </w: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sans qu'il soit nécessaire d'avoir une autorisation dans le cas</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spécifique.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As far as is permissible under applicable law, expenses, including</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Dans la mesure permise par la loi applicable, les dépenses, y</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attorneys' fees, incurred in defending any proceeding for which</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compris les honoraires d'avocats, encourus dans la défense de toute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indemnification is permitted pursuant to this Article 29 shall be paid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procédure pour laquelle l'indemnisation est permise en vertu du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by  the  Company  in  advance  of  the  final  disposition  of  such</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présent article 29, doivent être payées par la société avant la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proceeding upon receipt by the Board of Directors of an undertaking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décision finale dans cette procédure à réception par le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by or on behalf of the Covered Person to repay such amount if it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d'administration d'une promesse faite par ou au nom de la Personne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shall ultimately be determined that he or she is not entitled to be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Couverte de rembourser ce montant s'il s'avère finalement que cette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indemnified by the Company under these Articles of Association.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Personne Couverte n'a pas droit à l'indemnisation par la société en</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vertu de ces statuts.</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It being the policy of the Company that indemnification of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La  politique  de  la  société  prévoit  que  l'indemnisation  des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persons specified in this Article 29 shall be made to the fullest extent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personnes visées au présent article 29 doit être payée dans toute la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permitted by law and the indemnification provided by this Article 29</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mesure autorisée par la loi et l'indemnisation prévue par cet article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shall not be deemed exclusive (a) of any other rights to which those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29 ne sera pas considérée comme exclusive (a) d'autres droits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seeking  indemnification  or  advancement  of  expenses  may  be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auxquels  les  personnes  demandant  une  indemnisation  ou  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entitled under these Articles of Association, any agreement, 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avance des dépenses ont droit en vertu de ces statuts, d'un accord,</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insurance purchased by the Company, vote of shareholders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d'une assurance souscrite par la société, d'un vote d'actionnaires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members of the Board of Directors without a direct interest in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membres du conseil d'administration n'ayant pas d'intérêt direct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matter, or pursuant to the decision of any court of competent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en la matière, ou en vertu d'une décision d'un tribunal compétent,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jurisdiction, or otherwise, both as to action in his or her official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autrement, soit à l'égard d'actions faites en sa capacité officielle, soit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capacity and as to action in another capacity while holding such</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à l'égard d'actions faites à un autre titre tout en ayant une telle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office, or (b) of the power of the Company to indemnify any person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fonction, ou (b) du pouvoir de la société d'indemniser toute personne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who is or was an employee or agent of the Company or of another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qui est ou était un employé ou un mandataire de la société ou d'une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corporation, joint venture, trust or other enterprise which he or she 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autre société, d'une joint venture, d'une fiducie ou d'une autre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serving or has served at the request of the Company, to the same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entreprise pour laquelle il ou elle travaille ou a travaillé à la demande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extent  and  in  the  same  situations  and  subject  to  the  same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de la société, dans la même mesure et dans les mêmes situations et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determinations  as  are  hereinabove  set  forth  with  respect  to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sous  réserve  des  mêmes  principes  concernant  une  Personne</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Covered Person.</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Couverte évoquées ci-dessus.</w:t>
            </w:r>
          </w:p>
        </w:tc>
      </w:tr>
      <w:tr>
        <w:trPr>
          <w:trHeight w:val="369"/>
        </w:trPr>
        <w:tc>
          <w:tcPr>
            <w:tcW w:w="5520" w:type="dxa"/>
            <w:vAlign w:val="bottom"/>
            <w:tcBorders>
              <w:left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Tel qu'utilisé dans le présent article 29, les références à la "société"</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As used in this Article 29, references to the "Company" include all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comprennent toutes les sociétés ayant fait l'objet d'un regroupement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constituent corporations in a consolidation or merger in which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ou d'une fusion dans laquelle la société ou un prédécesseur à la</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Company or a predecessor to the Company by consolidation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société a été impliqué.</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merger was involved.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The indemnification provided by this Article 29 shall continue as to</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L'indemnisation prévue par cet article 29 est maintenue à l'égard</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 person who has ceased to be a member of the Board of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d'une  personne  qui  a  cessé  d'être  un  membre  du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 the Executive Committee and shall inure to the benefit of their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d'administration ou du comité exécutif et sera en vigueur au bénéfice</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heirs, executors, and administrators.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 ses héritiers, exécuteurs et administrateurs.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7" w:name="page68"/>
    <w:bookmarkEnd w:id="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0" w:type="dxa"/>
            <w:vAlign w:val="bottom"/>
          </w:tcPr>
          <w:p>
            <w:pPr>
              <w:ind w:left="456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90"/>
        </w:trPr>
        <w:tc>
          <w:tcPr>
            <w:tcW w:w="3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VI.</w:t>
            </w:r>
          </w:p>
        </w:tc>
        <w:tc>
          <w:tcPr>
            <w:tcW w:w="280" w:type="dxa"/>
            <w:vAlign w:val="bottom"/>
          </w:tcPr>
          <w:p>
            <w:pPr>
              <w:spacing w:after="0"/>
              <w:rPr>
                <w:sz w:val="24"/>
                <w:szCs w:val="24"/>
                <w:color w:val="auto"/>
              </w:rPr>
            </w:pPr>
          </w:p>
        </w:tc>
        <w:tc>
          <w:tcPr>
            <w:tcW w:w="490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AUDITORS</w:t>
            </w:r>
          </w:p>
        </w:tc>
        <w:tc>
          <w:tcPr>
            <w:tcW w:w="240" w:type="dxa"/>
            <w:vAlign w:val="bottom"/>
            <w:tcBorders>
              <w:right w:val="single" w:sz="8" w:color="auto"/>
            </w:tcBorders>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VI.</w:t>
            </w:r>
          </w:p>
        </w:tc>
        <w:tc>
          <w:tcPr>
            <w:tcW w:w="360" w:type="dxa"/>
            <w:vAlign w:val="bottom"/>
          </w:tcPr>
          <w:p>
            <w:pPr>
              <w:spacing w:after="0"/>
              <w:rPr>
                <w:sz w:val="24"/>
                <w:szCs w:val="24"/>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ORGANE DE RÉVISION</w:t>
            </w:r>
          </w:p>
        </w:tc>
        <w:tc>
          <w:tcPr>
            <w:tcW w:w="0" w:type="dxa"/>
            <w:vAlign w:val="bottom"/>
          </w:tcPr>
          <w:p>
            <w:pPr>
              <w:spacing w:after="0"/>
              <w:rPr>
                <w:sz w:val="1"/>
                <w:szCs w:val="1"/>
                <w:color w:val="auto"/>
              </w:rPr>
            </w:pPr>
          </w:p>
        </w:tc>
      </w:tr>
      <w:tr>
        <w:trPr>
          <w:trHeight w:val="56"/>
        </w:trPr>
        <w:tc>
          <w:tcPr>
            <w:tcW w:w="620" w:type="dxa"/>
            <w:vAlign w:val="bottom"/>
            <w:tcBorders>
              <w:left w:val="single" w:sz="8" w:color="auto"/>
              <w:bottom w:val="single" w:sz="8" w:color="auto"/>
            </w:tcBorders>
            <w:gridSpan w:val="2"/>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30</w:t>
            </w:r>
          </w:p>
        </w:tc>
        <w:tc>
          <w:tcPr>
            <w:tcW w:w="49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Election, Term</w:t>
            </w:r>
          </w:p>
        </w:tc>
        <w:tc>
          <w:tcPr>
            <w:tcW w:w="240" w:type="dxa"/>
            <w:vAlign w:val="bottom"/>
            <w:tcBorders>
              <w:right w:val="single" w:sz="8" w:color="auto"/>
            </w:tcBorders>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Art. 30 </w:t>
            </w:r>
          </w:p>
        </w:tc>
        <w:tc>
          <w:tcPr>
            <w:tcW w:w="48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Élection, durée</w:t>
            </w:r>
          </w:p>
        </w:tc>
        <w:tc>
          <w:tcPr>
            <w:tcW w:w="0" w:type="dxa"/>
            <w:vAlign w:val="bottom"/>
          </w:tcPr>
          <w:p>
            <w:pPr>
              <w:spacing w:after="0"/>
              <w:rPr>
                <w:sz w:val="1"/>
                <w:szCs w:val="1"/>
                <w:color w:val="auto"/>
              </w:rPr>
            </w:pPr>
          </w:p>
        </w:tc>
      </w:tr>
      <w:tr>
        <w:trPr>
          <w:trHeight w:val="401"/>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General Meeting shall elect, every year, an individual or</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L'assemblée  générale  nomme  chaque  année  une  personne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corporate body that satisfies the relevant legal requirements to act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physique  ou  morale  qui  remplit  les  conditions  légales  pour</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 xml:space="preserve">as its statutory auditors (Auditors) in accordance with Articles 727 </w:t>
            </w:r>
            <w:r>
              <w:rPr>
                <w:rFonts w:ascii="Arial" w:cs="Arial" w:eastAsia="Arial" w:hAnsi="Arial"/>
                <w:sz w:val="18"/>
                <w:szCs w:val="18"/>
                <w:i w:val="1"/>
                <w:iCs w:val="1"/>
                <w:color w:val="auto"/>
              </w:rPr>
              <w:t>et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fonctionner comme organe de révision selon les articles 727 ss. CO</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 xml:space="preserve">seq. </w:t>
            </w:r>
            <w:r>
              <w:rPr>
                <w:rFonts w:ascii="Arial" w:cs="Arial" w:eastAsia="Arial" w:hAnsi="Arial"/>
                <w:sz w:val="18"/>
                <w:szCs w:val="18"/>
                <w:color w:val="auto"/>
              </w:rPr>
              <w:t>CO, with the rights and duties determined by law.</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avec les droits et les obligations prévus par la loi.</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gridSpan w:val="3"/>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gridSpan w:val="3"/>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General Meeting may appoint special auditors for a term of up</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3"/>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L'assemblée générale peut nommer des réviseurs spéciaux pour</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to three years who provide the attestations required for changes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une durée de trois ans au maximum qui fournissent les attestations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share capital.</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requises pour les modifications du capital-actions.</w:t>
            </w:r>
          </w:p>
        </w:tc>
        <w:tc>
          <w:tcPr>
            <w:tcW w:w="0" w:type="dxa"/>
            <w:vAlign w:val="bottom"/>
          </w:tcPr>
          <w:p>
            <w:pPr>
              <w:spacing w:after="0"/>
              <w:rPr>
                <w:sz w:val="1"/>
                <w:szCs w:val="1"/>
                <w:color w:val="auto"/>
              </w:rPr>
            </w:pPr>
          </w:p>
        </w:tc>
      </w:tr>
      <w:tr>
        <w:trPr>
          <w:trHeight w:val="63"/>
        </w:trPr>
        <w:tc>
          <w:tcPr>
            <w:tcW w:w="620" w:type="dxa"/>
            <w:vAlign w:val="bottom"/>
            <w:tcBorders>
              <w:left w:val="single" w:sz="8" w:color="auto"/>
              <w:bottom w:val="single" w:sz="8" w:color="auto"/>
            </w:tcBorders>
            <w:gridSpan w:val="2"/>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31</w:t>
            </w:r>
          </w:p>
        </w:tc>
        <w:tc>
          <w:tcPr>
            <w:tcW w:w="49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Duties</w:t>
            </w:r>
          </w:p>
        </w:tc>
        <w:tc>
          <w:tcPr>
            <w:tcW w:w="240" w:type="dxa"/>
            <w:vAlign w:val="bottom"/>
            <w:tcBorders>
              <w:right w:val="single" w:sz="8" w:color="auto"/>
            </w:tcBorders>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Art. 31</w:t>
            </w:r>
          </w:p>
        </w:tc>
        <w:tc>
          <w:tcPr>
            <w:tcW w:w="48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Fonctions</w:t>
            </w:r>
          </w:p>
        </w:tc>
        <w:tc>
          <w:tcPr>
            <w:tcW w:w="0" w:type="dxa"/>
            <w:vAlign w:val="bottom"/>
          </w:tcPr>
          <w:p>
            <w:pPr>
              <w:spacing w:after="0"/>
              <w:rPr>
                <w:sz w:val="1"/>
                <w:szCs w:val="1"/>
                <w:color w:val="auto"/>
              </w:rPr>
            </w:pPr>
          </w:p>
        </w:tc>
      </w:tr>
      <w:tr>
        <w:trPr>
          <w:trHeight w:val="361"/>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Auditors shall perform their duties to audit and report whether</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L'organe  de  révision  vérifie  et  rapporte  si  la  comptabilité,  les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the accounting, the annual accounts and the proposal regarding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comptes annuels et la proposition relative à la répartition des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allocation of profits are in accordance with law and the Articles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bénéfices sont en conformité avec la loi et les statuts.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Association.</w:t>
            </w:r>
          </w:p>
        </w:tc>
        <w:tc>
          <w:tcPr>
            <w:tcW w:w="2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VII.</w:t>
            </w:r>
          </w:p>
        </w:tc>
        <w:tc>
          <w:tcPr>
            <w:tcW w:w="280" w:type="dxa"/>
            <w:vAlign w:val="bottom"/>
          </w:tcPr>
          <w:p>
            <w:pPr>
              <w:spacing w:after="0"/>
              <w:rPr>
                <w:sz w:val="24"/>
                <w:szCs w:val="24"/>
                <w:color w:val="auto"/>
              </w:rPr>
            </w:pPr>
          </w:p>
        </w:tc>
        <w:tc>
          <w:tcPr>
            <w:tcW w:w="49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COMPENSATION AND RELATED PROVISIONS</w:t>
            </w:r>
          </w:p>
        </w:tc>
        <w:tc>
          <w:tcPr>
            <w:tcW w:w="240" w:type="dxa"/>
            <w:vAlign w:val="bottom"/>
            <w:tcBorders>
              <w:right w:val="single" w:sz="8" w:color="auto"/>
            </w:tcBorders>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VII.</w:t>
            </w:r>
          </w:p>
        </w:tc>
        <w:tc>
          <w:tcPr>
            <w:tcW w:w="360" w:type="dxa"/>
            <w:vAlign w:val="bottom"/>
          </w:tcPr>
          <w:p>
            <w:pPr>
              <w:spacing w:after="0"/>
              <w:rPr>
                <w:sz w:val="24"/>
                <w:szCs w:val="24"/>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RÉMUNÉRATION ET DISPOSITIONS ANALOGUES</w:t>
            </w:r>
          </w:p>
        </w:tc>
        <w:tc>
          <w:tcPr>
            <w:tcW w:w="0" w:type="dxa"/>
            <w:vAlign w:val="bottom"/>
          </w:tcPr>
          <w:p>
            <w:pPr>
              <w:spacing w:after="0"/>
              <w:rPr>
                <w:sz w:val="1"/>
                <w:szCs w:val="1"/>
                <w:color w:val="auto"/>
              </w:rPr>
            </w:pPr>
          </w:p>
        </w:tc>
      </w:tr>
      <w:tr>
        <w:trPr>
          <w:trHeight w:val="56"/>
        </w:trPr>
        <w:tc>
          <w:tcPr>
            <w:tcW w:w="5520" w:type="dxa"/>
            <w:vAlign w:val="bottom"/>
            <w:tcBorders>
              <w:left w:val="single" w:sz="8" w:color="auto"/>
              <w:bottom w:val="single" w:sz="8" w:color="auto"/>
              <w:right w:val="single" w:sz="8" w:color="auto"/>
            </w:tcBorders>
            <w:gridSpan w:val="3"/>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Art. 32   Principles of the Compensation of the Board of</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Art. 32   Principes de rémunération du conseil d'administration</w:t>
            </w:r>
          </w:p>
        </w:tc>
        <w:tc>
          <w:tcPr>
            <w:tcW w:w="0" w:type="dxa"/>
            <w:vAlign w:val="bottom"/>
          </w:tcPr>
          <w:p>
            <w:pPr>
              <w:spacing w:after="0"/>
              <w:rPr>
                <w:sz w:val="1"/>
                <w:szCs w:val="1"/>
                <w:color w:val="auto"/>
              </w:rPr>
            </w:pPr>
          </w:p>
        </w:tc>
      </w:tr>
      <w:tr>
        <w:trPr>
          <w:trHeight w:val="247"/>
        </w:trPr>
        <w:tc>
          <w:tcPr>
            <w:tcW w:w="340" w:type="dxa"/>
            <w:vAlign w:val="bottom"/>
            <w:tcBorders>
              <w:lef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9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Directors</w:t>
            </w:r>
          </w:p>
        </w:tc>
        <w:tc>
          <w:tcPr>
            <w:tcW w:w="240" w:type="dxa"/>
            <w:vAlign w:val="bottom"/>
            <w:tcBorders>
              <w:right w:val="single" w:sz="8" w:color="auto"/>
            </w:tcBorders>
          </w:tcPr>
          <w:p>
            <w:pPr>
              <w:spacing w:after="0"/>
              <w:rPr>
                <w:sz w:val="21"/>
                <w:szCs w:val="21"/>
                <w:color w:val="auto"/>
              </w:rPr>
            </w:pPr>
          </w:p>
        </w:tc>
        <w:tc>
          <w:tcPr>
            <w:tcW w:w="54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  rémunération  des  membres  du  conseil  d'administration</w:t>
            </w:r>
          </w:p>
        </w:tc>
        <w:tc>
          <w:tcPr>
            <w:tcW w:w="0" w:type="dxa"/>
            <w:vAlign w:val="bottom"/>
          </w:tcPr>
          <w:p>
            <w:pPr>
              <w:spacing w:after="0"/>
              <w:rPr>
                <w:sz w:val="1"/>
                <w:szCs w:val="1"/>
                <w:color w:val="auto"/>
              </w:rPr>
            </w:pPr>
          </w:p>
        </w:tc>
      </w:tr>
      <w:tr>
        <w:trPr>
          <w:trHeight w:val="199"/>
        </w:trPr>
        <w:tc>
          <w:tcPr>
            <w:tcW w:w="552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compensation payable to the members of the Board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comprend, sous réserve et dans les limites de l'approbation de la</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Directors  comprises,  subject  to  and  within  the  bounds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w w:val="99"/>
              </w:rPr>
              <w:t>rémunération totale par l'assemblée générale, les éléments suivants: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approval by the General Meeting of the total compensation, the</w:t>
            </w:r>
          </w:p>
        </w:tc>
        <w:tc>
          <w:tcPr>
            <w:tcW w:w="2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following elements: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  une rémunération fixe de base;</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  a fixed basic remuneration;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  des frais de commission fixes pour le travail dans un comité du</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b)   a fixed committee fee for work in a committee of the Board of</w:t>
            </w:r>
          </w:p>
        </w:tc>
        <w:tc>
          <w:tcPr>
            <w:tcW w:w="2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conseil d'administration;</w:t>
            </w:r>
          </w:p>
        </w:tc>
        <w:tc>
          <w:tcPr>
            <w:tcW w:w="0" w:type="dxa"/>
            <w:vAlign w:val="bottom"/>
          </w:tcPr>
          <w:p>
            <w:pPr>
              <w:spacing w:after="0"/>
              <w:rPr>
                <w:sz w:val="1"/>
                <w:szCs w:val="1"/>
                <w:color w:val="auto"/>
              </w:rPr>
            </w:pPr>
          </w:p>
        </w:tc>
      </w:tr>
      <w:tr>
        <w:trPr>
          <w:trHeight w:val="166"/>
        </w:trPr>
        <w:tc>
          <w:tcPr>
            <w:tcW w:w="5520" w:type="dxa"/>
            <w:vAlign w:val="bottom"/>
            <w:tcBorders>
              <w:left w:val="single" w:sz="8" w:color="auto"/>
              <w:right w:val="single" w:sz="8" w:color="auto"/>
            </w:tcBorders>
            <w:gridSpan w:val="3"/>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40" w:type="dxa"/>
            <w:vAlign w:val="bottom"/>
            <w:tcBorders>
              <w:left w:val="single" w:sz="8" w:color="auto"/>
            </w:tcBorders>
          </w:tcPr>
          <w:p>
            <w:pPr>
              <w:spacing w:after="0"/>
              <w:rPr>
                <w:sz w:val="20"/>
                <w:szCs w:val="20"/>
                <w:color w:val="auto"/>
              </w:rPr>
            </w:pPr>
          </w:p>
        </w:tc>
        <w:tc>
          <w:tcPr>
            <w:tcW w:w="5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Directors;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  une compensation forfaitaire pour les dépenses;</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  a lump sum compensation for expenses;</w:t>
            </w:r>
          </w:p>
        </w:tc>
        <w:tc>
          <w:tcPr>
            <w:tcW w:w="240" w:type="dxa"/>
            <w:vAlign w:val="bottom"/>
            <w:tcBorders>
              <w:right w:val="single" w:sz="8" w:color="auto"/>
            </w:tcBorders>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51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un nombre d'actions ou d'options dans la société, comme</w:t>
            </w:r>
          </w:p>
        </w:tc>
        <w:tc>
          <w:tcPr>
            <w:tcW w:w="0" w:type="dxa"/>
            <w:vAlign w:val="bottom"/>
          </w:tcPr>
          <w:p>
            <w:pPr>
              <w:spacing w:after="0"/>
              <w:rPr>
                <w:sz w:val="1"/>
                <w:szCs w:val="1"/>
                <w:color w:val="auto"/>
              </w:rPr>
            </w:pPr>
          </w:p>
        </w:tc>
      </w:tr>
      <w:tr>
        <w:trPr>
          <w:trHeight w:val="239"/>
        </w:trPr>
        <w:tc>
          <w:tcPr>
            <w:tcW w:w="34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d)</w:t>
            </w:r>
          </w:p>
        </w:tc>
        <w:tc>
          <w:tcPr>
            <w:tcW w:w="518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a number of options or shares in the Company, as further</w:t>
            </w:r>
          </w:p>
        </w:tc>
        <w:tc>
          <w:tcPr>
            <w:tcW w:w="2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166"/>
        </w:trPr>
        <w:tc>
          <w:tcPr>
            <w:tcW w:w="340" w:type="dxa"/>
            <w:vAlign w:val="bottom"/>
            <w:tcBorders>
              <w:left w:val="single" w:sz="8" w:color="auto"/>
            </w:tcBorders>
            <w:vMerge w:val="continue"/>
          </w:tcPr>
          <w:p>
            <w:pPr>
              <w:spacing w:after="0"/>
              <w:rPr>
                <w:sz w:val="14"/>
                <w:szCs w:val="14"/>
                <w:color w:val="auto"/>
              </w:rPr>
            </w:pPr>
          </w:p>
        </w:tc>
        <w:tc>
          <w:tcPr>
            <w:tcW w:w="5180" w:type="dxa"/>
            <w:vAlign w:val="bottom"/>
            <w:tcBorders>
              <w:right w:val="single" w:sz="8" w:color="auto"/>
            </w:tcBorders>
            <w:gridSpan w:val="2"/>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40" w:type="dxa"/>
            <w:vAlign w:val="bottom"/>
            <w:tcBorders>
              <w:left w:val="single" w:sz="8" w:color="auto"/>
            </w:tcBorders>
          </w:tcPr>
          <w:p>
            <w:pPr>
              <w:spacing w:after="0"/>
              <w:rPr>
                <w:sz w:val="20"/>
                <w:szCs w:val="20"/>
                <w:color w:val="auto"/>
              </w:rPr>
            </w:pPr>
          </w:p>
        </w:tc>
        <w:tc>
          <w:tcPr>
            <w:tcW w:w="5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outlined in Art. 41.</w:t>
            </w:r>
          </w:p>
        </w:tc>
        <w:tc>
          <w:tcPr>
            <w:tcW w:w="2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compensation is paid in cash and in form of options or shares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w w:val="99"/>
                <w:vertAlign w:val="superscript"/>
              </w:rPr>
              <w:t>2</w:t>
            </w:r>
            <w:r>
              <w:rPr>
                <w:rFonts w:ascii="Arial" w:cs="Arial" w:eastAsia="Arial" w:hAnsi="Arial"/>
                <w:sz w:val="18"/>
                <w:szCs w:val="18"/>
                <w:color w:val="auto"/>
                <w:w w:val="99"/>
              </w:rPr>
              <w:t xml:space="preserve"> La rémunération est versée en espèces et sous forme d'options ou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the Company. The Board of Directors or, to the extent delegated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d'actions de la société. Le conseil d'administration ou, en cas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it, the Compensation, Nomination and Corporate Governance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délégation des fonctions, le comité de rémunération, de nomination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Committee shall determine grant, exercise and forfeiture conditions.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et de gouvernance d’entreprise doit fixer les conditions de l'octroi,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particular, they may provide for continuation, acceleration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l'exercice et de la péremption. En particulier, il peut prévoir la</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removal of vesting, exercise and forfeiture conditions, for payment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poursuite,  l'accélération  ou  la  suppression  des  conditions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grant of compensation based upon assumed target achievement,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d'acquisition, d'exercice et de péremption, pour le paiement ou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for forfeiture, in each case in the event of pre-determined events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l'octroi d'une rémunération basée sur la réalisation des objectifs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such as a change-of-control or termination of an employment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supposés, ou pour la péremption, dans chaque cas, dans le cas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mandate  agreement.  The  Company  may  procure  the  required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d'événements prédéterminés tels qu'un changement de contrôle ou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shares through purchases in the market, from treasury shares or by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 résiliation d'un contrat de travail ou d'un mandat. La société peut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using conditional capital or the capital band.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fournir les actions nécessaires par des achats sur le marché, par ses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actions propres ou en utilisant du capital conditionnel ou la marge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fluctuation du capital.</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Subject to the approval by the General Meeting, the members of</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Sous  réserve  de  l'approbation  par  l'assemblée  générale,  les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Board  of  Directors  may  receive  remuneration  in  cash  at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membres  du  conseil  d'administration  peuvent  recevoir  une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customary conditions for advisory services rendered outside their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rémunération en espèces dans les conditions habituelles pour des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capacity as Board member for the benefit of the Company or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services consultatifs rendus en-dehors de leur qualité de membre du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companies under its control. The General Meeting may approve an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conseil pour le bénéfice de la société ou des sociétés sous son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additional bonus for the members of the Board of Directors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contrôle.  L'assemblée  générale  peut  approuver  un  bonus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exceptional cases.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supplémentaire pour les membres du conseil d'administration dans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des cas exceptionnels.</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4</w:t>
            </w:r>
            <w:r>
              <w:rPr>
                <w:rFonts w:ascii="Arial" w:cs="Arial" w:eastAsia="Arial" w:hAnsi="Arial"/>
                <w:sz w:val="18"/>
                <w:szCs w:val="18"/>
                <w:color w:val="auto"/>
                <w:w w:val="99"/>
              </w:rPr>
              <w:t xml:space="preserve"> The compensation may also be paid for activities in companies that</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La rémunération peut également être accordée pour des activités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by the Company or by a company controlled by it.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indirectement par la société et peuvent être versées par la société</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ou par une société contrôlée par elle.</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33   Principles of the Compensation of the Executive</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33   Principe de rémunération du comité exécutif</w:t>
            </w:r>
          </w:p>
        </w:tc>
        <w:tc>
          <w:tcPr>
            <w:tcW w:w="0" w:type="dxa"/>
            <w:vAlign w:val="bottom"/>
          </w:tcPr>
          <w:p>
            <w:pPr>
              <w:spacing w:after="0"/>
              <w:rPr>
                <w:sz w:val="1"/>
                <w:szCs w:val="1"/>
                <w:color w:val="auto"/>
              </w:rPr>
            </w:pPr>
          </w:p>
        </w:tc>
      </w:tr>
      <w:tr>
        <w:trPr>
          <w:trHeight w:val="247"/>
        </w:trPr>
        <w:tc>
          <w:tcPr>
            <w:tcW w:w="55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Committee</w:t>
            </w:r>
          </w:p>
        </w:tc>
        <w:tc>
          <w:tcPr>
            <w:tcW w:w="240" w:type="dxa"/>
            <w:vAlign w:val="bottom"/>
            <w:tcBorders>
              <w:right w:val="single" w:sz="8" w:color="auto"/>
            </w:tcBorders>
          </w:tcPr>
          <w:p>
            <w:pPr>
              <w:spacing w:after="0"/>
              <w:rPr>
                <w:sz w:val="21"/>
                <w:szCs w:val="21"/>
                <w:color w:val="auto"/>
              </w:rPr>
            </w:pPr>
          </w:p>
        </w:tc>
        <w:tc>
          <w:tcPr>
            <w:tcW w:w="5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 rémunération des membres du comité exécutif est soumise à</w:t>
            </w:r>
          </w:p>
        </w:tc>
        <w:tc>
          <w:tcPr>
            <w:tcW w:w="0" w:type="dxa"/>
            <w:vAlign w:val="bottom"/>
          </w:tcPr>
          <w:p>
            <w:pPr>
              <w:spacing w:after="0"/>
              <w:rPr>
                <w:sz w:val="1"/>
                <w:szCs w:val="1"/>
                <w:color w:val="auto"/>
              </w:rPr>
            </w:pPr>
          </w:p>
        </w:tc>
      </w:tr>
      <w:tr>
        <w:trPr>
          <w:trHeight w:val="199"/>
        </w:trPr>
        <w:tc>
          <w:tcPr>
            <w:tcW w:w="5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compensation payable to the members of the Executive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l’approbation de l'assemblée générale et comprend les éléments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Committee is subject to the approval by the General Meeting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comprises the following elements:</w:t>
            </w:r>
          </w:p>
        </w:tc>
        <w:tc>
          <w:tcPr>
            <w:tcW w:w="2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  a fixed remuneration payable in cash;</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  a performance-related remuneration payable in cash (variable);</w:t>
            </w:r>
          </w:p>
        </w:tc>
        <w:tc>
          <w:tcPr>
            <w:tcW w:w="240" w:type="dxa"/>
            <w:vAlign w:val="bottom"/>
            <w:tcBorders>
              <w:right w:val="single" w:sz="8" w:color="auto"/>
            </w:tcBorders>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une rémunération liée à la performance payable en espèces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Borders>
              <w:right w:val="single" w:sz="8" w:color="auto"/>
            </w:tcBorders>
          </w:tcPr>
          <w:p>
            <w:pPr>
              <w:jc w:val="right"/>
              <w:ind w:right="4150"/>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  a number of options or shares in the Company, as further</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   un nombre d'actions ou d'options dans la société, comme</w:t>
            </w:r>
          </w:p>
        </w:tc>
      </w:tr>
      <w:tr>
        <w:trPr>
          <w:trHeight w:val="239"/>
        </w:trPr>
        <w:tc>
          <w:tcPr>
            <w:tcW w:w="55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outlined in Art. 41.</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détaillé à l'art. 41.</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2</w:t>
            </w:r>
            <w:r>
              <w:rPr>
                <w:rFonts w:ascii="Arial" w:cs="Arial" w:eastAsia="Arial" w:hAnsi="Arial"/>
                <w:sz w:val="18"/>
                <w:szCs w:val="18"/>
                <w:color w:val="auto"/>
                <w:w w:val="99"/>
              </w:rPr>
              <w:t xml:space="preserve"> The performance-related remuneration depends on the Company's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La rémunération liée à la performance dépend de la réussite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business success and the individual performance of the member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économique de la société et de la performance individuelle du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Executive  Committee  based  on  the  achievement  of  pre-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membre du comité exécutif sur la base de la réalisation des objectifs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determined targets during a business year. The Board of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prédéterminés  au  cours  d'une  année  d'activité.  Le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determines annually at the beginning of each relevant business year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d'administration détermine au début de chaque exercice les objectifs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decisive targets and their weighting upon proposal by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décisifs  et  leur  pondération  sur  proposition  du  comité  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Compensation, Nomination and Corporate Governance Committee.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rémunération, de nomination et de gouvernance d’entreprise. 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amount  of  the  performance-related  remuneration  for  each</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montant de la rémunération liée à la performance pour chaque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member of the Executive Committee is determined by the Board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membre  du  comité  exécutif  est  déterminé  par  le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Directors  and  may  not  exceed  100  percent  of  the  respective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et  ne  peut  dépasser  100  pour  cent  de  la</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individual fixed remuneration for the same year.</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rémunération fixe individuelle respective pour la même année.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The compensation may also be paid for activities in companies that</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La rémunération peut également être versée pour des activités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by the Company or by a company controlled by it.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indirectement par la société et peut être versée par la société ou par</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une société contrôlée par elle.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34   Compensation for new Members of the Executive</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34   Rémunération pour les nouveaux membres du comité</w:t>
            </w:r>
          </w:p>
        </w:tc>
      </w:tr>
      <w:tr>
        <w:trPr>
          <w:trHeight w:val="247"/>
        </w:trPr>
        <w:tc>
          <w:tcPr>
            <w:tcW w:w="55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Committee</w:t>
            </w:r>
          </w:p>
        </w:tc>
        <w:tc>
          <w:tcPr>
            <w:tcW w:w="240" w:type="dxa"/>
            <w:vAlign w:val="bottom"/>
            <w:tcBorders>
              <w:right w:val="single" w:sz="8" w:color="auto"/>
            </w:tcBorders>
          </w:tcPr>
          <w:p>
            <w:pPr>
              <w:spacing w:after="0"/>
              <w:rPr>
                <w:sz w:val="21"/>
                <w:szCs w:val="21"/>
                <w:color w:val="auto"/>
              </w:rPr>
            </w:pPr>
          </w:p>
        </w:tc>
        <w:tc>
          <w:tcPr>
            <w:tcW w:w="5480" w:type="dxa"/>
            <w:vAlign w:val="bottom"/>
            <w:tcBorders>
              <w:right w:val="single" w:sz="8" w:color="auto"/>
            </w:tcBorders>
          </w:tcPr>
          <w:p>
            <w:pPr>
              <w:ind w:left="640"/>
              <w:spacing w:after="0"/>
              <w:rPr>
                <w:sz w:val="20"/>
                <w:szCs w:val="20"/>
                <w:color w:val="auto"/>
              </w:rPr>
            </w:pPr>
            <w:r>
              <w:rPr>
                <w:rFonts w:ascii="Arial" w:cs="Arial" w:eastAsia="Arial" w:hAnsi="Arial"/>
                <w:sz w:val="18"/>
                <w:szCs w:val="18"/>
                <w:b w:val="1"/>
                <w:bCs w:val="1"/>
                <w:color w:val="auto"/>
              </w:rPr>
              <w:t>exécutif</w:t>
            </w: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If new members of the Executive Committee are appointed and</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Si de nouveaux membres du comité exécutif sont nommés et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take up their position in the Company after the General Meeting has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prennent  leur  position  dans  la  société  après  que  l'assemblée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approved the maximum total compensation for members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générale a approuvé la rémunération totale maximale pour 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Executive Committee for the year in question, the new members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membres du comité exécutif pour l'année en question, les nouveaux</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may be paid an additional amount for the period until the next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membres peuvent être payés au moyen d'un montant additionnel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Ordinary Meeting of Shareholder. The additional amount payable to</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pour la période allant jusqu'à la prochaine assemblée ordinaire des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all new members of the Executive Committee may not exceed 50</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actionnaires. Le montant additionnel payable à tous les nouveaux</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percent of the respective total compensation already approved by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membres du comité exécutif ne peut pas dépasser 50 pour cent 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General Meeting. The additional compensation may only be paid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 rémunération totale respective déjà approuvé par l'assemblée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if the total compensation amount that has been approved by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générale. La rémunération additionnelle ne peut être versée que si</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General Meeting for the compensation of the members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le  montant  total  de  la  rémunération  qui  a  été  approuvé  par</w:t>
            </w:r>
          </w:p>
        </w:tc>
      </w:tr>
      <w:tr>
        <w:trPr>
          <w:trHeight w:val="202"/>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Executive  Committee  is  insufficient  to  compensate  the  newly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l'assemblée générale pour la rémunération des membres du comité</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appointed members. The General Meeting is not required to vote 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exécutif est insuffisant pour rémunérer les membres nouvellement</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this additional amount.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nommés. L'assemblée générale n'a pas à se prononcer sur ce</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montant supplémentaire.</w:t>
            </w: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0" w:name="page71"/>
    <w:bookmarkEnd w:id="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7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90"/>
        </w:trPr>
        <w:tc>
          <w:tcPr>
            <w:tcW w:w="552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This additional overall compensation is understood to include any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Cette rémunération additionnelle globale est sensée comprendre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settlements for any disadvantage suffered as a result of the change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tous les règlements pour tout inconvénient subi à la suite du</w:t>
            </w:r>
          </w:p>
        </w:tc>
      </w:tr>
      <w:tr>
        <w:trPr>
          <w:trHeight w:val="239"/>
        </w:trPr>
        <w:tc>
          <w:tcPr>
            <w:tcW w:w="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of job.</w:t>
            </w:r>
          </w:p>
        </w:tc>
        <w:tc>
          <w:tcPr>
            <w:tcW w:w="478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changement de travail.</w:t>
            </w:r>
          </w:p>
        </w:tc>
      </w:tr>
      <w:tr>
        <w:trPr>
          <w:trHeight w:val="63"/>
        </w:trPr>
        <w:tc>
          <w:tcPr>
            <w:tcW w:w="740" w:type="dxa"/>
            <w:vAlign w:val="bottom"/>
            <w:tcBorders>
              <w:left w:val="single" w:sz="8" w:color="auto"/>
              <w:bottom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303"/>
        </w:trPr>
        <w:tc>
          <w:tcPr>
            <w:tcW w:w="7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35</w:t>
            </w:r>
          </w:p>
        </w:tc>
        <w:tc>
          <w:tcPr>
            <w:tcW w:w="47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35   Dépenses</w:t>
            </w:r>
          </w:p>
        </w:tc>
      </w:tr>
      <w:tr>
        <w:trPr>
          <w:trHeight w:val="36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Expenses which are not covered by the lump sum compensation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dépenses qui ne sont pas couvertes par l'indemnité forfaitaire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pursuant to the Company's expense regulations shall be reimbursed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conformément  aux  règlements  de  frais  de  la  société  sont</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following presentation of the supporting receipts. This additional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remboursées à la suite de la présentation des reçus correspondants.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remuneration is not subject to a separate vote by the General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Cette rémunération additionnelle n'est pas soumise à un vote séparé</w:t>
            </w:r>
          </w:p>
        </w:tc>
      </w:tr>
      <w:tr>
        <w:trPr>
          <w:trHeight w:val="239"/>
        </w:trPr>
        <w:tc>
          <w:tcPr>
            <w:tcW w:w="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Meeting.</w:t>
            </w:r>
          </w:p>
        </w:tc>
        <w:tc>
          <w:tcPr>
            <w:tcW w:w="478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par l'assemblée générale.</w:t>
            </w:r>
          </w:p>
        </w:tc>
      </w:tr>
      <w:tr>
        <w:trPr>
          <w:trHeight w:val="266"/>
        </w:trPr>
        <w:tc>
          <w:tcPr>
            <w:tcW w:w="740" w:type="dxa"/>
            <w:vAlign w:val="bottom"/>
            <w:tcBorders>
              <w:left w:val="single" w:sz="8" w:color="auto"/>
              <w:bottom w:val="single" w:sz="8" w:color="auto"/>
            </w:tcBorders>
          </w:tcPr>
          <w:p>
            <w:pPr>
              <w:spacing w:after="0"/>
              <w:rPr>
                <w:sz w:val="23"/>
                <w:szCs w:val="23"/>
                <w:color w:val="auto"/>
              </w:rPr>
            </w:pPr>
          </w:p>
        </w:tc>
        <w:tc>
          <w:tcPr>
            <w:tcW w:w="47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5480" w:type="dxa"/>
            <w:vAlign w:val="bottom"/>
            <w:tcBorders>
              <w:bottom w:val="single" w:sz="8" w:color="auto"/>
              <w:right w:val="single" w:sz="8" w:color="auto"/>
            </w:tcBorders>
            <w:gridSpan w:val="2"/>
          </w:tcPr>
          <w:p>
            <w:pPr>
              <w:spacing w:after="0"/>
              <w:rPr>
                <w:sz w:val="23"/>
                <w:szCs w:val="23"/>
                <w:color w:val="auto"/>
              </w:rPr>
            </w:pPr>
          </w:p>
        </w:tc>
      </w:tr>
      <w:tr>
        <w:trPr>
          <w:trHeight w:val="303"/>
        </w:trPr>
        <w:tc>
          <w:tcPr>
            <w:tcW w:w="7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36</w:t>
            </w:r>
          </w:p>
        </w:tc>
        <w:tc>
          <w:tcPr>
            <w:tcW w:w="47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Compensation Agreements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Agreements on compensation with members of the Board of</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Les  accords  sur  la  rémunération  des  membres  du  conseil</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Directors may not exceed the term of maximal one year.</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d'administration ne peuvent pas excéder la durée maximale d'une</w:t>
            </w:r>
          </w:p>
        </w:tc>
      </w:tr>
      <w:tr>
        <w:trPr>
          <w:trHeight w:val="239"/>
        </w:trPr>
        <w:tc>
          <w:tcPr>
            <w:tcW w:w="740" w:type="dxa"/>
            <w:vAlign w:val="bottom"/>
            <w:tcBorders>
              <w:lef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année.</w:t>
            </w:r>
          </w:p>
        </w:tc>
      </w:tr>
      <w:tr>
        <w:trPr>
          <w:trHeight w:val="266"/>
        </w:trPr>
        <w:tc>
          <w:tcPr>
            <w:tcW w:w="5520" w:type="dxa"/>
            <w:vAlign w:val="bottom"/>
            <w:tcBorders>
              <w:left w:val="single" w:sz="8" w:color="auto"/>
              <w:bottom w:val="single" w:sz="8" w:color="auto"/>
              <w:right w:val="single" w:sz="8" w:color="auto"/>
            </w:tcBorders>
            <w:gridSpan w:val="2"/>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5480" w:type="dxa"/>
            <w:vAlign w:val="bottom"/>
            <w:tcBorders>
              <w:bottom w:val="single" w:sz="8" w:color="auto"/>
              <w:right w:val="single" w:sz="8" w:color="auto"/>
            </w:tcBorders>
            <w:gridSpan w:val="2"/>
          </w:tcPr>
          <w:p>
            <w:pPr>
              <w:spacing w:after="0"/>
              <w:rPr>
                <w:sz w:val="23"/>
                <w:szCs w:val="23"/>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Employment  agreements  of  the  members  of  the  Executive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contrats de travail des membres du comité exécutif sont</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Committee are principally concluded for an indefinite period of time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principalement conclus pour une durée indéterminée. Un délai de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whereas  a  notice  period  may  not  exceed  12  months.  If  an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préavis ne peut pas excéder 12 mois. Si un accord de travail est</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employment agreement is concluded for a fixed term such term may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conclu pour une durée déterminée, telle durée ne peut pas excéder</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not exceed one year.</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un an.</w:t>
            </w:r>
          </w:p>
        </w:tc>
      </w:tr>
      <w:tr>
        <w:trPr>
          <w:trHeight w:val="63"/>
        </w:trPr>
        <w:tc>
          <w:tcPr>
            <w:tcW w:w="740" w:type="dxa"/>
            <w:vAlign w:val="bottom"/>
            <w:tcBorders>
              <w:left w:val="single" w:sz="8" w:color="auto"/>
              <w:bottom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258"/>
        </w:trPr>
        <w:tc>
          <w:tcPr>
            <w:tcW w:w="7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37</w:t>
            </w:r>
          </w:p>
        </w:tc>
        <w:tc>
          <w:tcPr>
            <w:tcW w:w="478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Mandates of a Member of the Board of Directors</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37  Mandats d'un membre du conseil d'administration de la</w:t>
            </w:r>
          </w:p>
        </w:tc>
      </w:tr>
      <w:tr>
        <w:trPr>
          <w:trHeight w:val="247"/>
        </w:trPr>
        <w:tc>
          <w:tcPr>
            <w:tcW w:w="740" w:type="dxa"/>
            <w:vAlign w:val="bottom"/>
            <w:tcBorders>
              <w:left w:val="single" w:sz="8" w:color="auto"/>
            </w:tcBorders>
          </w:tcPr>
          <w:p>
            <w:pPr>
              <w:spacing w:after="0"/>
              <w:rPr>
                <w:sz w:val="21"/>
                <w:szCs w:val="21"/>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outside the Company</w:t>
            </w:r>
          </w:p>
        </w:tc>
        <w:tc>
          <w:tcPr>
            <w:tcW w:w="2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180" w:type="dxa"/>
            <w:vAlign w:val="bottom"/>
            <w:tcBorders>
              <w:right w:val="single" w:sz="8" w:color="auto"/>
            </w:tcBorders>
          </w:tcPr>
          <w:p>
            <w:pPr>
              <w:jc w:val="right"/>
              <w:ind w:right="4130"/>
              <w:spacing w:after="0"/>
              <w:rPr>
                <w:sz w:val="20"/>
                <w:szCs w:val="20"/>
                <w:color w:val="auto"/>
              </w:rPr>
            </w:pPr>
            <w:r>
              <w:rPr>
                <w:rFonts w:ascii="Arial" w:cs="Arial" w:eastAsia="Arial" w:hAnsi="Arial"/>
                <w:sz w:val="18"/>
                <w:szCs w:val="18"/>
                <w:b w:val="1"/>
                <w:bCs w:val="1"/>
                <w:color w:val="auto"/>
              </w:rPr>
              <w:t>société</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 member of the Board of Directors may cumulatively assume not</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Un membre du conseil d'administration ne peut pas cumuler plus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more  than  the  following  number of mandates  in  the  board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que le nombre suivant de mandats dans un conseil d'administration,</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directors, the executive management or an advisory board, or 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une direction exécutive un conseil consultatif ou toute fonction</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comparable function under foreign law, of a legal entity with an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comparable  selon  le  droit  étranger,  d'une  personne  morale</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economic purpose: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poursuivant un but économique:</w:t>
            </w:r>
          </w:p>
        </w:tc>
      </w:tr>
      <w:tr>
        <w:trPr>
          <w:trHeight w:val="36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   7 mandates for publicly traded companies pursuant to art. 727</w:t>
            </w:r>
          </w:p>
        </w:tc>
        <w:tc>
          <w:tcPr>
            <w:tcW w:w="240" w:type="dxa"/>
            <w:vAlign w:val="bottom"/>
            <w:tcBorders>
              <w:right w:val="single" w:sz="8" w:color="auto"/>
            </w:tcBorders>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 mandats pour les entreprises cotées en bourse selon l'art.</w:t>
            </w:r>
          </w:p>
        </w:tc>
      </w:tr>
      <w:tr>
        <w:trPr>
          <w:trHeight w:val="239"/>
        </w:trPr>
        <w:tc>
          <w:tcPr>
            <w:tcW w:w="55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para. 1 number 1 CO; and</w:t>
            </w:r>
          </w:p>
        </w:tc>
        <w:tc>
          <w:tcPr>
            <w:tcW w:w="2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727 al. 1 chiffre 1 CO; et</w:t>
            </w:r>
          </w:p>
        </w:tc>
      </w:tr>
      <w:tr>
        <w:trPr>
          <w:trHeight w:val="36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   8 mandates for companies pursuant to art. 727 para. 1 number</w:t>
            </w:r>
          </w:p>
        </w:tc>
        <w:tc>
          <w:tcPr>
            <w:tcW w:w="240" w:type="dxa"/>
            <w:vAlign w:val="bottom"/>
            <w:tcBorders>
              <w:right w:val="single" w:sz="8" w:color="auto"/>
            </w:tcBorders>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 mandats pour des entreprises selon l'art. 727 al. 1 chiffre 2</w:t>
            </w:r>
          </w:p>
        </w:tc>
      </w:tr>
      <w:tr>
        <w:trPr>
          <w:trHeight w:val="239"/>
        </w:trPr>
        <w:tc>
          <w:tcPr>
            <w:tcW w:w="552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2 CO; and</w:t>
            </w:r>
          </w:p>
        </w:tc>
        <w:tc>
          <w:tcPr>
            <w:tcW w:w="2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 et</w:t>
            </w:r>
          </w:p>
        </w:tc>
      </w:tr>
      <w:tr>
        <w:trPr>
          <w:trHeight w:val="266"/>
        </w:trPr>
        <w:tc>
          <w:tcPr>
            <w:tcW w:w="740" w:type="dxa"/>
            <w:vAlign w:val="bottom"/>
            <w:tcBorders>
              <w:left w:val="single" w:sz="8" w:color="auto"/>
              <w:bottom w:val="single" w:sz="8" w:color="auto"/>
            </w:tcBorders>
          </w:tcPr>
          <w:p>
            <w:pPr>
              <w:spacing w:after="0"/>
              <w:rPr>
                <w:sz w:val="23"/>
                <w:szCs w:val="23"/>
                <w:color w:val="auto"/>
              </w:rPr>
            </w:pPr>
          </w:p>
        </w:tc>
        <w:tc>
          <w:tcPr>
            <w:tcW w:w="47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180" w:type="dxa"/>
            <w:vAlign w:val="bottom"/>
            <w:tcBorders>
              <w:bottom w:val="single" w:sz="8" w:color="auto"/>
              <w:right w:val="single" w:sz="8" w:color="auto"/>
            </w:tcBorders>
          </w:tcPr>
          <w:p>
            <w:pPr>
              <w:spacing w:after="0"/>
              <w:rPr>
                <w:sz w:val="23"/>
                <w:szCs w:val="23"/>
                <w:color w:val="auto"/>
              </w:rPr>
            </w:pPr>
          </w:p>
        </w:tc>
      </w:tr>
      <w:tr>
        <w:trPr>
          <w:trHeight w:val="709"/>
        </w:trPr>
        <w:tc>
          <w:tcPr>
            <w:tcW w:w="7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  5 mandats pour les entreprises qui ne remplissent pas les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 and b) above.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critères sous a) et b) ci-dessus.</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Mandates held in several legal entities each operating under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mandats exercés dans plusieurs personnes morales opérant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same management or same beneficial owner (Group), or at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chacune sous la même direction ou le même bénéficiaire effectif</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request of a legal entity of the respective Group in a legal entity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(groupe), ou à la demande d’une personne morale du groupe en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outside this Group (including pension funds and joint ventures) are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question, dans une personne morale externe au groupe (y compris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deemed to be a single mandate.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dans des fonds de pension et joint-ventures) sont réputés être un</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seul mandat.</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If a legal entity fulfills several of the above mentioned criteria, it can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Si une personne morale remplit plusieurs des critères mentionnés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freely counted towards any category.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ci-dessus, elle peut être librement attribuée à l’une des catégories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quelconques.</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The following mandates are not subject to the limitations set forth</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Les mandats suivants ne sont pas soumis aux limites prévues à</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para. 1; instead, the separate limitations hereinafter shall apply:</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l'alinéa 1 ; au lieu de quoi, les limites suivantes seront applicables:</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  mandates in legal entities which are controlled by the Company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les mandats dans des personnes morales qui sont contrôlées par</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or which control the Company: unlimited;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la société ou qui contrôlent la société : illimité;</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   mandates held at the request of the Company, or companies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  les mandats tenus à la demande de la société ou de sociétés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controlled by it, for a legal entity not affiliated with the Group</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contrôlées par celle-ci, dans une personne morale non-affiliée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(including in pension funds or joint ventures): 5 mandates;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au groupe (y compris pour des fonds de pension ou joint-</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  to the extent these are undertakings with an economic purpose,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ventures) : 5 mandats ;</w:t>
            </w:r>
          </w:p>
        </w:tc>
        <w:tc>
          <w:tcPr>
            <w:tcW w:w="0" w:type="dxa"/>
            <w:vAlign w:val="bottom"/>
          </w:tcPr>
          <w:p>
            <w:pPr>
              <w:spacing w:after="0"/>
              <w:rPr>
                <w:sz w:val="1"/>
                <w:szCs w:val="1"/>
                <w:color w:val="auto"/>
              </w:rPr>
            </w:pPr>
          </w:p>
        </w:tc>
      </w:tr>
      <w:tr>
        <w:trPr>
          <w:trHeight w:val="166"/>
        </w:trPr>
        <w:tc>
          <w:tcPr>
            <w:tcW w:w="5520" w:type="dxa"/>
            <w:vAlign w:val="bottom"/>
            <w:tcBorders>
              <w:left w:val="single" w:sz="8" w:color="auto"/>
              <w:right w:val="single" w:sz="8" w:color="auto"/>
            </w:tcBorders>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mandates in non-profit organizations, associations, professional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   dans la mesure où il s’agit d’entreprise poursuivant un but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or trade organizations, foundations, or pension foundations,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économique, les mandats dans des organisations sans but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educational institutions and similar organizations: 5 mandates;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lucratif,   associations,   organisations   professionnelles   ou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syndicats,  fondations  ou  fonds  de  pension,  institutions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 mandates in structures managing the personal or family's assets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formation et organisations similaires : 5 mandats ;</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of  members  of  the  Board  of  Directors  or  the  Executive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Committee and/or their related persons: 3 mandates.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  les mandats dans des structures gérant les actifs de membres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du conseil d’administration ou du conseil exécutif et/ou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personnes affiliées ou de leurs familles : 3 mandats.</w:t>
            </w:r>
          </w:p>
        </w:tc>
        <w:tc>
          <w:tcPr>
            <w:tcW w:w="0" w:type="dxa"/>
            <w:vAlign w:val="bottom"/>
          </w:tcPr>
          <w:p>
            <w:pPr>
              <w:spacing w:after="0"/>
              <w:rPr>
                <w:sz w:val="1"/>
                <w:szCs w:val="1"/>
                <w:color w:val="auto"/>
              </w:rPr>
            </w:pP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38 Mandates of a Member of the Executive Committee</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38  Mandats d'un membre du comité exécutif en-dehors de</w:t>
            </w:r>
          </w:p>
        </w:tc>
        <w:tc>
          <w:tcPr>
            <w:tcW w:w="0" w:type="dxa"/>
            <w:vAlign w:val="bottom"/>
          </w:tcPr>
          <w:p>
            <w:pPr>
              <w:spacing w:after="0"/>
              <w:rPr>
                <w:sz w:val="1"/>
                <w:szCs w:val="1"/>
                <w:color w:val="auto"/>
              </w:rPr>
            </w:pPr>
          </w:p>
        </w:tc>
      </w:tr>
      <w:tr>
        <w:trPr>
          <w:trHeight w:val="247"/>
        </w:trPr>
        <w:tc>
          <w:tcPr>
            <w:tcW w:w="55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outside the Company</w:t>
            </w:r>
          </w:p>
        </w:tc>
        <w:tc>
          <w:tcPr>
            <w:tcW w:w="240" w:type="dxa"/>
            <w:vAlign w:val="bottom"/>
            <w:tcBorders>
              <w:right w:val="single" w:sz="8" w:color="auto"/>
            </w:tcBorders>
          </w:tcPr>
          <w:p>
            <w:pPr>
              <w:spacing w:after="0"/>
              <w:rPr>
                <w:sz w:val="21"/>
                <w:szCs w:val="21"/>
                <w:color w:val="auto"/>
              </w:rPr>
            </w:pPr>
          </w:p>
        </w:tc>
        <w:tc>
          <w:tcPr>
            <w:tcW w:w="5480" w:type="dxa"/>
            <w:vAlign w:val="bottom"/>
            <w:tcBorders>
              <w:right w:val="single" w:sz="8" w:color="auto"/>
            </w:tcBorders>
          </w:tcPr>
          <w:p>
            <w:pPr>
              <w:ind w:left="640"/>
              <w:spacing w:after="0"/>
              <w:rPr>
                <w:sz w:val="20"/>
                <w:szCs w:val="20"/>
                <w:color w:val="auto"/>
              </w:rPr>
            </w:pPr>
            <w:r>
              <w:rPr>
                <w:rFonts w:ascii="Arial" w:cs="Arial" w:eastAsia="Arial" w:hAnsi="Arial"/>
                <w:sz w:val="18"/>
                <w:szCs w:val="18"/>
                <w:b w:val="1"/>
                <w:bCs w:val="1"/>
                <w:color w:val="auto"/>
              </w:rPr>
              <w:t>la société</w:t>
            </w:r>
          </w:p>
        </w:tc>
        <w:tc>
          <w:tcPr>
            <w:tcW w:w="0" w:type="dxa"/>
            <w:vAlign w:val="bottom"/>
          </w:tcPr>
          <w:p>
            <w:pPr>
              <w:spacing w:after="0"/>
              <w:rPr>
                <w:sz w:val="1"/>
                <w:szCs w:val="1"/>
                <w:color w:val="auto"/>
              </w:rPr>
            </w:pP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Each member of the Executive Committee may, with approval of</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Chaque membre du comité exécutif peut, avec l'approbation du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Board of Directors, cumulatively assume not more than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conseil d'administration, cumuler pas plus que le nombre suivant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following  number  of  mandates  in  the  board  of  directors,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mandats dans un conseil d'administration, une direction exécutive,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executive  management  or  advisory  board,  or  any  comparable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un conseil consultatif, ou toute fonction comparable dans selon le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function under foreign law, of a legal entity with an economic</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droit  étranger  d'une  personne  morale  poursuivant  un  but</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purpose: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économique:</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  2 mandates for publicly traded companies pursuant to Art. 727</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2 mandats pour les entreprises cotées en bourse selon l'art. 727</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para. 1 number 1 CO; and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al. 1 chiffre 1 CO; et</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  3 mandates for companies pursuant to Art. 727 para. 1 number 2</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   3 mandats pour des entreprises selon l'art. 727 al. 1 chiffre 2</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 and</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CO; et</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   5 mandats pour les entreprises qui ne remplissent pas les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litera a) and b) above.</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critères sous a) et b) ci-dessus.</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Mandates held in several legal entities each operating under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mandats exercés dans plusieurs personnes morales opérant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same management or same beneficial owner (Group), or at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chacune sous la même direction ou même bénéficiaire effectif</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request of a legal entity of the respective Group in a legal entity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(groupe), ou à la demande d’une personne morale du groupe en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outside this Group (including pension funds and joint ventures)  are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question, dans une personne morale externe au groupe (y compris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deemed to be a single mandate.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dans des fonds de pension et joint-ventures), sont réputés être un</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seul mandat.</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If a legal entity fulfills several of the above mentioned criteria, it can</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Si une personne morale remplit plusieurs des critères mentionnés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freely counted towards any category.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ci-dessus, elle peut être librement attribuée à l’une des catégories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quelconques.</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The following mandates are not subject to the limitations set forth</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Les mandats suivants ne sont pas soumis aux limites prévues à</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para. 1; instead, the separate limitations hereinafter shall apply:</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l'alinéa 1 ; au lieu de quoi, les limites suivantes seront applicables:</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   mandates in legal entities which are controlled by the Company</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or which control the Company: unlimited;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 les mandats dans des personnes morales qui sont contrôlées par</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b)   mandates held at the request of the Company, or companies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la société ou qui contrôlent la société : illimité;</w:t>
            </w:r>
          </w:p>
        </w:tc>
        <w:tc>
          <w:tcPr>
            <w:tcW w:w="0" w:type="dxa"/>
            <w:vAlign w:val="bottom"/>
          </w:tcPr>
          <w:p>
            <w:pPr>
              <w:spacing w:after="0"/>
              <w:rPr>
                <w:sz w:val="1"/>
                <w:szCs w:val="1"/>
                <w:color w:val="auto"/>
              </w:rPr>
            </w:pPr>
          </w:p>
        </w:tc>
      </w:tr>
      <w:tr>
        <w:trPr>
          <w:trHeight w:val="166"/>
        </w:trPr>
        <w:tc>
          <w:tcPr>
            <w:tcW w:w="5520" w:type="dxa"/>
            <w:vAlign w:val="bottom"/>
            <w:tcBorders>
              <w:left w:val="single" w:sz="8" w:color="auto"/>
              <w:right w:val="single" w:sz="8" w:color="auto"/>
            </w:tcBorders>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controlled by it, for a legal entity not affiliated with the Group</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b)   les mandats tenus à la demande de la société ou de sociétés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(including in pension funds or joint ventures): 5 mandates;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60"/>
              <w:spacing w:after="0" w:line="202" w:lineRule="exact"/>
              <w:rPr>
                <w:sz w:val="20"/>
                <w:szCs w:val="20"/>
                <w:color w:val="auto"/>
              </w:rPr>
            </w:pPr>
            <w:r>
              <w:rPr>
                <w:rFonts w:ascii="Arial" w:cs="Arial" w:eastAsia="Arial" w:hAnsi="Arial"/>
                <w:sz w:val="18"/>
                <w:szCs w:val="18"/>
                <w:color w:val="auto"/>
              </w:rPr>
              <w:t>contrôlées par celle-ci, dans une personne morale non-affiliée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60"/>
              <w:spacing w:after="0" w:line="202" w:lineRule="exact"/>
              <w:rPr>
                <w:sz w:val="20"/>
                <w:szCs w:val="20"/>
                <w:color w:val="auto"/>
              </w:rPr>
            </w:pPr>
            <w:r>
              <w:rPr>
                <w:rFonts w:ascii="Arial" w:cs="Arial" w:eastAsia="Arial" w:hAnsi="Arial"/>
                <w:sz w:val="18"/>
                <w:szCs w:val="18"/>
                <w:color w:val="auto"/>
              </w:rPr>
              <w:t>au groupe (y compris pour des fonds de pension ou joint-</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ventures) : 5 mandats;</w:t>
            </w:r>
          </w:p>
        </w:tc>
        <w:tc>
          <w:tcPr>
            <w:tcW w:w="0" w:type="dxa"/>
            <w:vAlign w:val="bottom"/>
          </w:tcPr>
          <w:p>
            <w:pPr>
              <w:spacing w:after="0"/>
              <w:rPr>
                <w:sz w:val="1"/>
                <w:szCs w:val="1"/>
                <w:color w:val="auto"/>
              </w:rPr>
            </w:pP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40" w:type="dxa"/>
            <w:vAlign w:val="bottom"/>
          </w:tcPr>
          <w:p>
            <w:pPr>
              <w:ind w:left="490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  to the extent these are undertakings with an economic purpose,</w:t>
            </w:r>
          </w:p>
        </w:tc>
        <w:tc>
          <w:tcPr>
            <w:tcW w:w="240" w:type="dxa"/>
            <w:vAlign w:val="bottom"/>
            <w:tcBorders>
              <w:right w:val="single" w:sz="8" w:color="auto"/>
            </w:tcBorders>
          </w:tcPr>
          <w:p>
            <w:pPr>
              <w:spacing w:after="0"/>
              <w:rPr>
                <w:sz w:val="22"/>
                <w:szCs w:val="22"/>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w:t>
            </w:r>
          </w:p>
        </w:tc>
        <w:tc>
          <w:tcPr>
            <w:tcW w:w="51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dans la mesure où il s’agit d’entreprise poursuivant un but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mandates in non-profit organizations, associations, professional</w:t>
            </w:r>
          </w:p>
        </w:tc>
        <w:tc>
          <w:tcPr>
            <w:tcW w:w="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économique, les mandats dans des organisations sans but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or trade organizations, foundations, or pension foundations,</w:t>
            </w:r>
          </w:p>
        </w:tc>
        <w:tc>
          <w:tcPr>
            <w:tcW w:w="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lucratif,   associations,   organisations   professionnelles   ou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educational institutions and similar organizations: 5 mandates;</w:t>
            </w:r>
          </w:p>
        </w:tc>
        <w:tc>
          <w:tcPr>
            <w:tcW w:w="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syndicats,  fondations  ou  fonds  de  pension,  institutions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d)  mandates in structures managing the personal or family's assets</w:t>
            </w:r>
          </w:p>
        </w:tc>
        <w:tc>
          <w:tcPr>
            <w:tcW w:w="2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formation et organisations similaires : 5 mandats;</w:t>
            </w:r>
          </w:p>
        </w:tc>
        <w:tc>
          <w:tcPr>
            <w:tcW w:w="0" w:type="dxa"/>
            <w:vAlign w:val="bottom"/>
          </w:tcPr>
          <w:p>
            <w:pPr>
              <w:spacing w:after="0"/>
              <w:rPr>
                <w:sz w:val="1"/>
                <w:szCs w:val="1"/>
                <w:color w:val="auto"/>
              </w:rPr>
            </w:pPr>
          </w:p>
        </w:tc>
      </w:tr>
      <w:tr>
        <w:trPr>
          <w:trHeight w:val="166"/>
        </w:trPr>
        <w:tc>
          <w:tcPr>
            <w:tcW w:w="5520" w:type="dxa"/>
            <w:vAlign w:val="bottom"/>
            <w:tcBorders>
              <w:left w:val="single" w:sz="8" w:color="auto"/>
              <w:right w:val="single" w:sz="8" w:color="auto"/>
            </w:tcBorders>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of  members  of  the  Board  of  Directors  or  the  Executive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   les mandats dans des structures gérant les actifs de membres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Committee and/or their related persons: 3 mandates.</w:t>
            </w:r>
          </w:p>
        </w:tc>
        <w:tc>
          <w:tcPr>
            <w:tcW w:w="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du conseil d’administration ou du conseil exécutif et/ou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personnes affiliées ou de leurs familles : 3 mandats.</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39   Loans and Credits</w:t>
            </w:r>
          </w:p>
        </w:tc>
        <w:tc>
          <w:tcPr>
            <w:tcW w:w="240" w:type="dxa"/>
            <w:vAlign w:val="bottom"/>
            <w:tcBorders>
              <w:right w:val="single" w:sz="8" w:color="auto"/>
            </w:tcBorders>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rPr>
              <w:t>Art.</w:t>
            </w:r>
          </w:p>
        </w:tc>
        <w:tc>
          <w:tcPr>
            <w:tcW w:w="514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39 Prêts et crédits</w:t>
            </w:r>
          </w:p>
        </w:tc>
        <w:tc>
          <w:tcPr>
            <w:tcW w:w="0" w:type="dxa"/>
            <w:vAlign w:val="bottom"/>
          </w:tcPr>
          <w:p>
            <w:pPr>
              <w:spacing w:after="0"/>
              <w:rPr>
                <w:sz w:val="1"/>
                <w:szCs w:val="1"/>
                <w:color w:val="auto"/>
              </w:rPr>
            </w:pPr>
          </w:p>
        </w:tc>
      </w:tr>
      <w:tr>
        <w:trPr>
          <w:trHeight w:val="36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members  of  the  Board  of  Directors  and  the  Executive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membres du conseil d'administration et du comité exécutif ne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Committee may not be granted any loans, credits or collateral from</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peuvent pas obtenir des prêts, des crédits ou des sûretés de la</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Company.  Excepted  from  the  above  are  advances  in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société. Sont exceptées les avances d'un montant maximum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maximum amount of CHF 500'000 per person for attorneys' fees,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CHF 500'000 par personne pour les frais d'avocat, des coûts de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court and other similar costs required for the defence of third-party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tribunaux et d'autres coûts similaires nécessaires à la défense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liability claims permitted by Article 29.</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d’actions en responsabilité civile autorisés par l'article 29.</w:t>
            </w:r>
          </w:p>
        </w:tc>
        <w:tc>
          <w:tcPr>
            <w:tcW w:w="0" w:type="dxa"/>
            <w:vAlign w:val="bottom"/>
          </w:tcPr>
          <w:p>
            <w:pPr>
              <w:spacing w:after="0"/>
              <w:rPr>
                <w:sz w:val="1"/>
                <w:szCs w:val="1"/>
                <w:color w:val="auto"/>
              </w:rPr>
            </w:pP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40   Pension Funds</w:t>
            </w:r>
          </w:p>
        </w:tc>
        <w:tc>
          <w:tcPr>
            <w:tcW w:w="240" w:type="dxa"/>
            <w:vAlign w:val="bottom"/>
            <w:tcBorders>
              <w:right w:val="single" w:sz="8" w:color="auto"/>
            </w:tcBorders>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rPr>
              <w:t>Art.</w:t>
            </w:r>
          </w:p>
        </w:tc>
        <w:tc>
          <w:tcPr>
            <w:tcW w:w="51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40 Fonds de pension</w:t>
            </w:r>
          </w:p>
        </w:tc>
        <w:tc>
          <w:tcPr>
            <w:tcW w:w="0" w:type="dxa"/>
            <w:vAlign w:val="bottom"/>
          </w:tcPr>
          <w:p>
            <w:pPr>
              <w:spacing w:after="0"/>
              <w:rPr>
                <w:sz w:val="1"/>
                <w:szCs w:val="1"/>
                <w:color w:val="auto"/>
              </w:rPr>
            </w:pP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w w:val="99"/>
                <w:vertAlign w:val="superscript"/>
              </w:rPr>
              <w:t>1</w:t>
            </w:r>
            <w:r>
              <w:rPr>
                <w:rFonts w:ascii="Arial" w:cs="Arial" w:eastAsia="Arial" w:hAnsi="Arial"/>
                <w:sz w:val="18"/>
                <w:szCs w:val="18"/>
                <w:color w:val="auto"/>
                <w:w w:val="99"/>
              </w:rPr>
              <w:t xml:space="preserve"> The Company shall remunerate members of the Board of Directors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La  société  ne  doit  rémunérer  les  membres  du  conseil</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only in respect of the employer's mandatory contributions to social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d'administration  que  du  montant  dû  au  titre  de  contributions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insurance. Above and beyond this, the Company shall not make any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obligatoires de l'employeur à l'assurance sociale. Au-delà de ce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contributions to pension funds or other such pension plans.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montant,  la  société  ne  doit  pas  verser  de  cotisations  à  des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exceptional cases, contributions such as these may be made subject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institutions de prévoyance ou à d'autres régimes de retraite. Dans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a request by the Compensation, Nomination and Corporate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des cas exceptionnels, des contributions comme celles-ci peuvent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Governance Committee and the approval of the General Meeting.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être faites sur demande au comité de rémunération, de nomination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et de gouvernance d’entreprise, et sous réserve de l'approbation de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l'assemblée générale.</w:t>
            </w:r>
          </w:p>
        </w:tc>
        <w:tc>
          <w:tcPr>
            <w:tcW w:w="0" w:type="dxa"/>
            <w:vAlign w:val="bottom"/>
          </w:tcPr>
          <w:p>
            <w:pPr>
              <w:spacing w:after="0"/>
              <w:rPr>
                <w:sz w:val="1"/>
                <w:szCs w:val="1"/>
                <w:color w:val="auto"/>
              </w:rPr>
            </w:pPr>
          </w:p>
        </w:tc>
      </w:tr>
      <w:tr>
        <w:trPr>
          <w:trHeight w:val="64"/>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90"/>
        </w:trPr>
        <w:tc>
          <w:tcPr>
            <w:tcW w:w="55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2</w:t>
            </w:r>
            <w:r>
              <w:rPr>
                <w:rFonts w:ascii="Arial" w:cs="Arial" w:eastAsia="Arial" w:hAnsi="Arial"/>
                <w:sz w:val="18"/>
                <w:szCs w:val="18"/>
                <w:color w:val="auto"/>
                <w:w w:val="99"/>
              </w:rPr>
              <w:t xml:space="preserve"> Members of the Executive Committee participate in the Company's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membres du comité exécutif participent aux régimes 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pension plans (the Company's pension fund and the management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retraite de la société (le fond de pension de la société et le régime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pension plan). The pension plans conform to the legal requirements.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de retraite du management). Les régimes de retraite sont conformes</w:t>
            </w:r>
          </w:p>
        </w:tc>
      </w:tr>
      <w:tr>
        <w:trPr>
          <w:trHeight w:val="202"/>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For members of the Executive Committee, the insured income 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aux exigences légales (LPP). Pour les membres du comité exécutif,</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defined as the fixed remuneration plus 50 percent of the target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le revenu assuré est défini comme la rémunération fixe plus les 50</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performance-related remuneration, up to the legal maximum. Equity-</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pour  cent  de  la  rémunération  liée  à  la  performance,  jusqu'au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linked income components are not included.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maximum légal. Les composantes du revenu liées au capital propre</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 sont pas inclus.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w w:val="99"/>
                <w:vertAlign w:val="superscript"/>
              </w:rPr>
              <w:t>3</w:t>
            </w:r>
            <w:r>
              <w:rPr>
                <w:rFonts w:ascii="Arial" w:cs="Arial" w:eastAsia="Arial" w:hAnsi="Arial"/>
                <w:sz w:val="18"/>
                <w:szCs w:val="18"/>
                <w:color w:val="auto"/>
                <w:w w:val="99"/>
              </w:rPr>
              <w:t xml:space="preserve"> Within the overall compensation approved by the General Meeting,</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w w:val="98"/>
                <w:vertAlign w:val="superscript"/>
              </w:rPr>
              <w:t>3</w:t>
            </w:r>
            <w:r>
              <w:rPr>
                <w:rFonts w:ascii="Arial" w:cs="Arial" w:eastAsia="Arial" w:hAnsi="Arial"/>
                <w:sz w:val="18"/>
                <w:szCs w:val="18"/>
                <w:color w:val="auto"/>
                <w:w w:val="98"/>
              </w:rPr>
              <w:t xml:space="preserve"> Dans la rémunération globale approuvée par l'assemblée générale,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Company may make additional payments into the Company's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 société pourra effectuer des paiements supplémentaires dans 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pension  funds  for  the  benefit  of  members  of  the  Executive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caisses de retraite de la société pour le bénéfice des membres du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Committee in order to cover any disadvantage suffered as a result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comité exécutif afin de couvrir tout désavantage subi par suite de la</w:t>
            </w:r>
          </w:p>
        </w:tc>
      </w:tr>
      <w:tr>
        <w:trPr>
          <w:trHeight w:val="202"/>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change of jobs or to purchase additional pension entitlements.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modification de l'emploi ou pour acheter des droits de pension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this context the Company may conclude life insurance policies 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supplémentaires. Dans ce contexte, la société peut conclure des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behalf  of  members  of  the  Executive  Committee  and  pay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contrats d'assurance-vie au nom des membres du comité exécutif et</w:t>
            </w:r>
          </w:p>
        </w:tc>
      </w:tr>
      <w:tr>
        <w:trPr>
          <w:trHeight w:val="239"/>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insurance premiums either fully or in part.</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payer en totalité ou en partie les primes d'assurance.</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99"/>
        </w:trPr>
        <w:tc>
          <w:tcPr>
            <w:tcW w:w="5520" w:type="dxa"/>
            <w:vAlign w:val="bottom"/>
            <w:tcBorders>
              <w:left w:val="single" w:sz="8" w:color="auto"/>
              <w:right w:val="single" w:sz="8" w:color="auto"/>
            </w:tcBorders>
          </w:tcPr>
          <w:p>
            <w:pPr>
              <w:ind w:left="20"/>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Upon retirement, the Company may also grant members of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line="298" w:lineRule="exact"/>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À la retraite, la société peut également accorder aux membres du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Executive  Committee  a  bridging  pension  to  cover  the  period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comité exécutif, une pension de transition pour couvrir la période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between early retirement at 62 and the ordinary age of retirement, if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entre la retraite anticipée à 62 ans et l'âge ordinaire de la retraite, si</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such bridging pension does not exceed 100 percent of the total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cette rente transitoire ne dépasse pas 100 pour cent du dernier</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annual compensation of the respective member last paid.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montant de la rémunération annuelle totale payée au membre</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respectif.</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30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41   Option and Share Plans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41   Options et plan d'actions</w:t>
            </w:r>
          </w:p>
        </w:tc>
      </w:tr>
      <w:tr>
        <w:trPr>
          <w:trHeight w:val="401"/>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Under the Company's Long Term Incentive Plan, the Board of</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En vertu du plan d’intéressement à long terme de la société, 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Directors, upon proposal of the Compensation, Nomination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conseil d'administration, sur proposition du comité de rémunération,</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Corporate  Governance  Committee,  allocates  the  participating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  nomination  et  de  gouvernance  d’entreprise,  attribue  aux</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members of the Executive Committee and the Board of Directors a</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membres   participants   du   comité   exécutif   et   du   conseil</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fixed number of options or shares with a vesting or a blocking period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d'administration un nombre fixe d'options ou d'actions avec une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vesting period). In the case of stock options, at the end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période de vesting ou de blocage (la "Période de Vesting "). Dans le</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vesting period, participants in the Long Term Incentive Plan are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cas d’options, à la fin de la Période de Vesting, les participants au</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entitled to exercise the options granted against payment of the strike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plan d’intéressement à long terme sont habilités à exercer les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price. These options to acquire shares in the Company or allocated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options attribuées contre paiement du prix d'exercice. Ces options</w:t>
            </w:r>
          </w:p>
        </w:tc>
      </w:tr>
      <w:tr>
        <w:trPr>
          <w:trHeight w:val="203"/>
        </w:trPr>
        <w:tc>
          <w:tcPr>
            <w:tcW w:w="55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shares are subject to the basic principles set out in the following: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d'achat d'actions de la société ou d'actions attribuées sont soumises</w:t>
            </w:r>
          </w:p>
        </w:tc>
      </w:tr>
      <w:tr>
        <w:trPr>
          <w:trHeight w:val="239"/>
        </w:trPr>
        <w:tc>
          <w:tcPr>
            <w:tcW w:w="5520" w:type="dxa"/>
            <w:vAlign w:val="bottom"/>
            <w:tcBorders>
              <w:left w:val="single" w:sz="8" w:color="auto"/>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aux principes de base suivants:</w:t>
            </w:r>
          </w:p>
        </w:tc>
      </w:tr>
      <w:tr>
        <w:trPr>
          <w:trHeight w:val="63"/>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709"/>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ind w:left="498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it is the sole discretion of the Board of Directors to decide</w:t>
            </w:r>
          </w:p>
        </w:tc>
        <w:tc>
          <w:tcPr>
            <w:tcW w:w="240" w:type="dxa"/>
            <w:vAlign w:val="bottom"/>
            <w:tcBorders>
              <w:right w:val="single" w:sz="8" w:color="auto"/>
            </w:tcBorders>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a)</w:t>
            </w:r>
          </w:p>
        </w:tc>
        <w:tc>
          <w:tcPr>
            <w:tcW w:w="52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il relève de la libre appréciation du conseil d'administration de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whether to allocate options or shares and to whom and to</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décider si des options ou actions sont attribuées et à qui et de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determine the valuation of each compensation element on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déterminer l'évaluation de chaque élément de rémunération</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basis of the principles that apply to the establishment of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sur la base des principes qui s'appliquent à l'établissement du</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compensation report;</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rapport de rémunération;</w:t>
            </w:r>
          </w:p>
        </w:tc>
        <w:tc>
          <w:tcPr>
            <w:tcW w:w="0" w:type="dxa"/>
            <w:vAlign w:val="bottom"/>
          </w:tcPr>
          <w:p>
            <w:pPr>
              <w:spacing w:after="0"/>
              <w:rPr>
                <w:sz w:val="1"/>
                <w:szCs w:val="1"/>
                <w:color w:val="auto"/>
              </w:rPr>
            </w:pPr>
          </w:p>
        </w:tc>
      </w:tr>
      <w:tr>
        <w:trPr>
          <w:trHeight w:val="369"/>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each year, the Board of Directors, upon proposal of the</w:t>
            </w:r>
          </w:p>
        </w:tc>
        <w:tc>
          <w:tcPr>
            <w:tcW w:w="240" w:type="dxa"/>
            <w:vAlign w:val="bottom"/>
            <w:tcBorders>
              <w:right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b)</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chaque année, le conseil d'administration, sur proposition du</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Compensation,   Nomination   and   Corporate   Governance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comité de rémunération, de nomination et de gouvernance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stipulates the number of options and shares to be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d’entreprise, fixe le nombre d'options et d'actions à attribuer, la</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allocated, the date of allocation and the strike price;</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date d'attribution et le prix d'exercice;</w:t>
            </w:r>
          </w:p>
        </w:tc>
        <w:tc>
          <w:tcPr>
            <w:tcW w:w="0" w:type="dxa"/>
            <w:vAlign w:val="bottom"/>
          </w:tcPr>
          <w:p>
            <w:pPr>
              <w:spacing w:after="0"/>
              <w:rPr>
                <w:sz w:val="1"/>
                <w:szCs w:val="1"/>
                <w:color w:val="auto"/>
              </w:rPr>
            </w:pPr>
          </w:p>
        </w:tc>
      </w:tr>
      <w:tr>
        <w:trPr>
          <w:trHeight w:val="369"/>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each option incorporates a non-transferable, pre-emptive, and</w:t>
            </w:r>
          </w:p>
        </w:tc>
        <w:tc>
          <w:tcPr>
            <w:tcW w:w="240" w:type="dxa"/>
            <w:vAlign w:val="bottom"/>
            <w:tcBorders>
              <w:right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c)</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chaque  option  comporte  un  droit  non  transférable,  de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contingent right to acquire a certain number of Company's</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souscription préférentielle et optionnel d'acquérir un certain</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nombre d'actions de la société;</w:t>
            </w:r>
          </w:p>
        </w:tc>
        <w:tc>
          <w:tcPr>
            <w:tcW w:w="0" w:type="dxa"/>
            <w:vAlign w:val="bottom"/>
          </w:tcPr>
          <w:p>
            <w:pPr>
              <w:spacing w:after="0"/>
              <w:rPr>
                <w:sz w:val="1"/>
                <w:szCs w:val="1"/>
                <w:color w:val="auto"/>
              </w:rPr>
            </w:pPr>
          </w:p>
        </w:tc>
      </w:tr>
      <w:tr>
        <w:trPr>
          <w:trHeight w:val="36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   in the case of a change of control (as defined in the Long Term</w:t>
            </w:r>
          </w:p>
        </w:tc>
        <w:tc>
          <w:tcPr>
            <w:tcW w:w="240" w:type="dxa"/>
            <w:vAlign w:val="bottom"/>
            <w:tcBorders>
              <w:right w:val="single" w:sz="8" w:color="auto"/>
            </w:tcBorders>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d)</w:t>
            </w:r>
          </w:p>
        </w:tc>
        <w:tc>
          <w:tcPr>
            <w:tcW w:w="5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dans le cas d'un changement de contrôle (tel que défini dans le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Incentive  Plan)  or  delisting  of  the  Company's  shares,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plan d’intéressement à long terme) ou la radiation des actions</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vesting  period  shall  end  (accelerated  vesting)  and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de  la  société,  la  Période  de  Vesting  prend  fin  (vesting</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participant shall be entitled to exercise the options on a pro rata</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accéléré) et le participant est en droit d'exercer les options sur</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basis on the day the transaction that led to the change of</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une base pro rata, le jour de la transaction qui a conduit à un</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control or delisting was executed. It is at the sole discretion of</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changement de contrôle ou le jour où la radiation a été</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to  decide  upon  proposal  of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exécutée.  Il  relève  de  la  libre  appréciation  du  conseil</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Compensation,   Nomination   and   Corporate   Governance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d'administration  de  décider,  sur  proposition  du  comité  de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whether the financial objectives have been met;</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rémunération, de nomination et de gouvernance d’entreprise,</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e)  the individual members of the Executive Committee or the Board</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si les objectifs financiers ont été atteints;</w:t>
            </w:r>
          </w:p>
        </w:tc>
        <w:tc>
          <w:tcPr>
            <w:tcW w:w="0" w:type="dxa"/>
            <w:vAlign w:val="bottom"/>
          </w:tcPr>
          <w:p>
            <w:pPr>
              <w:spacing w:after="0"/>
              <w:rPr>
                <w:sz w:val="1"/>
                <w:szCs w:val="1"/>
                <w:color w:val="auto"/>
              </w:rPr>
            </w:pPr>
          </w:p>
        </w:tc>
      </w:tr>
      <w:tr>
        <w:trPr>
          <w:trHeight w:val="166"/>
        </w:trPr>
        <w:tc>
          <w:tcPr>
            <w:tcW w:w="5520" w:type="dxa"/>
            <w:vAlign w:val="bottom"/>
            <w:tcBorders>
              <w:left w:val="single" w:sz="8" w:color="auto"/>
              <w:right w:val="single" w:sz="8" w:color="auto"/>
            </w:tcBorders>
            <w:gridSpan w:val="2"/>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Directors participating in the Long Term Incentive Plan are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les membres individuels du comité exécutif ou du conseil</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responsible for paying any taxes or social security contributions</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d'administration qui participent au plan d’intéressement à long</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for declaring income correctly to the authorities;</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terme sont responsables du paiement de tous les impôts ou</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cotisations de sécurité sociale et de déclarer correctement le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f)</w:t>
            </w: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it is at the sole discretion of the Board of Directors to decide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revenu aux autorités;</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whether to supplement the Long Term Incentive Plan within the</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bounds of the principles set out above or to discontinue it.</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f)</w:t>
            </w:r>
          </w:p>
        </w:tc>
        <w:tc>
          <w:tcPr>
            <w:tcW w:w="52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il relève de la libre appréciation du conseil d'administration de</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tcPr>
          <w:p>
            <w:pPr>
              <w:spacing w:after="0"/>
              <w:rPr>
                <w:sz w:val="17"/>
                <w:szCs w:val="17"/>
                <w:color w:val="auto"/>
              </w:rPr>
            </w:pPr>
          </w:p>
        </w:tc>
        <w:tc>
          <w:tcPr>
            <w:tcW w:w="5220" w:type="dxa"/>
            <w:vAlign w:val="bottom"/>
            <w:tcBorders>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w w:val="99"/>
              </w:rPr>
              <w:t>compléter le plan d’intéressement à long terme dans les limites</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 principes énoncés ci-dessus ou de l'interrompre.</w:t>
            </w:r>
          </w:p>
        </w:tc>
        <w:tc>
          <w:tcPr>
            <w:tcW w:w="0" w:type="dxa"/>
            <w:vAlign w:val="bottom"/>
          </w:tcPr>
          <w:p>
            <w:pPr>
              <w:spacing w:after="0"/>
              <w:rPr>
                <w:sz w:val="1"/>
                <w:szCs w:val="1"/>
                <w:color w:val="auto"/>
              </w:rPr>
            </w:pPr>
          </w:p>
        </w:tc>
      </w:tr>
      <w:tr>
        <w:trPr>
          <w:trHeight w:val="64"/>
        </w:trPr>
        <w:tc>
          <w:tcPr>
            <w:tcW w:w="300" w:type="dxa"/>
            <w:vAlign w:val="bottom"/>
            <w:tcBorders>
              <w:left w:val="single" w:sz="8" w:color="auto"/>
              <w:bottom w:val="single" w:sz="8" w:color="auto"/>
            </w:tcBorders>
          </w:tcPr>
          <w:p>
            <w:pPr>
              <w:spacing w:after="0"/>
              <w:rPr>
                <w:sz w:val="5"/>
                <w:szCs w:val="5"/>
                <w:color w:val="auto"/>
              </w:rPr>
            </w:pPr>
          </w:p>
        </w:tc>
        <w:tc>
          <w:tcPr>
            <w:tcW w:w="522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9"/>
        </w:trPr>
        <w:tc>
          <w:tcPr>
            <w:tcW w:w="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6" w:name="page77"/>
    <w:bookmarkEnd w:id="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Pr>
          <w:p>
            <w:pPr>
              <w:ind w:left="4660"/>
              <w:spacing w:after="0"/>
              <w:rPr>
                <w:sz w:val="20"/>
                <w:szCs w:val="20"/>
                <w:color w:val="auto"/>
              </w:rPr>
            </w:pPr>
            <w:r>
              <w:rPr>
                <w:rFonts w:ascii="Arial" w:cs="Arial" w:eastAsia="Arial" w:hAnsi="Arial"/>
                <w:sz w:val="18"/>
                <w:szCs w:val="18"/>
                <w:color w:val="auto"/>
                <w:w w:val="99"/>
              </w:rPr>
              <w:t>34</w:t>
            </w:r>
          </w:p>
        </w:tc>
      </w:tr>
      <w:tr>
        <w:trPr>
          <w:trHeight w:val="91"/>
        </w:trPr>
        <w:tc>
          <w:tcPr>
            <w:tcW w:w="552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gridSpan w:val="2"/>
          </w:tcPr>
          <w:p>
            <w:pPr>
              <w:spacing w:after="0"/>
              <w:rPr>
                <w:sz w:val="7"/>
                <w:szCs w:val="7"/>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Company may periodically offer shares in the Company to</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w w:val="99"/>
                <w:vertAlign w:val="superscript"/>
              </w:rPr>
              <w:t>2</w:t>
            </w:r>
            <w:r>
              <w:rPr>
                <w:rFonts w:ascii="Arial" w:cs="Arial" w:eastAsia="Arial" w:hAnsi="Arial"/>
                <w:sz w:val="18"/>
                <w:szCs w:val="18"/>
                <w:color w:val="auto"/>
                <w:w w:val="99"/>
              </w:rPr>
              <w:t xml:space="preserve"> La société peut périodiquement offrir des actions de la société aux</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employees as part of the Long Term Incentive Plan.</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salariés au titre du plan d’intéressement à long terme .</w:t>
            </w:r>
          </w:p>
        </w:tc>
      </w:tr>
      <w:tr>
        <w:trPr>
          <w:trHeight w:val="63"/>
        </w:trPr>
        <w:tc>
          <w:tcPr>
            <w:tcW w:w="620" w:type="dxa"/>
            <w:vAlign w:val="bottom"/>
            <w:tcBorders>
              <w:left w:val="single" w:sz="8" w:color="auto"/>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58"/>
        </w:trPr>
        <w:tc>
          <w:tcPr>
            <w:tcW w:w="6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VIII.</w:t>
            </w:r>
          </w:p>
        </w:tc>
        <w:tc>
          <w:tcPr>
            <w:tcW w:w="49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BUSINESS YEAR, ACCOUNTING, ALLOCATION OF</w:t>
            </w:r>
          </w:p>
        </w:tc>
        <w:tc>
          <w:tcPr>
            <w:tcW w:w="240" w:type="dxa"/>
            <w:vAlign w:val="bottom"/>
            <w:tcBorders>
              <w:right w:val="single" w:sz="8" w:color="auto"/>
            </w:tcBorders>
          </w:tcPr>
          <w:p>
            <w:pPr>
              <w:spacing w:after="0"/>
              <w:rPr>
                <w:sz w:val="22"/>
                <w:szCs w:val="22"/>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VIII.</w:t>
            </w:r>
          </w:p>
        </w:tc>
        <w:tc>
          <w:tcPr>
            <w:tcW w:w="49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EXERCICE, COMPTABILITÉ, RÉPARTITION DES</w:t>
            </w:r>
          </w:p>
        </w:tc>
      </w:tr>
      <w:tr>
        <w:trPr>
          <w:trHeight w:val="247"/>
        </w:trPr>
        <w:tc>
          <w:tcPr>
            <w:tcW w:w="620" w:type="dxa"/>
            <w:vAlign w:val="bottom"/>
            <w:tcBorders>
              <w:left w:val="single" w:sz="8" w:color="auto"/>
            </w:tcBorders>
          </w:tcPr>
          <w:p>
            <w:pPr>
              <w:spacing w:after="0"/>
              <w:rPr>
                <w:sz w:val="21"/>
                <w:szCs w:val="21"/>
                <w:color w:val="auto"/>
              </w:rPr>
            </w:pPr>
          </w:p>
        </w:tc>
        <w:tc>
          <w:tcPr>
            <w:tcW w:w="49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PROFITS</w:t>
            </w:r>
          </w:p>
        </w:tc>
        <w:tc>
          <w:tcPr>
            <w:tcW w:w="24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BÉNÉFICES</w:t>
            </w:r>
          </w:p>
        </w:tc>
      </w:tr>
      <w:tr>
        <w:trPr>
          <w:trHeight w:val="56"/>
        </w:trPr>
        <w:tc>
          <w:tcPr>
            <w:tcW w:w="620" w:type="dxa"/>
            <w:vAlign w:val="bottom"/>
            <w:tcBorders>
              <w:left w:val="single" w:sz="8" w:color="auto"/>
              <w:bottom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r>
      <w:tr>
        <w:trPr>
          <w:trHeight w:val="303"/>
        </w:trPr>
        <w:tc>
          <w:tcPr>
            <w:tcW w:w="6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42</w:t>
            </w:r>
          </w:p>
        </w:tc>
        <w:tc>
          <w:tcPr>
            <w:tcW w:w="49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Business Year</w:t>
            </w:r>
          </w:p>
        </w:tc>
        <w:tc>
          <w:tcPr>
            <w:tcW w:w="240" w:type="dxa"/>
            <w:vAlign w:val="bottom"/>
            <w:tcBorders>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9"/>
              </w:rPr>
              <w:t>Art. 42</w:t>
            </w:r>
          </w:p>
        </w:tc>
        <w:tc>
          <w:tcPr>
            <w:tcW w:w="49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Exercice</w:t>
            </w:r>
          </w:p>
        </w:tc>
      </w:tr>
      <w:tr>
        <w:trPr>
          <w:trHeight w:val="36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 conseil d'administration détermine le début et la fin de l'exercice</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Company's business year.</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 la société.</w:t>
            </w:r>
          </w:p>
        </w:tc>
      </w:tr>
      <w:tr>
        <w:trPr>
          <w:trHeight w:val="266"/>
        </w:trPr>
        <w:tc>
          <w:tcPr>
            <w:tcW w:w="620" w:type="dxa"/>
            <w:vAlign w:val="bottom"/>
            <w:tcBorders>
              <w:left w:val="single" w:sz="8" w:color="auto"/>
              <w:bottom w:val="single" w:sz="8" w:color="auto"/>
            </w:tcBorders>
          </w:tcPr>
          <w:p>
            <w:pPr>
              <w:spacing w:after="0"/>
              <w:rPr>
                <w:sz w:val="23"/>
                <w:szCs w:val="23"/>
                <w:color w:val="auto"/>
              </w:rPr>
            </w:pPr>
          </w:p>
        </w:tc>
        <w:tc>
          <w:tcPr>
            <w:tcW w:w="490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900" w:type="dxa"/>
            <w:vAlign w:val="bottom"/>
            <w:tcBorders>
              <w:bottom w:val="single" w:sz="8" w:color="auto"/>
              <w:right w:val="single" w:sz="8" w:color="auto"/>
            </w:tcBorders>
          </w:tcPr>
          <w:p>
            <w:pPr>
              <w:spacing w:after="0"/>
              <w:rPr>
                <w:sz w:val="23"/>
                <w:szCs w:val="23"/>
                <w:color w:val="auto"/>
              </w:rPr>
            </w:pPr>
          </w:p>
        </w:tc>
      </w:tr>
      <w:tr>
        <w:trPr>
          <w:trHeight w:val="303"/>
        </w:trPr>
        <w:tc>
          <w:tcPr>
            <w:tcW w:w="6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43</w:t>
            </w:r>
          </w:p>
        </w:tc>
        <w:tc>
          <w:tcPr>
            <w:tcW w:w="49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Accounting</w:t>
            </w:r>
          </w:p>
        </w:tc>
        <w:tc>
          <w:tcPr>
            <w:tcW w:w="240" w:type="dxa"/>
            <w:vAlign w:val="bottom"/>
            <w:tcBorders>
              <w:righ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9"/>
              </w:rPr>
              <w:t>Art. 43</w:t>
            </w:r>
          </w:p>
        </w:tc>
        <w:tc>
          <w:tcPr>
            <w:tcW w:w="49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Comptabilité</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annual accounts consist of the profit and loss statement,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w w:val="98"/>
                <w:vertAlign w:val="superscript"/>
              </w:rPr>
              <w:t>1</w:t>
            </w:r>
            <w:r>
              <w:rPr>
                <w:rFonts w:ascii="Arial" w:cs="Arial" w:eastAsia="Arial" w:hAnsi="Arial"/>
                <w:sz w:val="18"/>
                <w:szCs w:val="18"/>
                <w:color w:val="auto"/>
                <w:w w:val="98"/>
              </w:rPr>
              <w:t xml:space="preserve"> Les comptes annuels se composent du compte de profits et pertes,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balance  sheet,  the  cash  flow  statement,  the  annex  and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du bilan, du tableau des flux de trésorerie, de l'annexe et du rapport</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management  report,  and  shall  be  drawn  up  pursuant  to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9"/>
              </w:rPr>
              <w:t>de gestion, et sont établis conformément aux dispositions du CO, en</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 xml:space="preserve">provisions of the CO, particularly of Articles 958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and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particulier des articles 958 ss. CO, et aux principes commerciaux</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generally accepted commercial principles and customary rules in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généralement reconnus et aux règles coutumières dans ce secteur</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that business area.</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d'activité.</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If required by law, the consolidated financial statements shall be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Si requis par la loi, les états financiers consolidés sont établis en</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drawn up in accordance with the provisions of Article 962 CO.</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conformité avec les dispositions de l'article 962 CO.</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303"/>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Art. 44   Allocation of Profits</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401"/>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Subject to the legal provisions regarding distribution of profits, the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29"/>
                <w:szCs w:val="29"/>
                <w:color w:val="auto"/>
                <w:w w:val="98"/>
                <w:vertAlign w:val="superscript"/>
              </w:rPr>
              <w:t>1</w:t>
            </w:r>
            <w:r>
              <w:rPr>
                <w:rFonts w:ascii="Arial" w:cs="Arial" w:eastAsia="Arial" w:hAnsi="Arial"/>
                <w:sz w:val="18"/>
                <w:szCs w:val="18"/>
                <w:color w:val="auto"/>
                <w:w w:val="98"/>
              </w:rPr>
              <w:t xml:space="preserve"> Sous réserve des dispositions légales en matière de répartition des</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profit as shown on the balance sheet shall be allocated by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bénéfices, le bénéfice comme indiqué sur le bilan doit être alloué à</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General Meeting at its discretion after receipt of the proposals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la libre appréciation de l'assemblée générale après réception des</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Board of Directors and the Auditors.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propositions du conseil d'administration et de l'organe de révision.</w:t>
            </w:r>
          </w:p>
        </w:tc>
      </w:tr>
      <w:tr>
        <w:trPr>
          <w:trHeight w:val="64"/>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 addition to the legal reserves, the General Meeting may create</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w w:val="99"/>
                <w:vertAlign w:val="superscript"/>
              </w:rPr>
              <w:t>2</w:t>
            </w:r>
            <w:r>
              <w:rPr>
                <w:rFonts w:ascii="Arial" w:cs="Arial" w:eastAsia="Arial" w:hAnsi="Arial"/>
                <w:sz w:val="18"/>
                <w:szCs w:val="18"/>
                <w:color w:val="auto"/>
                <w:w w:val="99"/>
              </w:rPr>
              <w:t xml:space="preserve"> En plus des réserves légales, l'assemblée générale peut créer des</w:t>
            </w:r>
          </w:p>
        </w:tc>
      </w:tr>
      <w:tr>
        <w:trPr>
          <w:trHeight w:val="239"/>
        </w:trPr>
        <w:tc>
          <w:tcPr>
            <w:tcW w:w="55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supplemental reserves.</w:t>
            </w: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réserves supplémentaires.</w:t>
            </w:r>
          </w:p>
        </w:tc>
      </w:tr>
      <w:tr>
        <w:trPr>
          <w:trHeight w:val="63"/>
        </w:trPr>
        <w:tc>
          <w:tcPr>
            <w:tcW w:w="5520" w:type="dxa"/>
            <w:vAlign w:val="bottom"/>
            <w:tcBorders>
              <w:left w:val="single" w:sz="8" w:color="auto"/>
              <w:bottom w:val="single" w:sz="8" w:color="auto"/>
              <w:right w:val="single" w:sz="8" w:color="auto"/>
            </w:tcBorders>
            <w:gridSpan w:val="2"/>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gridSpan w:val="2"/>
          </w:tcPr>
          <w:p>
            <w:pPr>
              <w:spacing w:after="0"/>
              <w:rPr>
                <w:sz w:val="5"/>
                <w:szCs w:val="5"/>
                <w:color w:val="auto"/>
              </w:rPr>
            </w:pPr>
          </w:p>
        </w:tc>
      </w:tr>
      <w:tr>
        <w:trPr>
          <w:trHeight w:val="299"/>
        </w:trPr>
        <w:tc>
          <w:tcPr>
            <w:tcW w:w="5520" w:type="dxa"/>
            <w:vAlign w:val="bottom"/>
            <w:tcBorders>
              <w:left w:val="single" w:sz="8" w:color="auto"/>
              <w:right w:val="single" w:sz="8" w:color="auto"/>
            </w:tcBorders>
            <w:gridSpan w:val="2"/>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Dividends not claimed within five years after the due date shall</w:t>
            </w:r>
          </w:p>
        </w:tc>
        <w:tc>
          <w:tcPr>
            <w:tcW w:w="24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Les dividendes non réclamés dans les cinq ans après la date</w:t>
            </w:r>
          </w:p>
        </w:tc>
      </w:tr>
      <w:tr>
        <w:trPr>
          <w:trHeight w:val="203"/>
        </w:trPr>
        <w:tc>
          <w:tcPr>
            <w:tcW w:w="552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remain with the Company and be allocated to the general reserves.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d'échéance restent avec la société et sont attribués aux réserves</w:t>
            </w:r>
          </w:p>
        </w:tc>
      </w:tr>
      <w:tr>
        <w:trPr>
          <w:trHeight w:val="239"/>
        </w:trPr>
        <w:tc>
          <w:tcPr>
            <w:tcW w:w="620" w:type="dxa"/>
            <w:vAlign w:val="bottom"/>
            <w:tcBorders>
              <w:left w:val="single" w:sz="8" w:color="auto"/>
            </w:tcBorders>
          </w:tcPr>
          <w:p>
            <w:pPr>
              <w:spacing w:after="0"/>
              <w:rPr>
                <w:sz w:val="20"/>
                <w:szCs w:val="20"/>
                <w:color w:val="auto"/>
              </w:rPr>
            </w:pPr>
          </w:p>
        </w:tc>
        <w:tc>
          <w:tcPr>
            <w:tcW w:w="490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générales.</w:t>
            </w:r>
          </w:p>
        </w:tc>
      </w:tr>
      <w:tr>
        <w:trPr>
          <w:trHeight w:val="63"/>
        </w:trPr>
        <w:tc>
          <w:tcPr>
            <w:tcW w:w="620" w:type="dxa"/>
            <w:vAlign w:val="bottom"/>
            <w:tcBorders>
              <w:left w:val="single" w:sz="8" w:color="auto"/>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709"/>
        </w:trPr>
        <w:tc>
          <w:tcPr>
            <w:tcW w:w="6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91"/>
        </w:trPr>
        <w:tc>
          <w:tcPr>
            <w:tcW w:w="76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r>
      <w:tr>
        <w:trPr>
          <w:trHeight w:val="302"/>
        </w:trPr>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IX.</w:t>
            </w:r>
          </w:p>
        </w:tc>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DISSOLUTION AND LIQUIDATION</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IX.</w:t>
            </w:r>
          </w:p>
        </w:tc>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DISSOLUTION ET LIQUIDATION</w:t>
            </w:r>
          </w:p>
        </w:tc>
      </w:tr>
      <w:tr>
        <w:trPr>
          <w:trHeight w:val="56"/>
        </w:trPr>
        <w:tc>
          <w:tcPr>
            <w:tcW w:w="5620" w:type="dxa"/>
            <w:vAlign w:val="bottom"/>
            <w:tcBorders>
              <w:bottom w:val="single" w:sz="8" w:color="auto"/>
            </w:tcBorders>
            <w:gridSpan w:val="2"/>
          </w:tcPr>
          <w:p>
            <w:pPr>
              <w:spacing w:after="0"/>
              <w:rPr>
                <w:sz w:val="4"/>
                <w:szCs w:val="4"/>
                <w:color w:val="auto"/>
              </w:rPr>
            </w:pPr>
          </w:p>
        </w:tc>
        <w:tc>
          <w:tcPr>
            <w:tcW w:w="5620" w:type="dxa"/>
            <w:vAlign w:val="bottom"/>
            <w:tcBorders>
              <w:bottom w:val="single" w:sz="8" w:color="auto"/>
            </w:tcBorders>
            <w:gridSpan w:val="2"/>
          </w:tcPr>
          <w:p>
            <w:pPr>
              <w:spacing w:after="0"/>
              <w:rPr>
                <w:sz w:val="4"/>
                <w:szCs w:val="4"/>
                <w:color w:val="auto"/>
              </w:rPr>
            </w:pPr>
          </w:p>
        </w:tc>
      </w:tr>
      <w:tr>
        <w:trPr>
          <w:trHeight w:val="30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Art. 45   Dissolution and Liquidation</w:t>
            </w:r>
          </w:p>
        </w:tc>
        <w:tc>
          <w:tcPr>
            <w:tcW w:w="5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 45   Dissolution et Liquidation</w:t>
            </w:r>
          </w:p>
        </w:tc>
      </w:tr>
      <w:tr>
        <w:trPr>
          <w:trHeight w:val="361"/>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La dissolution et la liquidation de la société ont lieu en conformité</w:t>
            </w: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accordance with the provisions of the CO.</w:t>
            </w: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avec les dispositions du CO.</w:t>
            </w:r>
          </w:p>
        </w:tc>
      </w:tr>
      <w:tr>
        <w:trPr>
          <w:trHeight w:val="63"/>
        </w:trPr>
        <w:tc>
          <w:tcPr>
            <w:tcW w:w="760" w:type="dxa"/>
            <w:vAlign w:val="bottom"/>
            <w:tcBorders>
              <w:bottom w:val="single" w:sz="8" w:color="auto"/>
            </w:tcBorders>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r>
      <w:tr>
        <w:trPr>
          <w:trHeight w:val="302"/>
        </w:trPr>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X.</w:t>
            </w:r>
          </w:p>
        </w:tc>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NOTICES AND PUBLICATIONS</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X.</w:t>
            </w:r>
          </w:p>
        </w:tc>
        <w:tc>
          <w:tcPr>
            <w:tcW w:w="5000" w:type="dxa"/>
            <w:vAlign w:val="bottom"/>
          </w:tcPr>
          <w:p>
            <w:pPr>
              <w:ind w:left="260"/>
              <w:spacing w:after="0"/>
              <w:rPr>
                <w:sz w:val="20"/>
                <w:szCs w:val="20"/>
                <w:color w:val="auto"/>
              </w:rPr>
            </w:pPr>
            <w:r>
              <w:rPr>
                <w:rFonts w:ascii="Arial" w:cs="Arial" w:eastAsia="Arial" w:hAnsi="Arial"/>
                <w:sz w:val="18"/>
                <w:szCs w:val="18"/>
                <w:b w:val="1"/>
                <w:bCs w:val="1"/>
                <w:color w:val="auto"/>
              </w:rPr>
              <w:t>AVIS ET PUBLICATIONS</w:t>
            </w:r>
          </w:p>
        </w:tc>
      </w:tr>
      <w:tr>
        <w:trPr>
          <w:trHeight w:val="56"/>
        </w:trPr>
        <w:tc>
          <w:tcPr>
            <w:tcW w:w="5620" w:type="dxa"/>
            <w:vAlign w:val="bottom"/>
            <w:tcBorders>
              <w:bottom w:val="single" w:sz="8" w:color="auto"/>
            </w:tcBorders>
            <w:gridSpan w:val="2"/>
          </w:tcPr>
          <w:p>
            <w:pPr>
              <w:spacing w:after="0"/>
              <w:rPr>
                <w:sz w:val="4"/>
                <w:szCs w:val="4"/>
                <w:color w:val="auto"/>
              </w:rPr>
            </w:pPr>
          </w:p>
        </w:tc>
        <w:tc>
          <w:tcPr>
            <w:tcW w:w="5620" w:type="dxa"/>
            <w:vAlign w:val="bottom"/>
            <w:tcBorders>
              <w:bottom w:val="single" w:sz="8" w:color="auto"/>
            </w:tcBorders>
            <w:gridSpan w:val="2"/>
          </w:tcPr>
          <w:p>
            <w:pPr>
              <w:spacing w:after="0"/>
              <w:rPr>
                <w:sz w:val="4"/>
                <w:szCs w:val="4"/>
                <w:color w:val="auto"/>
              </w:rPr>
            </w:pPr>
          </w:p>
        </w:tc>
      </w:tr>
      <w:tr>
        <w:trPr>
          <w:trHeight w:val="30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Art. 46   Notices and Publications</w:t>
            </w:r>
          </w:p>
        </w:tc>
        <w:tc>
          <w:tcPr>
            <w:tcW w:w="5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 46   Avis et Publications</w:t>
            </w:r>
          </w:p>
        </w:tc>
      </w:tr>
      <w:tr>
        <w:trPr>
          <w:trHeight w:val="401"/>
        </w:trPr>
        <w:tc>
          <w:tcPr>
            <w:tcW w:w="5620" w:type="dxa"/>
            <w:vAlign w:val="bottom"/>
            <w:gridSpan w:val="2"/>
          </w:tcPr>
          <w:p>
            <w:pPr>
              <w:ind w:left="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Swiss Official Gazette of Commerce is the official publication</w:t>
            </w:r>
          </w:p>
        </w:tc>
        <w:tc>
          <w:tcPr>
            <w:tcW w:w="5620" w:type="dxa"/>
            <w:vAlign w:val="bottom"/>
            <w:gridSpan w:val="2"/>
          </w:tcPr>
          <w:p>
            <w:pPr>
              <w:ind w:left="1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L'organe de publication légal est la Feuille officielle suisse du</w:t>
            </w:r>
          </w:p>
        </w:tc>
      </w:tr>
      <w:tr>
        <w:trPr>
          <w:trHeight w:val="239"/>
        </w:trPr>
        <w:tc>
          <w:tcPr>
            <w:tcW w:w="760" w:type="dxa"/>
            <w:vAlign w:val="bottom"/>
          </w:tcPr>
          <w:p>
            <w:pPr>
              <w:ind w:left="20"/>
              <w:spacing w:after="0"/>
              <w:rPr>
                <w:sz w:val="20"/>
                <w:szCs w:val="20"/>
                <w:color w:val="auto"/>
              </w:rPr>
            </w:pPr>
            <w:r>
              <w:rPr>
                <w:rFonts w:ascii="Arial" w:cs="Arial" w:eastAsia="Arial" w:hAnsi="Arial"/>
                <w:sz w:val="18"/>
                <w:szCs w:val="18"/>
                <w:color w:val="auto"/>
              </w:rPr>
              <w:t>medium.</w:t>
            </w:r>
          </w:p>
        </w:tc>
        <w:tc>
          <w:tcPr>
            <w:tcW w:w="4860" w:type="dxa"/>
            <w:vAlign w:val="bottom"/>
          </w:tcPr>
          <w:p>
            <w:pPr>
              <w:spacing w:after="0"/>
              <w:rPr>
                <w:sz w:val="20"/>
                <w:szCs w:val="20"/>
                <w:color w:val="auto"/>
              </w:rPr>
            </w:pP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commerce.</w:t>
            </w:r>
          </w:p>
        </w:tc>
      </w:tr>
      <w:tr>
        <w:trPr>
          <w:trHeight w:val="63"/>
        </w:trPr>
        <w:tc>
          <w:tcPr>
            <w:tcW w:w="5620" w:type="dxa"/>
            <w:vAlign w:val="bottom"/>
            <w:tcBorders>
              <w:bottom w:val="single" w:sz="8" w:color="auto"/>
            </w:tcBorders>
            <w:gridSpan w:val="2"/>
          </w:tcPr>
          <w:p>
            <w:pPr>
              <w:spacing w:after="0"/>
              <w:rPr>
                <w:sz w:val="5"/>
                <w:szCs w:val="5"/>
                <w:color w:val="auto"/>
              </w:rPr>
            </w:pPr>
          </w:p>
        </w:tc>
        <w:tc>
          <w:tcPr>
            <w:tcW w:w="5620" w:type="dxa"/>
            <w:vAlign w:val="bottom"/>
            <w:tcBorders>
              <w:bottom w:val="single" w:sz="8" w:color="auto"/>
            </w:tcBorders>
            <w:gridSpan w:val="2"/>
          </w:tcPr>
          <w:p>
            <w:pPr>
              <w:spacing w:after="0"/>
              <w:rPr>
                <w:sz w:val="5"/>
                <w:szCs w:val="5"/>
                <w:color w:val="auto"/>
              </w:rPr>
            </w:pPr>
          </w:p>
        </w:tc>
      </w:tr>
      <w:tr>
        <w:trPr>
          <w:trHeight w:val="299"/>
        </w:trPr>
        <w:tc>
          <w:tcPr>
            <w:tcW w:w="5620" w:type="dxa"/>
            <w:vAlign w:val="bottom"/>
            <w:gridSpan w:val="2"/>
          </w:tcPr>
          <w:p>
            <w:pPr>
              <w:ind w:left="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Shareholder communications and notices to the shareholders shall</w:t>
            </w:r>
          </w:p>
        </w:tc>
        <w:tc>
          <w:tcPr>
            <w:tcW w:w="5620" w:type="dxa"/>
            <w:vAlign w:val="bottom"/>
            <w:gridSpan w:val="2"/>
          </w:tcPr>
          <w:p>
            <w:pPr>
              <w:ind w:left="120"/>
              <w:spacing w:after="0" w:line="298"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Les communications et avis aux actionnaires sont effectués par</w:t>
            </w: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be made by publication in the Swiss Official Gazette of Commerce or</w:t>
            </w:r>
          </w:p>
        </w:tc>
        <w:tc>
          <w:tcPr>
            <w:tcW w:w="5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publication dans la Feuille officielle suisse du commerce ou envoyés</w:t>
            </w: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sent by mail or e-mail to the contacts registered in the share register.</w:t>
            </w:r>
          </w:p>
        </w:tc>
        <w:tc>
          <w:tcPr>
            <w:tcW w:w="5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par courrier ou e-mail aux coordonnées enregistrées dans le registre</w:t>
            </w:r>
          </w:p>
        </w:tc>
      </w:tr>
      <w:tr>
        <w:trPr>
          <w:trHeight w:val="239"/>
        </w:trPr>
        <w:tc>
          <w:tcPr>
            <w:tcW w:w="7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des actions.</w:t>
            </w:r>
          </w:p>
        </w:tc>
      </w:tr>
      <w:tr>
        <w:trPr>
          <w:trHeight w:val="63"/>
        </w:trPr>
        <w:tc>
          <w:tcPr>
            <w:tcW w:w="5620" w:type="dxa"/>
            <w:vAlign w:val="bottom"/>
            <w:tcBorders>
              <w:bottom w:val="single" w:sz="8" w:color="auto"/>
            </w:tcBorders>
            <w:gridSpan w:val="2"/>
          </w:tcPr>
          <w:p>
            <w:pPr>
              <w:spacing w:after="0"/>
              <w:rPr>
                <w:sz w:val="5"/>
                <w:szCs w:val="5"/>
                <w:color w:val="auto"/>
              </w:rPr>
            </w:pPr>
          </w:p>
        </w:tc>
        <w:tc>
          <w:tcPr>
            <w:tcW w:w="5620" w:type="dxa"/>
            <w:vAlign w:val="bottom"/>
            <w:tcBorders>
              <w:bottom w:val="single" w:sz="8" w:color="auto"/>
            </w:tcBorders>
            <w:gridSpan w:val="2"/>
          </w:tcPr>
          <w:p>
            <w:pPr>
              <w:spacing w:after="0"/>
              <w:rPr>
                <w:sz w:val="5"/>
                <w:szCs w:val="5"/>
                <w:color w:val="auto"/>
              </w:rPr>
            </w:pPr>
          </w:p>
        </w:tc>
      </w:tr>
      <w:tr>
        <w:trPr>
          <w:trHeight w:val="299"/>
        </w:trPr>
        <w:tc>
          <w:tcPr>
            <w:tcW w:w="5620" w:type="dxa"/>
            <w:vAlign w:val="bottom"/>
            <w:gridSpan w:val="2"/>
          </w:tcPr>
          <w:p>
            <w:pPr>
              <w:ind w:left="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Unless the law provides otherwise, notices shall be given to</w:t>
            </w:r>
          </w:p>
        </w:tc>
        <w:tc>
          <w:tcPr>
            <w:tcW w:w="5620" w:type="dxa"/>
            <w:vAlign w:val="bottom"/>
            <w:gridSpan w:val="2"/>
          </w:tcPr>
          <w:p>
            <w:pPr>
              <w:ind w:left="120"/>
              <w:spacing w:after="0" w:line="298"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Sauf si la loi en dispose autrement, les avis seront envoyés aux</w:t>
            </w: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creditors by publication in the Swiss Official Gazette of Commerce.</w:t>
            </w:r>
          </w:p>
        </w:tc>
        <w:tc>
          <w:tcPr>
            <w:tcW w:w="5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créanciers  par  publication  dans  la  Feuille  officielle  suisse  du</w:t>
            </w: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The Board of Directors may assign further means of communication.</w:t>
            </w:r>
          </w:p>
        </w:tc>
        <w:tc>
          <w:tcPr>
            <w:tcW w:w="5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commerce. Le conseil d'administration peut prévoir d'autres moyens</w:t>
            </w:r>
          </w:p>
        </w:tc>
      </w:tr>
      <w:tr>
        <w:trPr>
          <w:trHeight w:val="239"/>
        </w:trPr>
        <w:tc>
          <w:tcPr>
            <w:tcW w:w="7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de communication.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-3019425</wp:posOffset>
            </wp:positionV>
            <wp:extent cx="7132320" cy="3068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32320" cy="30689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Statuts modifiés lors de la séance du conseil d’administration du 21 juin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Pre-Effective Amendment No. 1 to the Registration Statement on Form F-3 of AC Immune SA of our report dated March 14, 2024 relating to the financial statements and the effectiveness of internal control over financial reporting, which appears in AC Immune SA’s Annual Report on Form 20-F for the year ended December 31, 2023. We also consent to the reference to us under the heading “Experts” in such Registration Statement.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860" w:type="dxa"/>
            <w:vAlign w:val="bottom"/>
            <w:tcBorders>
              <w:top w:val="single" w:sz="8" w:color="auto"/>
              <w:left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9"/>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10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Carry</w:t>
            </w: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Unsold</w:t>
            </w:r>
          </w:p>
        </w:tc>
        <w:tc>
          <w:tcPr>
            <w:tcW w:w="0" w:type="dxa"/>
            <w:vAlign w:val="bottom"/>
          </w:tcPr>
          <w:p>
            <w:pPr>
              <w:spacing w:after="0"/>
              <w:rPr>
                <w:sz w:val="1"/>
                <w:szCs w:val="1"/>
                <w:color w:val="auto"/>
              </w:rPr>
            </w:pPr>
          </w:p>
        </w:tc>
      </w:tr>
      <w:tr>
        <w:trPr>
          <w:trHeight w:val="149"/>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w w:val="99"/>
              </w:rPr>
              <w:t>Maximum</w:t>
            </w:r>
          </w:p>
        </w:tc>
        <w:tc>
          <w:tcPr>
            <w:tcW w:w="10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Amount of</w:t>
            </w:r>
          </w:p>
        </w:tc>
        <w:tc>
          <w:tcPr>
            <w:tcW w:w="7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Class</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04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96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Fee</w:t>
            </w:r>
          </w:p>
        </w:tc>
        <w:tc>
          <w:tcPr>
            <w:tcW w:w="10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4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6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to be</w:t>
            </w: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9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Form</w:t>
            </w:r>
          </w:p>
        </w:tc>
        <w:tc>
          <w:tcPr>
            <w:tcW w:w="74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Carried</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Rate</w:t>
            </w:r>
          </w:p>
        </w:tc>
        <w:tc>
          <w:tcPr>
            <w:tcW w:w="10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8"/>
              </w:rPr>
              <w:t>Fee</w:t>
            </w:r>
          </w:p>
        </w:tc>
        <w:tc>
          <w:tcPr>
            <w:tcW w:w="7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Type</w:t>
            </w:r>
          </w:p>
        </w:tc>
        <w:tc>
          <w:tcPr>
            <w:tcW w:w="7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Number</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Date</w:t>
            </w:r>
          </w:p>
        </w:tc>
        <w:tc>
          <w:tcPr>
            <w:tcW w:w="7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142"/>
        </w:trPr>
        <w:tc>
          <w:tcPr>
            <w:tcW w:w="860" w:type="dxa"/>
            <w:vAlign w:val="bottom"/>
            <w:tcBorders>
              <w:left w:val="single" w:sz="8" w:color="auto"/>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color w:val="auto"/>
              </w:rPr>
              <w:t>Newly Registered Securities</w:t>
            </w:r>
          </w:p>
        </w:tc>
        <w:tc>
          <w:tcPr>
            <w:tcW w:w="10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Fees to Be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700" w:type="dxa"/>
            <w:vAlign w:val="bottom"/>
            <w:tcBorders>
              <w:right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Debt</w:t>
            </w: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Securities</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Rule 457(o)</w:t>
            </w:r>
          </w:p>
        </w:tc>
        <w:tc>
          <w:tcPr>
            <w:tcW w:w="70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Warrants</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Rule 457(o)</w:t>
            </w:r>
          </w:p>
        </w:tc>
        <w:tc>
          <w:tcPr>
            <w:tcW w:w="70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Purchase</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700" w:type="dxa"/>
            <w:vAlign w:val="bottom"/>
            <w:tcBorders>
              <w:right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Contracts</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Subscription</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700" w:type="dxa"/>
            <w:vAlign w:val="bottom"/>
            <w:tcBorders>
              <w:right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Rights</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Units</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Rule 457(o)</w:t>
            </w:r>
          </w:p>
        </w:tc>
        <w:tc>
          <w:tcPr>
            <w:tcW w:w="70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Unallocated</w:t>
            </w: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Unallocated</w:t>
            </w: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457(o)</w:t>
            </w:r>
          </w:p>
        </w:tc>
        <w:tc>
          <w:tcPr>
            <w:tcW w:w="700" w:type="dxa"/>
            <w:vAlign w:val="bottom"/>
            <w:tcBorders>
              <w:right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$350,000,000</w:t>
            </w:r>
          </w:p>
        </w:tc>
        <w:tc>
          <w:tcPr>
            <w:tcW w:w="960" w:type="dxa"/>
            <w:vAlign w:val="bottom"/>
            <w:tcBorders>
              <w:right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0.00014760</w:t>
            </w:r>
          </w:p>
        </w:tc>
        <w:tc>
          <w:tcPr>
            <w:tcW w:w="10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$51,660</w:t>
            </w: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Fees</w:t>
            </w:r>
          </w:p>
        </w:tc>
        <w:tc>
          <w:tcPr>
            <w:tcW w:w="9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104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left w:val="single" w:sz="8" w:color="auto"/>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Carry Forward Securities</w:t>
            </w:r>
          </w:p>
        </w:tc>
        <w:tc>
          <w:tcPr>
            <w:tcW w:w="10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9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Common</w:t>
            </w: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May 5,</w:t>
            </w: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9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F-3</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255576</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9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May 5,</w:t>
            </w: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F-3</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255576</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9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May 5,</w:t>
            </w: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Warrants</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F-3</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255576</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9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Purchase</w:t>
            </w: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May 5,</w:t>
            </w: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F-3</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Contracts</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255576</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9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Subscription</w:t>
            </w: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May 5,</w:t>
            </w: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F-3</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Rights</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255576</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9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May 5,</w:t>
            </w: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F-3</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255576</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Unallocated</w:t>
            </w:r>
          </w:p>
        </w:tc>
        <w:tc>
          <w:tcPr>
            <w:tcW w:w="9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Unallocated</w:t>
            </w: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$291,745,726</w:t>
            </w: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7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May 5,</w:t>
            </w: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0.00014760</w:t>
            </w:r>
          </w:p>
        </w:tc>
        <w:tc>
          <w:tcPr>
            <w:tcW w:w="10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$43,061.67</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F-3</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255576</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8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Offering Amounts</w:t>
            </w:r>
          </w:p>
        </w:tc>
        <w:tc>
          <w:tcPr>
            <w:tcW w:w="7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$58,254,274</w:t>
            </w:r>
          </w:p>
        </w:tc>
        <w:tc>
          <w:tcPr>
            <w:tcW w:w="9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$8,598.33</w:t>
            </w:r>
          </w:p>
        </w:tc>
        <w:tc>
          <w:tcPr>
            <w:tcW w:w="7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60" w:type="dxa"/>
            <w:vAlign w:val="bottom"/>
            <w:tcBorders>
              <w:lef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Borders>
              <w:right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 Fees Previously Paid</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$58,106,310(3)</w:t>
            </w: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$8,576.49</w:t>
            </w: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Borders>
              <w:lef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Borders>
              <w:right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 Fee Offsets</w:t>
            </w: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left w:val="single" w:sz="8" w:color="auto"/>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Net Fee Due</w:t>
            </w:r>
          </w:p>
        </w:tc>
        <w:tc>
          <w:tcPr>
            <w:tcW w:w="7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$21.84</w:t>
            </w:r>
          </w:p>
        </w:tc>
        <w:tc>
          <w:tcPr>
            <w:tcW w:w="7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80" w:hanging="332"/>
        <w:spacing w:after="0" w:line="261"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 pursuant to General Instruction II.C to Form F-3. The amount to be registered consists of up to $350,000,000 of an indeterminate amount of common shares, debt securities, warrants, purchase contracts, subscription rights and/or units that may be offered and sold from time to time in one or more offerings.</w:t>
      </w:r>
    </w:p>
    <w:p>
      <w:pPr>
        <w:spacing w:after="0" w:line="95" w:lineRule="exact"/>
        <w:rPr>
          <w:rFonts w:ascii="Times New Roman" w:cs="Times New Roman" w:eastAsia="Times New Roman" w:hAnsi="Times New Roman"/>
          <w:sz w:val="14"/>
          <w:szCs w:val="14"/>
          <w:color w:val="auto"/>
        </w:rPr>
      </w:pPr>
    </w:p>
    <w:p>
      <w:pPr>
        <w:ind w:left="340" w:right="20" w:hanging="332"/>
        <w:spacing w:after="0" w:line="227"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 Immune SA (the “Registrant”) previously filed a registration statement on Form F-3 (File No. 333-255576), initially filed on April 28, 2021 and declared effective on May 5, 2021 (the “2021 Prior Registration Statement”) and which registered the offer and sale of an indeterminate number of common shares, principal amount of debt securities, purchase contracts, warrants to purchase common shares, debt securities or other securities, units and subscription rights (collectively, the “Shelf Securities”) having an aggregate initial offering price not to exceed $350,000,000. The 2021 Prior Registration Statement was not fully used and as of July 26, 2024, $291,745,726 of the Shelf Securities remain unsold. The Registrant expects to carry forward to this registration statement the Unsold Securities pursuant to Rule 415(a)(6) under the Securities Act of 1933, as amended (the “Securities Act”).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2021 Prior Registration Statement to be included in this registration statement pursuant to Rule 415(a)(6). Pursuant to Rule 415(a)(6), the offering of the Unsold Securities under the 2021 Prior Registration Statement will be deemed terminated as of the date of effectiveness of this registration statement.</w:t>
      </w:r>
    </w:p>
    <w:p>
      <w:pPr>
        <w:spacing w:after="0" w:line="114" w:lineRule="exact"/>
        <w:rPr>
          <w:rFonts w:ascii="Times New Roman" w:cs="Times New Roman" w:eastAsia="Times New Roman" w:hAnsi="Times New Roman"/>
          <w:sz w:val="14"/>
          <w:szCs w:val="14"/>
          <w:color w:val="auto"/>
        </w:rPr>
      </w:pPr>
    </w:p>
    <w:p>
      <w:pPr>
        <w:ind w:left="340" w:right="80" w:hanging="332"/>
        <w:spacing w:after="0" w:line="229"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on March 14, 2024 filed this registration statement on Form F-3 (File No. 333-277940) which registered the offer and sale of an indeterminate number of common shares, principal amount of debt securities, purchase contracts, warrants to purchase common shares, debt securities or other securities, units and subscription rights (collectively, the “Shelf Securities”) having an aggregate initial offering price not to exceed $350,000,000. At the time of filing, the 2021 Prior Registration Statement was not fully used and $291,893,690 of the Shelf Securities remained unsold. Since the initial filing of this registration statement, there has been a decrease of $147,964 in the amount of unsold shares under the 2021 Prior Registration Statement. The Registrant previously paid a registration fee of $8,576.49 in connection with the initial filing of this registration statement. The $8,576.49 previously paid filing fees relating to such Unsold Securities under the 2021 Prior Registration Statement will continue to be applied to such Unsold Securities registered on this registration statement. The updated amount of unsold securities results in $21.84 in net fee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212"/>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lvl w:ilvl="1">
      <w:lvlJc w:val="left"/>
      <w:lvlText w:val="**"/>
      <w:numFmt w:val="bullet"/>
      <w:start w:val="1"/>
    </w:lvl>
  </w:abstractNum>
  <w:abstractNum w:abstractNumId="24">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6CEAF087"/>
    <w:multiLevelType w:val="hybridMultilevel"/>
    <w:lvl w:ilvl="0">
      <w:lvlJc w:val="left"/>
      <w:lvlText w:val="%1"/>
      <w:numFmt w:val="decimal"/>
      <w:start w:val="1"/>
    </w:lvl>
    <w:lvl w:ilvl="1">
      <w:lvlJc w:val="left"/>
      <w:lvlText w:val="(%2)"/>
      <w:numFmt w:val="upperLetter"/>
      <w:start w:val="1"/>
    </w:lvl>
  </w:abstractNum>
  <w:abstractNum w:abstractNumId="26">
    <w:nsid w:val="22221A70"/>
    <w:multiLevelType w:val="hybridMultilevel"/>
    <w:lvl w:ilvl="0">
      <w:lvlJc w:val="left"/>
      <w:lvlText w:val="(%1)"/>
      <w:numFmt w:val="decimal"/>
      <w:start w:val="2"/>
    </w:lvl>
    <w:lvl w:ilvl="1">
      <w:lvlJc w:val="left"/>
      <w:lvlText w:val="%2"/>
      <w:numFmt w:val="upperLetter"/>
      <w:start w:val="1"/>
    </w:lvl>
  </w:abstractNum>
  <w:abstractNum w:abstractNumId="27">
    <w:nsid w:val="4516DDE9"/>
    <w:multiLevelType w:val="hybridMultilevel"/>
    <w:lvl w:ilvl="0">
      <w:lvlJc w:val="left"/>
      <w:lvlText w:val="(%1)"/>
      <w:numFmt w:val="decimal"/>
      <w:start w:val="5"/>
    </w:lvl>
    <w:lvl w:ilvl="1">
      <w:lvlJc w:val="left"/>
      <w:lvlText w:val="(%2)"/>
      <w:numFmt w:val="upperLetter"/>
      <w:start w:val="1"/>
    </w:lvl>
  </w:abstractNum>
  <w:abstractNum w:abstractNumId="28">
    <w:nsid w:val="3006C83E"/>
    <w:multiLevelType w:val="hybridMultilevel"/>
    <w:lvl w:ilvl="0">
      <w:lvlJc w:val="left"/>
      <w:lvlText w:val="%1"/>
      <w:numFmt w:val="lowerLetter"/>
      <w:start w:val="1"/>
    </w:lvl>
    <w:lvl w:ilvl="1">
      <w:lvlJc w:val="left"/>
      <w:lvlText w:val="(%2)"/>
      <w:numFmt w:val="lowerRoman"/>
      <w:start w:val="1"/>
    </w:lvl>
  </w:abstractNum>
  <w:abstractNum w:abstractNumId="29">
    <w:nsid w:val="614FD4A1"/>
    <w:multiLevelType w:val="hybridMultilevel"/>
    <w:lvl w:ilvl="0">
      <w:lvlJc w:val="left"/>
      <w:lvlText w:val="(%1)"/>
      <w:numFmt w:val="lowerLetter"/>
      <w:start w:val="2"/>
    </w:lvl>
    <w:lvl w:ilvl="1">
      <w:lvlJc w:val="left"/>
      <w:lvlText w:val="%2"/>
      <w:numFmt w:val="lowerRoman"/>
      <w:start w:val="1"/>
    </w:lvl>
  </w:abstractNum>
  <w:abstractNum w:abstractNumId="30">
    <w:nsid w:val="419AC241"/>
    <w:multiLevelType w:val="hybridMultilevel"/>
    <w:lvl w:ilvl="0">
      <w:lvlJc w:val="left"/>
      <w:lvlText w:val="(%1)"/>
      <w:numFmt w:val="lowerLetter"/>
      <w:start w:val="3"/>
    </w:lvl>
    <w:lvl w:ilvl="1">
      <w:lvlJc w:val="left"/>
      <w:lvlText w:val="(%2)"/>
      <w:numFmt w:val="decimal"/>
      <w:start w:val="1"/>
    </w:lvl>
    <w:lvl w:ilvl="2">
      <w:lvlJc w:val="left"/>
      <w:lvlText w:val="(%3)"/>
      <w:numFmt w:val="decimal"/>
      <w:start w:val="4"/>
    </w:lvl>
  </w:abstractNum>
  <w:abstractNum w:abstractNumId="31">
    <w:nsid w:val="5577F8E1"/>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32">
    <w:nsid w:val="440BADFC"/>
    <w:multiLevelType w:val="hybridMultilevel"/>
    <w:lvl w:ilvl="0">
      <w:lvlJc w:val="left"/>
      <w:lvlText w:val="(%1)"/>
      <w:numFmt w:val="lowerRoman"/>
      <w:start w:val="1"/>
    </w:lvl>
    <w:lvl w:ilvl="1">
      <w:lvlJc w:val="left"/>
      <w:lvlText w:val="(%2)"/>
      <w:numFmt w:val="decimal"/>
      <w:start w:val="1"/>
    </w:lvl>
  </w:abstractNum>
  <w:abstractNum w:abstractNumId="33">
    <w:nsid w:val="5072367"/>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34">
    <w:nsid w:val="3804823E"/>
    <w:multiLevelType w:val="hybridMultilevel"/>
    <w:lvl w:ilvl="0">
      <w:lvlJc w:val="left"/>
      <w:lvlText w:val="(%1)"/>
      <w:numFmt w:val="lowerRoman"/>
      <w:start w:val="11"/>
    </w:lvl>
  </w:abstractNum>
  <w:abstractNum w:abstractNumId="35">
    <w:nsid w:val="77465F01"/>
    <w:multiLevelType w:val="hybridMultilevel"/>
    <w:lvl w:ilvl="0">
      <w:lvlJc w:val="left"/>
      <w:lvlText w:val="%1)"/>
      <w:numFmt w:val="lowerLetter"/>
      <w:start w:val="5"/>
    </w:lvl>
  </w:abstractNum>
  <w:abstractNum w:abstractNumId="36">
    <w:nsid w:val="7724C67E"/>
    <w:multiLevelType w:val="hybridMultilevel"/>
    <w:lvl w:ilvl="0">
      <w:lvlJc w:val="left"/>
      <w:lvlText w:val="%1)"/>
      <w:numFmt w:val="lowerLetter"/>
      <w:start w:val="7"/>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jpeg"/><Relationship Id="rId57"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48" Type="http://schemas.openxmlformats.org/officeDocument/2006/relationships/hyperlink" Target="https://www.sec.gov/Archives/edgar/data/1651625/000155837024003164/aciu-20231231x20f.htm" TargetMode="External"/><Relationship Id="rId49" Type="http://schemas.openxmlformats.org/officeDocument/2006/relationships/hyperlink" Target="https://www.sec.gov/Archives/edgar/data/1651625/000110465924034238/tm2328688d2_6k.htm" TargetMode="External"/><Relationship Id="rId50" Type="http://schemas.openxmlformats.org/officeDocument/2006/relationships/hyperlink" Target="https://www.sec.gov/Archives/edgar/data/1651625/000095010324006573/dp211110_6k.htm" TargetMode="External"/><Relationship Id="rId51" Type="http://schemas.openxmlformats.org/officeDocument/2006/relationships/hyperlink" Target="https://www.sec.gov/Archives/edgar/data/1651625/000155837024007857/aciu-20240513x6k.htm" TargetMode="External"/><Relationship Id="rId52" Type="http://schemas.openxmlformats.org/officeDocument/2006/relationships/hyperlink" Target="https://www.sec.gov/Archives/edgar/data/1651625/000095010324006931/dp211395_6k.htm" TargetMode="External"/><Relationship Id="rId53" Type="http://schemas.openxmlformats.org/officeDocument/2006/relationships/hyperlink" Target="https://www.sec.gov/Archives/edgar/data/1651625/000095010324008566/dp213075_6k.htm" TargetMode="External"/><Relationship Id="rId54" Type="http://schemas.openxmlformats.org/officeDocument/2006/relationships/hyperlink" Target="https://www.sec.gov/Archives/edgar/data/1651625/000095010324010718/dp215229_6k.htm" TargetMode="External"/><Relationship Id="rId58" Type="http://schemas.openxmlformats.org/officeDocument/2006/relationships/hyperlink" Target="https://www.sec.gov/Archives/edgar/data/1651625/000095010324003853/dp208309_ex0402.htm" TargetMode="External"/><Relationship Id="rId59" Type="http://schemas.openxmlformats.org/officeDocument/2006/relationships/hyperlink" Target="https://www.sec.gov/Archives/edgar/data/1651625/000095010324003853/dp208309_ex0403.htm" TargetMode="External"/><Relationship Id="rId60" Type="http://schemas.openxmlformats.org/officeDocument/2006/relationships/hyperlink" Target="https://www.sec.gov/Archives/edgar/data/1651625/000095010324003853/dp208309_ex0501.htm" TargetMode="External"/><Relationship Id="rId61" Type="http://schemas.openxmlformats.org/officeDocument/2006/relationships/hyperlink" Target="https://www.sec.gov/Archives/edgar/data/1651625/000095010324003853/dp208309_ex0502.htm" TargetMode="External"/><Relationship Id="rId62" Type="http://schemas.openxmlformats.org/officeDocument/2006/relationships/hyperlink" Target="https://www.sec.gov/Archives/edgar/data/1651625/000095010324003853/dp208309_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2024-07-26T17:05:12Z</dcterms:created>
  <dcterms:modified xsi:type="dcterms:W3CDTF">2024-07-26T17:05:12Z</dcterms:modified>
</cp:coreProperties>
</file>