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spacing w:after="0" w:line="231" w:lineRule="auto"/>
        <w:rPr>
          <w:sz w:val="20"/>
          <w:szCs w:val="20"/>
          <w:color w:val="auto"/>
        </w:rPr>
      </w:pPr>
      <w:r>
        <w:rPr>
          <w:rFonts w:ascii="Arial" w:cs="Arial" w:eastAsia="Arial" w:hAnsi="Arial"/>
          <w:sz w:val="15"/>
          <w:szCs w:val="15"/>
          <w:b w:val="1"/>
          <w:bCs w:val="1"/>
          <w:color w:val="auto"/>
        </w:rPr>
        <w:t>As submitted confidentially with the Securities and Exchange Commission on April 29, 2016, as Amendment No. 5 to the confidential submission dated August 28, 2015 This draft registration statement has not been publicly filed with the Securities and Exchange Commission and all information herein remains strictly confidential.</w:t>
      </w: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F-1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jc w:val="center"/>
        <w:spacing w:after="0" w:line="228"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AC IMMUNE SA</w:t>
      </w:r>
    </w:p>
    <w:p>
      <w:pPr>
        <w:spacing w:after="0" w:line="34" w:lineRule="exact"/>
        <w:rPr>
          <w:sz w:val="24"/>
          <w:szCs w:val="24"/>
          <w:color w:val="auto"/>
        </w:rPr>
      </w:pPr>
    </w:p>
    <w:p>
      <w:pPr>
        <w:ind w:left="398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left="5220"/>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National Corporate Research, Ltd.</w:t>
      </w:r>
    </w:p>
    <w:p>
      <w:pPr>
        <w:jc w:val="center"/>
        <w:spacing w:after="0" w:line="233" w:lineRule="auto"/>
        <w:rPr>
          <w:sz w:val="20"/>
          <w:szCs w:val="20"/>
          <w:color w:val="auto"/>
        </w:rPr>
      </w:pPr>
      <w:r>
        <w:rPr>
          <w:rFonts w:ascii="Arial" w:cs="Arial" w:eastAsia="Arial" w:hAnsi="Arial"/>
          <w:sz w:val="15"/>
          <w:szCs w:val="15"/>
          <w:b w:val="1"/>
          <w:bCs w:val="1"/>
          <w:color w:val="auto"/>
        </w:rPr>
        <w:t>10 East 40th Street, 10th Floor</w:t>
      </w:r>
    </w:p>
    <w:p>
      <w:pPr>
        <w:jc w:val="center"/>
        <w:spacing w:after="0" w:line="225" w:lineRule="auto"/>
        <w:rPr>
          <w:sz w:val="20"/>
          <w:szCs w:val="20"/>
          <w:color w:val="auto"/>
        </w:rPr>
      </w:pPr>
      <w:r>
        <w:rPr>
          <w:rFonts w:ascii="Arial" w:cs="Arial" w:eastAsia="Arial" w:hAnsi="Arial"/>
          <w:sz w:val="15"/>
          <w:szCs w:val="15"/>
          <w:b w:val="1"/>
          <w:bCs w:val="1"/>
          <w:color w:val="auto"/>
        </w:rPr>
        <w:t>New York, New York 10016</w:t>
      </w:r>
    </w:p>
    <w:p>
      <w:pPr>
        <w:jc w:val="center"/>
        <w:spacing w:after="0" w:line="218" w:lineRule="auto"/>
        <w:rPr>
          <w:sz w:val="20"/>
          <w:szCs w:val="20"/>
          <w:color w:val="auto"/>
        </w:rPr>
      </w:pPr>
      <w:r>
        <w:rPr>
          <w:rFonts w:ascii="Arial" w:cs="Arial" w:eastAsia="Arial" w:hAnsi="Arial"/>
          <w:sz w:val="15"/>
          <w:szCs w:val="15"/>
          <w:b w:val="1"/>
          <w:bCs w:val="1"/>
          <w:color w:val="auto"/>
        </w:rPr>
        <w:t>(800) 221-0102</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3"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55245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80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2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56"/>
        </w:trPr>
        <w:tc>
          <w:tcPr>
            <w:tcW w:w="20" w:type="dxa"/>
            <w:vAlign w:val="bottom"/>
            <w:tcBorders>
              <w:bottom w:val="single" w:sz="8" w:color="auto"/>
            </w:tcBorders>
          </w:tcPr>
          <w:p>
            <w:pPr>
              <w:spacing w:after="0"/>
              <w:rPr>
                <w:sz w:val="13"/>
                <w:szCs w:val="13"/>
                <w:color w:val="auto"/>
              </w:rPr>
            </w:pPr>
          </w:p>
        </w:tc>
        <w:tc>
          <w:tcPr>
            <w:tcW w:w="80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shares, nominal value CHF 0.02 per share</w:t>
            </w:r>
          </w:p>
        </w:tc>
        <w:tc>
          <w:tcPr>
            <w:tcW w:w="1720" w:type="dxa"/>
            <w:vAlign w:val="bottom"/>
            <w:tcBorders>
              <w:bottom w:val="single" w:sz="8" w:color="auto"/>
              <w:right w:val="single" w:sz="8" w:color="auto"/>
            </w:tcBorders>
          </w:tcPr>
          <w:p>
            <w:pPr>
              <w:jc w:val="right"/>
              <w:ind w:right="929"/>
              <w:spacing w:after="0" w:line="156" w:lineRule="exact"/>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907"/>
              <w:spacing w:after="0" w:line="156" w:lineRule="exact"/>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“ACIU.”</w:t>
      </w:r>
    </w:p>
    <w:p>
      <w:pPr>
        <w:spacing w:after="0" w:line="22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to</w:t>
      </w:r>
    </w:p>
    <w:p>
      <w:pPr>
        <w:spacing w:after="0" w:line="493" w:lineRule="exact"/>
        <w:rPr>
          <w:sz w:val="20"/>
          <w:szCs w:val="20"/>
          <w:color w:val="auto"/>
        </w:rPr>
      </w:pPr>
    </w:p>
    <w:p>
      <w:pPr>
        <w:sectPr>
          <w:pgSz w:w="11900" w:h="16838" w:orient="portrait"/>
          <w:cols w:equalWidth="0" w:num="2">
            <w:col w:w="9460" w:space="620"/>
            <w:col w:w="134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109"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3">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5">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92">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1.0017 to CHF 1.00, the official exchange rate quoted as at December 31, 2015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April 22, 2016, the exchange rate as reported by the U.S. Federal Reserve Bank was USD 0.9774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44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Crenezumab not meeting its co-primary endpoints in its Phase 2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30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for the year ended December 31, 2014.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21 693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997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9972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On October 23, 2015, we completed a private placement of Series E preferred shares, each with a nominal value of CHF 0.02 per share (the “Series E Private Placement”). An aggregate of 3,113,250 Series E preferred shares were issued to certain institutions and existing shareholders in the Series E Private Placement for an aggregate subscription amount of approximately $30.0 million. On April 15, 2016 we completed an additional private placement of Series E preferred shares, each with a nominal value of CHF 0.02 per share (the “Series E Private Placement Extension”). An aggregate of 1,401,792 Series E preferred shares were issued to certain new and existing shareholders in the Series E Private Placement Extension. An aggregate subscription amount of $13.5 million was raised in the Series E Private Placement Extension.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2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Common shares offered by us</w:t>
            </w:r>
          </w:p>
        </w:tc>
        <w:tc>
          <w:tcPr>
            <w:tcW w:w="38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8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4140" w:type="dxa"/>
            <w:vAlign w:val="bottom"/>
            <w:gridSpan w:val="2"/>
          </w:tcPr>
          <w:p>
            <w:pPr>
              <w:ind w:left="8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rPr>
              <w:t>Over-allotment option</w:t>
            </w:r>
          </w:p>
        </w:tc>
        <w:tc>
          <w:tcPr>
            <w:tcW w:w="6060" w:type="dxa"/>
            <w:vAlign w:val="bottom"/>
            <w:gridSpan w:val="4"/>
          </w:tcPr>
          <w:p>
            <w:pPr>
              <w:ind w:left="60"/>
              <w:spacing w:after="0"/>
              <w:rPr>
                <w:sz w:val="20"/>
                <w:szCs w:val="20"/>
                <w:color w:val="auto"/>
              </w:rPr>
            </w:pPr>
            <w:r>
              <w:rPr>
                <w:rFonts w:ascii="Arial" w:cs="Arial" w:eastAsia="Arial" w:hAnsi="Arial"/>
                <w:sz w:val="18"/>
                <w:szCs w:val="18"/>
                <w:color w:val="auto"/>
                <w:w w:val="98"/>
              </w:rPr>
              <w:t>We have granted the underwriters the option to purchase up to an additional</w:t>
            </w:r>
          </w:p>
        </w:tc>
        <w:tc>
          <w:tcPr>
            <w:tcW w:w="740" w:type="dxa"/>
            <w:vAlign w:val="bottom"/>
          </w:tcPr>
          <w:p>
            <w:pPr>
              <w:ind w:left="80"/>
              <w:spacing w:after="0"/>
              <w:rPr>
                <w:sz w:val="20"/>
                <w:szCs w:val="20"/>
                <w:color w:val="auto"/>
              </w:rPr>
            </w:pPr>
            <w:r>
              <w:rPr>
                <w:rFonts w:ascii="Arial" w:cs="Arial" w:eastAsia="Arial" w:hAnsi="Arial"/>
                <w:sz w:val="18"/>
                <w:szCs w:val="18"/>
                <w:color w:val="auto"/>
                <w:w w:val="92"/>
              </w:rPr>
              <w:t>common</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060" w:type="dxa"/>
            <w:vAlign w:val="bottom"/>
            <w:gridSpan w:val="4"/>
          </w:tcPr>
          <w:p>
            <w:pPr>
              <w:ind w:left="60"/>
              <w:spacing w:after="0"/>
              <w:rPr>
                <w:sz w:val="20"/>
                <w:szCs w:val="20"/>
                <w:color w:val="auto"/>
              </w:rPr>
            </w:pPr>
            <w:r>
              <w:rPr>
                <w:rFonts w:ascii="Arial" w:cs="Arial" w:eastAsia="Arial" w:hAnsi="Arial"/>
                <w:sz w:val="18"/>
                <w:szCs w:val="18"/>
                <w:color w:val="auto"/>
                <w:w w:val="95"/>
              </w:rPr>
              <w:t>We estimate that the net proceeds to us from this offering will be approximately</w:t>
            </w:r>
          </w:p>
        </w:tc>
        <w:tc>
          <w:tcPr>
            <w:tcW w:w="7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million, assuming an initial public offering price of $</w:t>
            </w:r>
          </w:p>
        </w:tc>
        <w:tc>
          <w:tcPr>
            <w:tcW w:w="1960" w:type="dxa"/>
            <w:vAlign w:val="bottom"/>
            <w:gridSpan w:val="2"/>
          </w:tcPr>
          <w:p>
            <w:pPr>
              <w:ind w:left="300"/>
              <w:spacing w:after="0"/>
              <w:rPr>
                <w:sz w:val="20"/>
                <w:szCs w:val="20"/>
                <w:color w:val="auto"/>
              </w:rPr>
            </w:pPr>
            <w:r>
              <w:rPr>
                <w:rFonts w:ascii="Arial" w:cs="Arial" w:eastAsia="Arial" w:hAnsi="Arial"/>
                <w:sz w:val="18"/>
                <w:szCs w:val="18"/>
                <w:color w:val="auto"/>
              </w:rPr>
              <w:t>per common share,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which is the midpoint of the price range set forth on the cover page of this prospectus, after</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deducting underwriting discounts and commissions and estimated offering expenses payable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9"/>
              </w:rPr>
              <w:t>equivalents on hand (including the net proceeds from the Series E Private Placement</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60" w:type="dxa"/>
            <w:vAlign w:val="bottom"/>
            <w:gridSpan w:val="4"/>
          </w:tcPr>
          <w:p>
            <w:pPr>
              <w:ind w:left="60"/>
              <w:spacing w:after="0"/>
              <w:rPr>
                <w:sz w:val="20"/>
                <w:szCs w:val="20"/>
                <w:color w:val="auto"/>
              </w:rPr>
            </w:pPr>
            <w:r>
              <w:rPr>
                <w:rFonts w:ascii="Arial" w:cs="Arial" w:eastAsia="Arial" w:hAnsi="Arial"/>
                <w:sz w:val="18"/>
                <w:szCs w:val="18"/>
                <w:color w:val="auto"/>
                <w:w w:val="91"/>
              </w:rPr>
              <w:t>Extension) to further the development of our therapeutic product candidates under</w:t>
            </w:r>
          </w:p>
        </w:tc>
        <w:tc>
          <w:tcPr>
            <w:tcW w:w="7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2"/>
              </w:rPr>
              <w:t>collaboration agreements (crenezumab, ACI-35 and anti-tau antibodies), advance our other</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1"/>
              </w:rPr>
              <w:t>clinical and pre-clinical programs, and for research and development of other indications and</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initiatives that are complementary to our existing and planned research activities. See “Use of</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0"/>
              </w:rPr>
              <w:t>Proceeds” for a more complete description of the intended use of proceeds from this offering.</w:t>
            </w: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800" w:type="dxa"/>
            <w:vAlign w:val="bottom"/>
            <w:gridSpan w:val="5"/>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60" w:type="dxa"/>
            <w:vAlign w:val="bottom"/>
            <w:gridSpan w:val="4"/>
          </w:tcPr>
          <w:p>
            <w:pPr>
              <w:ind w:left="60"/>
              <w:spacing w:after="0"/>
              <w:rPr>
                <w:sz w:val="20"/>
                <w:szCs w:val="20"/>
                <w:color w:val="auto"/>
              </w:rPr>
            </w:pPr>
            <w:r>
              <w:rPr>
                <w:rFonts w:ascii="Arial" w:cs="Arial" w:eastAsia="Arial" w:hAnsi="Arial"/>
                <w:sz w:val="18"/>
                <w:szCs w:val="18"/>
                <w:color w:val="auto"/>
                <w:w w:val="98"/>
              </w:rPr>
              <w:t>factors you should consider before deciding to invest in our common shares.</w:t>
            </w:r>
          </w:p>
        </w:tc>
        <w:tc>
          <w:tcPr>
            <w:tcW w:w="740" w:type="dxa"/>
            <w:vAlign w:val="bottom"/>
          </w:tcPr>
          <w:p>
            <w:pPr>
              <w:spacing w:after="0"/>
              <w:rPr>
                <w:sz w:val="20"/>
                <w:szCs w:val="20"/>
                <w:color w:val="auto"/>
              </w:rPr>
            </w:pPr>
          </w:p>
        </w:tc>
      </w:tr>
      <w:tr>
        <w:trPr>
          <w:trHeight w:val="459"/>
        </w:trPr>
        <w:tc>
          <w:tcPr>
            <w:tcW w:w="4140" w:type="dxa"/>
            <w:vAlign w:val="bottom"/>
            <w:gridSpan w:val="2"/>
          </w:tcPr>
          <w:p>
            <w:pPr>
              <w:spacing w:after="0"/>
              <w:rPr>
                <w:sz w:val="20"/>
                <w:szCs w:val="20"/>
                <w:color w:val="auto"/>
              </w:rPr>
            </w:pPr>
            <w:r>
              <w:rPr>
                <w:rFonts w:ascii="Arial" w:cs="Arial" w:eastAsia="Arial" w:hAnsi="Arial"/>
                <w:sz w:val="18"/>
                <w:szCs w:val="18"/>
                <w:color w:val="auto"/>
              </w:rPr>
              <w:t>Proposed NASDAQ symbol</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“ACIU.”</w:t>
            </w: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1"/>
        </w:trPr>
        <w:tc>
          <w:tcPr>
            <w:tcW w:w="34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4"/>
              </w:rPr>
              <w:t>The number of our common shares to be outstanding after this offering is based on</w:t>
            </w:r>
          </w:p>
        </w:tc>
        <w:tc>
          <w:tcPr>
            <w:tcW w:w="4260" w:type="dxa"/>
            <w:vAlign w:val="bottom"/>
            <w:gridSpan w:val="3"/>
          </w:tcPr>
          <w:p>
            <w:pPr>
              <w:ind w:left="300"/>
              <w:spacing w:after="0"/>
              <w:rPr>
                <w:sz w:val="20"/>
                <w:szCs w:val="20"/>
                <w:color w:val="auto"/>
              </w:rPr>
            </w:pPr>
            <w:r>
              <w:rPr>
                <w:rFonts w:ascii="Arial" w:cs="Arial" w:eastAsia="Arial" w:hAnsi="Arial"/>
                <w:sz w:val="18"/>
                <w:szCs w:val="18"/>
                <w:color w:val="auto"/>
                <w:w w:val="90"/>
              </w:rPr>
              <w:t>common shares outstanding as at December 31, 2015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and</w:t>
            </w:r>
          </w:p>
        </w:tc>
        <w:tc>
          <w:tcPr>
            <w:tcW w:w="10600" w:type="dxa"/>
            <w:vAlign w:val="bottom"/>
            <w:gridSpan w:val="6"/>
          </w:tcPr>
          <w:p>
            <w:pPr>
              <w:ind w:left="500"/>
              <w:spacing w:after="0"/>
              <w:rPr>
                <w:sz w:val="20"/>
                <w:szCs w:val="20"/>
                <w:color w:val="auto"/>
              </w:rPr>
            </w:pPr>
            <w:r>
              <w:rPr>
                <w:rFonts w:ascii="Arial" w:cs="Arial" w:eastAsia="Arial" w:hAnsi="Arial"/>
                <w:sz w:val="18"/>
                <w:szCs w:val="18"/>
                <w:color w:val="auto"/>
                <w:w w:val="91"/>
              </w:rPr>
              <w:t>additional common shares issuable upon the conversion of all of our preferred shares (including the preferred shares issued in the Series E</w:t>
            </w:r>
          </w:p>
        </w:tc>
      </w:tr>
    </w:tbl>
    <w:p>
      <w:pPr>
        <w:ind w:left="200"/>
        <w:spacing w:after="0"/>
        <w:rPr>
          <w:sz w:val="20"/>
          <w:szCs w:val="20"/>
          <w:color w:val="auto"/>
        </w:rPr>
      </w:pPr>
      <w:r>
        <w:rPr>
          <w:rFonts w:ascii="Arial" w:cs="Arial" w:eastAsia="Arial" w:hAnsi="Arial"/>
          <w:sz w:val="18"/>
          <w:szCs w:val="18"/>
          <w:color w:val="auto"/>
        </w:rPr>
        <w:t>Private Placement Extension) on a one-for-one basis upon the closing of this offering, but excludes:</w:t>
      </w:r>
    </w:p>
    <w:p>
      <w:pPr>
        <w:spacing w:after="0" w:line="116" w:lineRule="exact"/>
        <w:rPr>
          <w:sz w:val="20"/>
          <w:szCs w:val="20"/>
          <w:color w:val="auto"/>
        </w:rPr>
      </w:pPr>
    </w:p>
    <w:p>
      <w:pPr>
        <w:ind w:left="1060" w:right="720" w:hanging="431"/>
        <w:spacing w:after="0" w:line="277"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1060" w:right="80" w:hanging="431"/>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3,398,500 of our common shares issuable upon the exercise of options outstanding under our existing equity incentive plans at a weighted-average exercise price of CHF 0.14548 per common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33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Unless otherwise indicated, all information contained in this prospectus assumes:</w:t>
      </w:r>
    </w:p>
    <w:p>
      <w:pPr>
        <w:sectPr>
          <w:pgSz w:w="11900" w:h="16838" w:orient="portrait"/>
          <w:cols w:equalWidth="0" w:num="1">
            <w:col w:w="11220"/>
          </w:cols>
          <w:pgMar w:left="240" w:top="459" w:right="439" w:bottom="1440" w:gutter="0" w:footer="0" w:header="0"/>
        </w:sectPr>
      </w:pP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80"/>
          </w:cols>
          <w:pgMar w:left="240" w:top="459" w:right="439" w:bottom="1440" w:gutter="0" w:footer="0" w:header="0"/>
          <w:type w:val="continuous"/>
        </w:sect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w:t>
      </w:r>
    </w:p>
    <w:p>
      <w:pPr>
        <w:sectPr>
          <w:pgSz w:w="11900" w:h="16838" w:orient="portrait"/>
          <w:cols w:equalWidth="0" w:num="1">
            <w:col w:w="11220"/>
          </w:cols>
          <w:pgMar w:left="240" w:top="459" w:right="439" w:bottom="1440" w:gutter="0" w:footer="0" w:header="0"/>
          <w:type w:val="continuous"/>
        </w:sectPr>
      </w:pPr>
    </w:p>
    <w:p>
      <w:pPr>
        <w:ind w:left="1060"/>
        <w:spacing w:after="0"/>
        <w:tabs>
          <w:tab w:leader="none" w:pos="5500" w:val="left"/>
        </w:tabs>
        <w:rPr>
          <w:sz w:val="20"/>
          <w:szCs w:val="20"/>
          <w:color w:val="auto"/>
        </w:rPr>
      </w:pPr>
      <w:r>
        <w:rPr>
          <w:rFonts w:ascii="Arial" w:cs="Arial" w:eastAsia="Arial" w:hAnsi="Arial"/>
          <w:sz w:val="18"/>
          <w:szCs w:val="18"/>
          <w:color w:val="auto"/>
        </w:rPr>
        <w:t>association and creation of authorized share capital of</w:t>
      </w:r>
      <w:r>
        <w:rPr>
          <w:sz w:val="20"/>
          <w:szCs w:val="20"/>
          <w:color w:val="auto"/>
        </w:rPr>
        <w:tab/>
      </w:r>
      <w:r>
        <w:rPr>
          <w:rFonts w:ascii="Arial" w:cs="Arial" w:eastAsia="Arial" w:hAnsi="Arial"/>
          <w:sz w:val="16"/>
          <w:szCs w:val="16"/>
          <w:color w:val="auto"/>
        </w:rPr>
        <w:t>common shares upon the closing of this offering; and</w:t>
      </w:r>
    </w:p>
    <w:p>
      <w:pPr>
        <w:sectPr>
          <w:pgSz w:w="11900" w:h="16838" w:orient="portrait"/>
          <w:cols w:equalWidth="0" w:num="1">
            <w:col w:w="11220"/>
          </w:cols>
          <w:pgMar w:left="240" w:top="459" w:right="43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328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332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The summary income statement data and balance sheet data for and as at the years ended December 31, 2015 and 2014 are derived from our audited financial statements included elsewhere in this prospectus.</w:t>
      </w:r>
    </w:p>
    <w:p>
      <w:pPr>
        <w:spacing w:after="0" w:line="170"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20" w:type="dxa"/>
            <w:vAlign w:val="bottom"/>
            <w:tcBorders>
              <w:bottom w:val="single" w:sz="8" w:color="CCEEFF"/>
            </w:tcBorders>
            <w:gridSpan w:val="2"/>
            <w:vMerge w:val="continue"/>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39,090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3,417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Finance costs—net</w:t>
            </w:r>
          </w:p>
        </w:tc>
        <w:tc>
          <w:tcPr>
            <w:tcW w:w="920" w:type="dxa"/>
            <w:vAlign w:val="bottom"/>
          </w:tcPr>
          <w:p>
            <w:pPr>
              <w:jc w:val="right"/>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before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for the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8820" w:type="dxa"/>
            <w:vAlign w:val="bottom"/>
            <w:gridSpan w:val="2"/>
          </w:tcPr>
          <w:p>
            <w:pPr>
              <w:ind w:left="360"/>
              <w:spacing w:after="0"/>
              <w:rPr>
                <w:sz w:val="20"/>
                <w:szCs w:val="20"/>
                <w:color w:val="auto"/>
              </w:rPr>
            </w:pPr>
            <w:r>
              <w:rPr>
                <w:rFonts w:ascii="Arial" w:cs="Arial" w:eastAsia="Arial" w:hAnsi="Arial"/>
                <w:sz w:val="18"/>
                <w:szCs w:val="18"/>
                <w:color w:val="auto"/>
              </w:rPr>
              <w:t>Weighted-average number of shares used to compute earnings per share basic</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43,412,250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42,684,750</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Weighted-average number of shares used to compute earnings per share fully diluted</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46,043,198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7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Series E Private Placement Extension.</w:t>
      </w:r>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As at December 31, 2015</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10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Actual</w:t>
            </w:r>
          </w:p>
        </w:tc>
        <w:tc>
          <w:tcPr>
            <w:tcW w:w="208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76,522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89,324</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79,931</w:t>
            </w:r>
          </w:p>
        </w:tc>
        <w:tc>
          <w:tcPr>
            <w:tcW w:w="1280" w:type="dxa"/>
            <w:vAlign w:val="bottom"/>
          </w:tcPr>
          <w:p>
            <w:pPr>
              <w:jc w:val="right"/>
              <w:spacing w:after="0"/>
              <w:rPr>
                <w:sz w:val="20"/>
                <w:szCs w:val="20"/>
                <w:color w:val="auto"/>
              </w:rPr>
            </w:pPr>
            <w:r>
              <w:rPr>
                <w:rFonts w:ascii="Arial" w:cs="Arial" w:eastAsia="Arial" w:hAnsi="Arial"/>
                <w:sz w:val="18"/>
                <w:szCs w:val="18"/>
                <w:color w:val="auto"/>
              </w:rPr>
              <w:t>92,733</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98"/>
              </w:rPr>
              <w:t>(40,381)</w:t>
            </w: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(40,381)</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equity</w:t>
            </w:r>
          </w:p>
        </w:tc>
        <w:tc>
          <w:tcPr>
            <w:tcW w:w="1060" w:type="dxa"/>
            <w:vAlign w:val="bottom"/>
          </w:tcPr>
          <w:p>
            <w:pPr>
              <w:jc w:val="right"/>
              <w:ind w:right="353"/>
              <w:spacing w:after="0"/>
              <w:rPr>
                <w:sz w:val="20"/>
                <w:szCs w:val="20"/>
                <w:color w:val="auto"/>
              </w:rPr>
            </w:pPr>
            <w:r>
              <w:rPr>
                <w:rFonts w:ascii="Arial" w:cs="Arial" w:eastAsia="Arial" w:hAnsi="Arial"/>
                <w:sz w:val="18"/>
                <w:szCs w:val="18"/>
                <w:color w:val="auto"/>
              </w:rPr>
              <w:t>71,043</w:t>
            </w:r>
          </w:p>
        </w:tc>
        <w:tc>
          <w:tcPr>
            <w:tcW w:w="1280" w:type="dxa"/>
            <w:vAlign w:val="bottom"/>
          </w:tcPr>
          <w:p>
            <w:pPr>
              <w:jc w:val="right"/>
              <w:spacing w:after="0"/>
              <w:rPr>
                <w:sz w:val="20"/>
                <w:szCs w:val="20"/>
                <w:color w:val="auto"/>
              </w:rPr>
            </w:pPr>
            <w:r>
              <w:rPr>
                <w:rFonts w:ascii="Arial" w:cs="Arial" w:eastAsia="Arial" w:hAnsi="Arial"/>
                <w:sz w:val="18"/>
                <w:szCs w:val="18"/>
                <w:color w:val="auto"/>
              </w:rPr>
              <w:t>83,845</w:t>
            </w: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10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79,931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92,733</w:t>
            </w: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180" w:hanging="42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to reflect (i) the conversion of all shares of our preferred stock outstanding as of December 31, 2015 into an aggregate of 37,175,250 common shares; (ii) the issuance and sale of preferred shares in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73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21736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0"/>
              </w:rPr>
              <w:t>Series E Private Placement Extension and the conversion of all such shares into an aggregate of 1,401,792 common shares; and (iii) the filing and</w:t>
            </w:r>
          </w:p>
        </w:tc>
      </w:tr>
      <w:tr>
        <w:trPr>
          <w:trHeight w:val="216"/>
        </w:trPr>
        <w:tc>
          <w:tcPr>
            <w:tcW w:w="320" w:type="dxa"/>
            <w:vAlign w:val="bottom"/>
          </w:tcPr>
          <w:p>
            <w:pPr>
              <w:spacing w:after="0"/>
              <w:rPr>
                <w:sz w:val="18"/>
                <w:szCs w:val="18"/>
                <w:color w:val="auto"/>
              </w:rPr>
            </w:pP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rPr>
              <w:t>effectiveness of our amended and restated articles of incorporation.</w:t>
            </w:r>
          </w:p>
        </w:tc>
        <w:tc>
          <w:tcPr>
            <w:tcW w:w="46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6"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 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We or our licensing partners may become subject to intellectual property-related litigation or other proceedings to protect or enforce our patents or the patents of our licensors,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derivation proceedings and equivalent proceedings in foreign jurisdictions. The outcome following legal assertions of invalidity and unenforceability is unpredictable.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or our collaboration partners to cease using the related technology or to attempt to license rights to it from the prevailing party. Our business could be materially harmed if the prevailing party does not offer us or our collaboration partners a license on commercially reasonable terms or at all. If we or our licensing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8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defense of litigation or interference proceedings may fail and, even if successful, may result in substantial costs and distract our management and other employees from their normal responsibilities. Such litigation or proceedings could substantially increase our operating losses and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licensors or collaboration partners, misappropriation of our intellectual property rights, particularly in countries where the laws may not protect those rights as fully as in the United States.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both"/>
        <w:ind w:left="240" w:right="260"/>
        <w:spacing w:after="0" w:line="340" w:lineRule="auto"/>
        <w:rPr>
          <w:sz w:val="20"/>
          <w:szCs w:val="20"/>
          <w:color w:val="auto"/>
        </w:rPr>
      </w:pPr>
      <w:r>
        <w:rPr>
          <w:rFonts w:ascii="Arial" w:cs="Arial" w:eastAsia="Arial" w:hAnsi="Arial"/>
          <w:sz w:val="15"/>
          <w:szCs w:val="15"/>
          <w:b w:val="1"/>
          <w:bCs w:val="1"/>
          <w:i w:val="1"/>
          <w:iCs w:val="1"/>
          <w:color w:val="auto"/>
        </w:rPr>
        <w:t>If we or our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2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collaboration partners’ ability to obtain and maintain patent and other intellectual property protection in the United States and in other countries with respect to our proprietary technologies and product candidates. In particular, Genentech or our other collaboration partners will or may be dependent on a license with a third party for the development and commercialization of crenezumab or our other product candidates. If Genentech or such other collaboration partners breaches such license or such license is otherwise terminated, Genentech or such other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patents or pending patent applications, nor can we know whether those from whom we license patents were the first to make the inventions claimed or were the first to file.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effects of these changes on the operation of our business are currently unclear as, among other reasons, the USPTO must still implement various regulations.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parties,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we would have no right to prevent such competitor from using that technology or information to compete with us. A competitor’s discovery of our intellectual property would impair our competitive position and have a material adverse effect on our business.</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patents relating to our product candidates are controlled by our licensors or collaboration partners. If any of our future licensing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6"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partners and us and our licensors or collaborators;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commercial success depends on our ability and the ability of our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collaboration partners and either we or our collaboration partners are found to infringe any of these patents, and are unsuccessful in demonstrating that such patents are invalid or unenforceable, then we and our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use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0"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In addition, we had accumulated losses of CHF 40.4 million as at December 31,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2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and a Phase 1b clinical study of ACI-35;</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at December 31, 2015, we had cash and cash equivalents of CHF 76.5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least through the end of fiscal year . We have based this estimate on assumptions that may prove to be wrong, and we could exhaust our capital resources sooner than we currently expect. Our future funding requirements will depend on many factors, including but not limited to:</w:t>
      </w:r>
    </w:p>
    <w:p>
      <w:pPr>
        <w:spacing w:after="0" w:line="35"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74"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4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30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900" w:right="3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4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common shares. Following the completion of this offering, we will have</w:t>
      </w:r>
      <w:r>
        <w:rPr>
          <w:sz w:val="20"/>
          <w:szCs w:val="20"/>
          <w:color w:val="auto"/>
        </w:rPr>
        <w:tab/>
      </w:r>
      <w:r>
        <w:rPr>
          <w:rFonts w:ascii="Arial" w:cs="Arial" w:eastAsia="Arial" w:hAnsi="Arial"/>
          <w:sz w:val="16"/>
          <w:szCs w:val="16"/>
          <w:color w:val="auto"/>
        </w:rPr>
        <w:t>common shares outstanding (assuming no exercise of the underwriters’ over-</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of our outstanding preferred shares into common shares.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This offering is based upon and subject to a resolution regarding the authorized share capital increase that was approved by the shareholders at the shareholders’ meeting held on October 21, 2015. As with all share capital increases in Switzerland, the registration of the capital increase in the commercial register of the Canton of Vaud may be blocked by a shareholder and, therefore, prevent or delay the completion of this offering.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completion of this offering, we expect the Company to have CHF of qualifying capital contributions and CHF of registered share capital on its audited statutory balance sheet.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7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7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at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7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7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at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fully remediated as of December 31, 2015.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identified a material weakness in our internal control over financial reporting, which was not fully remediated as of December 31, 2015.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(“QEF”)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underwriters exercise their over-allotment option in full, we estimate that the net proceeds will</w:t>
      </w:r>
    </w:p>
    <w:p>
      <w:pPr>
        <w:spacing w:after="0" w:line="3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 approximately $ million, after deducting the underwriting discount and estimated offering expenses payable by us. In addition, we received gross proceeds of approximately $13.5 million from the Series E Private Placement Extension.</w:t>
      </w:r>
    </w:p>
    <w:p>
      <w:pPr>
        <w:spacing w:after="0" w:line="170"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December 31, 2015, after giving effect to the Series E Private Placement Extension, we would have had cash and cash equivalents of CHF 89.3 million. We intend to use the net proceeds of this</w:t>
      </w:r>
    </w:p>
    <w:p>
      <w:pPr>
        <w:ind w:right="520"/>
        <w:spacing w:after="0" w:line="261" w:lineRule="auto"/>
        <w:rPr>
          <w:sz w:val="20"/>
          <w:szCs w:val="20"/>
          <w:color w:val="auto"/>
        </w:rPr>
      </w:pPr>
      <w:r>
        <w:rPr>
          <w:rFonts w:ascii="Arial" w:cs="Arial" w:eastAsia="Arial" w:hAnsi="Arial"/>
          <w:sz w:val="18"/>
          <w:szCs w:val="18"/>
          <w:color w:val="auto"/>
        </w:rPr>
        <w:t>offering over the next years, together with our existing cash and cash equivalents (including the net proceeds from the Series E Private Placement Extension), as follows:</w:t>
      </w:r>
    </w:p>
    <w:p>
      <w:pPr>
        <w:spacing w:after="0" w:line="8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share of the costs for the further development of our therapeutic and diagnostics product candidates</w:t>
      </w:r>
    </w:p>
    <w:p>
      <w:pPr>
        <w:sectPr>
          <w:pgSz w:w="11900" w:h="16838" w:orient="portrait"/>
          <w:cols w:equalWidth="0" w:num="1">
            <w:col w:w="11420"/>
          </w:cols>
          <w:pgMar w:left="240" w:top="446" w:right="239" w:bottom="1440" w:gutter="0" w:footer="0" w:header="0"/>
        </w:sectPr>
      </w:pPr>
    </w:p>
    <w:p>
      <w:pPr>
        <w:spacing w:after="0" w:line="23" w:lineRule="exact"/>
        <w:rPr>
          <w:sz w:val="20"/>
          <w:szCs w:val="20"/>
          <w:color w:val="auto"/>
        </w:rPr>
      </w:pPr>
    </w:p>
    <w:p>
      <w:pPr>
        <w:ind w:left="900" w:right="200"/>
        <w:spacing w:after="0" w:line="277" w:lineRule="auto"/>
        <w:rPr>
          <w:sz w:val="20"/>
          <w:szCs w:val="20"/>
          <w:color w:val="auto"/>
        </w:rPr>
      </w:pPr>
      <w:r>
        <w:rPr>
          <w:rFonts w:ascii="Arial" w:cs="Arial" w:eastAsia="Arial" w:hAnsi="Arial"/>
          <w:sz w:val="17"/>
          <w:szCs w:val="17"/>
          <w:color w:val="auto"/>
        </w:rPr>
        <w:t>under collaboration agreements (anti-tau antibodies and the tau PET tracers) in the next three years, of which approximately $ million will be spent on therapeutic product candidates and of which approximately $ million will be spent on diagnostic product candidates, and we expect these expenditures will take the tau PET tracers into Phase 3 and the anti-tau antibody program into Phase 2;</w:t>
      </w:r>
    </w:p>
    <w:p>
      <w:pPr>
        <w:sectPr>
          <w:pgSz w:w="11900" w:h="16838" w:orient="portrait"/>
          <w:cols w:equalWidth="0" w:num="1">
            <w:col w:w="11420"/>
          </w:cols>
          <w:pgMar w:left="240" w:top="446" w:right="239" w:bottom="1440" w:gutter="0" w:footer="0" w:header="0"/>
          <w:type w:val="continuous"/>
        </w:sectPr>
      </w:pPr>
    </w:p>
    <w:p>
      <w:pPr>
        <w:spacing w:after="0" w:line="79" w:lineRule="exact"/>
        <w:rPr>
          <w:sz w:val="20"/>
          <w:szCs w:val="20"/>
          <w:color w:val="auto"/>
        </w:rPr>
      </w:pPr>
    </w:p>
    <w:p>
      <w:pPr>
        <w:ind w:left="900" w:right="4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6"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derived from our audited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500" w:right="420" w:hanging="8"/>
        <w:spacing w:after="0" w:line="277" w:lineRule="auto"/>
        <w:tabs>
          <w:tab w:leader="none" w:pos="17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conversion of all shares of our preferred stock outstanding as at December 31, 2015 into an aggregate of 37,175,250 common shares;</w:t>
      </w:r>
    </w:p>
    <w:p>
      <w:pPr>
        <w:spacing w:after="0" w:line="62" w:lineRule="exact"/>
        <w:rPr>
          <w:rFonts w:ascii="Arial" w:cs="Arial" w:eastAsia="Arial" w:hAnsi="Arial"/>
          <w:sz w:val="18"/>
          <w:szCs w:val="18"/>
          <w:color w:val="auto"/>
        </w:rPr>
      </w:pPr>
    </w:p>
    <w:p>
      <w:pPr>
        <w:ind w:left="1500" w:right="300" w:hanging="8"/>
        <w:spacing w:after="0" w:line="277" w:lineRule="auto"/>
        <w:tabs>
          <w:tab w:leader="none" w:pos="17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Extension and the conversion of all such shares into an aggregate of 1,401,792 common shares;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28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As at December 31, 2015</w:t>
            </w:r>
          </w:p>
        </w:tc>
        <w:tc>
          <w:tcPr>
            <w:tcW w:w="0" w:type="dxa"/>
            <w:vAlign w:val="bottom"/>
          </w:tcPr>
          <w:p>
            <w:pPr>
              <w:spacing w:after="0"/>
              <w:rPr>
                <w:sz w:val="1"/>
                <w:szCs w:val="1"/>
                <w:color w:val="auto"/>
              </w:rPr>
            </w:pPr>
          </w:p>
        </w:tc>
      </w:tr>
      <w:tr>
        <w:trPr>
          <w:trHeight w:val="119"/>
        </w:trPr>
        <w:tc>
          <w:tcPr>
            <w:tcW w:w="8620" w:type="dxa"/>
            <w:vAlign w:val="bottom"/>
          </w:tcPr>
          <w:p>
            <w:pPr>
              <w:spacing w:after="0"/>
              <w:rPr>
                <w:sz w:val="10"/>
                <w:szCs w:val="10"/>
                <w:color w:val="auto"/>
              </w:rPr>
            </w:pPr>
          </w:p>
        </w:tc>
        <w:tc>
          <w:tcPr>
            <w:tcW w:w="70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As</w:t>
            </w: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Further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Adjusted</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Adjusted(1)</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89,324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nominal value CHF 0.02 per share, 9,227,250 shares issued and outstanding; 9,227,250 shares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authorized, 46,402,500 shares issued and outstanding, as adjusted; and 47,804,292 shares authorized,</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47,804,292 shares issued and outstanding, as further adjusted</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w w:val="98"/>
              </w:rPr>
              <w:t>Preferred shares nominal value CHF 0.02 per share, 37,175,250 authorized preferred shares, 47,804,292</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3"/>
              </w:rPr>
              <w:t>preferred shares issued and outstanding; no shares authorized or issued and outstanding, as adjusted or as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540"/>
              <w:spacing w:after="0"/>
              <w:rPr>
                <w:sz w:val="20"/>
                <w:szCs w:val="20"/>
                <w:color w:val="auto"/>
              </w:rPr>
            </w:pPr>
            <w:r>
              <w:rPr>
                <w:rFonts w:ascii="Arial" w:cs="Arial" w:eastAsia="Arial" w:hAnsi="Arial"/>
                <w:sz w:val="18"/>
                <w:szCs w:val="18"/>
                <w:color w:val="auto"/>
              </w:rPr>
              <w:t>further adjusted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110,496</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123,270</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(40,381)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(40,381)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71,043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88,845</w:t>
            </w:r>
          </w:p>
        </w:tc>
        <w:tc>
          <w:tcPr>
            <w:tcW w:w="0" w:type="dxa"/>
            <w:vAlign w:val="bottom"/>
          </w:tcPr>
          <w:p>
            <w:pPr>
              <w:spacing w:after="0"/>
              <w:rPr>
                <w:sz w:val="1"/>
                <w:szCs w:val="1"/>
                <w:color w:val="auto"/>
              </w:rPr>
            </w:pPr>
          </w:p>
        </w:tc>
      </w:tr>
      <w:tr>
        <w:trPr>
          <w:trHeight w:val="223"/>
        </w:trPr>
        <w:tc>
          <w:tcPr>
            <w:tcW w:w="862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71,043</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55" w:lineRule="auto"/>
        <w:rPr>
          <w:sz w:val="20"/>
          <w:szCs w:val="20"/>
          <w:color w:val="auto"/>
        </w:rPr>
      </w:pPr>
      <w:r>
        <w:rPr>
          <w:rFonts w:ascii="Arial" w:cs="Arial" w:eastAsia="Arial" w:hAnsi="Arial"/>
          <w:sz w:val="18"/>
          <w:szCs w:val="18"/>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increase (decrease) as further adjusted cash and cash equivalents, additional paid-in capital, total shareholders’ equity and capitalization by</w:t>
      </w:r>
    </w:p>
    <w:p>
      <w:pPr>
        <w:spacing w:after="0" w:line="35" w:lineRule="exact"/>
        <w:rPr>
          <w:sz w:val="20"/>
          <w:szCs w:val="20"/>
          <w:color w:val="auto"/>
        </w:rPr>
      </w:pPr>
    </w:p>
    <w:p>
      <w:pPr>
        <w:ind w:left="460" w:right="60" w:hanging="6"/>
        <w:spacing w:after="0" w:line="261" w:lineRule="auto"/>
        <w:tabs>
          <w:tab w:leader="none" w:pos="9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million, assuming an initial public offering price of $ per share, after deducting the underwriting discount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120" w:hanging="325"/>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3,398,500 of our common shares issuable upon the exercise of options outstanding under our existing equity incentive plans as at December 31, 2015 at an exercise price of CHF 0.14548 per common share.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459" w:right="3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81" w:lineRule="exact"/>
        <w:rPr>
          <w:sz w:val="20"/>
          <w:szCs w:val="20"/>
          <w:color w:val="auto"/>
        </w:rPr>
      </w:pPr>
    </w:p>
    <w:p>
      <w:pPr>
        <w:jc w:val="both"/>
        <w:ind w:right="260" w:firstLine="456"/>
        <w:spacing w:after="0" w:line="288" w:lineRule="auto"/>
        <w:rPr>
          <w:sz w:val="20"/>
          <w:szCs w:val="20"/>
          <w:color w:val="auto"/>
        </w:rPr>
      </w:pPr>
      <w:r>
        <w:rPr>
          <w:rFonts w:ascii="Arial" w:cs="Arial" w:eastAsia="Arial" w:hAnsi="Arial"/>
          <w:sz w:val="16"/>
          <w:szCs w:val="16"/>
          <w:color w:val="auto"/>
        </w:rPr>
        <w:t>Net tangible book value is determined by dividing our total tangible assets less our total liabilities by the number of our common shares outstanding. Our historical net tangible book value as at December 31, 2015 was CHF 71.0 ($71.2) million, or CHF 7.70 ($7.71), per common share (on a fully diluted basis). Our as adjusted net tangible book value as at December 31, 2015, before giving effect to this offering was CHF 83.8 ($84.0) million, or CHF</w:t>
      </w:r>
    </w:p>
    <w:p>
      <w:pPr>
        <w:ind w:right="80"/>
        <w:spacing w:after="0" w:line="255" w:lineRule="auto"/>
        <w:rPr>
          <w:sz w:val="20"/>
          <w:szCs w:val="20"/>
          <w:color w:val="auto"/>
        </w:rPr>
      </w:pPr>
      <w:r>
        <w:rPr>
          <w:rFonts w:ascii="Arial" w:cs="Arial" w:eastAsia="Arial" w:hAnsi="Arial"/>
          <w:sz w:val="18"/>
          <w:szCs w:val="18"/>
          <w:color w:val="auto"/>
        </w:rPr>
        <w:t>1.75 ($1.76) per common share, based on the total number of our common shares outstanding as at December 31, 2015, after giving effect to the conversion of (i) all preferred stock outstanding as at December 31, 2015 into an aggregate of 37,175,250 common shares and (ii) all shares of our preferred stock issued in the Series E Private Placement Extension into an aggregate of 1,401,792 common shares.</w:t>
      </w:r>
    </w:p>
    <w:p>
      <w:pPr>
        <w:spacing w:after="0" w:line="1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tbl>
      <w:tblPr>
        <w:tblLayout w:type="fixed"/>
        <w:tblInd w:w="0" w:type="dxa"/>
        <w:tblCellMar>
          <w:top w:w="0" w:type="dxa"/>
          <w:left w:w="0" w:type="dxa"/>
          <w:bottom w:w="0" w:type="dxa"/>
          <w:right w:w="0" w:type="dxa"/>
        </w:tblCellMar>
      </w:tblPr>
      <w:tr>
        <w:trPr>
          <w:trHeight w:val="202"/>
        </w:trPr>
        <w:tc>
          <w:tcPr>
            <w:tcW w:w="4940" w:type="dxa"/>
            <w:vAlign w:val="bottom"/>
            <w:gridSpan w:val="6"/>
          </w:tcPr>
          <w:p>
            <w:pPr>
              <w:spacing w:after="0" w:line="202" w:lineRule="exact"/>
              <w:rPr>
                <w:sz w:val="20"/>
                <w:szCs w:val="20"/>
                <w:color w:val="auto"/>
              </w:rPr>
            </w:pPr>
            <w:r>
              <w:rPr>
                <w:rFonts w:ascii="Arial" w:cs="Arial" w:eastAsia="Arial" w:hAnsi="Arial"/>
                <w:sz w:val="18"/>
                <w:szCs w:val="18"/>
                <w:color w:val="auto"/>
                <w:w w:val="91"/>
              </w:rPr>
              <w:t>shares in this offering at an assumed initial public offering price of $</w:t>
            </w:r>
          </w:p>
        </w:tc>
        <w:tc>
          <w:tcPr>
            <w:tcW w:w="360" w:type="dxa"/>
            <w:vAlign w:val="bottom"/>
          </w:tcPr>
          <w:p>
            <w:pPr>
              <w:spacing w:after="0"/>
              <w:rPr>
                <w:sz w:val="17"/>
                <w:szCs w:val="17"/>
                <w:color w:val="auto"/>
              </w:rPr>
            </w:pPr>
          </w:p>
        </w:tc>
        <w:tc>
          <w:tcPr>
            <w:tcW w:w="5500" w:type="dxa"/>
            <w:vAlign w:val="bottom"/>
            <w:gridSpan w:val="8"/>
          </w:tcPr>
          <w:p>
            <w:pPr>
              <w:jc w:val="right"/>
              <w:ind w:right="20"/>
              <w:spacing w:after="0" w:line="202" w:lineRule="exact"/>
              <w:rPr>
                <w:sz w:val="20"/>
                <w:szCs w:val="20"/>
                <w:color w:val="auto"/>
              </w:rPr>
            </w:pPr>
            <w:r>
              <w:rPr>
                <w:rFonts w:ascii="Arial" w:cs="Arial" w:eastAsia="Arial" w:hAnsi="Arial"/>
                <w:sz w:val="18"/>
                <w:szCs w:val="18"/>
                <w:color w:val="auto"/>
                <w:w w:val="90"/>
              </w:rPr>
              <w:t>per share (the midpoint of the price range set forth on the cover page of this</w:t>
            </w:r>
          </w:p>
        </w:tc>
        <w:tc>
          <w:tcPr>
            <w:tcW w:w="620" w:type="dxa"/>
            <w:vAlign w:val="bottom"/>
          </w:tcPr>
          <w:p>
            <w:pPr>
              <w:spacing w:after="0"/>
              <w:rPr>
                <w:sz w:val="17"/>
                <w:szCs w:val="17"/>
                <w:color w:val="auto"/>
              </w:rPr>
            </w:pPr>
          </w:p>
        </w:tc>
      </w:tr>
      <w:tr>
        <w:trPr>
          <w:trHeight w:val="216"/>
        </w:trPr>
        <w:tc>
          <w:tcPr>
            <w:tcW w:w="10800" w:type="dxa"/>
            <w:vAlign w:val="bottom"/>
            <w:gridSpan w:val="15"/>
          </w:tcPr>
          <w:p>
            <w:pPr>
              <w:spacing w:after="0"/>
              <w:rPr>
                <w:sz w:val="20"/>
                <w:szCs w:val="20"/>
                <w:color w:val="auto"/>
              </w:rPr>
            </w:pPr>
            <w:r>
              <w:rPr>
                <w:rFonts w:ascii="Arial" w:cs="Arial" w:eastAsia="Arial" w:hAnsi="Arial"/>
                <w:sz w:val="18"/>
                <w:szCs w:val="18"/>
                <w:color w:val="auto"/>
                <w:w w:val="91"/>
              </w:rPr>
              <w:t>prospectus), after deducting the underwriting discount and estimated expenses payable by us. Our as further adjusted net tangible book value as at</w:t>
            </w:r>
          </w:p>
        </w:tc>
        <w:tc>
          <w:tcPr>
            <w:tcW w:w="620" w:type="dxa"/>
            <w:vAlign w:val="bottom"/>
          </w:tcPr>
          <w:p>
            <w:pPr>
              <w:spacing w:after="0"/>
              <w:rPr>
                <w:sz w:val="18"/>
                <w:szCs w:val="18"/>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w w:val="99"/>
              </w:rPr>
              <w:t>December 31, 2015 would have been CHF</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120"/>
              <w:spacing w:after="0"/>
              <w:rPr>
                <w:sz w:val="20"/>
                <w:szCs w:val="20"/>
                <w:color w:val="auto"/>
              </w:rPr>
            </w:pPr>
            <w:r>
              <w:rPr>
                <w:rFonts w:ascii="Arial" w:cs="Arial" w:eastAsia="Arial" w:hAnsi="Arial"/>
                <w:sz w:val="18"/>
                <w:szCs w:val="18"/>
                <w:color w:val="auto"/>
                <w:w w:val="98"/>
              </w:rPr>
              <w:t>) million, or CHF</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280" w:type="dxa"/>
            <w:vAlign w:val="bottom"/>
            <w:gridSpan w:val="8"/>
          </w:tcPr>
          <w:p>
            <w:pPr>
              <w:ind w:left="40"/>
              <w:spacing w:after="0"/>
              <w:rPr>
                <w:sz w:val="20"/>
                <w:szCs w:val="20"/>
                <w:color w:val="auto"/>
              </w:rPr>
            </w:pPr>
            <w:r>
              <w:rPr>
                <w:rFonts w:ascii="Arial" w:cs="Arial" w:eastAsia="Arial" w:hAnsi="Arial"/>
                <w:sz w:val="18"/>
                <w:szCs w:val="18"/>
                <w:color w:val="auto"/>
                <w:w w:val="94"/>
              </w:rPr>
              <w:t>) per share. This represents an immediate increase in as adjusted net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tangible book value of CHF</w:t>
            </w: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20" w:type="dxa"/>
            <w:vAlign w:val="bottom"/>
            <w:gridSpan w:val="8"/>
          </w:tcPr>
          <w:p>
            <w:pPr>
              <w:ind w:left="60"/>
              <w:spacing w:after="0"/>
              <w:rPr>
                <w:sz w:val="20"/>
                <w:szCs w:val="20"/>
                <w:color w:val="auto"/>
              </w:rPr>
            </w:pPr>
            <w:r>
              <w:rPr>
                <w:rFonts w:ascii="Arial" w:cs="Arial" w:eastAsia="Arial" w:hAnsi="Arial"/>
                <w:sz w:val="18"/>
                <w:szCs w:val="18"/>
                <w:color w:val="auto"/>
                <w:w w:val="92"/>
              </w:rPr>
              <w:t>) per share to existing shareholders and an immediate dilution of CHF</w:t>
            </w:r>
          </w:p>
        </w:tc>
        <w:tc>
          <w:tcPr>
            <w:tcW w:w="980" w:type="dxa"/>
            <w:vAlign w:val="bottom"/>
          </w:tcPr>
          <w:p>
            <w:pPr>
              <w:ind w:left="280"/>
              <w:spacing w:after="0"/>
              <w:rPr>
                <w:sz w:val="20"/>
                <w:szCs w:val="20"/>
                <w:color w:val="auto"/>
              </w:rPr>
            </w:pPr>
            <w:r>
              <w:rPr>
                <w:rFonts w:ascii="Arial" w:cs="Arial" w:eastAsia="Arial" w:hAnsi="Arial"/>
                <w:sz w:val="18"/>
                <w:szCs w:val="18"/>
                <w:color w:val="auto"/>
              </w:rPr>
              <w:t>(USD</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w w:val="92"/>
              </w:rPr>
              <w:t>) per share to investors</w:t>
            </w:r>
          </w:p>
        </w:tc>
        <w:tc>
          <w:tcPr>
            <w:tcW w:w="620" w:type="dxa"/>
            <w:vAlign w:val="bottom"/>
          </w:tcPr>
          <w:p>
            <w:pPr>
              <w:spacing w:after="0"/>
              <w:rPr>
                <w:sz w:val="18"/>
                <w:szCs w:val="18"/>
                <w:color w:val="auto"/>
              </w:rPr>
            </w:pPr>
          </w:p>
        </w:tc>
      </w:tr>
      <w:tr>
        <w:trPr>
          <w:trHeight w:val="230"/>
        </w:trPr>
        <w:tc>
          <w:tcPr>
            <w:tcW w:w="4940" w:type="dxa"/>
            <w:vAlign w:val="bottom"/>
            <w:gridSpan w:val="6"/>
          </w:tcPr>
          <w:p>
            <w:pPr>
              <w:spacing w:after="0"/>
              <w:rPr>
                <w:sz w:val="20"/>
                <w:szCs w:val="20"/>
                <w:color w:val="auto"/>
              </w:rPr>
            </w:pPr>
            <w:r>
              <w:rPr>
                <w:rFonts w:ascii="Arial" w:cs="Arial" w:eastAsia="Arial" w:hAnsi="Arial"/>
                <w:sz w:val="18"/>
                <w:szCs w:val="18"/>
                <w:color w:val="auto"/>
                <w:w w:val="98"/>
              </w:rPr>
              <w:t>participating in this offering, as illustrated in the following table:</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92"/>
        </w:trPr>
        <w:tc>
          <w:tcPr>
            <w:tcW w:w="2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USD)</w:t>
            </w:r>
          </w:p>
        </w:tc>
        <w:tc>
          <w:tcPr>
            <w:tcW w:w="620" w:type="dxa"/>
            <w:vAlign w:val="bottom"/>
          </w:tcPr>
          <w:p>
            <w:pPr>
              <w:spacing w:after="0"/>
              <w:rPr>
                <w:sz w:val="20"/>
                <w:szCs w:val="20"/>
                <w:color w:val="auto"/>
              </w:rPr>
            </w:pPr>
            <w:r>
              <w:rPr>
                <w:rFonts w:ascii="Arial" w:cs="Arial" w:eastAsia="Arial" w:hAnsi="Arial"/>
                <w:sz w:val="14"/>
                <w:szCs w:val="14"/>
                <w:b w:val="1"/>
                <w:bCs w:val="1"/>
                <w:color w:val="auto"/>
              </w:rPr>
              <w:t>(in CHF)</w:t>
            </w:r>
          </w:p>
        </w:tc>
      </w:tr>
      <w:tr>
        <w:trPr>
          <w:trHeight w:val="210"/>
        </w:trPr>
        <w:tc>
          <w:tcPr>
            <w:tcW w:w="34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3"/>
              </w:rPr>
              <w:t>Assumed initial public offering price per share</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5300" w:type="dxa"/>
            <w:vAlign w:val="bottom"/>
            <w:gridSpan w:val="7"/>
          </w:tcPr>
          <w:p>
            <w:pPr>
              <w:ind w:left="360"/>
              <w:spacing w:after="0"/>
              <w:rPr>
                <w:sz w:val="20"/>
                <w:szCs w:val="20"/>
                <w:color w:val="auto"/>
              </w:rPr>
            </w:pPr>
            <w:r>
              <w:rPr>
                <w:rFonts w:ascii="Arial" w:cs="Arial" w:eastAsia="Arial" w:hAnsi="Arial"/>
                <w:sz w:val="18"/>
                <w:szCs w:val="18"/>
                <w:color w:val="auto"/>
                <w:w w:val="93"/>
              </w:rPr>
              <w:t>Historical net tangible book value per share at December 31, 2015</w:t>
            </w: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7.70</w:t>
            </w:r>
          </w:p>
        </w:tc>
      </w:tr>
      <w:tr>
        <w:trPr>
          <w:trHeight w:val="202"/>
        </w:trPr>
        <w:tc>
          <w:tcPr>
            <w:tcW w:w="10800" w:type="dxa"/>
            <w:vAlign w:val="bottom"/>
            <w:gridSpan w:val="15"/>
            <w:shd w:val="clear" w:color="auto" w:fill="CCEEFF"/>
          </w:tcPr>
          <w:p>
            <w:pPr>
              <w:ind w:left="360"/>
              <w:spacing w:after="0" w:line="201" w:lineRule="exact"/>
              <w:rPr>
                <w:sz w:val="20"/>
                <w:szCs w:val="20"/>
                <w:color w:val="auto"/>
              </w:rPr>
            </w:pPr>
            <w:r>
              <w:rPr>
                <w:rFonts w:ascii="Arial" w:cs="Arial" w:eastAsia="Arial" w:hAnsi="Arial"/>
                <w:sz w:val="18"/>
                <w:szCs w:val="18"/>
                <w:color w:val="auto"/>
              </w:rPr>
              <w:t>As adjusted net tangible book value per share at December 31, 2015, before giving effect to this offering but giving effect to the</w:t>
            </w:r>
          </w:p>
        </w:tc>
        <w:tc>
          <w:tcPr>
            <w:tcW w:w="620" w:type="dxa"/>
            <w:vAlign w:val="bottom"/>
            <w:shd w:val="clear" w:color="auto" w:fill="CCEEFF"/>
          </w:tcPr>
          <w:p>
            <w:pPr>
              <w:spacing w:after="0"/>
              <w:rPr>
                <w:sz w:val="17"/>
                <w:szCs w:val="17"/>
                <w:color w:val="auto"/>
              </w:rPr>
            </w:pPr>
          </w:p>
        </w:tc>
      </w:tr>
      <w:tr>
        <w:trPr>
          <w:trHeight w:val="216"/>
        </w:trPr>
        <w:tc>
          <w:tcPr>
            <w:tcW w:w="9080" w:type="dxa"/>
            <w:vAlign w:val="bottom"/>
            <w:gridSpan w:val="11"/>
            <w:shd w:val="clear" w:color="auto" w:fill="CCEEFF"/>
          </w:tcPr>
          <w:p>
            <w:pPr>
              <w:ind w:left="540"/>
              <w:spacing w:after="0"/>
              <w:rPr>
                <w:sz w:val="20"/>
                <w:szCs w:val="20"/>
                <w:color w:val="auto"/>
              </w:rPr>
            </w:pPr>
            <w:r>
              <w:rPr>
                <w:rFonts w:ascii="Arial" w:cs="Arial" w:eastAsia="Arial" w:hAnsi="Arial"/>
                <w:sz w:val="18"/>
                <w:szCs w:val="18"/>
                <w:color w:val="auto"/>
                <w:w w:val="90"/>
              </w:rPr>
              <w:t>conversion of all outstanding preferred shares, including the preferred shares issued in the Series E Private Placement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2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2"/>
              </w:rPr>
              <w:t>Extension, into common shares</w:t>
            </w: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1.53</w:t>
            </w:r>
          </w:p>
        </w:tc>
      </w:tr>
      <w:tr>
        <w:trPr>
          <w:trHeight w:val="216"/>
        </w:trPr>
        <w:tc>
          <w:tcPr>
            <w:tcW w:w="9080" w:type="dxa"/>
            <w:vAlign w:val="bottom"/>
            <w:gridSpan w:val="11"/>
          </w:tcPr>
          <w:p>
            <w:pPr>
              <w:ind w:left="360"/>
              <w:spacing w:after="0"/>
              <w:rPr>
                <w:sz w:val="20"/>
                <w:szCs w:val="20"/>
                <w:color w:val="auto"/>
              </w:rPr>
            </w:pPr>
            <w:r>
              <w:rPr>
                <w:rFonts w:ascii="Arial" w:cs="Arial" w:eastAsia="Arial" w:hAnsi="Arial"/>
                <w:sz w:val="18"/>
                <w:szCs w:val="18"/>
                <w:color w:val="auto"/>
                <w:w w:val="91"/>
              </w:rPr>
              <w:t>Increase in as adjusted net tangible book value per share attributable to new investors purchasing shares in this offering</w:t>
            </w: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180" w:type="dxa"/>
            <w:vAlign w:val="bottom"/>
            <w:gridSpan w:val="9"/>
            <w:shd w:val="clear" w:color="auto" w:fill="CCEEFF"/>
          </w:tcPr>
          <w:p>
            <w:pPr>
              <w:ind w:left="360"/>
              <w:spacing w:after="0"/>
              <w:rPr>
                <w:sz w:val="20"/>
                <w:szCs w:val="20"/>
                <w:color w:val="auto"/>
              </w:rPr>
            </w:pPr>
            <w:r>
              <w:rPr>
                <w:rFonts w:ascii="Arial" w:cs="Arial" w:eastAsia="Arial" w:hAnsi="Arial"/>
                <w:sz w:val="18"/>
                <w:szCs w:val="18"/>
                <w:color w:val="auto"/>
                <w:w w:val="99"/>
              </w:rPr>
              <w:t>As further adjusted net tangible book value per share after giving effect to this offering</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4940" w:type="dxa"/>
            <w:vAlign w:val="bottom"/>
            <w:gridSpan w:val="6"/>
          </w:tcPr>
          <w:p>
            <w:pPr>
              <w:ind w:left="360"/>
              <w:spacing w:after="0"/>
              <w:rPr>
                <w:sz w:val="20"/>
                <w:szCs w:val="20"/>
                <w:color w:val="auto"/>
              </w:rPr>
            </w:pPr>
            <w:r>
              <w:rPr>
                <w:rFonts w:ascii="Arial" w:cs="Arial" w:eastAsia="Arial" w:hAnsi="Arial"/>
                <w:sz w:val="18"/>
                <w:szCs w:val="18"/>
                <w:color w:val="auto"/>
                <w:w w:val="99"/>
              </w:rPr>
              <w:t>Dilution per share to investors participating in this offering</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04"/>
        </w:trPr>
        <w:tc>
          <w:tcPr>
            <w:tcW w:w="6140" w:type="dxa"/>
            <w:vAlign w:val="bottom"/>
            <w:gridSpan w:val="8"/>
          </w:tcPr>
          <w:p>
            <w:pPr>
              <w:ind w:left="46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1040" w:type="dxa"/>
            <w:vAlign w:val="bottom"/>
          </w:tcPr>
          <w:p>
            <w:pPr>
              <w:ind w:left="380"/>
              <w:spacing w:after="0"/>
              <w:rPr>
                <w:sz w:val="20"/>
                <w:szCs w:val="20"/>
                <w:color w:val="auto"/>
              </w:rPr>
            </w:pPr>
            <w:r>
              <w:rPr>
                <w:rFonts w:ascii="Arial" w:cs="Arial" w:eastAsia="Arial" w:hAnsi="Arial"/>
                <w:sz w:val="18"/>
                <w:szCs w:val="18"/>
                <w:color w:val="auto"/>
              </w:rPr>
              <w:t>(CHF</w:t>
            </w:r>
          </w:p>
        </w:tc>
        <w:tc>
          <w:tcPr>
            <w:tcW w:w="4240" w:type="dxa"/>
            <w:vAlign w:val="bottom"/>
            <w:gridSpan w:val="7"/>
          </w:tcPr>
          <w:p>
            <w:pPr>
              <w:ind w:left="120"/>
              <w:spacing w:after="0"/>
              <w:rPr>
                <w:sz w:val="20"/>
                <w:szCs w:val="20"/>
                <w:color w:val="auto"/>
              </w:rPr>
            </w:pPr>
            <w:r>
              <w:rPr>
                <w:rFonts w:ascii="Arial" w:cs="Arial" w:eastAsia="Arial" w:hAnsi="Arial"/>
                <w:sz w:val="18"/>
                <w:szCs w:val="18"/>
                <w:color w:val="auto"/>
                <w:w w:val="98"/>
              </w:rPr>
              <w:t>) per share would increase (decrease) our as further</w:t>
            </w:r>
          </w:p>
        </w:tc>
      </w:tr>
      <w:tr>
        <w:trPr>
          <w:trHeight w:val="216"/>
        </w:trPr>
        <w:tc>
          <w:tcPr>
            <w:tcW w:w="3880" w:type="dxa"/>
            <w:vAlign w:val="bottom"/>
            <w:gridSpan w:val="4"/>
          </w:tcPr>
          <w:p>
            <w:pPr>
              <w:spacing w:after="0"/>
              <w:rPr>
                <w:sz w:val="20"/>
                <w:szCs w:val="20"/>
                <w:color w:val="auto"/>
              </w:rPr>
            </w:pPr>
            <w:r>
              <w:rPr>
                <w:rFonts w:ascii="Arial" w:cs="Arial" w:eastAsia="Arial" w:hAnsi="Arial"/>
                <w:sz w:val="18"/>
                <w:szCs w:val="18"/>
                <w:color w:val="auto"/>
                <w:w w:val="93"/>
              </w:rPr>
              <w:t>adjusted net tangible book value by approximately $</w:t>
            </w:r>
          </w:p>
        </w:tc>
        <w:tc>
          <w:tcPr>
            <w:tcW w:w="22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auto"/>
              </w:rPr>
              <w:t>(CHF</w:t>
            </w:r>
          </w:p>
        </w:tc>
        <w:tc>
          <w:tcPr>
            <w:tcW w:w="2240" w:type="dxa"/>
            <w:vAlign w:val="bottom"/>
            <w:gridSpan w:val="3"/>
          </w:tcPr>
          <w:p>
            <w:pPr>
              <w:ind w:left="20"/>
              <w:spacing w:after="0"/>
              <w:rPr>
                <w:sz w:val="20"/>
                <w:szCs w:val="20"/>
                <w:color w:val="auto"/>
              </w:rPr>
            </w:pPr>
            <w:r>
              <w:rPr>
                <w:rFonts w:ascii="Arial" w:cs="Arial" w:eastAsia="Arial" w:hAnsi="Arial"/>
                <w:sz w:val="18"/>
                <w:szCs w:val="18"/>
                <w:color w:val="auto"/>
                <w:w w:val="99"/>
              </w:rPr>
              <w:t>) million, or approximately $</w:t>
            </w:r>
          </w:p>
        </w:tc>
        <w:tc>
          <w:tcPr>
            <w:tcW w:w="920" w:type="dxa"/>
            <w:vAlign w:val="bottom"/>
          </w:tcPr>
          <w:p>
            <w:pPr>
              <w:ind w:left="260"/>
              <w:spacing w:after="0"/>
              <w:rPr>
                <w:sz w:val="20"/>
                <w:szCs w:val="20"/>
                <w:color w:val="auto"/>
              </w:rPr>
            </w:pPr>
            <w:r>
              <w:rPr>
                <w:rFonts w:ascii="Arial" w:cs="Arial" w:eastAsia="Arial" w:hAnsi="Arial"/>
                <w:sz w:val="18"/>
                <w:szCs w:val="18"/>
                <w:color w:val="auto"/>
              </w:rPr>
              <w:t>(CHF</w:t>
            </w:r>
          </w:p>
        </w:tc>
        <w:tc>
          <w:tcPr>
            <w:tcW w:w="3320" w:type="dxa"/>
            <w:vAlign w:val="bottom"/>
            <w:gridSpan w:val="6"/>
          </w:tcPr>
          <w:p>
            <w:pPr>
              <w:ind w:left="120"/>
              <w:spacing w:after="0"/>
              <w:rPr>
                <w:sz w:val="20"/>
                <w:szCs w:val="20"/>
                <w:color w:val="auto"/>
              </w:rPr>
            </w:pPr>
            <w:r>
              <w:rPr>
                <w:rFonts w:ascii="Arial" w:cs="Arial" w:eastAsia="Arial" w:hAnsi="Arial"/>
                <w:sz w:val="18"/>
                <w:szCs w:val="18"/>
                <w:color w:val="auto"/>
                <w:w w:val="99"/>
              </w:rPr>
              <w:t>) per share, and the dilution per share to</w:t>
            </w: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w w:val="98"/>
              </w:rPr>
              <w:t>investors in this offering by approximately $</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(CHF</w:t>
            </w:r>
          </w:p>
        </w:tc>
        <w:tc>
          <w:tcPr>
            <w:tcW w:w="7320" w:type="dxa"/>
            <w:vAlign w:val="bottom"/>
            <w:gridSpan w:val="11"/>
          </w:tcPr>
          <w:p>
            <w:pPr>
              <w:ind w:left="280"/>
              <w:spacing w:after="0"/>
              <w:rPr>
                <w:sz w:val="20"/>
                <w:szCs w:val="20"/>
                <w:color w:val="auto"/>
              </w:rPr>
            </w:pPr>
            <w:r>
              <w:rPr>
                <w:rFonts w:ascii="Arial" w:cs="Arial" w:eastAsia="Arial" w:hAnsi="Arial"/>
                <w:sz w:val="18"/>
                <w:szCs w:val="18"/>
                <w:color w:val="auto"/>
                <w:w w:val="92"/>
              </w:rPr>
              <w:t>) per share, assuming that the number of shares offered by us, as set forth on the cover page of</w:t>
            </w:r>
          </w:p>
        </w:tc>
      </w:tr>
    </w:tbl>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jc w:val="center"/>
        <w:ind w:right="100"/>
        <w:spacing w:after="0" w:line="433" w:lineRule="auto"/>
        <w:rPr>
          <w:sz w:val="20"/>
          <w:szCs w:val="20"/>
          <w:color w:val="auto"/>
        </w:rPr>
      </w:pPr>
      <w:r>
        <w:rPr>
          <w:rFonts w:ascii="Arial" w:cs="Arial" w:eastAsia="Arial" w:hAnsi="Arial"/>
          <w:sz w:val="18"/>
          <w:szCs w:val="18"/>
          <w:color w:val="auto"/>
        </w:rPr>
        <w:t>discussed above is illustrative only and will be adjusted based on the actual initial public offering price and other terms of this offering determined at pricing. 64</w:t>
      </w:r>
    </w:p>
    <w:p>
      <w:pPr>
        <w:sectPr>
          <w:pgSz w:w="11900" w:h="16838" w:orient="portrait"/>
          <w:cols w:equalWidth="0" w:num="1">
            <w:col w:w="11420"/>
          </w:cols>
          <w:pgMar w:left="240" w:top="45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19"/>
        </w:trPr>
        <w:tc>
          <w:tcPr>
            <w:tcW w:w="280" w:type="dxa"/>
            <w:vAlign w:val="bottom"/>
          </w:tcPr>
          <w:p>
            <w:pPr>
              <w:spacing w:after="0"/>
              <w:rPr>
                <w:sz w:val="24"/>
                <w:szCs w:val="24"/>
                <w:color w:val="auto"/>
              </w:rPr>
            </w:pPr>
          </w:p>
        </w:tc>
        <w:tc>
          <w:tcPr>
            <w:tcW w:w="10800" w:type="dxa"/>
            <w:vAlign w:val="bottom"/>
            <w:gridSpan w:val="7"/>
          </w:tcPr>
          <w:p>
            <w:pPr>
              <w:ind w:left="180"/>
              <w:spacing w:after="0"/>
              <w:rPr>
                <w:sz w:val="20"/>
                <w:szCs w:val="20"/>
                <w:color w:val="auto"/>
              </w:rPr>
            </w:pPr>
            <w:r>
              <w:rPr>
                <w:rFonts w:ascii="Arial" w:cs="Arial" w:eastAsia="Arial" w:hAnsi="Arial"/>
                <w:sz w:val="18"/>
                <w:szCs w:val="18"/>
                <w:color w:val="auto"/>
                <w:w w:val="92"/>
              </w:rPr>
              <w:t>If the underwriters’ over-allotment option is exercised in full, the as further adjusted net tangible book value per share after this offering would be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(CHF</w:t>
            </w:r>
          </w:p>
        </w:tc>
        <w:tc>
          <w:tcPr>
            <w:tcW w:w="8660" w:type="dxa"/>
            <w:vAlign w:val="bottom"/>
            <w:gridSpan w:val="4"/>
          </w:tcPr>
          <w:p>
            <w:pPr>
              <w:ind w:left="180"/>
              <w:spacing w:after="0"/>
              <w:rPr>
                <w:sz w:val="20"/>
                <w:szCs w:val="20"/>
                <w:color w:val="auto"/>
              </w:rPr>
            </w:pPr>
            <w:r>
              <w:rPr>
                <w:rFonts w:ascii="Arial" w:cs="Arial" w:eastAsia="Arial" w:hAnsi="Arial"/>
                <w:sz w:val="18"/>
                <w:szCs w:val="18"/>
                <w:color w:val="auto"/>
                <w:w w:val="91"/>
              </w:rPr>
              <w:t>) per share, the increase in as further adjusted net tangible book value per share to existing shareholders would be $</w:t>
            </w:r>
          </w:p>
        </w:tc>
        <w:tc>
          <w:tcPr>
            <w:tcW w:w="800" w:type="dxa"/>
            <w:vAlign w:val="bottom"/>
          </w:tcPr>
          <w:p>
            <w:pPr>
              <w:ind w:left="220"/>
              <w:spacing w:after="0"/>
              <w:rPr>
                <w:sz w:val="20"/>
                <w:szCs w:val="20"/>
                <w:color w:val="auto"/>
              </w:rPr>
            </w:pPr>
            <w:r>
              <w:rPr>
                <w:rFonts w:ascii="Arial" w:cs="Arial" w:eastAsia="Arial" w:hAnsi="Arial"/>
                <w:sz w:val="18"/>
                <w:szCs w:val="18"/>
                <w:color w:val="auto"/>
              </w:rPr>
              <w:t>(CHF</w:t>
            </w:r>
          </w:p>
        </w:tc>
        <w:tc>
          <w:tcPr>
            <w:tcW w:w="520" w:type="dxa"/>
            <w:vAlign w:val="bottom"/>
          </w:tcPr>
          <w:p>
            <w:pPr>
              <w:ind w:left="180"/>
              <w:spacing w:after="0"/>
              <w:rPr>
                <w:sz w:val="20"/>
                <w:szCs w:val="20"/>
                <w:color w:val="auto"/>
              </w:rPr>
            </w:pPr>
            <w:r>
              <w:rPr>
                <w:rFonts w:ascii="Arial" w:cs="Arial" w:eastAsia="Arial" w:hAnsi="Arial"/>
                <w:sz w:val="18"/>
                <w:szCs w:val="18"/>
                <w:color w:val="auto"/>
                <w:w w:val="86"/>
              </w:rPr>
              <w:t>) per</w:t>
            </w: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w w:val="93"/>
              </w:rPr>
              <w:t>share and the dilution to new investors purchasing shares in this offering would be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2700" w:type="dxa"/>
            <w:vAlign w:val="bottom"/>
          </w:tcPr>
          <w:p>
            <w:pPr>
              <w:ind w:left="180"/>
              <w:spacing w:after="0"/>
              <w:rPr>
                <w:sz w:val="20"/>
                <w:szCs w:val="20"/>
                <w:color w:val="auto"/>
              </w:rPr>
            </w:pPr>
            <w:r>
              <w:rPr>
                <w:rFonts w:ascii="Arial" w:cs="Arial" w:eastAsia="Arial" w:hAnsi="Arial"/>
                <w:sz w:val="18"/>
                <w:szCs w:val="18"/>
                <w:color w:val="auto"/>
              </w:rPr>
              <w:t>) per share.</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59"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(including the preferred shares acquired by investors as part of the Series E Private Placement Extension)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320"/>
          </w:cols>
          <w:pgMar w:left="240" w:top="4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4"/>
            <w:vMerge w:val="restart"/>
          </w:tcPr>
          <w:p>
            <w:pPr>
              <w:jc w:val="right"/>
              <w:ind w:right="450"/>
              <w:spacing w:after="0"/>
              <w:rPr>
                <w:sz w:val="20"/>
                <w:szCs w:val="20"/>
                <w:color w:val="auto"/>
              </w:rPr>
            </w:pPr>
            <w:r>
              <w:rPr>
                <w:rFonts w:ascii="Arial" w:cs="Arial" w:eastAsia="Arial" w:hAnsi="Arial"/>
                <w:sz w:val="14"/>
                <w:szCs w:val="14"/>
                <w:b w:val="1"/>
                <w:bCs w:val="1"/>
                <w:color w:val="auto"/>
                <w:w w:val="98"/>
              </w:rPr>
              <w:t>Total Consideration</w:t>
            </w:r>
          </w:p>
        </w:tc>
        <w:tc>
          <w:tcPr>
            <w:tcW w:w="1840" w:type="dxa"/>
            <w:vAlign w:val="bottom"/>
            <w:gridSpan w:val="4"/>
            <w:vMerge w:val="restart"/>
          </w:tcPr>
          <w:p>
            <w:pPr>
              <w:jc w:val="right"/>
              <w:ind w:right="430"/>
              <w:spacing w:after="0"/>
              <w:rPr>
                <w:sz w:val="20"/>
                <w:szCs w:val="20"/>
                <w:color w:val="auto"/>
              </w:rPr>
            </w:pPr>
            <w:r>
              <w:rPr>
                <w:rFonts w:ascii="Arial" w:cs="Arial" w:eastAsia="Arial" w:hAnsi="Arial"/>
                <w:sz w:val="14"/>
                <w:szCs w:val="14"/>
                <w:b w:val="1"/>
                <w:bCs w:val="1"/>
                <w:color w:val="auto"/>
                <w:w w:val="98"/>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Shares</w:t>
            </w:r>
          </w:p>
        </w:tc>
        <w:tc>
          <w:tcPr>
            <w:tcW w:w="18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86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(USD ’000)</w:t>
            </w:r>
          </w:p>
        </w:tc>
        <w:tc>
          <w:tcPr>
            <w:tcW w:w="184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47,804,292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127,098</w:t>
            </w:r>
          </w:p>
        </w:tc>
        <w:tc>
          <w:tcPr>
            <w:tcW w:w="3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124,226</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-162560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200"/>
          </w:cols>
          <w:pgMar w:left="240" w:top="446" w:right="339" w:bottom="1440" w:gutter="0" w:footer="0" w:header="0"/>
          <w:type w:val="continuous"/>
        </w:sectPr>
      </w:pPr>
    </w:p>
    <w:p>
      <w:pPr>
        <w:spacing w:after="0" w:line="15" w:lineRule="exact"/>
        <w:rPr>
          <w:sz w:val="20"/>
          <w:szCs w:val="20"/>
          <w:color w:val="auto"/>
        </w:rPr>
      </w:pPr>
    </w:p>
    <w:p>
      <w:pPr>
        <w:ind w:left="460"/>
        <w:spacing w:after="0"/>
        <w:tabs>
          <w:tab w:leader="none" w:pos="6500" w:val="left"/>
          <w:tab w:leader="none" w:pos="732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560" w:val="left"/>
          <w:tab w:leader="none" w:pos="838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 number of</w:t>
      </w:r>
    </w:p>
    <w:p>
      <w:pPr>
        <w:spacing w:after="0" w:line="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1" w:lineRule="exact"/>
        <w:rPr>
          <w:sz w:val="20"/>
          <w:szCs w:val="20"/>
          <w:color w:val="auto"/>
        </w:rPr>
      </w:pPr>
    </w:p>
    <w:p>
      <w:pPr>
        <w:spacing w:after="0"/>
        <w:tabs>
          <w:tab w:leader="none" w:pos="7640" w:val="left"/>
          <w:tab w:leader="none" w:pos="8460" w:val="left"/>
        </w:tabs>
        <w:rPr>
          <w:sz w:val="20"/>
          <w:szCs w:val="20"/>
          <w:color w:val="auto"/>
        </w:rPr>
      </w:pPr>
      <w:r>
        <w:rPr>
          <w:rFonts w:ascii="Arial" w:cs="Arial" w:eastAsia="Arial" w:hAnsi="Arial"/>
          <w:sz w:val="18"/>
          <w:szCs w:val="18"/>
          <w:color w:val="auto"/>
        </w:rPr>
        <w:t>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an initial public</w:t>
      </w:r>
    </w:p>
    <w:p>
      <w:pPr>
        <w:spacing w:after="0" w:line="9" w:lineRule="exact"/>
        <w:rPr>
          <w:sz w:val="20"/>
          <w:szCs w:val="20"/>
          <w:color w:val="auto"/>
        </w:rPr>
      </w:pPr>
    </w:p>
    <w:p>
      <w:pPr>
        <w:spacing w:after="0"/>
        <w:tabs>
          <w:tab w:leader="none" w:pos="1700" w:val="left"/>
          <w:tab w:leader="none" w:pos="252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w:t>
      </w:r>
    </w:p>
    <w:p>
      <w:pPr>
        <w:spacing w:after="0" w:line="211"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color w:val="auto"/>
        </w:rPr>
        <w:t>The calculations above are based on</w:t>
      </w:r>
      <w:r>
        <w:rPr>
          <w:sz w:val="20"/>
          <w:szCs w:val="20"/>
          <w:color w:val="auto"/>
        </w:rPr>
        <w:tab/>
      </w:r>
      <w:r>
        <w:rPr>
          <w:rFonts w:ascii="Arial" w:cs="Arial" w:eastAsia="Arial" w:hAnsi="Arial"/>
          <w:sz w:val="16"/>
          <w:szCs w:val="16"/>
          <w:color w:val="auto"/>
        </w:rPr>
        <w:t>shares outstanding as at December 31, 2015 after giving effect to the conversion of all outstanding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preferred stock (including the preferred shares issued in the Series E Private Placement Extension) into common shares and exclude:</w:t>
      </w:r>
    </w:p>
    <w:p>
      <w:pPr>
        <w:spacing w:after="0" w:line="116" w:lineRule="exact"/>
        <w:rPr>
          <w:sz w:val="20"/>
          <w:szCs w:val="20"/>
          <w:color w:val="auto"/>
        </w:rPr>
      </w:pPr>
    </w:p>
    <w:p>
      <w:pPr>
        <w:ind w:left="900" w:right="180" w:hanging="325"/>
        <w:spacing w:after="0" w:line="277" w:lineRule="auto"/>
        <w:tabs>
          <w:tab w:leader="none" w:pos="14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3,398,500 of our common shares issuable upon the exercise of options outstanding under our existing equity incentive plans as at December 31, 2015 at an exercise price of CHF 0.14548 per common share.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46"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April 22, 2016, the exchange rate as reported by the U.S. Federal Reserve Bank was CHF 0.9774 to $1.00. In this prospectus, translations from CHF to U.S. dollars were made at the rate of 1.0017 to $1.00, the official exchange rate quoted as at December 31, 2015 by the U.S. Federal Reserve Bank.</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2011</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2013</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2015</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October 31, 2015</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0.9858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0.9687</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0.9489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0.9915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November 30, 2015</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1.0282</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1.0098</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0.9853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December 31, 2015</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0.9951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January 29, 2016</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1.0082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February 29, 2016</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0.9920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3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0.9811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April 30, 2016 (through April 22, 2016)</w:t>
            </w:r>
          </w:p>
        </w:tc>
        <w:tc>
          <w:tcPr>
            <w:tcW w:w="3300" w:type="dxa"/>
            <w:vAlign w:val="bottom"/>
            <w:gridSpan w:val="2"/>
          </w:tcPr>
          <w:p>
            <w:pPr>
              <w:jc w:val="right"/>
              <w:ind w:right="168"/>
              <w:spacing w:after="0"/>
              <w:rPr>
                <w:sz w:val="20"/>
                <w:szCs w:val="20"/>
                <w:color w:val="auto"/>
              </w:rPr>
            </w:pPr>
            <w:r>
              <w:rPr>
                <w:rFonts w:ascii="Arial" w:cs="Arial" w:eastAsia="Arial" w:hAnsi="Arial"/>
                <w:sz w:val="18"/>
                <w:szCs w:val="18"/>
                <w:color w:val="auto"/>
              </w:rPr>
              <w:t>0.9774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0.9616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364"/>
        </w:trPr>
        <w:tc>
          <w:tcPr>
            <w:tcW w:w="4020" w:type="dxa"/>
            <w:vAlign w:val="bottom"/>
          </w:tcPr>
          <w:p>
            <w:pPr>
              <w:spacing w:after="0"/>
              <w:rPr>
                <w:sz w:val="24"/>
                <w:szCs w:val="24"/>
                <w:color w:val="auto"/>
              </w:rPr>
            </w:pPr>
          </w:p>
        </w:tc>
        <w:tc>
          <w:tcPr>
            <w:tcW w:w="236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summarize our financial data as at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maintain our books and records in, and our financial statements are prepared and presented in, Swiss Francs, our presentation currency.</w:t>
      </w:r>
    </w:p>
    <w:p>
      <w:pPr>
        <w:spacing w:after="0" w:line="2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48" w:lineRule="exact"/>
        <w:rPr>
          <w:sz w:val="20"/>
          <w:szCs w:val="20"/>
          <w:color w:val="auto"/>
        </w:rPr>
      </w:pPr>
    </w:p>
    <w:p>
      <w:pPr>
        <w:jc w:val="center"/>
        <w:ind w:left="9020"/>
        <w:spacing w:after="0"/>
        <w:rPr>
          <w:sz w:val="20"/>
          <w:szCs w:val="20"/>
          <w:color w:val="auto"/>
        </w:rPr>
      </w:pPr>
      <w:r>
        <w:rPr>
          <w:rFonts w:ascii="Arial" w:cs="Arial" w:eastAsia="Arial" w:hAnsi="Arial"/>
          <w:sz w:val="14"/>
          <w:szCs w:val="14"/>
          <w:b w:val="1"/>
          <w:bCs w:val="1"/>
          <w:color w:val="auto"/>
        </w:rPr>
        <w:t>For the Years Ended</w:t>
      </w:r>
    </w:p>
    <w:p>
      <w:pPr>
        <w:jc w:val="center"/>
        <w:ind w:left="90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22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3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17,049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Finance costs—net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0.44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 per share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43,412,250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 per share fully diluted</w:t>
            </w:r>
            <w:r>
              <w:rPr>
                <w:rFonts w:ascii="Arial" w:cs="Arial" w:eastAsia="Arial" w:hAnsi="Arial"/>
                <w:sz w:val="15"/>
                <w:szCs w:val="15"/>
                <w:color w:val="auto"/>
              </w:rPr>
              <w:t>(1)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46,043,198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November 2, 2015, and these preferred shares will be converted on a one-for-one basis upon the closing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40" w:type="dxa"/>
            <w:vAlign w:val="bottom"/>
            <w:gridSpan w:val="2"/>
          </w:tcPr>
          <w:p>
            <w:pPr>
              <w:jc w:val="right"/>
              <w:ind w:right="313"/>
              <w:spacing w:after="0" w:line="142" w:lineRule="exact"/>
              <w:rPr>
                <w:sz w:val="20"/>
                <w:szCs w:val="20"/>
                <w:color w:val="auto"/>
              </w:rPr>
            </w:pPr>
            <w:r>
              <w:rPr>
                <w:rFonts w:ascii="Arial" w:cs="Arial" w:eastAsia="Arial" w:hAnsi="Arial"/>
                <w:sz w:val="14"/>
                <w:szCs w:val="14"/>
                <w:b w:val="1"/>
                <w:bCs w:val="1"/>
                <w:color w:val="auto"/>
              </w:rPr>
              <w:t>(in CHF ‘000)</w:t>
            </w: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76,522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5420" w:type="dxa"/>
            <w:vAlign w:val="bottom"/>
            <w:gridSpan w:val="2"/>
          </w:tcPr>
          <w:p>
            <w:pPr>
              <w:jc w:val="right"/>
              <w:ind w:right="188"/>
              <w:spacing w:after="0"/>
              <w:rPr>
                <w:sz w:val="20"/>
                <w:szCs w:val="20"/>
                <w:color w:val="auto"/>
              </w:rPr>
            </w:pPr>
            <w:r>
              <w:rPr>
                <w:rFonts w:ascii="Arial" w:cs="Arial" w:eastAsia="Arial" w:hAnsi="Arial"/>
                <w:sz w:val="18"/>
                <w:szCs w:val="18"/>
                <w:color w:val="auto"/>
              </w:rPr>
              <w:t>79,931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30,296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(40,381)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5420" w:type="dxa"/>
            <w:vAlign w:val="bottom"/>
            <w:gridSpan w:val="2"/>
          </w:tcPr>
          <w:p>
            <w:pPr>
              <w:jc w:val="right"/>
              <w:ind w:right="188"/>
              <w:spacing w:after="0"/>
              <w:rPr>
                <w:sz w:val="20"/>
                <w:szCs w:val="20"/>
                <w:color w:val="auto"/>
              </w:rPr>
            </w:pPr>
            <w:r>
              <w:rPr>
                <w:rFonts w:ascii="Arial" w:cs="Arial" w:eastAsia="Arial" w:hAnsi="Arial"/>
                <w:sz w:val="18"/>
                <w:szCs w:val="18"/>
                <w:color w:val="auto"/>
              </w:rPr>
              <w:t>71,043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23,467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5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79,931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30,296</w:t>
            </w:r>
          </w:p>
        </w:tc>
      </w:tr>
      <w:tr>
        <w:trPr>
          <w:trHeight w:val="365"/>
        </w:trPr>
        <w:tc>
          <w:tcPr>
            <w:tcW w:w="330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Arial" w:cs="Arial" w:eastAsia="Arial" w:hAnsi="Arial"/>
                <w:sz w:val="18"/>
                <w:szCs w:val="18"/>
                <w:color w:val="auto"/>
              </w:rPr>
              <w:t>67</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11.2 million for the year ended December 31, 2013. In addition, we had accumulated losses of CHF 40.4 million as at December 31, 2015.</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7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The total future payments that we would be entitled to under the agreement for clinical milestones amounts to CHF 83.5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significant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employment costs, by major development program for the periods covered by this “Management’s Discussion and Analysis of Financial Condition and Results of Operations” section.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9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40" w:type="dxa"/>
            <w:vAlign w:val="bottom"/>
          </w:tcPr>
          <w:p>
            <w:pPr>
              <w:spacing w:after="0"/>
              <w:rPr>
                <w:sz w:val="14"/>
                <w:szCs w:val="14"/>
                <w:color w:val="auto"/>
              </w:rPr>
            </w:pPr>
          </w:p>
        </w:tc>
        <w:tc>
          <w:tcPr>
            <w:tcW w:w="1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50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940" w:type="dxa"/>
            <w:vAlign w:val="bottom"/>
          </w:tcPr>
          <w:p>
            <w:pPr>
              <w:spacing w:after="0"/>
              <w:rPr>
                <w:sz w:val="13"/>
                <w:szCs w:val="13"/>
                <w:color w:val="auto"/>
              </w:rPr>
            </w:pPr>
          </w:p>
        </w:tc>
        <w:tc>
          <w:tcPr>
            <w:tcW w:w="146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2"/>
              </w:rPr>
              <w:t>(in CHF thousands)</w:t>
            </w:r>
          </w:p>
        </w:tc>
        <w:tc>
          <w:tcPr>
            <w:tcW w:w="4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1,292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ACI-35</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3,611</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1,495</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940" w:type="dxa"/>
            <w:vAlign w:val="bottom"/>
            <w:gridSpan w:val="2"/>
          </w:tcPr>
          <w:p>
            <w:pPr>
              <w:ind w:left="240"/>
              <w:spacing w:after="0"/>
              <w:rPr>
                <w:sz w:val="20"/>
                <w:szCs w:val="20"/>
                <w:color w:val="auto"/>
              </w:rPr>
            </w:pPr>
            <w:r>
              <w:rPr>
                <w:rFonts w:ascii="Arial" w:cs="Arial" w:eastAsia="Arial" w:hAnsi="Arial"/>
                <w:sz w:val="18"/>
                <w:szCs w:val="18"/>
                <w:color w:val="auto"/>
              </w:rPr>
              <w:t>757</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1,315</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89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8,470</w:t>
            </w:r>
          </w:p>
        </w:tc>
        <w:tc>
          <w:tcPr>
            <w:tcW w:w="440" w:type="dxa"/>
            <w:vAlign w:val="bottom"/>
          </w:tcPr>
          <w:p>
            <w:pPr>
              <w:spacing w:after="0"/>
              <w:rPr>
                <w:sz w:val="19"/>
                <w:szCs w:val="19"/>
                <w:color w:val="auto"/>
              </w:rPr>
            </w:pPr>
          </w:p>
        </w:tc>
        <w:tc>
          <w:tcPr>
            <w:tcW w:w="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4"/>
              </w:rPr>
              <w:t>8,325</w:t>
            </w:r>
          </w:p>
        </w:tc>
        <w:tc>
          <w:tcPr>
            <w:tcW w:w="4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at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4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9"/>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16,116</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salaries and related costs, excluding share-based compensation, related to our research and development activities rose by CHF 0.2 million to CHF 5.9 million for the year ended December 31, 2015 from CHF 5.7 million for the year ended December 31, 2014. The increase is due to an average increase in the base compensation of 1.4% and the addition of two scientists to our research and development team.</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December 31, 2015, we had cash and cash equivalents of CHF 76.5 million. At December 31, 2015, after giving effect to the Series E Private Placement Extension, we would have had cash and cash equivalents of CHF 89.3 million.</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88"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at December 31, 2015 we had cash balances totaling CHF 76.5 million. The increase is due to</w:t>
      </w:r>
    </w:p>
    <w:p>
      <w:pPr>
        <w:ind w:firstLine="8"/>
        <w:spacing w:after="0" w:line="281" w:lineRule="auto"/>
        <w:tabs>
          <w:tab w:leader="none" w:pos="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receipt of proceeds from three clinical milestones totaling over CHF 64.6 million and (ii) the $30 million in proceeds from the Series E Private Placement that closed in October 2015.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and expenditures and assuming our receipt of the net proceeds from this</w:t>
      </w:r>
    </w:p>
    <w:p>
      <w:pPr>
        <w:spacing w:after="0" w:line="2"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offering in the amount of $ (based on the midpoint of the range set forth in the cover of this prospectus), we believe that our existing capital resources (including the proceeds we received from the Series E Private Placement, as described below under “—Subsequent Event—Series E Private Placement”) will</w:t>
      </w:r>
    </w:p>
    <w:p>
      <w:pPr>
        <w:spacing w:after="0" w:line="1"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be sufficient to meet our projected operating 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preparing our financial statements as at and for the year ended December 31, 2014,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setting up an internal audit department to review our internal control processes, policies and procedures to ensure compliance with the Sarbanes-</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Oxley Act.</w:t>
      </w:r>
    </w:p>
    <w:p>
      <w:pPr>
        <w:spacing w:after="0" w:line="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Although we have been implementing these measures as of December 31, 2015,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upon completion of this offering.</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board of directors has the authority to accelerate the vesting of all outstanding unvested options granted to employees prior to July 2014, in the event of an initial public offering. Pursuant to a board decision on October 13, 2015, if we are successful in completing this offering, the board will accelerate a total of 129,250 options which were granted to directors and executive officers which were tied to the consummation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 Extension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On April 15, 2016, we completed an extension of a private placement of Series E preferred shares, each with a nominal value of CHF 0.02 per share (the “Series E Private Placement Extension”). An aggregate of 1,401,792 Series E preferred shares were issued to certain strategic investors, individuals and existing shareholders in the Series E Private Placement for an aggregate subscription amount of approximately $13.5 million.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at December 31, 2015 we had cash and cash equivalents of CHF 76.5 million (or CHF 89.3 million after giving effect to the Series E Private Placement Extension),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8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3"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29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0573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jc w:val="both"/>
        <w:ind w:left="900" w:right="360" w:hanging="325"/>
        <w:spacing w:after="0" w:line="31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64" w:lineRule="auto"/>
        <w:rPr>
          <w:sz w:val="20"/>
          <w:szCs w:val="20"/>
          <w:color w:val="auto"/>
        </w:rPr>
      </w:pPr>
      <w:r>
        <w:rPr>
          <w:rFonts w:ascii="Arial" w:cs="Arial" w:eastAsia="Arial" w:hAnsi="Arial"/>
          <w:sz w:val="18"/>
          <w:szCs w:val="18"/>
          <w:color w:val="auto"/>
        </w:rPr>
        <w:t>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83" w:lineRule="exact"/>
        <w:rPr>
          <w:sz w:val="20"/>
          <w:szCs w:val="20"/>
          <w:color w:val="auto"/>
        </w:rPr>
      </w:pPr>
    </w:p>
    <w:p>
      <w:pPr>
        <w:ind w:left="900" w:right="80" w:hanging="325"/>
        <w:spacing w:after="0" w:line="25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73880" cy="1869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738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955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607310" cy="1560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58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9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December 31, 2015,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8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681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-19050</wp:posOffset>
            </wp:positionV>
            <wp:extent cx="4081780" cy="2066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8178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20" w:hanging="446"/>
        <w:spacing w:after="0" w:line="302" w:lineRule="auto"/>
        <w:tabs>
          <w:tab w:leader="none" w:pos="14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220" w:hanging="446"/>
        <w:spacing w:after="0" w:line="277"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1060" w:type="dxa"/>
            <w:vAlign w:val="bottom"/>
          </w:tcPr>
          <w:p>
            <w:pPr>
              <w:spacing w:after="0"/>
              <w:rPr>
                <w:sz w:val="16"/>
                <w:szCs w:val="16"/>
                <w:color w:val="auto"/>
              </w:rPr>
            </w:pPr>
          </w:p>
        </w:tc>
        <w:tc>
          <w:tcPr>
            <w:tcW w:w="2280" w:type="dxa"/>
            <w:vAlign w:val="bottom"/>
          </w:tcPr>
          <w:p>
            <w:pPr>
              <w:ind w:left="480"/>
              <w:spacing w:after="0"/>
              <w:rPr>
                <w:sz w:val="20"/>
                <w:szCs w:val="20"/>
                <w:color w:val="auto"/>
              </w:rPr>
            </w:pPr>
            <w:r>
              <w:rPr>
                <w:rFonts w:ascii="Arial" w:cs="Arial" w:eastAsia="Arial" w:hAnsi="Arial"/>
                <w:sz w:val="14"/>
                <w:szCs w:val="14"/>
                <w:b w:val="1"/>
                <w:bCs w:val="1"/>
                <w:color w:val="auto"/>
              </w:rPr>
              <w:t>Stage of development</w:t>
            </w:r>
          </w:p>
        </w:tc>
        <w:tc>
          <w:tcPr>
            <w:tcW w:w="3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0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1060" w:type="dxa"/>
            <w:vAlign w:val="bottom"/>
            <w:vMerge w:val="continue"/>
            <w:shd w:val="clear" w:color="auto" w:fill="CCEEFF"/>
          </w:tcPr>
          <w:p>
            <w:pPr>
              <w:spacing w:after="0"/>
              <w:rPr>
                <w:sz w:val="15"/>
                <w:szCs w:val="15"/>
                <w:color w:val="auto"/>
              </w:rPr>
            </w:pPr>
          </w:p>
        </w:tc>
        <w:tc>
          <w:tcPr>
            <w:tcW w:w="228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Phase 3</w:t>
            </w:r>
          </w:p>
        </w:tc>
        <w:tc>
          <w:tcPr>
            <w:tcW w:w="30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jc w:val="right"/>
              <w:ind w:right="19"/>
              <w:spacing w:after="0" w:line="178" w:lineRule="exact"/>
              <w:rPr>
                <w:sz w:val="20"/>
                <w:szCs w:val="20"/>
                <w:color w:val="auto"/>
              </w:rPr>
            </w:pPr>
            <w:r>
              <w:rPr>
                <w:rFonts w:ascii="Arial" w:cs="Arial" w:eastAsia="Arial" w:hAnsi="Arial"/>
                <w:sz w:val="18"/>
                <w:szCs w:val="18"/>
                <w:color w:val="auto"/>
                <w:w w:val="86"/>
              </w:rPr>
              <w:t>IgG4</w:t>
            </w:r>
          </w:p>
        </w:tc>
        <w:tc>
          <w:tcPr>
            <w:tcW w:w="40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106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3340" w:type="dxa"/>
            <w:vAlign w:val="bottom"/>
            <w:gridSpan w:val="2"/>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10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3340" w:type="dxa"/>
            <w:vAlign w:val="bottom"/>
            <w:gridSpan w:val="2"/>
            <w:shd w:val="clear" w:color="auto" w:fill="CCEEFF"/>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106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3340" w:type="dxa"/>
            <w:vAlign w:val="bottom"/>
            <w:gridSpan w:val="2"/>
          </w:tcPr>
          <w:p>
            <w:pPr>
              <w:ind w:left="1060"/>
              <w:spacing w:after="0" w:line="198" w:lineRule="exact"/>
              <w:rPr>
                <w:sz w:val="20"/>
                <w:szCs w:val="20"/>
                <w:color w:val="auto"/>
              </w:rPr>
            </w:pPr>
            <w:r>
              <w:rPr>
                <w:rFonts w:ascii="Arial" w:cs="Arial" w:eastAsia="Arial" w:hAnsi="Arial"/>
                <w:sz w:val="18"/>
                <w:szCs w:val="18"/>
                <w:color w:val="auto"/>
              </w:rPr>
              <w:t>Phase 3</w:t>
            </w:r>
          </w:p>
        </w:tc>
        <w:tc>
          <w:tcPr>
            <w:tcW w:w="1160" w:type="dxa"/>
            <w:vAlign w:val="bottom"/>
            <w:gridSpan w:val="3"/>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10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3340" w:type="dxa"/>
            <w:vAlign w:val="bottom"/>
            <w:gridSpan w:val="2"/>
            <w:shd w:val="clear" w:color="auto" w:fill="CCEEFF"/>
          </w:tcPr>
          <w:p>
            <w:pPr>
              <w:ind w:left="1060"/>
              <w:spacing w:after="0" w:line="198" w:lineRule="exact"/>
              <w:rPr>
                <w:sz w:val="20"/>
                <w:szCs w:val="20"/>
                <w:color w:val="auto"/>
              </w:rPr>
            </w:pPr>
            <w:r>
              <w:rPr>
                <w:rFonts w:ascii="Arial" w:cs="Arial" w:eastAsia="Arial" w:hAnsi="Arial"/>
                <w:sz w:val="18"/>
                <w:szCs w:val="18"/>
                <w:color w:val="auto"/>
              </w:rPr>
              <w:t>Terminated after Phase 3</w:t>
            </w:r>
          </w:p>
        </w:tc>
        <w:tc>
          <w:tcPr>
            <w:tcW w:w="1160" w:type="dxa"/>
            <w:vAlign w:val="bottom"/>
            <w:gridSpan w:val="3"/>
            <w:shd w:val="clear" w:color="auto" w:fill="CCEEFF"/>
          </w:tcPr>
          <w:p>
            <w:pPr>
              <w:jc w:val="right"/>
              <w:ind w:right="500"/>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10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0165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501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An exploratory subanalysis in a non-pre-specified subgroup of patients with milder symptoms (MMSE 22-26) showed a 35.4% reduction in cognitive decline. The sample size of the study was not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20"/>
          </w:cols>
          <w:pgMar w:left="24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6327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324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387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171450</wp:posOffset>
            </wp:positionV>
            <wp:extent cx="5213985" cy="257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075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900" w:type="dxa"/>
            <w:vAlign w:val="bottom"/>
          </w:tcPr>
          <w:p>
            <w:pPr>
              <w:spacing w:after="0"/>
              <w:rPr>
                <w:sz w:val="16"/>
                <w:szCs w:val="16"/>
                <w:color w:val="auto"/>
              </w:rPr>
            </w:pP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tau</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00"/>
        <w:spacing w:after="0" w:line="312" w:lineRule="auto"/>
        <w:rPr>
          <w:sz w:val="20"/>
          <w:szCs w:val="20"/>
          <w:color w:val="auto"/>
        </w:rPr>
      </w:pPr>
      <w:r>
        <w:rPr>
          <w:rFonts w:ascii="Arial" w:cs="Arial" w:eastAsia="Arial" w:hAnsi="Arial"/>
          <w:sz w:val="16"/>
          <w:szCs w:val="16"/>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52" w:lineRule="exact"/>
        <w:rPr>
          <w:sz w:val="20"/>
          <w:szCs w:val="20"/>
          <w:color w:val="auto"/>
        </w:rPr>
      </w:pPr>
    </w:p>
    <w:p>
      <w:pPr>
        <w:ind w:left="900" w:right="80" w:hanging="325"/>
        <w:spacing w:after="0" w:line="30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14, 2016, we owned or co-owned approximately 21 issued U.S. patents and 144 issued patents in other jurisdictions, as well as 19 pending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patent applications and 324 pending foreign patent applications. As of April 14, 2016, we licensed approximately 11 issued U.S. patents and 13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applications, as well as 92 issued patents in other jurisdictions and 243 pending foreign patent applications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April 14,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patent portfolio for crenezumab includes composition of matter claims (including for the humanized crenezumab monoclonal antibody, of a fragment thereof, a polynucleotide encoding the antibody or fragment thereof, a cell line used to produce the crenezumab antibody as well as pharmaceutical compositions comprising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crenezumab), claims directed to treating certain indications using crenezumab including AD, and claims directed to a method of manufacturing crenezumab. Our patent portfolio includes three patent families that are directed to a humanized IgG4 antibody, methods of using such humanized IgG4 antibody for ocular indications, and the murine antibody equivalent.</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patent portfolio for crenezumab consists of approximately 32 issued patents and 55 pending patent applications in 34 countries. With respect to the patent family directed to a humanized IgG4 antibody, we own three issued U.S. patents and one pending U.S. patent application. The PCT patent filing date for such humanized IgG4 antibody patent family is July 13, 2007. The issued patents from this patent family, if the appropriate maintenance, renewal, annuity or other governmental fees are paid, are expected to expire in 2027, excluding any additional term for patent term adjustments or patent term extensions.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21 issued patents and 14 pending patent applications in 30 countries. With respect to the U.S., we own two issued U.S. patents.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nine issued patents and 20 pending patent applications in 27 countries. With respect to the U.S., we own one issued U.S. patent.</w:t>
      </w:r>
    </w:p>
    <w:p>
      <w:pPr>
        <w:spacing w:after="0" w:line="170"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we employed 54 employees, 9 of whom were part-time employees. 29 of our employees hold Ph.D. degrees and 15 hold M.Sc. degrees. Our 54 employees are from over 21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40"/>
          </w:cols>
          <w:pgMar w:left="240" w:top="459" w:right="3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and, directors and director nominees, including their ages, as of April 28, 2016. The term of each of our directors is one year and, accordingly, will expire at our 2016 annual shareholder meeting to be held prior to June 30,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Non-Executive Directors</w:t>
            </w:r>
          </w:p>
        </w:tc>
        <w:tc>
          <w:tcPr>
            <w:tcW w:w="512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Nominee: </w:t>
      </w:r>
      <w:r>
        <w:rPr>
          <w:rFonts w:ascii="Arial" w:cs="Arial" w:eastAsia="Arial" w:hAnsi="Arial"/>
          <w:sz w:val="16"/>
          <w:szCs w:val="16"/>
          <w:color w:val="auto"/>
        </w:rPr>
        <w:t>Dr. Pfeifer co-founded AC Immune in April 2003,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serve as a director on our board effective upon completion of this offering.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 Pfeifer is a member of the CEOi Initiative on Alzheimer’s Disease.</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Martin Velasco, Chairman and Director: </w:t>
      </w:r>
      <w:r>
        <w:rPr>
          <w:rFonts w:ascii="Arial" w:cs="Arial" w:eastAsia="Arial" w:hAnsi="Arial"/>
          <w:sz w:val="18"/>
          <w:szCs w:val="18"/>
          <w:color w:val="auto"/>
        </w:rPr>
        <w:t>Mr. Velasco has served on our board of directors since December 2003. Martin Velasco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Angel with extensive experience in the IT, medical and biotech areas. He serves on the board of directors or advisory board of several other high-tech</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7"/>
          <w:szCs w:val="17"/>
          <w:b w:val="1"/>
          <w:bCs w:val="1"/>
          <w:color w:val="auto"/>
        </w:rPr>
        <w:t>+</w:t>
      </w:r>
      <w:r>
        <w:rPr>
          <w:rFonts w:ascii="Arial" w:cs="Arial" w:eastAsia="Arial" w:hAnsi="Arial"/>
          <w:sz w:val="17"/>
          <w:szCs w:val="17"/>
          <w:color w:val="auto"/>
        </w:rPr>
        <w:t xml:space="preserve"> and Vice Chairman of the European Tech Tour Association.</w:t>
      </w:r>
    </w:p>
    <w:p>
      <w:pPr>
        <w:spacing w:after="0" w:line="17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left="460"/>
        <w:spacing w:after="0"/>
        <w:tabs>
          <w:tab w:leader="none" w:pos="7120" w:val="left"/>
        </w:tabs>
        <w:rPr>
          <w:sz w:val="20"/>
          <w:szCs w:val="20"/>
          <w:color w:val="auto"/>
        </w:rPr>
      </w:pPr>
      <w:r>
        <w:rPr>
          <w:rFonts w:ascii="Arial" w:cs="Arial" w:eastAsia="Arial" w:hAnsi="Arial"/>
          <w:sz w:val="18"/>
          <w:szCs w:val="18"/>
          <w:color w:val="auto"/>
        </w:rPr>
        <w:t>Our board of directors is composed of five members and will be expanded to a total of</w:t>
      </w:r>
      <w:r>
        <w:rPr>
          <w:sz w:val="20"/>
          <w:szCs w:val="20"/>
          <w:color w:val="auto"/>
        </w:rPr>
        <w:tab/>
      </w:r>
      <w:r>
        <w:rPr>
          <w:rFonts w:ascii="Arial" w:cs="Arial" w:eastAsia="Arial" w:hAnsi="Arial"/>
          <w:sz w:val="16"/>
          <w:szCs w:val="16"/>
          <w:color w:val="auto"/>
        </w:rPr>
        <w:t>members upon completion of this offering. Each director is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elected for a one-year term. The current members of our board of directors were appointed at a shareholders’ meeting held on April 14, 2015 to serve until the 2016 shareholders’ meeting to be held prior to June 30,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w:t>
      </w:r>
    </w:p>
    <w:p>
      <w:pPr>
        <w:spacing w:after="0" w:line="254" w:lineRule="auto"/>
        <w:rPr>
          <w:sz w:val="20"/>
          <w:szCs w:val="20"/>
          <w:color w:val="auto"/>
        </w:rPr>
      </w:pPr>
      <w:r>
        <w:rPr>
          <w:rFonts w:ascii="Arial" w:cs="Arial" w:eastAsia="Arial" w:hAnsi="Arial"/>
          <w:sz w:val="18"/>
          <w:szCs w:val="18"/>
          <w:color w:val="auto"/>
        </w:rPr>
        <w:t>taking account any applicable committee independence standards, , and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The audit and finance committee, which is expected to consist of , and ,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will serve</w:t>
      </w:r>
    </w:p>
    <w:p>
      <w:pPr>
        <w:spacing w:after="0"/>
        <w:rPr>
          <w:sz w:val="20"/>
          <w:szCs w:val="20"/>
          <w:color w:val="auto"/>
        </w:rPr>
      </w:pPr>
      <w:r>
        <w:rPr>
          <w:rFonts w:ascii="Arial" w:cs="Arial" w:eastAsia="Arial" w:hAnsi="Arial"/>
          <w:sz w:val="16"/>
          <w:szCs w:val="16"/>
          <w:color w:val="auto"/>
        </w:rPr>
        <w:t>as Chairman of the committee. The audit and finance committee will consist exclusively of members of our supervisory board who are financially literate, and</w:t>
      </w:r>
    </w:p>
    <w:p>
      <w:pPr>
        <w:spacing w:after="0" w:line="386" w:lineRule="exact"/>
        <w:rPr>
          <w:sz w:val="20"/>
          <w:szCs w:val="20"/>
          <w:color w:val="auto"/>
        </w:rPr>
      </w:pPr>
    </w:p>
    <w:p>
      <w:pPr>
        <w:ind w:right="140" w:firstLine="1305"/>
        <w:spacing w:after="0" w:line="264" w:lineRule="auto"/>
        <w:rPr>
          <w:sz w:val="20"/>
          <w:szCs w:val="20"/>
          <w:color w:val="auto"/>
        </w:rPr>
      </w:pPr>
      <w:r>
        <w:rPr>
          <w:rFonts w:ascii="Arial" w:cs="Arial" w:eastAsia="Arial" w:hAnsi="Arial"/>
          <w:sz w:val="18"/>
          <w:szCs w:val="18"/>
          <w:color w:val="auto"/>
        </w:rPr>
        <w:t>is considered an “audit committee financial expert” as defined by the SEC. Our board of directors has determined that satisfies the “independence” requirements set forth in Rule 10A-3 under the Exchange Act and that upon the consummation of this offering will satisfy such “independence” requirements.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 discuss with the chief financial officer and the independent auditor and approve (i) the annual and quarterly financial statements, (ii) reports intended for publication and (iii) any other financial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76" w:lineRule="exact"/>
        <w:rPr>
          <w:sz w:val="20"/>
          <w:szCs w:val="20"/>
          <w:color w:val="auto"/>
        </w:rPr>
      </w:pPr>
    </w:p>
    <w:p>
      <w:pPr>
        <w:ind w:left="900" w:right="120" w:hanging="325"/>
        <w:spacing w:after="0" w:line="25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left="460"/>
        <w:spacing w:after="0"/>
        <w:tabs>
          <w:tab w:leader="none" w:pos="7560" w:val="left"/>
          <w:tab w:leader="none" w:pos="8220" w:val="left"/>
          <w:tab w:leader="none" w:pos="9080" w:val="left"/>
        </w:tabs>
        <w:rPr>
          <w:sz w:val="20"/>
          <w:szCs w:val="20"/>
          <w:color w:val="auto"/>
        </w:rPr>
      </w:pPr>
      <w:r>
        <w:rPr>
          <w:rFonts w:ascii="Arial" w:cs="Arial" w:eastAsia="Arial" w:hAnsi="Arial"/>
          <w:sz w:val="17"/>
          <w:szCs w:val="17"/>
          <w:color w:val="auto"/>
        </w:rPr>
        <w:t>The compensation, nomination and governance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assist our board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at December 31, 2015, there were 366,000 and 3,032,500 common shares underlying outstanding unvested options and vested options granted pursuant to our Prior Plans, respectively.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129,250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options issued under Plan A was CHF 0.93186. However, this exercise price was amended in June 2015 with the approval of our board of directors to be CHF 0.14548. As a result, as at December 31, 2015, all options outstanding under our Prior Plans have an exercise price of CHF 0.14548.</w:t>
      </w:r>
    </w:p>
    <w:p>
      <w:pPr>
        <w:spacing w:after="0" w:line="14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purchase price at which we are allowed to acquire the shares, at our sole discretion, is the original purchase price of CHF 2,000 per share, plus 0.25% per month starting on July 15, 2016. Our right to repurchase the shares will lapse on the first day of trading of our shares.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2015, we have granted our executive officers, in the aggregate, the right to acquire 196,750 shares at a price of CHF 0.14548 per share. Contingent upon continued employment and approval of our Board of Directors, such options will vest as follows:</w:t>
      </w:r>
    </w:p>
    <w:p>
      <w:pPr>
        <w:spacing w:after="0" w:line="87" w:lineRule="exact"/>
        <w:rPr>
          <w:sz w:val="20"/>
          <w:szCs w:val="20"/>
          <w:color w:val="auto"/>
        </w:rPr>
      </w:pPr>
    </w:p>
    <w:p>
      <w:pPr>
        <w:ind w:left="900" w:right="600" w:hanging="325"/>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45,000 shares which became purchasable on July 1, 2015, on a monthly basis over a 24-month period but become fully exerciseable upon completion of the offering at a price of CHF 36.37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98,500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53,250 shares which will become purchasable starting on July 1, 2017, on a monthly basis over a 48-month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PRINCIPAL SHAREHOLDERS</w:t>
            </w:r>
          </w:p>
        </w:tc>
        <w:tc>
          <w:tcPr>
            <w:tcW w:w="2900" w:type="dxa"/>
            <w:vAlign w:val="bottom"/>
          </w:tcPr>
          <w:p>
            <w:pPr>
              <w:spacing w:after="0"/>
              <w:rPr>
                <w:sz w:val="24"/>
                <w:szCs w:val="24"/>
                <w:color w:val="auto"/>
              </w:rPr>
            </w:pPr>
          </w:p>
        </w:tc>
      </w:tr>
      <w:tr>
        <w:trPr>
          <w:trHeight w:val="41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7"/>
              </w:rPr>
              <w:t>The following table presents information relating to the beneficial ownership of our common shares as of</w:t>
            </w:r>
          </w:p>
        </w:tc>
        <w:tc>
          <w:tcPr>
            <w:tcW w:w="2900" w:type="dxa"/>
            <w:vAlign w:val="bottom"/>
          </w:tcPr>
          <w:p>
            <w:pPr>
              <w:ind w:left="480"/>
              <w:spacing w:after="0"/>
              <w:rPr>
                <w:sz w:val="20"/>
                <w:szCs w:val="20"/>
                <w:color w:val="auto"/>
              </w:rPr>
            </w:pPr>
            <w:r>
              <w:rPr>
                <w:rFonts w:ascii="Arial" w:cs="Arial" w:eastAsia="Arial" w:hAnsi="Arial"/>
                <w:sz w:val="18"/>
                <w:szCs w:val="18"/>
                <w:color w:val="auto"/>
                <w:w w:val="90"/>
              </w:rPr>
              <w:t>, 2016, as if the conversion of our</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preferred shares into common shares on a one-for-one basis had occurred, by:</w:t>
            </w:r>
          </w:p>
        </w:tc>
        <w:tc>
          <w:tcPr>
            <w:tcW w:w="29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Upon completion of this offering, all of our outstanding preferred shares will be converted into common shares on a one-for-one basis and we will have only one class of shares issued and outstanding. All holders of our common shares will have the same voting rights upon the completion of this offering.</w:t>
      </w:r>
    </w:p>
    <w:p>
      <w:pPr>
        <w:spacing w:after="0" w:line="12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w:t>
      </w:r>
    </w:p>
    <w:p>
      <w:pPr>
        <w:ind w:right="240"/>
        <w:spacing w:after="0" w:line="255" w:lineRule="auto"/>
        <w:rPr>
          <w:sz w:val="20"/>
          <w:szCs w:val="20"/>
          <w:color w:val="auto"/>
        </w:rPr>
      </w:pPr>
      <w:r>
        <w:rPr>
          <w:rFonts w:ascii="Arial" w:cs="Arial" w:eastAsia="Arial" w:hAnsi="Arial"/>
          <w:sz w:val="18"/>
          <w:szCs w:val="18"/>
          <w:color w:val="auto"/>
        </w:rPr>
        <w:t>to acquire within 60 days of ,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0" w:lineRule="exact"/>
        <w:rPr>
          <w:sz w:val="20"/>
          <w:szCs w:val="20"/>
          <w:color w:val="auto"/>
        </w:rPr>
      </w:pPr>
    </w:p>
    <w:p>
      <w:pPr>
        <w:ind w:left="460"/>
        <w:spacing w:after="0"/>
        <w:tabs>
          <w:tab w:leader="none" w:pos="6400" w:val="left"/>
          <w:tab w:leader="none" w:pos="9740" w:val="left"/>
        </w:tabs>
        <w:rPr>
          <w:sz w:val="20"/>
          <w:szCs w:val="20"/>
          <w:color w:val="auto"/>
        </w:rPr>
      </w:pPr>
      <w:r>
        <w:rPr>
          <w:rFonts w:ascii="Arial" w:cs="Arial" w:eastAsia="Arial" w:hAnsi="Arial"/>
          <w:sz w:val="18"/>
          <w:szCs w:val="18"/>
          <w:color w:val="auto"/>
        </w:rPr>
        <w:t>The percentage of outstanding common shares is computed on the basis of</w:t>
      </w:r>
      <w:r>
        <w:rPr>
          <w:sz w:val="20"/>
          <w:szCs w:val="20"/>
          <w:color w:val="auto"/>
        </w:rPr>
        <w:tab/>
      </w:r>
      <w:r>
        <w:rPr>
          <w:rFonts w:ascii="Arial" w:cs="Arial" w:eastAsia="Arial" w:hAnsi="Arial"/>
          <w:sz w:val="18"/>
          <w:szCs w:val="18"/>
          <w:color w:val="auto"/>
        </w:rPr>
        <w:t>common shares outstanding as of</w:t>
      </w:r>
      <w:r>
        <w:rPr>
          <w:sz w:val="20"/>
          <w:szCs w:val="20"/>
          <w:color w:val="auto"/>
        </w:rPr>
        <w:tab/>
      </w:r>
      <w:r>
        <w:rPr>
          <w:rFonts w:ascii="Arial" w:cs="Arial" w:eastAsia="Arial" w:hAnsi="Arial"/>
          <w:sz w:val="15"/>
          <w:szCs w:val="15"/>
          <w:color w:val="auto"/>
        </w:rPr>
        <w:t>, 2016, based on the</w:t>
      </w:r>
    </w:p>
    <w:p>
      <w:pPr>
        <w:spacing w:after="0" w:line="23"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midpoint of the price range stated on the front cover of this prospectus. Common shares that a person has the right to acquire within 60 days of</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at</w:t>
      </w:r>
    </w:p>
    <w:p>
      <w:pPr>
        <w:spacing w:after="0" w:line="2" w:lineRule="exact"/>
        <w:rPr>
          <w:sz w:val="20"/>
          <w:szCs w:val="20"/>
          <w:color w:val="auto"/>
        </w:rPr>
      </w:pPr>
    </w:p>
    <w:p>
      <w:pPr>
        <w:spacing w:after="0"/>
        <w:tabs>
          <w:tab w:leader="none" w:pos="2500" w:val="left"/>
          <w:tab w:leader="none" w:pos="6340" w:val="left"/>
        </w:tabs>
        <w:rPr>
          <w:sz w:val="20"/>
          <w:szCs w:val="20"/>
          <w:color w:val="auto"/>
        </w:rPr>
      </w:pPr>
      <w:r>
        <w:rPr>
          <w:rFonts w:ascii="Arial" w:cs="Arial" w:eastAsia="Arial" w:hAnsi="Arial"/>
          <w:sz w:val="18"/>
          <w:szCs w:val="18"/>
          <w:color w:val="auto"/>
        </w:rPr>
        <w:t>December 31, 2015, a total of</w:t>
      </w:r>
      <w:r>
        <w:rPr>
          <w:sz w:val="20"/>
          <w:szCs w:val="20"/>
          <w:color w:val="auto"/>
        </w:rPr>
        <w:tab/>
      </w:r>
      <w:r>
        <w:rPr>
          <w:rFonts w:ascii="Arial" w:cs="Arial" w:eastAsia="Arial" w:hAnsi="Arial"/>
          <w:sz w:val="18"/>
          <w:szCs w:val="18"/>
          <w:color w:val="auto"/>
        </w:rPr>
        <w:t>of our common shares were held by a total of</w:t>
      </w:r>
      <w:r>
        <w:rPr>
          <w:sz w:val="20"/>
          <w:szCs w:val="20"/>
          <w:color w:val="auto"/>
        </w:rPr>
        <w:tab/>
      </w:r>
      <w:r>
        <w:rPr>
          <w:rFonts w:ascii="Arial" w:cs="Arial" w:eastAsia="Arial" w:hAnsi="Arial"/>
          <w:sz w:val="16"/>
          <w:szCs w:val="16"/>
          <w:color w:val="auto"/>
        </w:rPr>
        <w:t>U.S. record holders.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580" w:firstLine="900"/>
        <w:spacing w:after="0" w:line="261" w:lineRule="auto"/>
        <w:rPr>
          <w:sz w:val="20"/>
          <w:szCs w:val="20"/>
          <w:color w:val="auto"/>
        </w:rPr>
      </w:pPr>
      <w:r>
        <w:rPr>
          <w:rFonts w:ascii="Arial" w:cs="Arial" w:eastAsia="Arial" w:hAnsi="Arial"/>
          <w:sz w:val="18"/>
          <w:szCs w:val="18"/>
          <w:color w:val="auto"/>
        </w:rPr>
        <w:t>, 2016. The percentage of common shares beneficially owned after this offering is based on common shares that will be issued and outstanding upon the completion of this offering.</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dievini Hopp BioTech holding GmbH &amp; Co KG</w:t>
      </w:r>
    </w:p>
    <w:p>
      <w:pPr>
        <w:spacing w:after="0"/>
        <w:rPr>
          <w:sz w:val="20"/>
          <w:szCs w:val="20"/>
          <w:color w:val="auto"/>
        </w:rPr>
      </w:pPr>
      <w:r>
        <w:rPr>
          <w:rFonts w:ascii="Arial" w:cs="Arial" w:eastAsia="Arial" w:hAnsi="Arial"/>
          <w:sz w:val="14"/>
          <w:szCs w:val="14"/>
          <w:color w:val="auto"/>
        </w:rPr>
        <w:t>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w:t>
      </w:r>
    </w:p>
    <w:p>
      <w:pPr>
        <w:spacing w:after="0" w:line="226" w:lineRule="auto"/>
        <w:rPr>
          <w:sz w:val="20"/>
          <w:szCs w:val="20"/>
          <w:color w:val="auto"/>
        </w:rPr>
      </w:pPr>
      <w:r>
        <w:rPr>
          <w:rFonts w:ascii="Arial" w:cs="Arial" w:eastAsia="Arial" w:hAnsi="Arial"/>
          <w:sz w:val="14"/>
          <w:szCs w:val="14"/>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Andreas Muhs</w:t>
      </w:r>
    </w:p>
    <w:p>
      <w:pPr>
        <w:spacing w:after="0" w:line="221" w:lineRule="auto"/>
        <w:rPr>
          <w:sz w:val="20"/>
          <w:szCs w:val="20"/>
          <w:color w:val="auto"/>
        </w:rPr>
      </w:pPr>
      <w:r>
        <w:rPr>
          <w:rFonts w:ascii="Arial" w:cs="Arial" w:eastAsia="Arial" w:hAnsi="Arial"/>
          <w:sz w:val="14"/>
          <w:szCs w:val="14"/>
          <w:color w:val="auto"/>
        </w:rPr>
        <w:t>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Jean-Fabien Monin</w:t>
      </w:r>
    </w:p>
    <w:p>
      <w:pPr>
        <w:spacing w:after="0" w:line="221" w:lineRule="auto"/>
        <w:rPr>
          <w:sz w:val="20"/>
          <w:szCs w:val="20"/>
          <w:color w:val="auto"/>
        </w:rPr>
      </w:pPr>
      <w:r>
        <w:rPr>
          <w:rFonts w:ascii="Arial" w:cs="Arial" w:eastAsia="Arial" w:hAnsi="Arial"/>
          <w:sz w:val="14"/>
          <w:szCs w:val="14"/>
          <w:color w:val="auto"/>
        </w:rPr>
        <w:t>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Mathias Hothum</w:t>
      </w:r>
    </w:p>
    <w:p>
      <w:pPr>
        <w:spacing w:after="0" w:line="221" w:lineRule="auto"/>
        <w:rPr>
          <w:sz w:val="20"/>
          <w:szCs w:val="20"/>
          <w:color w:val="auto"/>
        </w:rPr>
      </w:pPr>
      <w:r>
        <w:rPr>
          <w:rFonts w:ascii="Arial" w:cs="Arial" w:eastAsia="Arial" w:hAnsi="Arial"/>
          <w:sz w:val="14"/>
          <w:szCs w:val="14"/>
          <w:color w:val="auto"/>
        </w:rPr>
        <w:t>Detlev Riesner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Friedrich von Bohlen und Halbach</w:t>
      </w:r>
    </w:p>
    <w:p>
      <w:pPr>
        <w:spacing w:after="0" w:line="222" w:lineRule="auto"/>
        <w:rPr>
          <w:sz w:val="20"/>
          <w:szCs w:val="20"/>
          <w:color w:val="auto"/>
        </w:rPr>
      </w:pPr>
      <w:r>
        <w:rPr>
          <w:rFonts w:ascii="Arial" w:cs="Arial" w:eastAsia="Arial" w:hAnsi="Arial"/>
          <w:sz w:val="14"/>
          <w:szCs w:val="14"/>
          <w:color w:val="auto"/>
        </w:rPr>
        <w:t>Peter Bollmann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All executive officers and directors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 Indicates beneficial ownership of less than 1% of the total issued and outstanding common shares.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Shares Beneficially Owned</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Before This Offering</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After This Offering</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79"/>
        </w:trPr>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80" w:type="dxa"/>
            <w:vAlign w:val="bottom"/>
            <w:vMerge w:val="restart"/>
          </w:tcPr>
          <w:p>
            <w:pPr>
              <w:spacing w:after="0"/>
              <w:rPr>
                <w:sz w:val="6"/>
                <w:szCs w:val="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bl>
    <w:p>
      <w:pPr>
        <w:sectPr>
          <w:pgSz w:w="11900" w:h="16838" w:orient="portrait"/>
          <w:cols w:equalWidth="0" w:num="2">
            <w:col w:w="5840" w:space="600"/>
            <w:col w:w="4980"/>
          </w:cols>
          <w:pgMar w:left="240" w:top="446" w:right="2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of our existing shareholders and certain investors in the Series E Private Placement pursuant to which we granted them certain demand and piggyback registration rights for the resale of the common</w:t>
      </w:r>
    </w:p>
    <w:p>
      <w:pPr>
        <w:ind w:right="200"/>
        <w:spacing w:after="0" w:line="270" w:lineRule="auto"/>
        <w:rPr>
          <w:sz w:val="20"/>
          <w:szCs w:val="20"/>
          <w:color w:val="auto"/>
        </w:rPr>
      </w:pPr>
      <w:r>
        <w:rPr>
          <w:rFonts w:ascii="Arial" w:cs="Arial" w:eastAsia="Arial" w:hAnsi="Arial"/>
          <w:sz w:val="17"/>
          <w:szCs w:val="17"/>
          <w:color w:val="auto"/>
        </w:rPr>
        <w:t>shares held by them, as described below. The shareholders party to the registration rights agreement hold an aggregate of of our common shares, representing approximately %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40"/>
          </w:cols>
          <w:pgMar w:left="240" w:top="459" w:right="7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and (ii) the conversion of our preferred shares into common shares on a one-for-one</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basis, our issued fully paid-in share capital will consist of CHF divided into common shares with a nominal value of CHF 0.02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75"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Under our articles of association, our board of directors is authorized at any time until December 31, 2016 to increase our nominal share capital by a maximum aggregate amount of CHF 459,337.50 through the issuance of not more than 22,966,875 shares, which would have to be fully paid-in, with a nominal value of CHF 0.02 each.</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80"/>
          </w:cols>
          <w:pgMar w:left="240" w:top="460"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59"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59"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59" w:right="27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400"/>
          </w:cols>
          <w:pgMar w:left="240" w:top="460" w:right="2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59"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59"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59" w:right="259" w:bottom="1440" w:gutter="0" w:footer="0" w:header="0"/>
          <w:type w:val="continuous"/>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60"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1420"/>
          </w:cols>
          <w:pgMar w:left="240" w:top="460" w:right="23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pacing w:after="0" w:line="104" w:lineRule="exact"/>
        <w:rPr>
          <w:sz w:val="20"/>
          <w:szCs w:val="20"/>
          <w:color w:val="auto"/>
        </w:rPr>
      </w:pPr>
    </w:p>
    <w:p>
      <w:pPr>
        <w:sectPr>
          <w:pgSz w:w="11900" w:h="16838" w:orient="portrait"/>
          <w:cols w:equalWidth="0" w:num="2">
            <w:col w:w="5380" w:space="68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400"/>
          </w:cols>
          <w:pgMar w:left="240" w:top="459" w:right="25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420"/>
          </w:cols>
          <w:pgMar w:left="240" w:top="460" w:right="23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60"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2016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60"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60"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60" w:right="259" w:bottom="1440" w:gutter="0" w:footer="0" w:header="0"/>
          <w:type w:val="continuous"/>
        </w:sectPr>
      </w:pPr>
    </w:p>
    <w:p>
      <w:pPr>
        <w:ind w:left="900" w:right="28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of our directors, executive officers and the holders of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60"/>
          </w:cols>
          <w:pgMar w:left="240" w:top="460" w:right="3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have granted to the underwriters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and directors and all of our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w:t>
      </w:r>
    </w:p>
    <w:p>
      <w:pPr>
        <w:spacing w:after="0" w:line="255" w:lineRule="auto"/>
        <w:rPr>
          <w:sz w:val="20"/>
          <w:szCs w:val="20"/>
          <w:color w:val="auto"/>
        </w:rPr>
      </w:pPr>
      <w:r>
        <w:rPr>
          <w:rFonts w:ascii="Arial" w:cs="Arial" w:eastAsia="Arial" w:hAnsi="Arial"/>
          <w:sz w:val="18"/>
          <w:szCs w:val="18"/>
          <w:color w:val="auto"/>
        </w:rPr>
        <w:t>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90"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40" w:hanging="325"/>
        <w:spacing w:after="0" w:line="290" w:lineRule="auto"/>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80" w:hanging="446"/>
        <w:spacing w:after="0" w:line="264"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100" w:hanging="446"/>
        <w:spacing w:after="0" w:line="277"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sz w:val="20"/>
          <w:szCs w:val="20"/>
          <w:color w:val="auto"/>
        </w:rPr>
      </w:pPr>
    </w:p>
    <w:p>
      <w:pPr>
        <w:ind w:left="900" w:hanging="446"/>
        <w:spacing w:after="0" w:line="255"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right="20" w:hanging="446"/>
        <w:spacing w:after="0" w:line="312"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gridSpan w:val="3"/>
          </w:tcPr>
          <w:p>
            <w:pPr>
              <w:ind w:left="1380"/>
              <w:spacing w:after="0"/>
              <w:rPr>
                <w:sz w:val="20"/>
                <w:szCs w:val="20"/>
                <w:color w:val="auto"/>
              </w:rPr>
            </w:pPr>
            <w:r>
              <w:rPr>
                <w:rFonts w:ascii="Arial" w:cs="Arial" w:eastAsia="Arial" w:hAnsi="Arial"/>
                <w:sz w:val="14"/>
                <w:szCs w:val="14"/>
                <w:b w:val="1"/>
                <w:bCs w:val="1"/>
                <w:color w:val="auto"/>
              </w:rPr>
              <w:t>Expenses</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8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  To be provided by amendment.</w:t>
            </w: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40"/>
          </w:cols>
          <w:pgMar w:left="240" w:top="459" w:right="3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80"/>
          </w:cols>
          <w:pgMar w:left="240" w:top="459" w:right="27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508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6140" w:type="dxa"/>
            <w:vAlign w:val="bottom"/>
            <w:gridSpan w:val="7"/>
          </w:tcPr>
          <w:p>
            <w:pPr>
              <w:jc w:val="center"/>
              <w:ind w:right="1980"/>
              <w:spacing w:after="0"/>
              <w:rPr>
                <w:sz w:val="20"/>
                <w:szCs w:val="20"/>
                <w:color w:val="auto"/>
              </w:rPr>
            </w:pPr>
            <w:r>
              <w:rPr>
                <w:rFonts w:ascii="Arial" w:cs="Arial" w:eastAsia="Arial" w:hAnsi="Arial"/>
                <w:sz w:val="18"/>
                <w:szCs w:val="18"/>
                <w:b w:val="1"/>
                <w:bCs w:val="1"/>
                <w:color w:val="auto"/>
              </w:rPr>
              <w:t>INDEX TO FINANCIAL STATEMENTS</w:t>
            </w:r>
          </w:p>
        </w:tc>
        <w:tc>
          <w:tcPr>
            <w:tcW w:w="1540" w:type="dxa"/>
            <w:vAlign w:val="bottom"/>
          </w:tcPr>
          <w:p>
            <w:pPr>
              <w:spacing w:after="0"/>
              <w:rPr>
                <w:sz w:val="24"/>
                <w:szCs w:val="24"/>
                <w:color w:val="auto"/>
              </w:rPr>
            </w:pPr>
          </w:p>
        </w:tc>
      </w:tr>
      <w:tr>
        <w:trPr>
          <w:trHeight w:val="445"/>
        </w:trPr>
        <w:tc>
          <w:tcPr>
            <w:tcW w:w="5080" w:type="dxa"/>
            <w:vAlign w:val="bottom"/>
            <w:gridSpan w:val="4"/>
          </w:tcPr>
          <w:p>
            <w:pPr>
              <w:spacing w:after="0"/>
              <w:rPr>
                <w:sz w:val="20"/>
                <w:szCs w:val="20"/>
                <w:color w:val="auto"/>
              </w:rPr>
            </w:pPr>
            <w:r>
              <w:rPr>
                <w:rFonts w:ascii="Arial" w:cs="Arial" w:eastAsia="Arial" w:hAnsi="Arial"/>
                <w:sz w:val="18"/>
                <w:szCs w:val="18"/>
                <w:b w:val="1"/>
                <w:bCs w:val="1"/>
                <w:color w:val="auto"/>
              </w:rPr>
              <w:t>Audited Financial Statements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0"/>
        </w:trPr>
        <w:tc>
          <w:tcPr>
            <w:tcW w:w="5080" w:type="dxa"/>
            <w:vAlign w:val="bottom"/>
            <w:gridSpan w:val="4"/>
          </w:tcPr>
          <w:p>
            <w:pPr>
              <w:spacing w:after="0" w:line="190" w:lineRule="exact"/>
              <w:rPr>
                <w:sz w:val="20"/>
                <w:szCs w:val="20"/>
                <w:color w:val="auto"/>
              </w:rPr>
            </w:pPr>
            <w:r>
              <w:rPr>
                <w:rFonts w:ascii="Arial" w:cs="Arial" w:eastAsia="Arial" w:hAnsi="Arial"/>
                <w:sz w:val="18"/>
                <w:szCs w:val="18"/>
                <w:color w:val="0000EE"/>
              </w:rPr>
              <w:t>Report of Independent Registered Public Accounting Firm</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40" w:type="dxa"/>
            <w:vAlign w:val="bottom"/>
          </w:tcPr>
          <w:p>
            <w:pPr>
              <w:ind w:left="1300"/>
              <w:spacing w:after="0" w:line="190" w:lineRule="exact"/>
              <w:rPr>
                <w:sz w:val="20"/>
                <w:szCs w:val="20"/>
                <w:color w:val="auto"/>
              </w:rPr>
            </w:pPr>
            <w:r>
              <w:rPr>
                <w:rFonts w:ascii="Arial" w:cs="Arial" w:eastAsia="Arial" w:hAnsi="Arial"/>
                <w:sz w:val="18"/>
                <w:szCs w:val="18"/>
                <w:color w:val="auto"/>
                <w:w w:val="81"/>
              </w:rPr>
              <w:t>F-2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Balance Sheets as at December 31, 2015 and 2014</w:t>
              </w:r>
            </w:hyperlink>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ind w:left="130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9780" w:type="dxa"/>
            <w:vAlign w:val="bottom"/>
            <w:gridSpan w:val="9"/>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Income Statements and Statements of Comprehensive Income for the fiscal years ended December 31, 2015 and 2014</w:t>
              </w:r>
            </w:hyperlink>
          </w:p>
        </w:tc>
        <w:tc>
          <w:tcPr>
            <w:tcW w:w="1540" w:type="dxa"/>
            <w:vAlign w:val="bottom"/>
          </w:tcPr>
          <w:p>
            <w:pPr>
              <w:ind w:left="13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5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Statements of Changes in Equity for the fiscal years ended December</w:t>
              </w:r>
            </w:hyperlink>
          </w:p>
        </w:tc>
        <w:tc>
          <w:tcPr>
            <w:tcW w:w="1360" w:type="dxa"/>
            <w:vAlign w:val="bottom"/>
            <w:tcBorders>
              <w:top w:val="single" w:sz="8" w:color="0000EE"/>
              <w:bottom w:val="single" w:sz="8" w:color="0000EE"/>
            </w:tcBorders>
            <w:gridSpan w:val="2"/>
          </w:tcPr>
          <w:p>
            <w:pPr>
              <w:ind w:left="20"/>
              <w:spacing w:after="0" w:line="196" w:lineRule="exact"/>
              <w:rPr>
                <w:rFonts w:ascii="Arial" w:cs="Arial" w:eastAsia="Arial" w:hAnsi="Arial"/>
                <w:sz w:val="18"/>
                <w:szCs w:val="18"/>
                <w:color w:val="0000EE"/>
                <w:w w:val="87"/>
              </w:rPr>
            </w:pPr>
            <w:hyperlink w:anchor="page197">
              <w:r>
                <w:rPr>
                  <w:rFonts w:ascii="Arial" w:cs="Arial" w:eastAsia="Arial" w:hAnsi="Arial"/>
                  <w:sz w:val="18"/>
                  <w:szCs w:val="18"/>
                  <w:color w:val="0000EE"/>
                  <w:w w:val="87"/>
                </w:rPr>
                <w:t>31, 2015 and 2014</w:t>
              </w:r>
            </w:hyperlink>
          </w:p>
        </w:tc>
        <w:tc>
          <w:tcPr>
            <w:tcW w:w="2060" w:type="dxa"/>
            <w:vAlign w:val="bottom"/>
            <w:tcBorders>
              <w:top w:val="single" w:sz="8" w:color="0000EE"/>
            </w:tcBorders>
            <w:gridSpan w:val="2"/>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ind w:left="13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Statements of Cash Flows for the fiscal years ended December 31, 2015 and 2014</w:t>
              </w:r>
            </w:hyperlink>
          </w:p>
        </w:tc>
        <w:tc>
          <w:tcPr>
            <w:tcW w:w="3820" w:type="dxa"/>
            <w:vAlign w:val="bottom"/>
            <w:gridSpan w:val="4"/>
          </w:tcPr>
          <w:p>
            <w:pPr>
              <w:spacing w:after="0"/>
              <w:rPr>
                <w:sz w:val="17"/>
                <w:szCs w:val="17"/>
                <w:color w:val="auto"/>
              </w:rPr>
            </w:pPr>
          </w:p>
        </w:tc>
        <w:tc>
          <w:tcPr>
            <w:tcW w:w="1540" w:type="dxa"/>
            <w:vAlign w:val="bottom"/>
          </w:tcPr>
          <w:p>
            <w:pPr>
              <w:ind w:left="13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5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99">
              <w:r>
                <w:rPr>
                  <w:rFonts w:ascii="Arial" w:cs="Arial" w:eastAsia="Arial" w:hAnsi="Arial"/>
                  <w:sz w:val="18"/>
                  <w:szCs w:val="18"/>
                  <w:color w:val="0000EE"/>
                  <w:w w:val="89"/>
                </w:rPr>
                <w:t>Notes to the Financial Statements for the fiscal years ended December</w:t>
              </w:r>
            </w:hyperlink>
          </w:p>
        </w:tc>
        <w:tc>
          <w:tcPr>
            <w:tcW w:w="1420" w:type="dxa"/>
            <w:vAlign w:val="bottom"/>
            <w:tcBorders>
              <w:bottom w:val="single" w:sz="8" w:color="0000EE"/>
            </w:tcBorders>
            <w:gridSpan w:val="3"/>
          </w:tcPr>
          <w:p>
            <w:pPr>
              <w:ind w:left="80"/>
              <w:spacing w:after="0" w:line="196" w:lineRule="exact"/>
              <w:rPr>
                <w:rFonts w:ascii="Arial" w:cs="Arial" w:eastAsia="Arial" w:hAnsi="Arial"/>
                <w:sz w:val="18"/>
                <w:szCs w:val="18"/>
                <w:color w:val="0000EE"/>
                <w:w w:val="87"/>
              </w:rPr>
            </w:pPr>
            <w:hyperlink w:anchor="page199">
              <w:r>
                <w:rPr>
                  <w:rFonts w:ascii="Arial" w:cs="Arial" w:eastAsia="Arial" w:hAnsi="Arial"/>
                  <w:sz w:val="18"/>
                  <w:szCs w:val="18"/>
                  <w:color w:val="0000EE"/>
                  <w:w w:val="87"/>
                </w:rPr>
                <w:t>31, 2015 and 2014</w:t>
              </w:r>
            </w:hyperlink>
          </w:p>
        </w:tc>
        <w:tc>
          <w:tcPr>
            <w:tcW w:w="3280" w:type="dxa"/>
            <w:vAlign w:val="bottom"/>
            <w:gridSpan w:val="2"/>
          </w:tcPr>
          <w:p>
            <w:pPr>
              <w:spacing w:after="0"/>
              <w:rPr>
                <w:sz w:val="17"/>
                <w:szCs w:val="17"/>
                <w:color w:val="auto"/>
              </w:rPr>
            </w:pPr>
          </w:p>
        </w:tc>
        <w:tc>
          <w:tcPr>
            <w:tcW w:w="1540" w:type="dxa"/>
            <w:vAlign w:val="bottom"/>
          </w:tcPr>
          <w:p>
            <w:pPr>
              <w:ind w:left="1300"/>
              <w:spacing w:after="0" w:line="196" w:lineRule="exact"/>
              <w:rPr>
                <w:sz w:val="20"/>
                <w:szCs w:val="20"/>
                <w:color w:val="auto"/>
              </w:rPr>
            </w:pPr>
            <w:r>
              <w:rPr>
                <w:rFonts w:ascii="Arial" w:cs="Arial" w:eastAsia="Arial" w:hAnsi="Arial"/>
                <w:sz w:val="18"/>
                <w:szCs w:val="18"/>
                <w:color w:val="auto"/>
                <w:w w:val="81"/>
              </w:rPr>
              <w:t>F-7</w:t>
            </w:r>
          </w:p>
        </w:tc>
      </w:tr>
      <w:tr>
        <w:trPr>
          <w:trHeight w:val="385"/>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00" w:type="dxa"/>
            <w:vAlign w:val="bottom"/>
            <w:gridSpan w:val="5"/>
          </w:tcPr>
          <w:p>
            <w:pPr>
              <w:jc w:val="center"/>
              <w:ind w:right="3440"/>
              <w:spacing w:after="0"/>
              <w:rPr>
                <w:sz w:val="20"/>
                <w:szCs w:val="20"/>
                <w:color w:val="auto"/>
              </w:rPr>
            </w:pPr>
            <w:r>
              <w:rPr>
                <w:rFonts w:ascii="Arial" w:cs="Arial" w:eastAsia="Arial" w:hAnsi="Arial"/>
                <w:sz w:val="18"/>
                <w:szCs w:val="18"/>
                <w:color w:val="auto"/>
                <w:w w:val="96"/>
              </w:rPr>
              <w:t>F-1</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93" w:name="page194"/>
    <w:bookmarkEnd w:id="1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8980" cy="831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Ernst &amp; Young AG</w:t>
      </w:r>
    </w:p>
    <w:p>
      <w:pPr>
        <w:ind w:left="2300"/>
        <w:spacing w:after="0"/>
        <w:rPr>
          <w:sz w:val="20"/>
          <w:szCs w:val="20"/>
          <w:color w:val="auto"/>
        </w:rPr>
      </w:pPr>
      <w:r>
        <w:rPr>
          <w:rFonts w:ascii="Arial" w:cs="Arial" w:eastAsia="Arial" w:hAnsi="Arial"/>
          <w:sz w:val="12"/>
          <w:szCs w:val="12"/>
          <w:color w:val="auto"/>
        </w:rPr>
        <w:t>Route de Chancy 59</w:t>
      </w:r>
    </w:p>
    <w:p>
      <w:pPr>
        <w:ind w:left="2300"/>
        <w:spacing w:after="0" w:line="237" w:lineRule="auto"/>
        <w:rPr>
          <w:sz w:val="20"/>
          <w:szCs w:val="20"/>
          <w:color w:val="auto"/>
        </w:rPr>
      </w:pPr>
      <w:r>
        <w:rPr>
          <w:rFonts w:ascii="Arial" w:cs="Arial" w:eastAsia="Arial" w:hAnsi="Arial"/>
          <w:sz w:val="14"/>
          <w:szCs w:val="14"/>
          <w:color w:val="auto"/>
        </w:rPr>
        <w:t>P.O. Box</w:t>
      </w:r>
    </w:p>
    <w:p>
      <w:pPr>
        <w:jc w:val="center"/>
        <w:ind w:left="1780"/>
        <w:spacing w:after="0"/>
        <w:rPr>
          <w:sz w:val="20"/>
          <w:szCs w:val="20"/>
          <w:color w:val="auto"/>
        </w:rPr>
      </w:pPr>
      <w:r>
        <w:rPr>
          <w:rFonts w:ascii="Arial" w:cs="Arial" w:eastAsia="Arial" w:hAnsi="Arial"/>
          <w:sz w:val="14"/>
          <w:szCs w:val="14"/>
          <w:color w:val="auto"/>
        </w:rPr>
        <w:t>1213 Lancy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Phone: +41 58 286 56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-872490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Fax: +41 58 286 56 57</w:t>
      </w:r>
    </w:p>
    <w:p>
      <w:pPr>
        <w:spacing w:after="0"/>
        <w:rPr>
          <w:sz w:val="20"/>
          <w:szCs w:val="20"/>
          <w:color w:val="auto"/>
        </w:rPr>
      </w:pPr>
      <w:r>
        <w:rPr>
          <w:rFonts w:ascii="Arial" w:cs="Arial" w:eastAsia="Arial" w:hAnsi="Arial"/>
          <w:sz w:val="14"/>
          <w:szCs w:val="14"/>
          <w:color w:val="auto"/>
        </w:rPr>
        <w:t>www.ey.com/ch</w:t>
      </w:r>
    </w:p>
    <w:p>
      <w:pPr>
        <w:spacing w:after="0" w:line="402" w:lineRule="exact"/>
        <w:rPr>
          <w:sz w:val="20"/>
          <w:szCs w:val="20"/>
          <w:color w:val="auto"/>
        </w:rPr>
      </w:pPr>
    </w:p>
    <w:p>
      <w:pPr>
        <w:sectPr>
          <w:pgSz w:w="11900" w:h="16838" w:orient="portrait"/>
          <w:cols w:equalWidth="0" w:num="2">
            <w:col w:w="3520" w:space="720"/>
            <w:col w:w="718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Lancy,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type w:val="continuous"/>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at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60"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60"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460" w:right="29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F-14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F-15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at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40"/>
          </w:cols>
          <w:pgMar w:left="240" w:top="460" w:right="3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00"/>
          </w:cols>
          <w:pgMar w:left="240" w:top="460"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Phase 3 clinical studies for crenezumab in the first quarter of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at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2014 we recognized revenue associated with a research grant given to us by a European Institution in October of 2011 and which had a 3-year duration. We recognized the revenues on a straight line basis over the period of the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F-22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November 2,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680" w:firstLine="443"/>
        <w:spacing w:after="0" w:line="277" w:lineRule="auto"/>
        <w:tabs>
          <w:tab w:leader="none" w:pos="10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January 1, 2013 through December 31, 2015, the registrant issued options to purchase 351,688 shares of its common stock to its employees with an exercise price of CHF 0.14548 per share.</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0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From January 1, 2013 through December 31, 2015, a total of 529,000 options were exercised by the registrant’s employees at an exercise price of CHF 0.14548 for aggregate consideration of CHF 76,958.92.</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02" w:lineRule="exact"/>
        <w:rPr>
          <w:rFonts w:ascii="Arial" w:cs="Arial" w:eastAsia="Arial" w:hAnsi="Arial"/>
          <w:sz w:val="16"/>
          <w:szCs w:val="16"/>
          <w:color w:val="auto"/>
        </w:rPr>
      </w:pPr>
    </w:p>
    <w:p>
      <w:pPr>
        <w:ind w:left="1080" w:hanging="177"/>
        <w:spacing w:after="0"/>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4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the city of Lausanne, Switzerland on</w:t>
            </w:r>
          </w:p>
        </w:tc>
        <w:tc>
          <w:tcPr>
            <w:tcW w:w="4020" w:type="dxa"/>
            <w:vAlign w:val="bottom"/>
          </w:tcPr>
          <w:p>
            <w:pPr>
              <w:jc w:val="right"/>
              <w:ind w:right="2950"/>
              <w:spacing w:after="0"/>
              <w:rPr>
                <w:sz w:val="20"/>
                <w:szCs w:val="20"/>
                <w:color w:val="auto"/>
              </w:rPr>
            </w:pPr>
            <w:r>
              <w:rPr>
                <w:rFonts w:ascii="Arial" w:cs="Arial" w:eastAsia="Arial" w:hAnsi="Arial"/>
                <w:sz w:val="18"/>
                <w:szCs w:val="18"/>
                <w:color w:val="auto"/>
              </w:rPr>
              <w:t>, 2016.</w:t>
            </w: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rPr>
              <w:t>By:</w:t>
            </w:r>
          </w:p>
        </w:tc>
        <w:tc>
          <w:tcPr>
            <w:tcW w:w="3240" w:type="dxa"/>
            <w:vAlign w:val="bottom"/>
          </w:tcPr>
          <w:p>
            <w:pPr>
              <w:spacing w:after="0"/>
              <w:rPr>
                <w:sz w:val="24"/>
                <w:szCs w:val="24"/>
                <w:color w:val="auto"/>
              </w:rPr>
            </w:pPr>
          </w:p>
        </w:tc>
      </w:tr>
      <w:tr>
        <w:trPr>
          <w:trHeight w:val="209"/>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3300" w:type="dxa"/>
            <w:vAlign w:val="bottom"/>
          </w:tcPr>
          <w:p>
            <w:pPr>
              <w:spacing w:after="0"/>
              <w:rPr>
                <w:sz w:val="20"/>
                <w:szCs w:val="20"/>
                <w:color w:val="auto"/>
              </w:rPr>
            </w:pPr>
          </w:p>
        </w:tc>
        <w:tc>
          <w:tcPr>
            <w:tcW w:w="4880" w:type="dxa"/>
            <w:vAlign w:val="bottom"/>
            <w:gridSpan w:val="2"/>
          </w:tcPr>
          <w:p>
            <w:pPr>
              <w:ind w:left="4020"/>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65"/>
        </w:trPr>
        <w:tc>
          <w:tcPr>
            <w:tcW w:w="3300" w:type="dxa"/>
            <w:vAlign w:val="bottom"/>
          </w:tcPr>
          <w:p>
            <w:pPr>
              <w:spacing w:after="0"/>
              <w:rPr>
                <w:sz w:val="24"/>
                <w:szCs w:val="24"/>
                <w:color w:val="auto"/>
              </w:rPr>
            </w:pPr>
          </w:p>
        </w:tc>
        <w:tc>
          <w:tcPr>
            <w:tcW w:w="4880" w:type="dxa"/>
            <w:vAlign w:val="bottom"/>
            <w:gridSpan w:val="2"/>
          </w:tcPr>
          <w:p>
            <w:pPr>
              <w:ind w:left="2280"/>
              <w:spacing w:after="0"/>
              <w:rPr>
                <w:sz w:val="20"/>
                <w:szCs w:val="20"/>
                <w:color w:val="auto"/>
              </w:rPr>
            </w:pPr>
            <w:r>
              <w:rPr>
                <w:rFonts w:ascii="Arial" w:cs="Arial" w:eastAsia="Arial" w:hAnsi="Arial"/>
                <w:sz w:val="18"/>
                <w:szCs w:val="18"/>
                <w:color w:val="auto"/>
              </w:rPr>
              <w:t>II-3</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George Pavey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6" w:lineRule="exact"/>
        <w:rPr>
          <w:sz w:val="20"/>
          <w:szCs w:val="20"/>
          <w:color w:val="auto"/>
        </w:rPr>
      </w:pPr>
    </w:p>
    <w:p>
      <w:pPr>
        <w:ind w:left="900" w:right="62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2016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Friedrich von Bohlen und Halbach</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Peter Bollmann</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Colleen A. DeVries</w:t>
      </w:r>
    </w:p>
    <w:p>
      <w:pPr>
        <w:spacing w:after="0" w:line="9"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SVP of National Corporate Research, Ltd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291"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be filed by amendment. ** Previously submitted.</w:t>
      </w:r>
    </w:p>
    <w:p>
      <w:pPr>
        <w:ind w:left="46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1)"/>
      <w:numFmt w:val="decimal"/>
      <w:start w:val="1"/>
    </w:lvl>
  </w:abstractNum>
  <w:abstractNum w:abstractNumId="2">
    <w:nsid w:val="661E3F1E"/>
    <w:multiLevelType w:val="hybridMultilevel"/>
    <w:lvl w:ilvl="0">
      <w:lvlJc w:val="left"/>
      <w:lvlText w:val="•"/>
      <w:numFmt w:val="bullet"/>
      <w:start w:val="1"/>
    </w:lvl>
    <w:lvl w:ilvl="1">
      <w:lvlJc w:val="left"/>
      <w:lvlText w:val="•"/>
      <w:numFmt w:val="bullet"/>
      <w:start w:val="1"/>
    </w:lvl>
  </w:abstractNum>
  <w:abstractNum w:abstractNumId="3">
    <w:nsid w:val="5DC79EA8"/>
    <w:multiLevelType w:val="hybridMultilevel"/>
    <w:lvl w:ilvl="0">
      <w:lvlJc w:val="left"/>
      <w:lvlText w:val="•"/>
      <w:numFmt w:val="bullet"/>
      <w:start w:val="1"/>
    </w:lvl>
    <w:lvl w:ilvl="1">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1)"/>
      <w:numFmt w:val="lowerRoman"/>
      <w:start w:val="1"/>
    </w:lvl>
  </w:abstractNum>
  <w:abstractNum w:abstractNumId="11">
    <w:nsid w:val="A0382C5"/>
    <w:multiLevelType w:val="hybridMultilevel"/>
    <w:lvl w:ilvl="0">
      <w:lvlJc w:val="left"/>
      <w:lvlText w:val="(%1)"/>
      <w:numFmt w:val="lowerRoman"/>
      <w:start w:val="3"/>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1)"/>
      <w:numFmt w:val="lowerRoman"/>
      <w:start w:val="3"/>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lvl w:ilvl="1">
      <w:lvlJc w:val="left"/>
      <w:lvlText w:val="(%2)"/>
      <w:numFmt w:val="lowerRoman"/>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1)"/>
      <w:numFmt w:val="decimal"/>
      <w:start w:val="1"/>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
      <w:numFmt w:val="bullet"/>
      <w:start w:val="1"/>
    </w:lvl>
  </w:abstractNum>
  <w:abstractNum w:abstractNumId="49">
    <w:nsid w:val="50801EE1"/>
    <w:multiLevelType w:val="hybridMultilevel"/>
    <w:lvl w:ilvl="0">
      <w:lvlJc w:val="left"/>
      <w:lvlText w:val="•"/>
      <w:numFmt w:val="bullet"/>
      <w:start w:val="1"/>
    </w:lvl>
  </w:abstractNum>
  <w:abstractNum w:abstractNumId="50">
    <w:nsid w:val="488AC1A"/>
    <w:multiLevelType w:val="hybridMultilevel"/>
    <w:lvl w:ilvl="0">
      <w:lvlJc w:val="left"/>
      <w:lvlText w:val="(%1)"/>
      <w:numFmt w:val="lowerRoman"/>
      <w:start w:val="1"/>
    </w:lvl>
  </w:abstractNum>
  <w:abstractNum w:abstractNumId="51">
    <w:nsid w:val="5FB8011C"/>
    <w:multiLevelType w:val="hybridMultilevel"/>
    <w:lvl w:ilvl="0">
      <w:lvlJc w:val="left"/>
      <w:lvlText w:val="(%1)"/>
      <w:numFmt w:val="decimal"/>
      <w:start w:val="1"/>
    </w:lvl>
  </w:abstractNum>
  <w:abstractNum w:abstractNumId="52">
    <w:nsid w:val="6AA78F7F"/>
    <w:multiLevelType w:val="hybridMultilevel"/>
    <w:lvl w:ilvl="0">
      <w:lvlJc w:val="left"/>
      <w:lvlText w:val="(%1)"/>
      <w:numFmt w:val="decimal"/>
      <w:start w:val="1"/>
    </w:lvl>
  </w:abstractNum>
  <w:abstractNum w:abstractNumId="53">
    <w:nsid w:val="7672BD23"/>
    <w:multiLevelType w:val="hybridMultilevel"/>
    <w:lvl w:ilvl="0">
      <w:lvlJc w:val="left"/>
      <w:lvlText w:val="(%1)"/>
      <w:numFmt w:val="lowerRoman"/>
      <w:start w:val="1"/>
    </w:lvl>
  </w:abstractNum>
  <w:abstractNum w:abstractNumId="54">
    <w:nsid w:val="6FC75AF8"/>
    <w:multiLevelType w:val="hybridMultilevel"/>
    <w:lvl w:ilvl="0">
      <w:lvlJc w:val="left"/>
      <w:lvlText w:val="•"/>
      <w:numFmt w:val="bullet"/>
      <w:start w:val="1"/>
    </w:lvl>
  </w:abstractNum>
  <w:abstractNum w:abstractNumId="55">
    <w:nsid w:val="6A5F7029"/>
    <w:multiLevelType w:val="hybridMultilevel"/>
    <w:lvl w:ilvl="0">
      <w:lvlJc w:val="left"/>
      <w:lvlText w:val="•"/>
      <w:numFmt w:val="bullet"/>
      <w:start w:val="1"/>
    </w:lvl>
  </w:abstractNum>
  <w:abstractNum w:abstractNumId="56">
    <w:nsid w:val="7D5E18F8"/>
    <w:multiLevelType w:val="hybridMultilevel"/>
    <w:lvl w:ilvl="0">
      <w:lvlJc w:val="left"/>
      <w:lvlText w:val="•"/>
      <w:numFmt w:val="bullet"/>
      <w:start w:val="1"/>
    </w:lvl>
    <w:lvl w:ilvl="1">
      <w:lvlJc w:val="left"/>
      <w:lvlText w:val="•"/>
      <w:numFmt w:val="bullet"/>
      <w:start w:val="1"/>
    </w:lvl>
  </w:abstractNum>
  <w:abstractNum w:abstractNumId="57">
    <w:nsid w:val="5F3534A4"/>
    <w:multiLevelType w:val="hybridMultilevel"/>
    <w:lvl w:ilvl="0">
      <w:lvlJc w:val="left"/>
      <w:lvlText w:val="•"/>
      <w:numFmt w:val="bullet"/>
      <w:start w:val="1"/>
    </w:lvl>
    <w:lvl w:ilvl="1">
      <w:lvlJc w:val="left"/>
      <w:lvlText w:val="•"/>
      <w:numFmt w:val="bullet"/>
      <w:start w:val="1"/>
    </w:lvl>
  </w:abstractNum>
  <w:abstractNum w:abstractNumId="58">
    <w:nsid w:val="73A1821B"/>
    <w:multiLevelType w:val="hybridMultilevel"/>
    <w:lvl w:ilvl="0">
      <w:lvlJc w:val="left"/>
      <w:lvlText w:val="•"/>
      <w:numFmt w:val="bullet"/>
      <w:start w:val="1"/>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
      <w:numFmt w:val="bullet"/>
      <w:start w:val="1"/>
    </w:lvl>
    <w:lvl w:ilvl="1">
      <w:lvlJc w:val="left"/>
      <w:lvlText w:val="•"/>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
      <w:numFmt w:val="bullet"/>
      <w:start w:val="1"/>
    </w:lvl>
  </w:abstractNum>
  <w:abstractNum w:abstractNumId="65">
    <w:nsid w:val="9DAF632"/>
    <w:multiLevelType w:val="hybridMultilevel"/>
    <w:lvl w:ilvl="0">
      <w:lvlJc w:val="left"/>
      <w:lvlText w:val="•"/>
      <w:numFmt w:val="bullet"/>
      <w:start w:val="1"/>
    </w:lvl>
  </w:abstractNum>
  <w:abstractNum w:abstractNumId="66">
    <w:nsid w:val="53299938"/>
    <w:multiLevelType w:val="hybridMultilevel"/>
    <w:lvl w:ilvl="0">
      <w:lvlJc w:val="left"/>
      <w:lvlText w:val="•"/>
      <w:numFmt w:val="bullet"/>
      <w:start w:val="1"/>
    </w:lvl>
    <w:lvl w:ilvl="1">
      <w:lvlJc w:val="left"/>
      <w:lvlText w:val="•"/>
      <w:numFmt w:val="bullet"/>
      <w:start w:val="1"/>
    </w:lvl>
  </w:abstractNum>
  <w:abstractNum w:abstractNumId="67">
    <w:nsid w:val="1FBFE8E0"/>
    <w:multiLevelType w:val="hybridMultilevel"/>
    <w:lvl w:ilvl="0">
      <w:lvlJc w:val="left"/>
      <w:lvlText w:val="•"/>
      <w:numFmt w:val="bullet"/>
      <w:start w:val="1"/>
    </w:lvl>
    <w:lvl w:ilvl="1">
      <w:lvlJc w:val="left"/>
      <w:lvlText w:val="•"/>
      <w:numFmt w:val="bullet"/>
      <w:start w:val="1"/>
    </w:lvl>
  </w:abstractNum>
  <w:abstractNum w:abstractNumId="68">
    <w:nsid w:val="5092CA79"/>
    <w:multiLevelType w:val="hybridMultilevel"/>
    <w:lvl w:ilvl="0">
      <w:lvlJc w:val="left"/>
      <w:lvlText w:val="•"/>
      <w:numFmt w:val="bullet"/>
      <w:start w:val="1"/>
    </w:lvl>
  </w:abstractNum>
  <w:abstractNum w:abstractNumId="69">
    <w:nsid w:val="1D545C4D"/>
    <w:multiLevelType w:val="hybridMultilevel"/>
    <w:lvl w:ilvl="0">
      <w:lvlJc w:val="left"/>
      <w:lvlText w:val="•"/>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
      <w:numFmt w:val="bullet"/>
      <w:start w:val="1"/>
    </w:lvl>
  </w:abstractNum>
  <w:abstractNum w:abstractNumId="72">
    <w:nsid w:val="2A155DBC"/>
    <w:multiLevelType w:val="hybridMultilevel"/>
    <w:lvl w:ilvl="0">
      <w:lvlJc w:val="left"/>
      <w:lvlText w:val="•"/>
      <w:numFmt w:val="bullet"/>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
      <w:numFmt w:val="bullet"/>
      <w:start w:val="1"/>
    </w:lvl>
  </w:abstractNum>
  <w:abstractNum w:abstractNumId="76">
    <w:nsid w:val="1CA0C5FA"/>
    <w:multiLevelType w:val="hybridMultilevel"/>
    <w:lvl w:ilvl="0">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
      <w:numFmt w:val="bullet"/>
      <w:start w:val="1"/>
    </w:lvl>
  </w:abstractNum>
  <w:abstractNum w:abstractNumId="79">
    <w:nsid w:val="7C58FD05"/>
    <w:multiLevelType w:val="hybridMultilevel"/>
    <w:lvl w:ilvl="0">
      <w:lvlJc w:val="left"/>
      <w:lvlText w:val="•"/>
      <w:numFmt w:val="bullet"/>
      <w:start w:val="1"/>
    </w:lvl>
  </w:abstractNum>
  <w:abstractNum w:abstractNumId="80">
    <w:nsid w:val="23D86AAC"/>
    <w:multiLevelType w:val="hybridMultilevel"/>
    <w:lvl w:ilvl="0">
      <w:lvlJc w:val="left"/>
      <w:lvlText w:val="&amp;"/>
      <w:numFmt w:val="bullet"/>
      <w:start w:val="1"/>
    </w:lvl>
  </w:abstractNum>
  <w:abstractNum w:abstractNumId="81">
    <w:nsid w:val="45E6D486"/>
    <w:multiLevelType w:val="hybridMultilevel"/>
    <w:lvl w:ilvl="0">
      <w:lvlJc w:val="left"/>
      <w:lvlText w:val="•"/>
      <w:numFmt w:val="bullet"/>
      <w:start w:val="1"/>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
      <w:numFmt w:val="bullet"/>
      <w:start w:val="1"/>
    </w:lvl>
  </w:abstractNum>
  <w:abstractNum w:abstractNumId="84">
    <w:nsid w:val="3C5991AA"/>
    <w:multiLevelType w:val="hybridMultilevel"/>
    <w:lvl w:ilvl="0">
      <w:lvlJc w:val="left"/>
      <w:lvlText w:val="•"/>
      <w:numFmt w:val="bullet"/>
      <w:start w:val="1"/>
    </w:lvl>
  </w:abstractNum>
  <w:abstractNum w:abstractNumId="85">
    <w:nsid w:val="4BD8591A"/>
    <w:multiLevelType w:val="hybridMultilevel"/>
    <w:lvl w:ilvl="0">
      <w:lvlJc w:val="left"/>
      <w:lvlText w:val="•"/>
      <w:numFmt w:val="bullet"/>
      <w:start w:val="1"/>
    </w:lvl>
  </w:abstractNum>
  <w:abstractNum w:abstractNumId="86">
    <w:nsid w:val="78DF6A55"/>
    <w:multiLevelType w:val="hybridMultilevel"/>
    <w:lvl w:ilvl="0">
      <w:lvlJc w:val="left"/>
      <w:lvlText w:val="•"/>
      <w:numFmt w:val="bullet"/>
      <w:start w:val="1"/>
    </w:lvl>
  </w:abstractNum>
  <w:abstractNum w:abstractNumId="87">
    <w:nsid w:val="39B7AAA2"/>
    <w:multiLevelType w:val="hybridMultilevel"/>
    <w:lvl w:ilvl="0">
      <w:lvlJc w:val="left"/>
      <w:lvlText w:val="•"/>
      <w:numFmt w:val="bullet"/>
      <w:start w:val="1"/>
    </w:lvl>
  </w:abstractNum>
  <w:abstractNum w:abstractNumId="88">
    <w:nsid w:val="2B0D8DBE"/>
    <w:multiLevelType w:val="hybridMultilevel"/>
    <w:lvl w:ilvl="0">
      <w:lvlJc w:val="left"/>
      <w:lvlText w:val="•"/>
      <w:numFmt w:val="bullet"/>
      <w:start w:val="1"/>
    </w:lvl>
  </w:abstractNum>
  <w:abstractNum w:abstractNumId="89">
    <w:nsid w:val="6C80EC70"/>
    <w:multiLevelType w:val="hybridMultilevel"/>
    <w:lvl w:ilvl="0">
      <w:lvlJc w:val="left"/>
      <w:lvlText w:val="•"/>
      <w:numFmt w:val="bullet"/>
      <w:start w:val="1"/>
    </w:lvl>
  </w:abstractNum>
  <w:abstractNum w:abstractNumId="90">
    <w:nsid w:val="379E21B5"/>
    <w:multiLevelType w:val="hybridMultilevel"/>
    <w:lvl w:ilvl="0">
      <w:lvlJc w:val="left"/>
      <w:lvlText w:val="•"/>
      <w:numFmt w:val="bullet"/>
      <w:start w:val="1"/>
    </w:lvl>
  </w:abstractNum>
  <w:abstractNum w:abstractNumId="91">
    <w:nsid w:val="69E373"/>
    <w:multiLevelType w:val="hybridMultilevel"/>
    <w:lvl w:ilvl="0">
      <w:lvlJc w:val="left"/>
      <w:lvlText w:val="•"/>
      <w:numFmt w:val="bullet"/>
      <w:start w:val="1"/>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
      <w:numFmt w:val="bullet"/>
      <w:start w:val="1"/>
    </w:lvl>
  </w:abstractNum>
  <w:abstractNum w:abstractNumId="94">
    <w:nsid w:val="6AA7B75C"/>
    <w:multiLevelType w:val="hybridMultilevel"/>
    <w:lvl w:ilvl="0">
      <w:lvlJc w:val="left"/>
      <w:lvlText w:val="•"/>
      <w:numFmt w:val="bullet"/>
      <w:start w:val="1"/>
    </w:lvl>
  </w:abstractNum>
  <w:abstractNum w:abstractNumId="95">
    <w:nsid w:val="1DF029D3"/>
    <w:multiLevelType w:val="hybridMultilevel"/>
    <w:lvl w:ilvl="0">
      <w:lvlJc w:val="left"/>
      <w:lvlText w:val="•"/>
      <w:numFmt w:val="bullet"/>
      <w:start w:val="1"/>
    </w:lvl>
  </w:abstractNum>
  <w:abstractNum w:abstractNumId="96">
    <w:nsid w:val="5675FF36"/>
    <w:multiLevelType w:val="hybridMultilevel"/>
    <w:lvl w:ilvl="0">
      <w:lvlJc w:val="left"/>
      <w:lvlText w:val="•"/>
      <w:numFmt w:val="bullet"/>
      <w:start w:val="1"/>
    </w:lvl>
  </w:abstractNum>
  <w:abstractNum w:abstractNumId="97">
    <w:nsid w:val="3DD15094"/>
    <w:multiLevelType w:val="hybridMultilevel"/>
    <w:lvl w:ilvl="0">
      <w:lvlJc w:val="left"/>
      <w:lvlText w:val="•"/>
      <w:numFmt w:val="bullet"/>
      <w:start w:val="1"/>
    </w:lvl>
  </w:abstractNum>
  <w:abstractNum w:abstractNumId="98">
    <w:nsid w:val="3DB012B3"/>
    <w:multiLevelType w:val="hybridMultilevel"/>
    <w:lvl w:ilvl="0">
      <w:lvlJc w:val="left"/>
      <w:lvlText w:val="•"/>
      <w:numFmt w:val="bullet"/>
      <w:start w:val="1"/>
    </w:lvl>
  </w:abstractNum>
  <w:abstractNum w:abstractNumId="99">
    <w:nsid w:val="2708C9AF"/>
    <w:multiLevelType w:val="hybridMultilevel"/>
    <w:lvl w:ilvl="0">
      <w:lvlJc w:val="left"/>
      <w:lvlText w:val="•"/>
      <w:numFmt w:val="bullet"/>
      <w:start w:val="1"/>
    </w:lvl>
  </w:abstractNum>
  <w:abstractNum w:abstractNumId="100">
    <w:nsid w:val="5B25ACE2"/>
    <w:multiLevelType w:val="hybridMultilevel"/>
    <w:lvl w:ilvl="0">
      <w:lvlJc w:val="left"/>
      <w:lvlText w:val="•"/>
      <w:numFmt w:val="bullet"/>
      <w:start w:val="1"/>
    </w:lvl>
  </w:abstractNum>
  <w:abstractNum w:abstractNumId="101">
    <w:nsid w:val="175DFCF0"/>
    <w:multiLevelType w:val="hybridMultilevel"/>
    <w:lvl w:ilvl="0">
      <w:lvlJc w:val="left"/>
      <w:lvlText w:val="•"/>
      <w:numFmt w:val="bullet"/>
      <w:start w:val="1"/>
    </w:lvl>
  </w:abstractNum>
  <w:abstractNum w:abstractNumId="102">
    <w:nsid w:val="4F97E3E4"/>
    <w:multiLevelType w:val="hybridMultilevel"/>
    <w:lvl w:ilvl="0">
      <w:lvlJc w:val="left"/>
      <w:lvlText w:val="•"/>
      <w:numFmt w:val="bullet"/>
      <w:start w:val="1"/>
    </w:lvl>
  </w:abstractNum>
  <w:abstractNum w:abstractNumId="103">
    <w:nsid w:val="53B0A9E"/>
    <w:multiLevelType w:val="hybridMultilevel"/>
    <w:lvl w:ilvl="0">
      <w:lvlJc w:val="left"/>
      <w:lvlText w:val="•"/>
      <w:numFmt w:val="bullet"/>
      <w:start w:val="1"/>
    </w:lvl>
  </w:abstractNum>
  <w:abstractNum w:abstractNumId="104">
    <w:nsid w:val="34FD6B4F"/>
    <w:multiLevelType w:val="hybridMultilevel"/>
    <w:lvl w:ilvl="0">
      <w:lvlJc w:val="left"/>
      <w:lvlText w:val="•"/>
      <w:numFmt w:val="bullet"/>
      <w:start w:val="1"/>
    </w:lvl>
  </w:abstractNum>
  <w:abstractNum w:abstractNumId="105">
    <w:nsid w:val="5915FF32"/>
    <w:multiLevelType w:val="hybridMultilevel"/>
    <w:lvl w:ilvl="0">
      <w:lvlJc w:val="left"/>
      <w:lvlText w:val="•"/>
      <w:numFmt w:val="bullet"/>
      <w:start w:val="1"/>
    </w:lvl>
  </w:abstractNum>
  <w:abstractNum w:abstractNumId="106">
    <w:nsid w:val="56438D15"/>
    <w:multiLevelType w:val="hybridMultilevel"/>
    <w:lvl w:ilvl="0">
      <w:lvlJc w:val="left"/>
      <w:lvlText w:val="•"/>
      <w:numFmt w:val="bullet"/>
      <w:start w:val="1"/>
    </w:lvl>
  </w:abstractNum>
  <w:abstractNum w:abstractNumId="107">
    <w:nsid w:val="519E3149"/>
    <w:multiLevelType w:val="hybridMultilevel"/>
    <w:lvl w:ilvl="0">
      <w:lvlJc w:val="left"/>
      <w:lvlText w:val="•"/>
      <w:numFmt w:val="bullet"/>
      <w:start w:val="1"/>
    </w:lvl>
  </w:abstractNum>
  <w:abstractNum w:abstractNumId="108">
    <w:nsid w:val="2C6E4AFD"/>
    <w:multiLevelType w:val="hybridMultilevel"/>
    <w:lvl w:ilvl="0">
      <w:lvlJc w:val="left"/>
      <w:lvlText w:val="•"/>
      <w:numFmt w:val="bullet"/>
      <w:start w:val="1"/>
    </w:lvl>
  </w:abstractNum>
  <w:abstractNum w:abstractNumId="109">
    <w:nsid w:val="17A1B582"/>
    <w:multiLevelType w:val="hybridMultilevel"/>
    <w:lvl w:ilvl="0">
      <w:lvlJc w:val="left"/>
      <w:lvlText w:val="•"/>
      <w:numFmt w:val="bullet"/>
      <w:start w:val="1"/>
    </w:lvl>
  </w:abstractNum>
  <w:abstractNum w:abstractNumId="110">
    <w:nsid w:val="4DF72E4E"/>
    <w:multiLevelType w:val="hybridMultilevel"/>
    <w:lvl w:ilvl="0">
      <w:lvlJc w:val="left"/>
      <w:lvlText w:val="•"/>
      <w:numFmt w:val="bullet"/>
      <w:start w:val="1"/>
    </w:lvl>
  </w:abstractNum>
  <w:abstractNum w:abstractNumId="111">
    <w:nsid w:val="5046B5A9"/>
    <w:multiLevelType w:val="hybridMultilevel"/>
    <w:lvl w:ilvl="0">
      <w:lvlJc w:val="left"/>
      <w:lvlText w:val="•"/>
      <w:numFmt w:val="bullet"/>
      <w:start w:val="1"/>
    </w:lvl>
  </w:abstractNum>
  <w:abstractNum w:abstractNumId="112">
    <w:nsid w:val="5D888A08"/>
    <w:multiLevelType w:val="hybridMultilevel"/>
    <w:lvl w:ilvl="0">
      <w:lvlJc w:val="left"/>
      <w:lvlText w:val="•"/>
      <w:numFmt w:val="bullet"/>
      <w:start w:val="1"/>
    </w:lvl>
  </w:abstractNum>
  <w:abstractNum w:abstractNumId="113">
    <w:nsid w:val="2A082C70"/>
    <w:multiLevelType w:val="hybridMultilevel"/>
    <w:lvl w:ilvl="0">
      <w:lvlJc w:val="left"/>
      <w:lvlText w:val="•"/>
      <w:numFmt w:val="bullet"/>
      <w:start w:val="1"/>
    </w:lvl>
  </w:abstractNum>
  <w:abstractNum w:abstractNumId="114">
    <w:nsid w:val="5EC6AFD4"/>
    <w:multiLevelType w:val="hybridMultilevel"/>
    <w:lvl w:ilvl="0">
      <w:lvlJc w:val="left"/>
      <w:lvlText w:val="•"/>
      <w:numFmt w:val="bullet"/>
      <w:start w:val="1"/>
    </w:lvl>
    <w:lvl w:ilvl="1">
      <w:lvlJc w:val="left"/>
      <w:lvlText w:val="•"/>
      <w:numFmt w:val="bullet"/>
      <w:start w:val="1"/>
    </w:lvl>
  </w:abstractNum>
  <w:abstractNum w:abstractNumId="115">
    <w:nsid w:val="19E21BB2"/>
    <w:multiLevelType w:val="hybridMultilevel"/>
    <w:lvl w:ilvl="0">
      <w:lvlJc w:val="left"/>
      <w:lvlText w:val="•"/>
      <w:numFmt w:val="bullet"/>
      <w:start w:val="1"/>
    </w:lvl>
    <w:lvl w:ilvl="1">
      <w:lvlJc w:val="left"/>
      <w:lvlText w:val="•"/>
      <w:numFmt w:val="bullet"/>
      <w:start w:val="1"/>
    </w:lvl>
  </w:abstractNum>
  <w:abstractNum w:abstractNumId="116">
    <w:nsid w:val="75E0858A"/>
    <w:multiLevelType w:val="hybridMultilevel"/>
    <w:lvl w:ilvl="0">
      <w:lvlJc w:val="left"/>
      <w:lvlText w:val="•"/>
      <w:numFmt w:val="bullet"/>
      <w:start w:val="1"/>
    </w:lvl>
  </w:abstractNum>
  <w:abstractNum w:abstractNumId="117">
    <w:nsid w:val="57A61A29"/>
    <w:multiLevelType w:val="hybridMultilevel"/>
    <w:lvl w:ilvl="0">
      <w:lvlJc w:val="left"/>
      <w:lvlText w:val="•"/>
      <w:numFmt w:val="bullet"/>
      <w:start w:val="1"/>
    </w:lvl>
  </w:abstractNum>
  <w:abstractNum w:abstractNumId="118">
    <w:nsid w:val="5399C654"/>
    <w:multiLevelType w:val="hybridMultilevel"/>
    <w:lvl w:ilvl="0">
      <w:lvlJc w:val="left"/>
      <w:lvlText w:val="•"/>
      <w:numFmt w:val="bullet"/>
      <w:start w:val="1"/>
    </w:lvl>
  </w:abstractNum>
  <w:abstractNum w:abstractNumId="119">
    <w:nsid w:val="20EE1348"/>
    <w:multiLevelType w:val="hybridMultilevel"/>
    <w:lvl w:ilvl="0">
      <w:lvlJc w:val="left"/>
      <w:lvlText w:val="•"/>
      <w:numFmt w:val="bullet"/>
      <w:start w:val="1"/>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1)"/>
      <w:numFmt w:val="lowerRoman"/>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1."/>
      <w:numFmt w:val="decimal"/>
      <w:start w:val="1"/>
    </w:lvl>
  </w:abstractNum>
  <w:abstractNum w:abstractNumId="124">
    <w:nsid w:val="57D2F10E"/>
    <w:multiLevelType w:val="hybridMultilevel"/>
    <w:lvl w:ilvl="0">
      <w:lvlJc w:val="left"/>
      <w:lvlText w:val="%1."/>
      <w:numFmt w:val="decimal"/>
      <w:start w:val="2"/>
    </w:lvl>
  </w:abstractNum>
  <w:abstractNum w:abstractNumId="125">
    <w:nsid w:val="BFFAE18"/>
    <w:multiLevelType w:val="hybridMultilevel"/>
    <w:lvl w:ilvl="0">
      <w:lvlJc w:val="left"/>
      <w:lvlText w:val="(%1)"/>
      <w:numFmt w:val="lowerRoman"/>
      <w:start w:val="1"/>
    </w:lvl>
  </w:abstractNum>
  <w:abstractNum w:abstractNumId="126">
    <w:nsid w:val="E3E47A8"/>
    <w:multiLevelType w:val="hybridMultilevel"/>
    <w:lvl w:ilvl="0">
      <w:lvlJc w:val="left"/>
      <w:lvlText w:val="(%1)"/>
      <w:numFmt w:val="lowerRoman"/>
      <w:start w:val="3"/>
    </w:lvl>
  </w:abstractNum>
  <w:abstractNum w:abstractNumId="127">
    <w:nsid w:val="2E48F044"/>
    <w:multiLevelType w:val="hybridMultilevel"/>
    <w:lvl w:ilvl="0">
      <w:lvlJc w:val="left"/>
      <w:lvlText w:val="%1."/>
      <w:numFmt w:val="decimal"/>
      <w:start w:val="3"/>
    </w:lvl>
  </w:abstractNum>
  <w:abstractNum w:abstractNumId="128">
    <w:nsid w:val="49D0FEAC"/>
    <w:multiLevelType w:val="hybridMultilevel"/>
    <w:lvl w:ilvl="0">
      <w:lvlJc w:val="left"/>
      <w:lvlText w:val="•"/>
      <w:numFmt w:val="bullet"/>
      <w:start w:val="1"/>
    </w:lvl>
  </w:abstractNum>
  <w:abstractNum w:abstractNumId="129">
    <w:nsid w:val="4BEE5A5B"/>
    <w:multiLevelType w:val="hybridMultilevel"/>
    <w:lvl w:ilvl="0">
      <w:lvlJc w:val="left"/>
      <w:lvlText w:val="%1."/>
      <w:numFmt w:val="decimal"/>
      <w:start w:val="6"/>
    </w:lvl>
  </w:abstractNum>
  <w:abstractNum w:abstractNumId="130">
    <w:nsid w:val="5551B9F3"/>
    <w:multiLevelType w:val="hybridMultilevel"/>
    <w:lvl w:ilvl="0">
      <w:lvlJc w:val="left"/>
      <w:lvlText w:val="%1."/>
      <w:numFmt w:val="decimal"/>
      <w:start w:val="9"/>
    </w:lvl>
  </w:abstractNum>
  <w:abstractNum w:abstractNumId="131">
    <w:nsid w:val="24F6AB8E"/>
    <w:multiLevelType w:val="hybridMultilevel"/>
    <w:lvl w:ilvl="0">
      <w:lvlJc w:val="left"/>
      <w:lvlText w:val="%1."/>
      <w:numFmt w:val="decimal"/>
      <w:start w:val="12"/>
    </w:lvl>
  </w:abstractNum>
  <w:abstractNum w:abstractNumId="132">
    <w:nsid w:val="634C574C"/>
    <w:multiLevelType w:val="hybridMultilevel"/>
    <w:lvl w:ilvl="0">
      <w:lvlJc w:val="left"/>
      <w:lvlText w:val="%1."/>
      <w:numFmt w:val="decimal"/>
      <w:start w:val="13"/>
    </w:lvl>
  </w:abstractNum>
  <w:abstractNum w:abstractNumId="133">
    <w:nsid w:val="24E99DD7"/>
    <w:multiLevelType w:val="hybridMultilevel"/>
    <w:lvl w:ilvl="0">
      <w:lvlJc w:val="left"/>
      <w:lvlText w:val="%1."/>
      <w:numFmt w:val="decimal"/>
      <w:start w:val="15"/>
    </w:lvl>
  </w:abstractNum>
  <w:abstractNum w:abstractNumId="134">
    <w:nsid w:val="2A31B62D"/>
    <w:multiLevelType w:val="hybridMultilevel"/>
    <w:lvl w:ilvl="0">
      <w:lvlJc w:val="left"/>
      <w:lvlText w:val="%1."/>
      <w:numFmt w:val="decimal"/>
      <w:start w:val="16"/>
    </w:lvl>
  </w:abstractNum>
  <w:abstractNum w:abstractNumId="135">
    <w:nsid w:val="1849C29B"/>
    <w:multiLevelType w:val="hybridMultilevel"/>
    <w:lvl w:ilvl="0">
      <w:lvlJc w:val="left"/>
      <w:lvlText w:val="%1."/>
      <w:numFmt w:val="decimal"/>
      <w:start w:val="19"/>
    </w:lvl>
  </w:abstractNum>
  <w:abstractNum w:abstractNumId="136">
    <w:nsid w:val="7DFF9D09"/>
    <w:multiLevelType w:val="hybridMultilevel"/>
    <w:lvl w:ilvl="0">
      <w:lvlJc w:val="left"/>
      <w:lvlText w:val="%1."/>
      <w:numFmt w:val="decimal"/>
      <w:start w:val="20"/>
    </w:lvl>
  </w:abstractNum>
  <w:abstractNum w:abstractNumId="137">
    <w:nsid w:val="754342"/>
    <w:multiLevelType w:val="hybridMultilevel"/>
    <w:lvl w:ilvl="0">
      <w:lvlJc w:val="left"/>
      <w:lvlText w:val="%1."/>
      <w:numFmt w:val="decimal"/>
      <w:start w:val="21"/>
    </w:lvl>
  </w:abstractNum>
  <w:abstractNum w:abstractNumId="138">
    <w:nsid w:val="69E7F3E5"/>
    <w:multiLevelType w:val="hybridMultilevel"/>
    <w:lvl w:ilvl="0">
      <w:lvlJc w:val="left"/>
      <w:lvlText w:val="%1."/>
      <w:numFmt w:val="decimal"/>
      <w:start w:val="22"/>
    </w:lvl>
  </w:abstractNum>
  <w:abstractNum w:abstractNumId="139">
    <w:nsid w:val="2A6DE806"/>
    <w:multiLevelType w:val="hybridMultilevel"/>
    <w:lvl w:ilvl="0">
      <w:lvlJc w:val="left"/>
      <w:lvlText w:val="%1."/>
      <w:numFmt w:val="decimal"/>
      <w:start w:val="23"/>
    </w:lvl>
  </w:abstractNum>
  <w:abstractNum w:abstractNumId="140">
    <w:nsid w:val="1816F8C4"/>
    <w:multiLevelType w:val="hybridMultilevel"/>
    <w:lvl w:ilvl="0">
      <w:lvlJc w:val="left"/>
      <w:lvlText w:val="%1."/>
      <w:numFmt w:val="decimal"/>
      <w:start w:val="1"/>
    </w:lvl>
  </w:abstractNum>
  <w:abstractNum w:abstractNumId="141">
    <w:nsid w:val="37DF2233"/>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42">
    <w:nsid w:val="7AB49DAF"/>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43">
    <w:nsid w:val="759F82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2019-12-09T02:34:48Z</dcterms:created>
  <dcterms:modified xsi:type="dcterms:W3CDTF">2019-12-09T02:34:48Z</dcterms:modified>
</cp:coreProperties>
</file>