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428615"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428615" cy="9861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Richard D. Truesdell, Jr.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5"/>
          <w:szCs w:val="15"/>
          <w:color w:val="auto"/>
        </w:rPr>
        <w:t>LLP</w:t>
      </w:r>
    </w:p>
    <w:p>
      <w:pPr>
        <w:spacing w:after="0" w:line="23" w:lineRule="exact"/>
        <w:rPr>
          <w:sz w:val="24"/>
          <w:szCs w:val="24"/>
          <w:color w:val="auto"/>
        </w:rPr>
      </w:pPr>
    </w:p>
    <w:p>
      <w:pPr>
        <w:jc w:val="both"/>
        <w:ind w:right="9740" w:firstLine="8"/>
        <w:spacing w:after="0" w:line="281" w:lineRule="auto"/>
        <w:tabs>
          <w:tab w:leader="none" w:pos="315" w:val="left"/>
        </w:tabs>
        <w:numPr>
          <w:ilvl w:val="0"/>
          <w:numId w:val="1"/>
        </w:numPr>
        <w:rPr>
          <w:rFonts w:ascii="Arial" w:cs="Arial" w:eastAsia="Arial" w:hAnsi="Arial"/>
          <w:sz w:val="16"/>
          <w:szCs w:val="16"/>
          <w:color w:val="auto"/>
        </w:rPr>
      </w:pPr>
      <w:r>
        <w:rPr>
          <w:rFonts w:ascii="Arial" w:cs="Arial" w:eastAsia="Arial" w:hAnsi="Arial"/>
          <w:sz w:val="16"/>
          <w:szCs w:val="16"/>
          <w:color w:val="auto"/>
        </w:rPr>
        <w:t>Lexington Avenue New York, NY 10017 212-450-4674 tel</w:t>
      </w:r>
    </w:p>
    <w:p>
      <w:pPr>
        <w:spacing w:after="0" w:line="2" w:lineRule="exact"/>
        <w:rPr>
          <w:rFonts w:ascii="Arial" w:cs="Arial" w:eastAsia="Arial" w:hAnsi="Arial"/>
          <w:sz w:val="16"/>
          <w:szCs w:val="16"/>
          <w:color w:val="auto"/>
        </w:rPr>
      </w:pPr>
    </w:p>
    <w:p>
      <w:pPr>
        <w:ind w:right="8980"/>
        <w:spacing w:after="0" w:line="323" w:lineRule="auto"/>
        <w:rPr>
          <w:rFonts w:ascii="Arial" w:cs="Arial" w:eastAsia="Arial" w:hAnsi="Arial"/>
          <w:sz w:val="16"/>
          <w:szCs w:val="16"/>
          <w:color w:val="auto"/>
        </w:rPr>
      </w:pPr>
      <w:r>
        <w:rPr>
          <w:rFonts w:ascii="Arial" w:cs="Arial" w:eastAsia="Arial" w:hAnsi="Arial"/>
          <w:sz w:val="16"/>
          <w:szCs w:val="16"/>
          <w:color w:val="auto"/>
        </w:rPr>
        <w:t>212-450-5674 tax richard.truesdell@davispolk.com</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September 16, 2016</w:t>
      </w:r>
    </w:p>
    <w:p>
      <w:pPr>
        <w:spacing w:after="0" w:line="24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 Immune SA</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Amendment No. 4 to Registration Statement on Form F-1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on September 13, 2016</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333-211714</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20549-3628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1"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On behalf of our client, AC Immune SA, a Swiss stock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we are responding to the comment from the Staff (the “</w:t>
      </w:r>
      <w:r>
        <w:rPr>
          <w:rFonts w:ascii="Arial" w:cs="Arial" w:eastAsia="Arial" w:hAnsi="Arial"/>
          <w:sz w:val="17"/>
          <w:szCs w:val="17"/>
          <w:b w:val="1"/>
          <w:bCs w:val="1"/>
          <w:color w:val="auto"/>
        </w:rPr>
        <w:t>Staff</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relating to the Company’s Amendment No. 4 to the Registration Statement on Form F-1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contained in the Staff’s letter dated September 15, 2016 (the “</w:t>
      </w:r>
      <w:r>
        <w:rPr>
          <w:rFonts w:ascii="Arial" w:cs="Arial" w:eastAsia="Arial" w:hAnsi="Arial"/>
          <w:sz w:val="17"/>
          <w:szCs w:val="17"/>
          <w:b w:val="1"/>
          <w:bCs w:val="1"/>
          <w:color w:val="auto"/>
        </w:rPr>
        <w:t>Comment Letter</w:t>
      </w:r>
      <w:r>
        <w:rPr>
          <w:rFonts w:ascii="Arial" w:cs="Arial" w:eastAsia="Arial" w:hAnsi="Arial"/>
          <w:sz w:val="17"/>
          <w:szCs w:val="17"/>
          <w:color w:val="auto"/>
        </w:rPr>
        <w:t>”). In response to the comment set forth in the Comment Letter, the Company has revised the Registration Statement and is filing it together with this response letter and a related free writing prospectus. We are also sending, under separate cover, (i) a copy of the revised Registration Statement and three marked copies of the Registration Statement showing the changes to the Registration Statement filed on September 13, 2016 and (ii) three copies of the free writing prospectus.</w:t>
      </w:r>
    </w:p>
    <w:p>
      <w:pPr>
        <w:spacing w:after="0" w:line="178"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Set forth below is the Company’s response to the Staff’s comment in the Comment Letter. The response and information below are based on information provided to us by the Company. For convenience, the Staff’s comment is repeated below in italics, followed by the Company’s response to the comment as well as a summary of the responsive actions taken. We have included page numbers to refer to the location in the revised Registration Statement filed herewith where the revised language addressing a particular comment appears.</w:t>
      </w:r>
    </w:p>
    <w:p>
      <w:pPr>
        <w:sectPr>
          <w:pgSz w:w="11900" w:h="16838" w:orient="portrait"/>
          <w:cols w:equalWidth="0" w:num="1">
            <w:col w:w="11380"/>
          </w:cols>
          <w:pgMar w:left="240" w:top="1440"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9" w:lineRule="exact"/>
        <w:rPr>
          <w:sz w:val="20"/>
          <w:szCs w:val="20"/>
          <w:color w:val="auto"/>
        </w:rPr>
      </w:pPr>
    </w:p>
    <w:p>
      <w:pPr>
        <w:jc w:val="both"/>
        <w:ind w:left="4940"/>
        <w:spacing w:after="0"/>
        <w:tabs>
          <w:tab w:leader="none" w:pos="99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September 16,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Dilution, page 64</w:t>
      </w:r>
    </w:p>
    <w:p>
      <w:pPr>
        <w:spacing w:after="0" w:line="251" w:lineRule="exact"/>
        <w:rPr>
          <w:sz w:val="20"/>
          <w:szCs w:val="20"/>
          <w:color w:val="auto"/>
        </w:rPr>
      </w:pPr>
    </w:p>
    <w:p>
      <w:pPr>
        <w:ind w:left="900" w:right="10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explain why the adjusted net tangible book value increased from the net tangible book value as it appears the milestone payment received in July 2016 was recorded as a receivable at June 30, 2016. Similarly, for the as adjusted total assets disclosed on page 10 of CHF 163,360, please confirm whether this amount includes both the milestone payment received in July 2016 and the CHF 14 million receivable from Genentech.</w:t>
      </w:r>
    </w:p>
    <w:p>
      <w:pPr>
        <w:spacing w:after="0" w:line="210" w:lineRule="exact"/>
        <w:rPr>
          <w:sz w:val="20"/>
          <w:szCs w:val="20"/>
          <w:color w:val="auto"/>
        </w:rPr>
      </w:pPr>
    </w:p>
    <w:p>
      <w:pPr>
        <w:ind w:left="1380" w:right="20" w:hanging="1379"/>
        <w:spacing w:after="0" w:line="273" w:lineRule="auto"/>
        <w:tabs>
          <w:tab w:leader="none" w:pos="136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The Company respectfully advises the Staff that it inadvertently included in its calculation of as adjusted net tangible book value the receivable arising as a result of the Company becoming entitled to receive a CHF 14 million milestone payment from Genentech as at June 30, 2016. This receivable was extinguished when the Company received the milestone payment in July 2016 but the Company inadvertently included both the milestone payment received in July 2016 and the related receivable outstanding as at June 30, 2016 in its as adjusted net tangible book value. The Company has corrected the disclosure on pages 10, 47, 62, 64 and 65 of the Registration Statement to remove the value of the receivable in the as adjusted book value.</w:t>
      </w:r>
    </w:p>
    <w:p>
      <w:pPr>
        <w:spacing w:after="0" w:line="18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Please do not hesitate to contact me at (212) 450-4674, (212) 701-5674 (fax) or richard.truesdell@davispolk.com if you have any questions regarding the foregoing or if I can provide any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Richard D. Truesdell,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D. Truesdell, Jr.</w:t>
      </w:r>
    </w:p>
    <w:p>
      <w:pPr>
        <w:spacing w:after="0" w:line="200" w:lineRule="exact"/>
        <w:rPr>
          <w:sz w:val="20"/>
          <w:szCs w:val="20"/>
          <w:color w:val="auto"/>
        </w:rPr>
      </w:pPr>
    </w:p>
    <w:p>
      <w:pPr>
        <w:spacing w:after="0" w:line="29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460" w:right="8100"/>
        <w:spacing w:after="0" w:line="255" w:lineRule="auto"/>
        <w:rPr>
          <w:rFonts w:ascii="Arial" w:cs="Arial" w:eastAsia="Arial" w:hAnsi="Arial"/>
          <w:sz w:val="18"/>
          <w:szCs w:val="18"/>
          <w:color w:val="auto"/>
        </w:rPr>
      </w:pPr>
      <w:r>
        <w:rPr>
          <w:rFonts w:ascii="Arial" w:cs="Arial" w:eastAsia="Arial" w:hAnsi="Arial"/>
          <w:sz w:val="18"/>
          <w:szCs w:val="18"/>
          <w:color w:val="auto"/>
        </w:rPr>
        <w:t>Andrea Pfeifer, Chief Executive Officer George Pavey, Chief Financial Officer AC Immune SA</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5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2019-12-09T03:50:48Z</dcterms:created>
  <dcterms:modified xsi:type="dcterms:W3CDTF">2019-12-09T03:50:48Z</dcterms:modified>
</cp:coreProperties>
</file>