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134620</wp:posOffset>
            </wp:positionV>
            <wp:extent cx="7178040" cy="285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2857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168910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SECURITIES AND EXCHANGE COMMISSION</w:t>
      </w:r>
    </w:p>
    <w:p>
      <w:pPr>
        <w:spacing w:after="0" w:line="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Washington, D.C. 20549</w:t>
      </w:r>
    </w:p>
    <w:p>
      <w:pPr>
        <w:spacing w:after="0" w:line="170"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FORM 6-K</w:t>
      </w:r>
    </w:p>
    <w:p>
      <w:pPr>
        <w:spacing w:after="0" w:line="24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REPORT OF FOREIGN PRIVATE ISSUER PURSUANT TO RULE 13a-16 OR 15d-16 UNDER THE SECURITIES EXCHANGE ACT OF 1934</w:t>
      </w:r>
    </w:p>
    <w:p>
      <w:pPr>
        <w:spacing w:after="0" w:line="205"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For the month of June,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2820035</wp:posOffset>
            </wp:positionH>
            <wp:positionV relativeFrom="paragraph">
              <wp:posOffset>50800</wp:posOffset>
            </wp:positionV>
            <wp:extent cx="1527175" cy="18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7175" cy="18415"/>
                    </a:xfrm>
                    <a:prstGeom prst="rect">
                      <a:avLst/>
                    </a:prstGeom>
                    <a:noFill/>
                  </pic:spPr>
                </pic:pic>
              </a:graphicData>
            </a:graphic>
          </wp:anchor>
        </w:drawing>
      </w:r>
    </w:p>
    <w:p>
      <w:pPr>
        <w:spacing w:after="0" w:line="14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Commission File Number: 001-37891</w:t>
      </w:r>
    </w:p>
    <w:p>
      <w:pPr>
        <w:spacing w:after="0" w:line="184" w:lineRule="exact"/>
        <w:rPr>
          <w:sz w:val="24"/>
          <w:szCs w:val="24"/>
          <w:color w:val="auto"/>
        </w:rPr>
      </w:pPr>
    </w:p>
    <w:p>
      <w:pPr>
        <w:jc w:val="center"/>
        <w:ind w:right="20"/>
        <w:spacing w:after="0"/>
        <w:rPr>
          <w:sz w:val="20"/>
          <w:szCs w:val="20"/>
          <w:color w:val="auto"/>
        </w:rPr>
      </w:pPr>
      <w:r>
        <w:rPr>
          <w:rFonts w:ascii="Arial" w:cs="Arial" w:eastAsia="Arial" w:hAnsi="Arial"/>
          <w:sz w:val="34"/>
          <w:szCs w:val="34"/>
          <w:b w:val="1"/>
          <w:bCs w:val="1"/>
          <w:color w:val="auto"/>
        </w:rPr>
        <w:t>AC IMMUNE SA</w:t>
      </w:r>
    </w:p>
    <w:p>
      <w:pPr>
        <w:spacing w:after="0" w:line="2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13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EPFL Innovation Park</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Building B</w:t>
      </w:r>
    </w:p>
    <w:p>
      <w:pPr>
        <w:spacing w:after="0" w:line="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1015 Lausanne, Switzerland</w:t>
      </w:r>
    </w:p>
    <w:p>
      <w:pPr>
        <w:jc w:val="center"/>
        <w:ind w:right="20"/>
        <w:spacing w:after="0"/>
        <w:rPr>
          <w:sz w:val="20"/>
          <w:szCs w:val="20"/>
          <w:color w:val="auto"/>
        </w:rPr>
      </w:pPr>
      <w:r>
        <w:rPr>
          <w:rFonts w:ascii="Arial" w:cs="Arial" w:eastAsia="Arial" w:hAnsi="Arial"/>
          <w:sz w:val="12"/>
          <w:szCs w:val="12"/>
          <w:b w:val="1"/>
          <w:bCs w:val="1"/>
          <w:color w:val="auto"/>
        </w:rPr>
        <w:t>(Address of principal executive office)</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8720" w:type="dxa"/>
            <w:vAlign w:val="bottom"/>
            <w:gridSpan w:val="4"/>
          </w:tcPr>
          <w:p>
            <w:pPr>
              <w:jc w:val="center"/>
              <w:ind w:left="2500"/>
              <w:spacing w:after="0"/>
              <w:rPr>
                <w:sz w:val="20"/>
                <w:szCs w:val="20"/>
                <w:color w:val="auto"/>
              </w:rPr>
            </w:pPr>
            <w:r>
              <w:rPr>
                <w:rFonts w:ascii="Arial" w:cs="Arial" w:eastAsia="Arial" w:hAnsi="Arial"/>
                <w:sz w:val="12"/>
                <w:szCs w:val="12"/>
                <w:color w:val="auto"/>
                <w:w w:val="92"/>
              </w:rPr>
              <w:t>Indicate by check mark whether the registrant files or will file annual reports under cover of Form 20-F or Form 40-F:</w:t>
            </w:r>
          </w:p>
        </w:tc>
        <w:tc>
          <w:tcPr>
            <w:tcW w:w="640" w:type="dxa"/>
            <w:vAlign w:val="bottom"/>
          </w:tcPr>
          <w:p>
            <w:pPr>
              <w:spacing w:after="0"/>
              <w:rPr>
                <w:sz w:val="13"/>
                <w:szCs w:val="13"/>
                <w:color w:val="auto"/>
              </w:rPr>
            </w:pPr>
          </w:p>
        </w:tc>
        <w:tc>
          <w:tcPr>
            <w:tcW w:w="1940" w:type="dxa"/>
            <w:vAlign w:val="bottom"/>
          </w:tcPr>
          <w:p>
            <w:pPr>
              <w:spacing w:after="0"/>
              <w:rPr>
                <w:sz w:val="13"/>
                <w:szCs w:val="13"/>
                <w:color w:val="auto"/>
              </w:rPr>
            </w:pPr>
          </w:p>
        </w:tc>
      </w:tr>
      <w:tr>
        <w:trPr>
          <w:trHeight w:val="288"/>
        </w:trPr>
        <w:tc>
          <w:tcPr>
            <w:tcW w:w="4080" w:type="dxa"/>
            <w:vAlign w:val="bottom"/>
          </w:tcPr>
          <w:p>
            <w:pPr>
              <w:jc w:val="center"/>
              <w:ind w:left="1860"/>
              <w:spacing w:after="0"/>
              <w:rPr>
                <w:sz w:val="20"/>
                <w:szCs w:val="20"/>
                <w:color w:val="auto"/>
              </w:rPr>
            </w:pPr>
            <w:r>
              <w:rPr>
                <w:rFonts w:ascii="Arial" w:cs="Arial" w:eastAsia="Arial" w:hAnsi="Arial"/>
                <w:sz w:val="12"/>
                <w:szCs w:val="12"/>
                <w:color w:val="auto"/>
                <w:w w:val="92"/>
              </w:rPr>
              <w:t>Form 20-F</w:t>
            </w:r>
          </w:p>
        </w:tc>
        <w:tc>
          <w:tcPr>
            <w:tcW w:w="1060" w:type="dxa"/>
            <w:vAlign w:val="bottom"/>
          </w:tcPr>
          <w:p>
            <w:pPr>
              <w:ind w:left="480"/>
              <w:spacing w:after="0"/>
              <w:rPr>
                <w:sz w:val="20"/>
                <w:szCs w:val="20"/>
                <w:color w:val="auto"/>
              </w:rPr>
            </w:pPr>
            <w:r>
              <w:rPr>
                <w:rFonts w:ascii="Arial" w:cs="Arial" w:eastAsia="Arial" w:hAnsi="Arial"/>
                <w:sz w:val="12"/>
                <w:szCs w:val="12"/>
                <w:color w:val="auto"/>
              </w:rPr>
              <w:t>X</w:t>
            </w:r>
          </w:p>
        </w:tc>
        <w:tc>
          <w:tcPr>
            <w:tcW w:w="3200" w:type="dxa"/>
            <w:vAlign w:val="bottom"/>
          </w:tcPr>
          <w:p>
            <w:pPr>
              <w:jc w:val="center"/>
              <w:ind w:left="1060"/>
              <w:spacing w:after="0"/>
              <w:rPr>
                <w:sz w:val="20"/>
                <w:szCs w:val="20"/>
                <w:color w:val="auto"/>
              </w:rPr>
            </w:pPr>
            <w:r>
              <w:rPr>
                <w:rFonts w:ascii="Arial" w:cs="Arial" w:eastAsia="Arial" w:hAnsi="Arial"/>
                <w:sz w:val="12"/>
                <w:szCs w:val="12"/>
                <w:color w:val="auto"/>
                <w:w w:val="92"/>
              </w:rPr>
              <w:t>Form 40-F</w:t>
            </w:r>
          </w:p>
        </w:tc>
        <w:tc>
          <w:tcPr>
            <w:tcW w:w="3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940" w:type="dxa"/>
            <w:vAlign w:val="bottom"/>
          </w:tcPr>
          <w:p>
            <w:pPr>
              <w:spacing w:after="0"/>
              <w:rPr>
                <w:sz w:val="24"/>
                <w:szCs w:val="24"/>
                <w:color w:val="auto"/>
              </w:rPr>
            </w:pPr>
          </w:p>
        </w:tc>
      </w:tr>
      <w:tr>
        <w:trPr>
          <w:trHeight w:val="286"/>
        </w:trPr>
        <w:tc>
          <w:tcPr>
            <w:tcW w:w="8720" w:type="dxa"/>
            <w:vAlign w:val="bottom"/>
            <w:gridSpan w:val="4"/>
          </w:tcPr>
          <w:p>
            <w:pPr>
              <w:jc w:val="center"/>
              <w:ind w:left="2500"/>
              <w:spacing w:after="0"/>
              <w:rPr>
                <w:sz w:val="20"/>
                <w:szCs w:val="20"/>
                <w:color w:val="auto"/>
              </w:rPr>
            </w:pPr>
            <w:r>
              <w:rPr>
                <w:rFonts w:ascii="Arial" w:cs="Arial" w:eastAsia="Arial" w:hAnsi="Arial"/>
                <w:sz w:val="12"/>
                <w:szCs w:val="12"/>
                <w:color w:val="auto"/>
                <w:w w:val="91"/>
              </w:rPr>
              <w:t>Indicate by check mark if the registrant is submitting the Form 6-K in paper as permitted by Regulation S-T Rule 101(b)(1):</w:t>
            </w:r>
          </w:p>
        </w:tc>
        <w:tc>
          <w:tcPr>
            <w:tcW w:w="6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88"/>
        </w:trPr>
        <w:tc>
          <w:tcPr>
            <w:tcW w:w="4080" w:type="dxa"/>
            <w:vAlign w:val="bottom"/>
          </w:tcPr>
          <w:p>
            <w:pPr>
              <w:jc w:val="center"/>
              <w:ind w:left="1860"/>
              <w:spacing w:after="0"/>
              <w:rPr>
                <w:sz w:val="20"/>
                <w:szCs w:val="20"/>
                <w:color w:val="auto"/>
              </w:rPr>
            </w:pPr>
            <w:r>
              <w:rPr>
                <w:rFonts w:ascii="Arial" w:cs="Arial" w:eastAsia="Arial" w:hAnsi="Arial"/>
                <w:sz w:val="12"/>
                <w:szCs w:val="12"/>
                <w:color w:val="auto"/>
                <w:w w:val="77"/>
              </w:rPr>
              <w:t>Yes</w:t>
            </w:r>
          </w:p>
        </w:tc>
        <w:tc>
          <w:tcPr>
            <w:tcW w:w="1060" w:type="dxa"/>
            <w:vAlign w:val="bottom"/>
            <w:tcBorders>
              <w:bottom w:val="single" w:sz="8" w:color="auto"/>
            </w:tcBorders>
          </w:tcPr>
          <w:p>
            <w:pPr>
              <w:spacing w:after="0"/>
              <w:rPr>
                <w:sz w:val="24"/>
                <w:szCs w:val="24"/>
                <w:color w:val="auto"/>
              </w:rPr>
            </w:pPr>
          </w:p>
        </w:tc>
        <w:tc>
          <w:tcPr>
            <w:tcW w:w="3580" w:type="dxa"/>
            <w:vAlign w:val="bottom"/>
            <w:gridSpan w:val="2"/>
          </w:tcPr>
          <w:p>
            <w:pPr>
              <w:jc w:val="center"/>
              <w:ind w:left="660"/>
              <w:spacing w:after="0"/>
              <w:rPr>
                <w:sz w:val="20"/>
                <w:szCs w:val="20"/>
                <w:color w:val="auto"/>
              </w:rPr>
            </w:pPr>
            <w:r>
              <w:rPr>
                <w:rFonts w:ascii="Arial" w:cs="Arial" w:eastAsia="Arial" w:hAnsi="Arial"/>
                <w:sz w:val="12"/>
                <w:szCs w:val="12"/>
                <w:color w:val="auto"/>
                <w:w w:val="90"/>
              </w:rPr>
              <w:t>No</w:t>
            </w: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X</w:t>
            </w:r>
          </w:p>
        </w:tc>
        <w:tc>
          <w:tcPr>
            <w:tcW w:w="1940" w:type="dxa"/>
            <w:vAlign w:val="bottom"/>
          </w:tcPr>
          <w:p>
            <w:pPr>
              <w:spacing w:after="0"/>
              <w:rPr>
                <w:sz w:val="24"/>
                <w:szCs w:val="24"/>
                <w:color w:val="auto"/>
              </w:rPr>
            </w:pPr>
          </w:p>
        </w:tc>
      </w:tr>
      <w:tr>
        <w:trPr>
          <w:trHeight w:val="286"/>
        </w:trPr>
        <w:tc>
          <w:tcPr>
            <w:tcW w:w="8720" w:type="dxa"/>
            <w:vAlign w:val="bottom"/>
            <w:gridSpan w:val="4"/>
          </w:tcPr>
          <w:p>
            <w:pPr>
              <w:jc w:val="center"/>
              <w:ind w:left="2500"/>
              <w:spacing w:after="0"/>
              <w:rPr>
                <w:sz w:val="20"/>
                <w:szCs w:val="20"/>
                <w:color w:val="auto"/>
              </w:rPr>
            </w:pPr>
            <w:r>
              <w:rPr>
                <w:rFonts w:ascii="Arial" w:cs="Arial" w:eastAsia="Arial" w:hAnsi="Arial"/>
                <w:sz w:val="12"/>
                <w:szCs w:val="12"/>
                <w:color w:val="auto"/>
                <w:w w:val="91"/>
              </w:rPr>
              <w:t>Indicate by check mark if the registrant is submitting the Form 6-K in paper as permitted by Regulation S-T Rule 101(b)(7):</w:t>
            </w:r>
          </w:p>
        </w:tc>
        <w:tc>
          <w:tcPr>
            <w:tcW w:w="6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88"/>
        </w:trPr>
        <w:tc>
          <w:tcPr>
            <w:tcW w:w="4080" w:type="dxa"/>
            <w:vAlign w:val="bottom"/>
          </w:tcPr>
          <w:p>
            <w:pPr>
              <w:jc w:val="center"/>
              <w:ind w:left="1860"/>
              <w:spacing w:after="0"/>
              <w:rPr>
                <w:sz w:val="20"/>
                <w:szCs w:val="20"/>
                <w:color w:val="auto"/>
              </w:rPr>
            </w:pPr>
            <w:r>
              <w:rPr>
                <w:rFonts w:ascii="Arial" w:cs="Arial" w:eastAsia="Arial" w:hAnsi="Arial"/>
                <w:sz w:val="12"/>
                <w:szCs w:val="12"/>
                <w:color w:val="auto"/>
                <w:w w:val="77"/>
              </w:rPr>
              <w:t>Yes</w:t>
            </w:r>
          </w:p>
        </w:tc>
        <w:tc>
          <w:tcPr>
            <w:tcW w:w="1060" w:type="dxa"/>
            <w:vAlign w:val="bottom"/>
          </w:tcPr>
          <w:p>
            <w:pPr>
              <w:spacing w:after="0"/>
              <w:rPr>
                <w:sz w:val="24"/>
                <w:szCs w:val="24"/>
                <w:color w:val="auto"/>
              </w:rPr>
            </w:pPr>
          </w:p>
        </w:tc>
        <w:tc>
          <w:tcPr>
            <w:tcW w:w="3580" w:type="dxa"/>
            <w:vAlign w:val="bottom"/>
            <w:gridSpan w:val="2"/>
          </w:tcPr>
          <w:p>
            <w:pPr>
              <w:jc w:val="center"/>
              <w:ind w:left="660"/>
              <w:spacing w:after="0"/>
              <w:rPr>
                <w:sz w:val="20"/>
                <w:szCs w:val="20"/>
                <w:color w:val="auto"/>
              </w:rPr>
            </w:pPr>
            <w:r>
              <w:rPr>
                <w:rFonts w:ascii="Arial" w:cs="Arial" w:eastAsia="Arial" w:hAnsi="Arial"/>
                <w:sz w:val="12"/>
                <w:szCs w:val="12"/>
                <w:color w:val="auto"/>
                <w:w w:val="90"/>
              </w:rPr>
              <w:t>No</w:t>
            </w:r>
          </w:p>
        </w:tc>
        <w:tc>
          <w:tcPr>
            <w:tcW w:w="640" w:type="dxa"/>
            <w:vAlign w:val="bottom"/>
          </w:tcPr>
          <w:p>
            <w:pPr>
              <w:ind w:left="80"/>
              <w:spacing w:after="0"/>
              <w:rPr>
                <w:sz w:val="20"/>
                <w:szCs w:val="20"/>
                <w:color w:val="auto"/>
              </w:rPr>
            </w:pPr>
            <w:r>
              <w:rPr>
                <w:rFonts w:ascii="Arial" w:cs="Arial" w:eastAsia="Arial" w:hAnsi="Arial"/>
                <w:sz w:val="12"/>
                <w:szCs w:val="12"/>
                <w:color w:val="auto"/>
              </w:rPr>
              <w:t>X</w:t>
            </w:r>
          </w:p>
        </w:tc>
        <w:tc>
          <w:tcPr>
            <w:tcW w:w="1940" w:type="dxa"/>
            <w:vAlign w:val="bottom"/>
          </w:tcPr>
          <w:p>
            <w:pPr>
              <w:spacing w:after="0"/>
              <w:rPr>
                <w:sz w:val="24"/>
                <w:szCs w:val="24"/>
                <w:color w:val="auto"/>
              </w:rPr>
            </w:pPr>
          </w:p>
        </w:tc>
      </w:tr>
      <w:tr>
        <w:trPr>
          <w:trHeight w:val="304"/>
        </w:trPr>
        <w:tc>
          <w:tcPr>
            <w:tcW w:w="408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2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940" w:type="dxa"/>
            <w:vAlign w:val="bottom"/>
          </w:tcPr>
          <w:p>
            <w:pPr>
              <w:spacing w:after="0"/>
              <w:rPr>
                <w:sz w:val="24"/>
                <w:szCs w:val="24"/>
                <w:color w:val="auto"/>
              </w:rPr>
            </w:pPr>
          </w:p>
        </w:tc>
      </w:tr>
      <w:tr>
        <w:trPr>
          <w:trHeight w:val="63"/>
        </w:trPr>
        <w:tc>
          <w:tcPr>
            <w:tcW w:w="408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3200" w:type="dxa"/>
            <w:vAlign w:val="bottom"/>
            <w:shd w:val="clear" w:color="auto" w:fill="000000"/>
          </w:tcPr>
          <w:p>
            <w:pPr>
              <w:spacing w:after="0"/>
              <w:rPr>
                <w:sz w:val="5"/>
                <w:szCs w:val="5"/>
                <w:color w:val="auto"/>
              </w:rPr>
            </w:pPr>
          </w:p>
        </w:tc>
        <w:tc>
          <w:tcPr>
            <w:tcW w:w="38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1940" w:type="dxa"/>
            <w:vAlign w:val="bottom"/>
            <w:shd w:val="clear" w:color="auto" w:fill="000000"/>
          </w:tcPr>
          <w:p>
            <w:pPr>
              <w:spacing w:after="0"/>
              <w:rPr>
                <w:sz w:val="5"/>
                <w:szCs w:val="5"/>
                <w:color w:val="auto"/>
              </w:rPr>
            </w:pPr>
          </w:p>
        </w:tc>
      </w:tr>
      <w:tr>
        <w:trPr>
          <w:trHeight w:val="234"/>
        </w:trPr>
        <w:tc>
          <w:tcPr>
            <w:tcW w:w="40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r>
    </w:tbl>
    <w:p>
      <w:pPr>
        <w:sectPr>
          <w:pgSz w:w="11900" w:h="16838" w:orient="portrait"/>
          <w:cols w:equalWidth="0" w:num="1">
            <w:col w:w="11300"/>
          </w:cols>
          <w:pgMar w:left="300" w:top="269" w:right="299" w:bottom="1440" w:gutter="0" w:footer="0" w:header="0"/>
        </w:sectPr>
      </w:pPr>
    </w:p>
    <w:bookmarkStart w:id="1" w:name="page2"/>
    <w:bookmarkEnd w:id="1"/>
    <w:p>
      <w:pPr>
        <w:spacing w:after="0"/>
        <w:rPr>
          <w:sz w:val="20"/>
          <w:szCs w:val="20"/>
          <w:color w:val="auto"/>
        </w:rPr>
      </w:pPr>
      <w:r>
        <w:rPr>
          <w:rFonts w:ascii="Arial" w:cs="Arial" w:eastAsia="Arial" w:hAnsi="Arial"/>
          <w:sz w:val="12"/>
          <w:szCs w:val="12"/>
          <w:b w:val="1"/>
          <w:bCs w:val="1"/>
          <w:color w:val="auto"/>
        </w:rPr>
        <w:t>Annual General Meeting Results</w:t>
      </w:r>
    </w:p>
    <w:p>
      <w:pPr>
        <w:spacing w:after="0" w:line="150" w:lineRule="exact"/>
        <w:rPr>
          <w:sz w:val="20"/>
          <w:szCs w:val="20"/>
          <w:color w:val="auto"/>
        </w:rPr>
      </w:pPr>
    </w:p>
    <w:p>
      <w:pPr>
        <w:ind w:firstLine="432"/>
        <w:spacing w:after="0" w:line="292" w:lineRule="auto"/>
        <w:rPr>
          <w:sz w:val="20"/>
          <w:szCs w:val="20"/>
          <w:color w:val="auto"/>
        </w:rPr>
      </w:pPr>
      <w:r>
        <w:rPr>
          <w:rFonts w:ascii="Arial" w:cs="Arial" w:eastAsia="Arial" w:hAnsi="Arial"/>
          <w:sz w:val="11"/>
          <w:szCs w:val="11"/>
          <w:color w:val="auto"/>
        </w:rPr>
        <w:t>On June 25, 2021, AC Immune SA (“</w:t>
      </w:r>
      <w:r>
        <w:rPr>
          <w:rFonts w:ascii="Arial" w:cs="Arial" w:eastAsia="Arial" w:hAnsi="Arial"/>
          <w:sz w:val="11"/>
          <w:szCs w:val="11"/>
          <w:b w:val="1"/>
          <w:bCs w:val="1"/>
          <w:color w:val="auto"/>
        </w:rPr>
        <w:t>AC Immune</w:t>
      </w:r>
      <w:r>
        <w:rPr>
          <w:rFonts w:ascii="Arial" w:cs="Arial" w:eastAsia="Arial" w:hAnsi="Arial"/>
          <w:sz w:val="11"/>
          <w:szCs w:val="11"/>
          <w:color w:val="auto"/>
        </w:rPr>
        <w:t>”) held its Annual General Meeting of Shareholders. The Management presentation to shareholders is attached hereto as Exhibit 99.1 and the press release relating to the results of the Annual General Meeting is attached hereto as Exhibit 99.2. The amended Articles of Association are attached hereto as Exhibit 99.3, the notarized version of which will be published on AC Immune's website (https://ir.acimmune.com/governance) after the filing of the document with the Swiss Register of Commerce. The Board withdrew Agenda Items 6.2 ("Authorized Share Capital") and 6.3 ("Conditional Capital Increase for Employee Benefit Plans") prior to the Annual General Meeting. The final results of the remaining agenda items submitted to a vote of the shareholders are as follows:</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Agenda Item 1: Approval of Annual Report and Other Reports for the year 2020</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Agenda Item 1.1: Approval of the Annual Report 2020, Statutory Financial Statements 2020, and IFRS Financial Statements for the year 2020</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1"/>
          <w:szCs w:val="11"/>
          <w:color w:val="auto"/>
        </w:rPr>
        <w:t>AC Immune shareholders approved the Annual Report 2020, the Statutory Financial Statements 2020 and the IFRS Financial Statements of AC Immune SA for the year 2020, and took note of the Reports of the Auditors.</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Agenda Item 1.2: Advisory Vote on the Compensation Report for the year 2020</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AC Immune shareholders endorsed the Compensation Report for the year 2020.</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Agenda Item 2: Appropriation of Loss</w:t>
      </w:r>
    </w:p>
    <w:p>
      <w:pPr>
        <w:spacing w:after="0" w:line="154" w:lineRule="exact"/>
        <w:rPr>
          <w:sz w:val="20"/>
          <w:szCs w:val="20"/>
          <w:color w:val="auto"/>
        </w:rPr>
      </w:pPr>
    </w:p>
    <w:p>
      <w:pPr>
        <w:ind w:right="200" w:firstLine="432"/>
        <w:spacing w:after="0" w:line="276" w:lineRule="auto"/>
        <w:rPr>
          <w:sz w:val="20"/>
          <w:szCs w:val="20"/>
          <w:color w:val="auto"/>
        </w:rPr>
      </w:pPr>
      <w:r>
        <w:rPr>
          <w:rFonts w:ascii="Arial" w:cs="Arial" w:eastAsia="Arial" w:hAnsi="Arial"/>
          <w:sz w:val="12"/>
          <w:szCs w:val="12"/>
          <w:color w:val="auto"/>
        </w:rPr>
        <w:t>AC Immune shareholders approved that the loss for the year 2020 in the amount of KCHF 57,824 increases the “accumulated losses brought forward” of KCHF 62,151, resulting in a new balance of “accumulated losses brought forward” of KCHF 119,975.</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Agenda Item 3: Discharge of the Board of Directors and of the Executive Committee</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AC Immune shareholders approved the discharge the members of the Board of Directors and of the Executive Committee of their liabilities for their activities in the 2020 financial year.</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Agenda Item 4: Compensation for the Members of the Board of Directors and the Executive Committee</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AC Immune shareholders approved:</w:t>
      </w:r>
    </w:p>
    <w:p>
      <w:pPr>
        <w:spacing w:after="0" w:line="150" w:lineRule="exact"/>
        <w:rPr>
          <w:sz w:val="20"/>
          <w:szCs w:val="20"/>
          <w:color w:val="auto"/>
        </w:rPr>
      </w:pPr>
    </w:p>
    <w:p>
      <w:pPr>
        <w:ind w:left="420" w:right="380" w:firstLine="436"/>
        <w:spacing w:after="0" w:line="276" w:lineRule="auto"/>
        <w:tabs>
          <w:tab w:leader="none" w:pos="1176"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 total maximum amount of non-performance-related compensation for the members of the Board of Directors covering the period from 1 July 2021 to 30 June 2022, i.e., CHF 689,000 (cash-based compensation plus pensionable social security costs);</w:t>
      </w:r>
    </w:p>
    <w:p>
      <w:pPr>
        <w:spacing w:after="0" w:line="114" w:lineRule="exact"/>
        <w:rPr>
          <w:rFonts w:ascii="Arial" w:cs="Arial" w:eastAsia="Arial" w:hAnsi="Arial"/>
          <w:sz w:val="12"/>
          <w:szCs w:val="12"/>
          <w:color w:val="auto"/>
        </w:rPr>
      </w:pPr>
    </w:p>
    <w:p>
      <w:pPr>
        <w:ind w:left="420" w:right="400" w:firstLine="436"/>
        <w:spacing w:after="0" w:line="276" w:lineRule="auto"/>
        <w:tabs>
          <w:tab w:leader="none" w:pos="1170"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 maximum grant of equity or equity linked instruments for the members of the Board of Directors from 1 July 2021 to 30 June 2022 with maximum value of CHF 863,000 (equity or equity linked instruments at grant value plus pensionable social security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227330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20"/>
          </w:cols>
          <w:pgMar w:left="300" w:top="433" w:right="479" w:bottom="1440" w:gutter="0" w:footer="0" w:header="0"/>
        </w:sectPr>
      </w:pPr>
    </w:p>
    <w:bookmarkStart w:id="2" w:name="page3"/>
    <w:bookmarkEnd w:id="2"/>
    <w:p>
      <w:pPr>
        <w:ind w:left="420" w:firstLine="436"/>
        <w:spacing w:after="0" w:line="276" w:lineRule="auto"/>
        <w:tabs>
          <w:tab w:leader="none" w:pos="117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total maximum amount of non-performance-related cash compensation for the members of the Executive Committee from 1 July 2021 to 30 June 2022, i.e., CHF 3,269,000 (cash-based compensation plus pensionable social security costs);</w:t>
      </w:r>
    </w:p>
    <w:p>
      <w:pPr>
        <w:spacing w:after="0" w:line="114" w:lineRule="exact"/>
        <w:rPr>
          <w:rFonts w:ascii="Arial" w:cs="Arial" w:eastAsia="Arial" w:hAnsi="Arial"/>
          <w:sz w:val="12"/>
          <w:szCs w:val="12"/>
          <w:color w:val="auto"/>
        </w:rPr>
      </w:pPr>
    </w:p>
    <w:p>
      <w:pPr>
        <w:ind w:left="1180" w:hanging="324"/>
        <w:spacing w:after="0"/>
        <w:tabs>
          <w:tab w:leader="none" w:pos="1180" w:val="left"/>
        </w:tabs>
        <w:numPr>
          <w:ilvl w:val="0"/>
          <w:numId w:val="2"/>
        </w:numPr>
        <w:rPr>
          <w:rFonts w:ascii="Arial" w:cs="Arial" w:eastAsia="Arial" w:hAnsi="Arial"/>
          <w:sz w:val="11"/>
          <w:szCs w:val="11"/>
          <w:color w:val="auto"/>
        </w:rPr>
      </w:pPr>
      <w:r>
        <w:rPr>
          <w:rFonts w:ascii="Arial" w:cs="Arial" w:eastAsia="Arial" w:hAnsi="Arial"/>
          <w:sz w:val="11"/>
          <w:szCs w:val="11"/>
          <w:color w:val="auto"/>
        </w:rPr>
        <w:t>The total maximum amount of variable compensation for the members of the Executive Committee for the current year 2021, i.e., CHF 1,378,000 (cash-based compensation plus pensionable social security</w:t>
      </w:r>
    </w:p>
    <w:p>
      <w:pPr>
        <w:spacing w:after="0" w:line="26" w:lineRule="exact"/>
        <w:rPr>
          <w:rFonts w:ascii="Arial" w:cs="Arial" w:eastAsia="Arial" w:hAnsi="Arial"/>
          <w:sz w:val="11"/>
          <w:szCs w:val="11"/>
          <w:color w:val="auto"/>
        </w:rPr>
      </w:pPr>
    </w:p>
    <w:p>
      <w:pPr>
        <w:ind w:left="420"/>
        <w:spacing w:after="0"/>
        <w:rPr>
          <w:rFonts w:ascii="Arial" w:cs="Arial" w:eastAsia="Arial" w:hAnsi="Arial"/>
          <w:sz w:val="11"/>
          <w:szCs w:val="11"/>
          <w:color w:val="auto"/>
        </w:rPr>
      </w:pPr>
      <w:r>
        <w:rPr>
          <w:rFonts w:ascii="Arial" w:cs="Arial" w:eastAsia="Arial" w:hAnsi="Arial"/>
          <w:sz w:val="12"/>
          <w:szCs w:val="12"/>
          <w:color w:val="auto"/>
        </w:rPr>
        <w:t>costs); and</w:t>
      </w:r>
    </w:p>
    <w:p>
      <w:pPr>
        <w:spacing w:after="0" w:line="141" w:lineRule="exact"/>
        <w:rPr>
          <w:rFonts w:ascii="Arial" w:cs="Arial" w:eastAsia="Arial" w:hAnsi="Arial"/>
          <w:sz w:val="11"/>
          <w:szCs w:val="11"/>
          <w:color w:val="auto"/>
        </w:rPr>
      </w:pPr>
    </w:p>
    <w:p>
      <w:pPr>
        <w:ind w:left="420" w:right="240" w:firstLine="436"/>
        <w:spacing w:after="0" w:line="276" w:lineRule="auto"/>
        <w:tabs>
          <w:tab w:leader="none" w:pos="1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maximum grant of equity or equity linked instruments for the members of the Executive Committee from 1 July 2021 to 30 June 2022 with maximum value of CHF 4,287,000 (equity or equity linked instruments at grant value plus pensionable social security costs).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Agenda Item 5: Re-elections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Agenda Item 5.1: Re-elections of Members of the Board</w:t>
      </w:r>
    </w:p>
    <w:p>
      <w:pPr>
        <w:spacing w:after="0" w:line="154" w:lineRule="exact"/>
        <w:rPr>
          <w:sz w:val="20"/>
          <w:szCs w:val="20"/>
          <w:color w:val="auto"/>
        </w:rPr>
      </w:pPr>
    </w:p>
    <w:p>
      <w:pPr>
        <w:ind w:right="20" w:firstLine="432"/>
        <w:spacing w:after="0" w:line="323" w:lineRule="auto"/>
        <w:rPr>
          <w:sz w:val="20"/>
          <w:szCs w:val="20"/>
          <w:color w:val="auto"/>
        </w:rPr>
      </w:pPr>
      <w:r>
        <w:rPr>
          <w:rFonts w:ascii="Arial" w:cs="Arial" w:eastAsia="Arial" w:hAnsi="Arial"/>
          <w:sz w:val="11"/>
          <w:szCs w:val="11"/>
          <w:color w:val="auto"/>
        </w:rPr>
        <w:t>AC Immune shareholders approved the re-election of Douglas Williams as member and as Chairman of the Board, the re-election of Martin Velasco as member and as Vice-Chairman of the Board, and the re-election of Peter Bollmann, Alan Colowick, Tom Graney, Carl June, Werner Lanthaler, Andrew Pfeifer and Roy Twyman as members of the Board of Directors, each until the end of the Annual General Meeting 2022.</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Agenda Item 5.2: Re-elections of Members of the Compensation, Nomination &amp; Corporate Governance Committee</w:t>
      </w:r>
    </w:p>
    <w:p>
      <w:pPr>
        <w:spacing w:after="0" w:line="154"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AC Immune shareholders approved the re-election of Tom Graney, Martin Velasco and Douglas Williams as members of the Compensation, Nomination &amp; Corporate Governance Committee, each until the end of the Annual General Meeting 2022.</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Agenda Item 5.3: Re-election of the Statutory Auditors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AC Immune shareholders approved the re-election of PricewaterhouseCoopers SA, in Pully, for a term of office of one year.</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Agenda Item 5.4: Re-election of the Independent Proxy</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AC Immune shareholders approved the re-election of Reymond &amp; Associés, represented by Denis Cherpillod; as AC Immune’s independent proxy until the end of the Annual General Meeting 2022.</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Agenda Item 6: Amendments of the Articles of Association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Agenda Item 6.1: Limit on Number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252095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80"/>
          </w:cols>
          <w:pgMar w:left="300" w:top="437" w:right="419" w:bottom="1440" w:gutter="0" w:footer="0" w:header="0"/>
        </w:sectPr>
      </w:pPr>
    </w:p>
    <w:bookmarkStart w:id="3" w:name="page4"/>
    <w:bookmarkEnd w:id="3"/>
    <w:p>
      <w:pPr>
        <w:ind w:right="280" w:firstLine="432"/>
        <w:spacing w:after="0" w:line="276" w:lineRule="auto"/>
        <w:rPr>
          <w:sz w:val="20"/>
          <w:szCs w:val="20"/>
          <w:color w:val="auto"/>
        </w:rPr>
      </w:pPr>
      <w:r>
        <w:rPr>
          <w:rFonts w:ascii="Arial" w:cs="Arial" w:eastAsia="Arial" w:hAnsi="Arial"/>
          <w:sz w:val="12"/>
          <w:szCs w:val="12"/>
          <w:color w:val="auto"/>
        </w:rPr>
        <w:t>AC Immune shareholders approved an amendment to the existing first paragraph of article 20 (Number of Members, Term of Office) of the articles of association to give AC Immune flexibility to comply with nationality, residency and/or gender requirements under Swiss or foreign laws.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Agenda Item 6.4: Remuneration Amendments to the Articles of Association</w:t>
      </w:r>
    </w:p>
    <w:p>
      <w:pPr>
        <w:spacing w:after="0" w:line="154"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AC Immune shareholders approved certain amendments in the articles of association to adjust the compensation system of AC Immune to a more common framework in line with many Swiss-listed companies and which aligns the compensation architecture to that of the calendar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227330</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437" w:right="319" w:bottom="1440" w:gutter="0" w:footer="0" w:header="0"/>
        </w:sectPr>
      </w:pPr>
    </w:p>
    <w:bookmarkStart w:id="4" w:name="page5"/>
    <w:bookmarkEnd w:id="4"/>
    <w:p>
      <w:pPr>
        <w:jc w:val="center"/>
        <w:spacing w:after="0"/>
        <w:rPr>
          <w:sz w:val="20"/>
          <w:szCs w:val="20"/>
          <w:color w:val="auto"/>
        </w:rPr>
      </w:pPr>
      <w:r>
        <w:rPr>
          <w:rFonts w:ascii="Arial" w:cs="Arial" w:eastAsia="Arial" w:hAnsi="Arial"/>
          <w:sz w:val="12"/>
          <w:szCs w:val="12"/>
          <w:b w:val="1"/>
          <w:bCs w:val="1"/>
          <w:color w:val="auto"/>
        </w:rPr>
        <w:t>SIGNATURE</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146" w:lineRule="exact"/>
        <w:rPr>
          <w:sz w:val="20"/>
          <w:szCs w:val="20"/>
          <w:color w:val="auto"/>
        </w:rPr>
      </w:pPr>
    </w:p>
    <w:tbl>
      <w:tblPr>
        <w:tblLayout w:type="fixed"/>
        <w:tblInd w:w="6000" w:type="dxa"/>
        <w:tblCellMar>
          <w:top w:w="0" w:type="dxa"/>
          <w:left w:w="0" w:type="dxa"/>
          <w:bottom w:w="0" w:type="dxa"/>
          <w:right w:w="0" w:type="dxa"/>
        </w:tblCellMar>
      </w:tblPr>
      <w:tr>
        <w:trPr>
          <w:trHeight w:val="157"/>
        </w:trPr>
        <w:tc>
          <w:tcPr>
            <w:tcW w:w="1340" w:type="dxa"/>
            <w:vAlign w:val="bottom"/>
            <w:gridSpan w:val="2"/>
          </w:tcPr>
          <w:p>
            <w:pPr>
              <w:spacing w:after="0"/>
              <w:rPr>
                <w:sz w:val="20"/>
                <w:szCs w:val="20"/>
                <w:color w:val="auto"/>
              </w:rPr>
            </w:pPr>
            <w:r>
              <w:rPr>
                <w:rFonts w:ascii="Arial" w:cs="Arial" w:eastAsia="Arial" w:hAnsi="Arial"/>
                <w:sz w:val="12"/>
                <w:szCs w:val="12"/>
                <w:b w:val="1"/>
                <w:bCs w:val="1"/>
                <w:color w:val="auto"/>
              </w:rPr>
              <w:t>AC IMMUNE SA</w:t>
            </w:r>
          </w:p>
        </w:tc>
        <w:tc>
          <w:tcPr>
            <w:tcW w:w="3960" w:type="dxa"/>
            <w:vAlign w:val="bottom"/>
          </w:tcPr>
          <w:p>
            <w:pPr>
              <w:spacing w:after="0"/>
              <w:rPr>
                <w:sz w:val="13"/>
                <w:szCs w:val="13"/>
                <w:color w:val="auto"/>
              </w:rPr>
            </w:pPr>
          </w:p>
        </w:tc>
      </w:tr>
      <w:tr>
        <w:trPr>
          <w:trHeight w:val="432"/>
        </w:trPr>
        <w:tc>
          <w:tcPr>
            <w:tcW w:w="780" w:type="dxa"/>
            <w:vAlign w:val="bottom"/>
          </w:tcPr>
          <w:p>
            <w:pPr>
              <w:spacing w:after="0"/>
              <w:rPr>
                <w:sz w:val="20"/>
                <w:szCs w:val="20"/>
                <w:color w:val="auto"/>
              </w:rPr>
            </w:pPr>
            <w:r>
              <w:rPr>
                <w:rFonts w:ascii="Arial" w:cs="Arial" w:eastAsia="Arial" w:hAnsi="Arial"/>
                <w:sz w:val="12"/>
                <w:szCs w:val="12"/>
                <w:color w:val="auto"/>
              </w:rPr>
              <w:t>By:</w:t>
            </w:r>
          </w:p>
        </w:tc>
        <w:tc>
          <w:tcPr>
            <w:tcW w:w="452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/s/ Andrea Pfeifer</w:t>
            </w:r>
          </w:p>
        </w:tc>
      </w:tr>
      <w:tr>
        <w:trPr>
          <w:trHeight w:val="124"/>
        </w:trPr>
        <w:tc>
          <w:tcPr>
            <w:tcW w:w="780" w:type="dxa"/>
            <w:vAlign w:val="bottom"/>
          </w:tcPr>
          <w:p>
            <w:pPr>
              <w:spacing w:after="0"/>
              <w:rPr>
                <w:sz w:val="10"/>
                <w:szCs w:val="10"/>
                <w:color w:val="auto"/>
              </w:rPr>
            </w:pPr>
          </w:p>
        </w:tc>
        <w:tc>
          <w:tcPr>
            <w:tcW w:w="560" w:type="dxa"/>
            <w:vAlign w:val="bottom"/>
          </w:tcPr>
          <w:p>
            <w:pPr>
              <w:spacing w:after="0" w:line="124" w:lineRule="exact"/>
              <w:rPr>
                <w:sz w:val="20"/>
                <w:szCs w:val="20"/>
                <w:color w:val="auto"/>
              </w:rPr>
            </w:pPr>
            <w:r>
              <w:rPr>
                <w:rFonts w:ascii="Arial" w:cs="Arial" w:eastAsia="Arial" w:hAnsi="Arial"/>
                <w:sz w:val="12"/>
                <w:szCs w:val="12"/>
                <w:color w:val="auto"/>
              </w:rPr>
              <w:t>Name:</w:t>
            </w:r>
          </w:p>
        </w:tc>
        <w:tc>
          <w:tcPr>
            <w:tcW w:w="3960" w:type="dxa"/>
            <w:vAlign w:val="bottom"/>
          </w:tcPr>
          <w:p>
            <w:pPr>
              <w:ind w:left="240"/>
              <w:spacing w:after="0" w:line="124" w:lineRule="exact"/>
              <w:rPr>
                <w:sz w:val="20"/>
                <w:szCs w:val="20"/>
                <w:color w:val="auto"/>
              </w:rPr>
            </w:pPr>
            <w:r>
              <w:rPr>
                <w:rFonts w:ascii="Arial" w:cs="Arial" w:eastAsia="Arial" w:hAnsi="Arial"/>
                <w:sz w:val="12"/>
                <w:szCs w:val="12"/>
                <w:color w:val="auto"/>
              </w:rPr>
              <w:t>Andrea Pfeifer</w:t>
            </w:r>
          </w:p>
        </w:tc>
      </w:tr>
      <w:tr>
        <w:trPr>
          <w:trHeight w:val="153"/>
        </w:trPr>
        <w:tc>
          <w:tcPr>
            <w:tcW w:w="78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Title:</w:t>
            </w:r>
          </w:p>
        </w:tc>
        <w:tc>
          <w:tcPr>
            <w:tcW w:w="3960" w:type="dxa"/>
            <w:vAlign w:val="bottom"/>
          </w:tcPr>
          <w:p>
            <w:pPr>
              <w:ind w:left="240"/>
              <w:spacing w:after="0"/>
              <w:rPr>
                <w:sz w:val="20"/>
                <w:szCs w:val="20"/>
                <w:color w:val="auto"/>
              </w:rPr>
            </w:pPr>
            <w:r>
              <w:rPr>
                <w:rFonts w:ascii="Arial" w:cs="Arial" w:eastAsia="Arial" w:hAnsi="Arial"/>
                <w:sz w:val="12"/>
                <w:szCs w:val="12"/>
                <w:color w:val="auto"/>
              </w:rPr>
              <w:t>Chief Executive Officer</w:t>
            </w:r>
          </w:p>
        </w:tc>
      </w:tr>
      <w:tr>
        <w:trPr>
          <w:trHeight w:val="432"/>
        </w:trPr>
        <w:tc>
          <w:tcPr>
            <w:tcW w:w="780" w:type="dxa"/>
            <w:vAlign w:val="bottom"/>
          </w:tcPr>
          <w:p>
            <w:pPr>
              <w:spacing w:after="0"/>
              <w:rPr>
                <w:sz w:val="20"/>
                <w:szCs w:val="20"/>
                <w:color w:val="auto"/>
              </w:rPr>
            </w:pPr>
            <w:r>
              <w:rPr>
                <w:rFonts w:ascii="Arial" w:cs="Arial" w:eastAsia="Arial" w:hAnsi="Arial"/>
                <w:sz w:val="12"/>
                <w:szCs w:val="12"/>
                <w:color w:val="auto"/>
              </w:rPr>
              <w:t>By:</w:t>
            </w:r>
          </w:p>
        </w:tc>
        <w:tc>
          <w:tcPr>
            <w:tcW w:w="452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/s/ Joerg Hornstein</w:t>
            </w:r>
          </w:p>
        </w:tc>
      </w:tr>
      <w:tr>
        <w:trPr>
          <w:trHeight w:val="124"/>
        </w:trPr>
        <w:tc>
          <w:tcPr>
            <w:tcW w:w="780" w:type="dxa"/>
            <w:vAlign w:val="bottom"/>
          </w:tcPr>
          <w:p>
            <w:pPr>
              <w:spacing w:after="0"/>
              <w:rPr>
                <w:sz w:val="10"/>
                <w:szCs w:val="10"/>
                <w:color w:val="auto"/>
              </w:rPr>
            </w:pPr>
          </w:p>
        </w:tc>
        <w:tc>
          <w:tcPr>
            <w:tcW w:w="560" w:type="dxa"/>
            <w:vAlign w:val="bottom"/>
          </w:tcPr>
          <w:p>
            <w:pPr>
              <w:spacing w:after="0" w:line="124" w:lineRule="exact"/>
              <w:rPr>
                <w:sz w:val="20"/>
                <w:szCs w:val="20"/>
                <w:color w:val="auto"/>
              </w:rPr>
            </w:pPr>
            <w:r>
              <w:rPr>
                <w:rFonts w:ascii="Arial" w:cs="Arial" w:eastAsia="Arial" w:hAnsi="Arial"/>
                <w:sz w:val="12"/>
                <w:szCs w:val="12"/>
                <w:color w:val="auto"/>
              </w:rPr>
              <w:t>Name:</w:t>
            </w:r>
          </w:p>
        </w:tc>
        <w:tc>
          <w:tcPr>
            <w:tcW w:w="3960" w:type="dxa"/>
            <w:vAlign w:val="bottom"/>
          </w:tcPr>
          <w:p>
            <w:pPr>
              <w:ind w:left="240"/>
              <w:spacing w:after="0" w:line="124" w:lineRule="exact"/>
              <w:rPr>
                <w:sz w:val="20"/>
                <w:szCs w:val="20"/>
                <w:color w:val="auto"/>
              </w:rPr>
            </w:pPr>
            <w:r>
              <w:rPr>
                <w:rFonts w:ascii="Arial" w:cs="Arial" w:eastAsia="Arial" w:hAnsi="Arial"/>
                <w:sz w:val="12"/>
                <w:szCs w:val="12"/>
                <w:color w:val="auto"/>
              </w:rPr>
              <w:t>Joerg Hornstein</w:t>
            </w:r>
          </w:p>
        </w:tc>
      </w:tr>
      <w:tr>
        <w:trPr>
          <w:trHeight w:val="153"/>
        </w:trPr>
        <w:tc>
          <w:tcPr>
            <w:tcW w:w="78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Title:</w:t>
            </w:r>
          </w:p>
        </w:tc>
        <w:tc>
          <w:tcPr>
            <w:tcW w:w="3960" w:type="dxa"/>
            <w:vAlign w:val="bottom"/>
          </w:tcPr>
          <w:p>
            <w:pPr>
              <w:ind w:left="240"/>
              <w:spacing w:after="0"/>
              <w:rPr>
                <w:sz w:val="20"/>
                <w:szCs w:val="20"/>
                <w:color w:val="auto"/>
              </w:rPr>
            </w:pPr>
            <w:r>
              <w:rPr>
                <w:rFonts w:ascii="Arial" w:cs="Arial" w:eastAsia="Arial" w:hAnsi="Arial"/>
                <w:sz w:val="12"/>
                <w:szCs w:val="12"/>
                <w:color w:val="auto"/>
              </w:rPr>
              <w:t>Chief Financial Officer</w:t>
            </w:r>
          </w:p>
        </w:tc>
      </w:tr>
    </w:tbl>
    <w:p>
      <w:pPr>
        <w:spacing w:after="0"/>
        <w:rPr>
          <w:sz w:val="20"/>
          <w:szCs w:val="20"/>
          <w:color w:val="auto"/>
        </w:rPr>
      </w:pPr>
      <w:r>
        <w:rPr>
          <w:rFonts w:ascii="Arial" w:cs="Arial" w:eastAsia="Arial" w:hAnsi="Arial"/>
          <w:sz w:val="12"/>
          <w:szCs w:val="12"/>
          <w:color w:val="auto"/>
        </w:rPr>
        <w:t>Date: June 25,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243840</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433" w:right="2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10160" w:type="dxa"/>
            <w:vAlign w:val="bottom"/>
          </w:tcPr>
          <w:p>
            <w:pPr>
              <w:ind w:left="4040"/>
              <w:spacing w:after="0"/>
              <w:rPr>
                <w:sz w:val="20"/>
                <w:szCs w:val="20"/>
                <w:color w:val="auto"/>
              </w:rPr>
            </w:pPr>
            <w:r>
              <w:rPr>
                <w:rFonts w:ascii="Arial" w:cs="Arial" w:eastAsia="Arial" w:hAnsi="Arial"/>
                <w:sz w:val="12"/>
                <w:szCs w:val="12"/>
                <w:b w:val="1"/>
                <w:bCs w:val="1"/>
                <w:color w:val="auto"/>
              </w:rPr>
              <w:t>EXHIBIT INDEX</w:t>
            </w:r>
          </w:p>
        </w:tc>
      </w:tr>
      <w:tr>
        <w:trPr>
          <w:trHeight w:val="288"/>
        </w:trPr>
        <w:tc>
          <w:tcPr>
            <w:tcW w:w="1140" w:type="dxa"/>
            <w:vAlign w:val="bottom"/>
            <w:tcBorders>
              <w:bottom w:val="single" w:sz="8" w:color="auto"/>
            </w:tcBorders>
          </w:tcPr>
          <w:p>
            <w:pPr>
              <w:jc w:val="center"/>
              <w:ind w:left="40"/>
              <w:spacing w:after="0"/>
              <w:rPr>
                <w:sz w:val="20"/>
                <w:szCs w:val="20"/>
                <w:color w:val="auto"/>
              </w:rPr>
            </w:pPr>
            <w:r>
              <w:rPr>
                <w:rFonts w:ascii="Arial" w:cs="Arial" w:eastAsia="Arial" w:hAnsi="Arial"/>
                <w:sz w:val="12"/>
                <w:szCs w:val="12"/>
                <w:b w:val="1"/>
                <w:bCs w:val="1"/>
                <w:color w:val="auto"/>
                <w:w w:val="94"/>
              </w:rPr>
              <w:t>Exhibit Number</w:t>
            </w:r>
          </w:p>
        </w:tc>
        <w:tc>
          <w:tcPr>
            <w:tcW w:w="10160" w:type="dxa"/>
            <w:vAlign w:val="bottom"/>
            <w:tcBorders>
              <w:bottom w:val="single" w:sz="8" w:color="auto"/>
            </w:tcBorders>
          </w:tcPr>
          <w:p>
            <w:pPr>
              <w:ind w:left="4840"/>
              <w:spacing w:after="0"/>
              <w:rPr>
                <w:sz w:val="20"/>
                <w:szCs w:val="20"/>
                <w:color w:val="auto"/>
              </w:rPr>
            </w:pPr>
            <w:r>
              <w:rPr>
                <w:rFonts w:ascii="Arial" w:cs="Arial" w:eastAsia="Arial" w:hAnsi="Arial"/>
                <w:sz w:val="12"/>
                <w:szCs w:val="12"/>
                <w:b w:val="1"/>
                <w:bCs w:val="1"/>
                <w:color w:val="auto"/>
              </w:rPr>
              <w:t>Description</w:t>
            </w:r>
          </w:p>
        </w:tc>
      </w:tr>
      <w:tr>
        <w:trPr>
          <w:trHeight w:val="124"/>
        </w:trPr>
        <w:tc>
          <w:tcPr>
            <w:tcW w:w="1140" w:type="dxa"/>
            <w:vAlign w:val="bottom"/>
          </w:tcPr>
          <w:p>
            <w:pPr>
              <w:jc w:val="center"/>
              <w:ind w:left="40"/>
              <w:spacing w:after="0" w:line="124" w:lineRule="exact"/>
              <w:rPr>
                <w:sz w:val="20"/>
                <w:szCs w:val="20"/>
                <w:color w:val="auto"/>
              </w:rPr>
            </w:pPr>
            <w:r>
              <w:rPr>
                <w:rFonts w:ascii="Arial" w:cs="Arial" w:eastAsia="Arial" w:hAnsi="Arial"/>
                <w:sz w:val="12"/>
                <w:szCs w:val="12"/>
                <w:color w:val="auto"/>
                <w:w w:val="85"/>
              </w:rPr>
              <w:t>99.1</w:t>
            </w:r>
          </w:p>
        </w:tc>
        <w:tc>
          <w:tcPr>
            <w:tcW w:w="10160" w:type="dxa"/>
            <w:vAlign w:val="bottom"/>
          </w:tcPr>
          <w:p>
            <w:pPr>
              <w:ind w:left="100"/>
              <w:spacing w:after="0" w:line="124" w:lineRule="exact"/>
              <w:rPr>
                <w:sz w:val="20"/>
                <w:szCs w:val="20"/>
                <w:color w:val="auto"/>
              </w:rPr>
            </w:pPr>
            <w:r>
              <w:rPr>
                <w:rFonts w:ascii="Arial" w:cs="Arial" w:eastAsia="Arial" w:hAnsi="Arial"/>
                <w:sz w:val="12"/>
                <w:szCs w:val="12"/>
                <w:color w:val="auto"/>
              </w:rPr>
              <w:t>Annual General Meeting presentation</w:t>
            </w:r>
          </w:p>
        </w:tc>
      </w:tr>
      <w:tr>
        <w:trPr>
          <w:trHeight w:val="144"/>
        </w:trPr>
        <w:tc>
          <w:tcPr>
            <w:tcW w:w="1140" w:type="dxa"/>
            <w:vAlign w:val="bottom"/>
          </w:tcPr>
          <w:p>
            <w:pPr>
              <w:jc w:val="center"/>
              <w:ind w:left="40"/>
              <w:spacing w:after="0"/>
              <w:rPr>
                <w:sz w:val="20"/>
                <w:szCs w:val="20"/>
                <w:color w:val="auto"/>
              </w:rPr>
            </w:pPr>
            <w:r>
              <w:rPr>
                <w:rFonts w:ascii="Arial" w:cs="Arial" w:eastAsia="Arial" w:hAnsi="Arial"/>
                <w:sz w:val="12"/>
                <w:szCs w:val="12"/>
                <w:color w:val="auto"/>
                <w:w w:val="85"/>
              </w:rPr>
              <w:t>99.2</w:t>
            </w:r>
          </w:p>
        </w:tc>
        <w:tc>
          <w:tcPr>
            <w:tcW w:w="10160" w:type="dxa"/>
            <w:vAlign w:val="bottom"/>
          </w:tcPr>
          <w:p>
            <w:pPr>
              <w:ind w:left="100"/>
              <w:spacing w:after="0"/>
              <w:rPr>
                <w:sz w:val="20"/>
                <w:szCs w:val="20"/>
                <w:color w:val="auto"/>
              </w:rPr>
            </w:pPr>
            <w:r>
              <w:rPr>
                <w:rFonts w:ascii="Arial" w:cs="Arial" w:eastAsia="Arial" w:hAnsi="Arial"/>
                <w:sz w:val="12"/>
                <w:szCs w:val="12"/>
                <w:color w:val="auto"/>
              </w:rPr>
              <w:t>Press Release dated June 25, 2021</w:t>
            </w:r>
          </w:p>
        </w:tc>
      </w:tr>
      <w:tr>
        <w:trPr>
          <w:trHeight w:val="153"/>
        </w:trPr>
        <w:tc>
          <w:tcPr>
            <w:tcW w:w="1140" w:type="dxa"/>
            <w:vAlign w:val="bottom"/>
          </w:tcPr>
          <w:p>
            <w:pPr>
              <w:jc w:val="center"/>
              <w:ind w:left="40"/>
              <w:spacing w:after="0"/>
              <w:rPr>
                <w:sz w:val="20"/>
                <w:szCs w:val="20"/>
                <w:color w:val="auto"/>
              </w:rPr>
            </w:pPr>
            <w:r>
              <w:rPr>
                <w:rFonts w:ascii="Arial" w:cs="Arial" w:eastAsia="Arial" w:hAnsi="Arial"/>
                <w:sz w:val="12"/>
                <w:szCs w:val="12"/>
                <w:color w:val="auto"/>
                <w:w w:val="85"/>
              </w:rPr>
              <w:t>99.3</w:t>
            </w:r>
          </w:p>
        </w:tc>
        <w:tc>
          <w:tcPr>
            <w:tcW w:w="10160" w:type="dxa"/>
            <w:vAlign w:val="bottom"/>
          </w:tcPr>
          <w:p>
            <w:pPr>
              <w:ind w:left="100"/>
              <w:spacing w:after="0"/>
              <w:rPr>
                <w:sz w:val="20"/>
                <w:szCs w:val="20"/>
                <w:color w:val="auto"/>
              </w:rPr>
            </w:pPr>
            <w:r>
              <w:rPr>
                <w:rFonts w:ascii="Arial" w:cs="Arial" w:eastAsia="Arial" w:hAnsi="Arial"/>
                <w:sz w:val="12"/>
                <w:szCs w:val="12"/>
                <w:color w:val="auto"/>
              </w:rPr>
              <w:t>Articles of Association as of June 25, 2021</w:t>
            </w:r>
          </w:p>
        </w:tc>
      </w:tr>
      <w:tr>
        <w:trPr>
          <w:trHeight w:val="558"/>
        </w:trPr>
        <w:tc>
          <w:tcPr>
            <w:tcW w:w="1140" w:type="dxa"/>
            <w:vAlign w:val="bottom"/>
            <w:tcBorders>
              <w:bottom w:val="single" w:sz="8" w:color="auto"/>
            </w:tcBorders>
          </w:tcPr>
          <w:p>
            <w:pPr>
              <w:spacing w:after="0"/>
              <w:rPr>
                <w:sz w:val="24"/>
                <w:szCs w:val="24"/>
                <w:color w:val="auto"/>
              </w:rPr>
            </w:pPr>
          </w:p>
        </w:tc>
        <w:tc>
          <w:tcPr>
            <w:tcW w:w="101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433" w:right="299" w:bottom="1440" w:gutter="0" w:footer="0" w:header="0"/>
        </w:sectPr>
      </w:pPr>
    </w:p>
    <w:bookmarkStart w:id="6" w:name="page7"/>
    <w:bookmarkEnd w:id="6"/>
    <w:p>
      <w:pPr>
        <w:ind w:left="9420"/>
        <w:spacing w:after="0"/>
        <w:rPr>
          <w:sz w:val="20"/>
          <w:szCs w:val="20"/>
          <w:color w:val="auto"/>
        </w:rPr>
      </w:pPr>
      <w:r>
        <w:rPr>
          <w:rFonts w:ascii="Arial" w:cs="Arial" w:eastAsia="Arial" w:hAnsi="Arial"/>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534035</wp:posOffset>
            </wp:positionV>
            <wp:extent cx="7218680" cy="4103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8680" cy="4103370"/>
                    </a:xfrm>
                    <a:prstGeom prst="rect">
                      <a:avLst/>
                    </a:prstGeom>
                    <a:noFill/>
                  </pic:spPr>
                </pic:pic>
              </a:graphicData>
            </a:graphic>
          </wp:anchor>
        </w:drawing>
      </w:r>
    </w:p>
    <w:p>
      <w:pPr>
        <w:sectPr>
          <w:pgSz w:w="11900" w:h="16838" w:orient="portrait"/>
          <w:cols w:equalWidth="0" w:num="1">
            <w:col w:w="10160"/>
          </w:cols>
          <w:pgMar w:left="1440" w:top="121" w:right="299" w:bottom="144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03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0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03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0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03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0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03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0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03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0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03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0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03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0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03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0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03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0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03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0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03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0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03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0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03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0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03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0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03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0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03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0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03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0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03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0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03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0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03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0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03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0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03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0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03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0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03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0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03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0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03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0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03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0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03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0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03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0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03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0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03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0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03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0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03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0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03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0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03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0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4" w:name="page45"/>
    <w:bookmarkEnd w:id="44"/>
    <w:p>
      <w:pPr>
        <w:ind w:left="10500"/>
        <w:spacing w:after="0"/>
        <w:rPr>
          <w:sz w:val="20"/>
          <w:szCs w:val="20"/>
          <w:color w:val="auto"/>
        </w:rPr>
      </w:pPr>
      <w:r>
        <w:rPr>
          <w:rFonts w:ascii="Arial" w:cs="Arial" w:eastAsia="Arial" w:hAnsi="Arial"/>
          <w:sz w:val="14"/>
          <w:szCs w:val="14"/>
          <w:b w:val="1"/>
          <w:bCs w:val="1"/>
          <w:color w:val="auto"/>
        </w:rPr>
        <w:t>Exhibit 99.2</w:t>
      </w:r>
    </w:p>
    <w:p>
      <w:pPr>
        <w:spacing w:after="0" w:line="200" w:lineRule="exact"/>
        <w:rPr>
          <w:sz w:val="20"/>
          <w:szCs w:val="20"/>
          <w:color w:val="auto"/>
        </w:rPr>
      </w:pPr>
    </w:p>
    <w:p>
      <w:pPr>
        <w:spacing w:after="0" w:line="215" w:lineRule="exact"/>
        <w:rPr>
          <w:sz w:val="20"/>
          <w:szCs w:val="20"/>
          <w:color w:val="auto"/>
        </w:rPr>
      </w:pPr>
    </w:p>
    <w:p>
      <w:pPr>
        <w:ind w:left="10020"/>
        <w:spacing w:after="0"/>
        <w:rPr>
          <w:sz w:val="20"/>
          <w:szCs w:val="20"/>
          <w:color w:val="auto"/>
        </w:rPr>
      </w:pPr>
      <w:r>
        <w:rPr>
          <w:rFonts w:ascii="Arial" w:cs="Arial" w:eastAsia="Arial" w:hAnsi="Arial"/>
          <w:sz w:val="14"/>
          <w:szCs w:val="14"/>
          <w:b w:val="1"/>
          <w:bCs w:val="1"/>
          <w:color w:val="auto"/>
        </w:rPr>
        <w:t>PRESS RELEASE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 Immune Holds its Annual General Meeting of Shareholders</w:t>
      </w:r>
    </w:p>
    <w:p>
      <w:pPr>
        <w:spacing w:after="0" w:line="205" w:lineRule="exact"/>
        <w:rPr>
          <w:sz w:val="20"/>
          <w:szCs w:val="20"/>
          <w:color w:val="auto"/>
        </w:rPr>
      </w:pPr>
    </w:p>
    <w:p>
      <w:pPr>
        <w:jc w:val="both"/>
        <w:ind w:right="20"/>
        <w:spacing w:after="0" w:line="270" w:lineRule="auto"/>
        <w:rPr>
          <w:sz w:val="20"/>
          <w:szCs w:val="20"/>
          <w:color w:val="auto"/>
        </w:rPr>
      </w:pPr>
      <w:r>
        <w:rPr>
          <w:rFonts w:ascii="Arial" w:cs="Arial" w:eastAsia="Arial" w:hAnsi="Arial"/>
          <w:sz w:val="12"/>
          <w:szCs w:val="12"/>
          <w:b w:val="1"/>
          <w:bCs w:val="1"/>
          <w:color w:val="auto"/>
        </w:rPr>
        <w:t xml:space="preserve">Lausanne, Switzerland, June 25, 2021 </w:t>
      </w:r>
      <w:r>
        <w:rPr>
          <w:rFonts w:ascii="Arial" w:cs="Arial" w:eastAsia="Arial" w:hAnsi="Arial"/>
          <w:sz w:val="12"/>
          <w:szCs w:val="12"/>
          <w:color w:val="auto"/>
        </w:rPr>
        <w:t>– AC Immune SA (NASDAQ: ACIU), a clinical-stage biopharmaceutical company pioneering precision medicine for neurodegenerative diseases, today announced that AC</w:t>
      </w:r>
      <w:r>
        <w:rPr>
          <w:rFonts w:ascii="Arial" w:cs="Arial" w:eastAsia="Arial" w:hAnsi="Arial"/>
          <w:sz w:val="12"/>
          <w:szCs w:val="12"/>
          <w:b w:val="1"/>
          <w:bCs w:val="1"/>
          <w:color w:val="auto"/>
        </w:rPr>
        <w:t xml:space="preserve"> </w:t>
      </w:r>
      <w:r>
        <w:rPr>
          <w:rFonts w:ascii="Arial" w:cs="Arial" w:eastAsia="Arial" w:hAnsi="Arial"/>
          <w:sz w:val="12"/>
          <w:szCs w:val="12"/>
          <w:color w:val="auto"/>
        </w:rPr>
        <w:t>Immune held its Annual General Meeting per Swiss law. Shareholders cast their votes through the independent proxy appointed by the shareholders.</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color w:val="auto"/>
        </w:rPr>
        <w:t>Shareholders re-elected Douglas Williams, Martin Velasco, Peter Bollmann, Alan Colowick, Tom Graney, Carl June, Werner Lanthaler, Andrea Pfeifer and Roy Twyman to their positions on the Board of Directors.</w:t>
      </w:r>
    </w:p>
    <w:p>
      <w:pPr>
        <w:spacing w:after="0"/>
        <w:rPr>
          <w:sz w:val="20"/>
          <w:szCs w:val="20"/>
          <w:color w:val="auto"/>
        </w:rPr>
      </w:pPr>
      <w:r>
        <w:rPr>
          <w:rFonts w:ascii="Arial" w:cs="Arial" w:eastAsia="Arial" w:hAnsi="Arial"/>
          <w:sz w:val="12"/>
          <w:szCs w:val="12"/>
          <w:color w:val="auto"/>
        </w:rPr>
        <w:t>Douglas Williams and Martin Velasco will continue to serve as Chairman and Vice-Chairman of the Board, respectively.</w:t>
      </w:r>
    </w:p>
    <w:p>
      <w:pPr>
        <w:spacing w:after="0" w:line="132" w:lineRule="exact"/>
        <w:rPr>
          <w:sz w:val="20"/>
          <w:szCs w:val="20"/>
          <w:color w:val="auto"/>
        </w:rPr>
      </w:pPr>
    </w:p>
    <w:p>
      <w:pPr>
        <w:jc w:val="both"/>
        <w:spacing w:after="0" w:line="238" w:lineRule="auto"/>
        <w:rPr>
          <w:sz w:val="20"/>
          <w:szCs w:val="20"/>
          <w:color w:val="auto"/>
        </w:rPr>
      </w:pPr>
      <w:r>
        <w:rPr>
          <w:rFonts w:ascii="Arial" w:cs="Arial" w:eastAsia="Arial" w:hAnsi="Arial"/>
          <w:sz w:val="12"/>
          <w:szCs w:val="12"/>
          <w:color w:val="auto"/>
        </w:rPr>
        <w:t>Douglas Williams, Chairman of the Board of Directors of AC Immune, commented: “Despite impact from COVID-19, AC Immune has maintained its business on track. In fact, the Company is emerging from the pandemic with plans to accelerate development of key clinical programs, in particular its Alzheimer’s disease vaccines targeting Tau and Abeta. These industry-leading programs continue to demonstrate good safety and robust, lasting immunization against key pathological proteins, including phospho-Tau and both oligomeric and pyroglutamate Abeta, respectively. As the treatment focus for AD shifts earlier and potentially into the prevention setting, pioneering active vaccination positions AC Immune to become a global leader with a highly differentiated approach and clinically validated candidates. I am thankful to our Shareholders for their trust in the Board to lead AC Immune in its next phase of development.”</w:t>
      </w:r>
    </w:p>
    <w:p>
      <w:pPr>
        <w:spacing w:after="0" w:line="126" w:lineRule="exact"/>
        <w:rPr>
          <w:sz w:val="20"/>
          <w:szCs w:val="20"/>
          <w:color w:val="auto"/>
        </w:rPr>
      </w:pPr>
    </w:p>
    <w:p>
      <w:pPr>
        <w:ind w:right="2720"/>
        <w:spacing w:after="0" w:line="553" w:lineRule="auto"/>
        <w:rPr>
          <w:sz w:val="20"/>
          <w:szCs w:val="20"/>
          <w:color w:val="auto"/>
        </w:rPr>
      </w:pPr>
      <w:r>
        <w:rPr>
          <w:rFonts w:ascii="Arial" w:cs="Arial" w:eastAsia="Arial" w:hAnsi="Arial"/>
          <w:sz w:val="12"/>
          <w:szCs w:val="12"/>
          <w:color w:val="auto"/>
        </w:rPr>
        <w:t xml:space="preserve">Shareholders also approved all resolutions at the AGM as proposed by the Board of Directors. Prior to the meeting, the Board withdrew agenda items 6.2 and 6.3. The meeting was held in accordance with the requirements of the COVID-19 Ordinance 3, issued by the Swiss Federal Council. </w:t>
      </w:r>
      <w:r>
        <w:rPr>
          <w:rFonts w:ascii="Arial" w:cs="Arial" w:eastAsia="Arial" w:hAnsi="Arial"/>
          <w:sz w:val="12"/>
          <w:szCs w:val="12"/>
          <w:b w:val="1"/>
          <w:bCs w:val="1"/>
          <w:color w:val="auto"/>
        </w:rPr>
        <w:t>About AC Immune SA</w:t>
      </w:r>
    </w:p>
    <w:p>
      <w:pPr>
        <w:spacing w:after="0" w:line="174" w:lineRule="exact"/>
        <w:rPr>
          <w:sz w:val="20"/>
          <w:szCs w:val="20"/>
          <w:color w:val="auto"/>
        </w:rPr>
      </w:pPr>
    </w:p>
    <w:p>
      <w:pPr>
        <w:jc w:val="both"/>
        <w:spacing w:after="0" w:line="238" w:lineRule="auto"/>
        <w:rPr>
          <w:sz w:val="20"/>
          <w:szCs w:val="20"/>
          <w:color w:val="auto"/>
        </w:rPr>
      </w:pPr>
      <w:r>
        <w:rPr>
          <w:rFonts w:ascii="Arial" w:cs="Arial" w:eastAsia="Arial" w:hAnsi="Arial"/>
          <w:sz w:val="12"/>
          <w:szCs w:val="12"/>
          <w:color w:val="auto"/>
        </w:rPr>
        <w:t>AC Immune SA is clinical-stage biopharmaceutical company that aims to become a global leader in precision medicine for neurodegenerative diseases, including Alzheimer’s disease, Parkinson’s disease, and NeuroOrphan indications driven by misfolded proteins. The Company’s two clinically validated technology platforms, SupraAntigen® and Morphomer®, fuel its broad and diversified pipeline of first- and best-in-class assets, which currently features nine therapeutic and three diagnostic candidates, six of which are currently in clinical trials. AC Immune has a strong track record of securing strategic partnerships with leading global pharmaceutical companies including Genentech, a member of the Roche Group, Eli Lilly and Company, and Janssen Pharmaceuticals, Inc., resulting in substantial non-dilutive funding to advance its proprietary programs and &gt;$3 billion in potential milestone payments.</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color w:val="auto"/>
        </w:rPr>
        <w:t>SupraAntigen</w:t>
      </w:r>
      <w:r>
        <w:rPr>
          <w:rFonts w:ascii="Arial" w:cs="Arial" w:eastAsia="Arial" w:hAnsi="Arial"/>
          <w:sz w:val="19"/>
          <w:szCs w:val="19"/>
          <w:color w:val="auto"/>
          <w:vertAlign w:val="superscript"/>
        </w:rPr>
        <w:t>®</w:t>
      </w:r>
      <w:r>
        <w:rPr>
          <w:rFonts w:ascii="Arial" w:cs="Arial" w:eastAsia="Arial" w:hAnsi="Arial"/>
          <w:sz w:val="12"/>
          <w:szCs w:val="12"/>
          <w:color w:val="auto"/>
        </w:rPr>
        <w:t xml:space="preserve"> and Morphomer</w:t>
      </w:r>
      <w:r>
        <w:rPr>
          <w:rFonts w:ascii="Arial" w:cs="Arial" w:eastAsia="Arial" w:hAnsi="Arial"/>
          <w:sz w:val="19"/>
          <w:szCs w:val="19"/>
          <w:color w:val="auto"/>
          <w:vertAlign w:val="superscript"/>
        </w:rPr>
        <w:t>®</w:t>
      </w:r>
      <w:r>
        <w:rPr>
          <w:rFonts w:ascii="Arial" w:cs="Arial" w:eastAsia="Arial" w:hAnsi="Arial"/>
          <w:sz w:val="12"/>
          <w:szCs w:val="12"/>
          <w:color w:val="auto"/>
        </w:rPr>
        <w:t xml:space="preserve"> are registered trademarks of AC Immune SA in the following territories: AU, CH, EU, JP, and GB. Morphomer</w:t>
      </w:r>
      <w:r>
        <w:rPr>
          <w:rFonts w:ascii="Arial" w:cs="Arial" w:eastAsia="Arial" w:hAnsi="Arial"/>
          <w:sz w:val="19"/>
          <w:szCs w:val="19"/>
          <w:color w:val="auto"/>
          <w:vertAlign w:val="superscript"/>
        </w:rPr>
        <w:t>®</w:t>
      </w:r>
      <w:r>
        <w:rPr>
          <w:rFonts w:ascii="Arial" w:cs="Arial" w:eastAsia="Arial" w:hAnsi="Arial"/>
          <w:sz w:val="12"/>
          <w:szCs w:val="12"/>
          <w:color w:val="auto"/>
        </w:rPr>
        <w:t xml:space="preserve"> is also a registered trademark of AC Immune SA in CN and NO.</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717804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59"/>
        </w:trPr>
        <w:tc>
          <w:tcPr>
            <w:tcW w:w="3720" w:type="dxa"/>
            <w:vAlign w:val="bottom"/>
            <w:gridSpan w:val="3"/>
          </w:tcPr>
          <w:p>
            <w:pPr>
              <w:spacing w:after="0"/>
              <w:rPr>
                <w:sz w:val="20"/>
                <w:szCs w:val="20"/>
                <w:color w:val="auto"/>
              </w:rPr>
            </w:pPr>
            <w:r>
              <w:rPr>
                <w:rFonts w:ascii="Arial" w:cs="Arial" w:eastAsia="Arial" w:hAnsi="Arial"/>
                <w:sz w:val="12"/>
                <w:szCs w:val="12"/>
                <w:b w:val="1"/>
                <w:bCs w:val="1"/>
                <w:color w:val="auto"/>
              </w:rPr>
              <w:t>For further information, please contact:</w:t>
            </w:r>
          </w:p>
        </w:tc>
        <w:tc>
          <w:tcPr>
            <w:tcW w:w="1840" w:type="dxa"/>
            <w:vAlign w:val="bottom"/>
          </w:tcPr>
          <w:p>
            <w:pPr>
              <w:spacing w:after="0"/>
              <w:rPr>
                <w:sz w:val="13"/>
                <w:szCs w:val="13"/>
                <w:color w:val="auto"/>
              </w:rPr>
            </w:pPr>
          </w:p>
        </w:tc>
        <w:tc>
          <w:tcPr>
            <w:tcW w:w="2020" w:type="dxa"/>
            <w:vAlign w:val="bottom"/>
          </w:tcPr>
          <w:p>
            <w:pPr>
              <w:spacing w:after="0"/>
              <w:rPr>
                <w:sz w:val="13"/>
                <w:szCs w:val="13"/>
                <w:color w:val="auto"/>
              </w:rPr>
            </w:pPr>
          </w:p>
        </w:tc>
      </w:tr>
      <w:tr>
        <w:trPr>
          <w:trHeight w:val="246"/>
        </w:trPr>
        <w:tc>
          <w:tcPr>
            <w:tcW w:w="3720" w:type="dxa"/>
            <w:vAlign w:val="bottom"/>
            <w:gridSpan w:val="3"/>
          </w:tcPr>
          <w:p>
            <w:pPr>
              <w:spacing w:after="0"/>
              <w:rPr>
                <w:sz w:val="20"/>
                <w:szCs w:val="20"/>
                <w:color w:val="auto"/>
              </w:rPr>
            </w:pPr>
            <w:r>
              <w:rPr>
                <w:rFonts w:ascii="Arial" w:cs="Arial" w:eastAsia="Arial" w:hAnsi="Arial"/>
                <w:sz w:val="12"/>
                <w:szCs w:val="12"/>
                <w:b w:val="1"/>
                <w:bCs w:val="1"/>
                <w:color w:val="auto"/>
              </w:rPr>
              <w:t>Head of Investor Relations and</w:t>
            </w:r>
          </w:p>
        </w:tc>
        <w:tc>
          <w:tcPr>
            <w:tcW w:w="3860" w:type="dxa"/>
            <w:vAlign w:val="bottom"/>
            <w:gridSpan w:val="2"/>
          </w:tcPr>
          <w:p>
            <w:pPr>
              <w:ind w:left="1480"/>
              <w:spacing w:after="0"/>
              <w:rPr>
                <w:sz w:val="20"/>
                <w:szCs w:val="20"/>
                <w:color w:val="auto"/>
              </w:rPr>
            </w:pPr>
            <w:r>
              <w:rPr>
                <w:rFonts w:ascii="Arial" w:cs="Arial" w:eastAsia="Arial" w:hAnsi="Arial"/>
                <w:sz w:val="12"/>
                <w:szCs w:val="12"/>
                <w:b w:val="1"/>
                <w:bCs w:val="1"/>
                <w:color w:val="auto"/>
              </w:rPr>
              <w:t>U.S. Media</w:t>
            </w:r>
          </w:p>
        </w:tc>
      </w:tr>
      <w:tr>
        <w:trPr>
          <w:trHeight w:val="149"/>
        </w:trPr>
        <w:tc>
          <w:tcPr>
            <w:tcW w:w="3720" w:type="dxa"/>
            <w:vAlign w:val="bottom"/>
            <w:gridSpan w:val="3"/>
          </w:tcPr>
          <w:p>
            <w:pPr>
              <w:spacing w:after="0"/>
              <w:rPr>
                <w:sz w:val="20"/>
                <w:szCs w:val="20"/>
                <w:color w:val="auto"/>
              </w:rPr>
            </w:pPr>
            <w:r>
              <w:rPr>
                <w:rFonts w:ascii="Arial" w:cs="Arial" w:eastAsia="Arial" w:hAnsi="Arial"/>
                <w:sz w:val="12"/>
                <w:szCs w:val="12"/>
                <w:b w:val="1"/>
                <w:bCs w:val="1"/>
                <w:color w:val="auto"/>
              </w:rPr>
              <w:t>Corporate Communications</w:t>
            </w:r>
          </w:p>
        </w:tc>
        <w:tc>
          <w:tcPr>
            <w:tcW w:w="3860" w:type="dxa"/>
            <w:vAlign w:val="bottom"/>
            <w:gridSpan w:val="2"/>
          </w:tcPr>
          <w:p>
            <w:pPr>
              <w:ind w:left="1480"/>
              <w:spacing w:after="0"/>
              <w:rPr>
                <w:sz w:val="20"/>
                <w:szCs w:val="20"/>
                <w:color w:val="auto"/>
              </w:rPr>
            </w:pPr>
            <w:r>
              <w:rPr>
                <w:rFonts w:ascii="Arial" w:cs="Arial" w:eastAsia="Arial" w:hAnsi="Arial"/>
                <w:sz w:val="12"/>
                <w:szCs w:val="12"/>
                <w:color w:val="auto"/>
              </w:rPr>
              <w:t>Katie Gallagher</w:t>
            </w:r>
          </w:p>
        </w:tc>
      </w:tr>
      <w:tr>
        <w:trPr>
          <w:trHeight w:val="135"/>
        </w:trPr>
        <w:tc>
          <w:tcPr>
            <w:tcW w:w="3720" w:type="dxa"/>
            <w:vAlign w:val="bottom"/>
            <w:gridSpan w:val="3"/>
          </w:tcPr>
          <w:p>
            <w:pPr>
              <w:spacing w:after="0" w:line="135" w:lineRule="exact"/>
              <w:rPr>
                <w:sz w:val="20"/>
                <w:szCs w:val="20"/>
                <w:color w:val="auto"/>
              </w:rPr>
            </w:pPr>
            <w:r>
              <w:rPr>
                <w:rFonts w:ascii="Arial" w:cs="Arial" w:eastAsia="Arial" w:hAnsi="Arial"/>
                <w:sz w:val="12"/>
                <w:szCs w:val="12"/>
                <w:color w:val="auto"/>
              </w:rPr>
              <w:t>Joshua Drumm, Ph.D.</w:t>
            </w:r>
          </w:p>
        </w:tc>
        <w:tc>
          <w:tcPr>
            <w:tcW w:w="3860" w:type="dxa"/>
            <w:vAlign w:val="bottom"/>
            <w:gridSpan w:val="2"/>
          </w:tcPr>
          <w:p>
            <w:pPr>
              <w:ind w:left="1480"/>
              <w:spacing w:after="0" w:line="135" w:lineRule="exact"/>
              <w:rPr>
                <w:sz w:val="20"/>
                <w:szCs w:val="20"/>
                <w:color w:val="auto"/>
              </w:rPr>
            </w:pPr>
            <w:r>
              <w:rPr>
                <w:rFonts w:ascii="Arial" w:cs="Arial" w:eastAsia="Arial" w:hAnsi="Arial"/>
                <w:sz w:val="12"/>
                <w:szCs w:val="12"/>
                <w:color w:val="auto"/>
              </w:rPr>
              <w:t>LaVoie Health Science</w:t>
            </w:r>
          </w:p>
        </w:tc>
      </w:tr>
      <w:tr>
        <w:trPr>
          <w:trHeight w:val="135"/>
        </w:trPr>
        <w:tc>
          <w:tcPr>
            <w:tcW w:w="3720" w:type="dxa"/>
            <w:vAlign w:val="bottom"/>
            <w:gridSpan w:val="3"/>
          </w:tcPr>
          <w:p>
            <w:pPr>
              <w:spacing w:after="0" w:line="135" w:lineRule="exact"/>
              <w:rPr>
                <w:sz w:val="20"/>
                <w:szCs w:val="20"/>
                <w:color w:val="auto"/>
              </w:rPr>
            </w:pPr>
            <w:r>
              <w:rPr>
                <w:rFonts w:ascii="Arial" w:cs="Arial" w:eastAsia="Arial" w:hAnsi="Arial"/>
                <w:sz w:val="12"/>
                <w:szCs w:val="12"/>
                <w:color w:val="auto"/>
              </w:rPr>
              <w:t>AC Immune</w:t>
            </w:r>
          </w:p>
        </w:tc>
        <w:tc>
          <w:tcPr>
            <w:tcW w:w="3860" w:type="dxa"/>
            <w:vAlign w:val="bottom"/>
            <w:gridSpan w:val="2"/>
          </w:tcPr>
          <w:p>
            <w:pPr>
              <w:ind w:left="1480"/>
              <w:spacing w:after="0" w:line="135" w:lineRule="exact"/>
              <w:rPr>
                <w:sz w:val="20"/>
                <w:szCs w:val="20"/>
                <w:color w:val="auto"/>
              </w:rPr>
            </w:pPr>
            <w:r>
              <w:rPr>
                <w:rFonts w:ascii="Arial" w:cs="Arial" w:eastAsia="Arial" w:hAnsi="Arial"/>
                <w:sz w:val="12"/>
                <w:szCs w:val="12"/>
                <w:color w:val="auto"/>
              </w:rPr>
              <w:t>Phone: +1 617 792 3937</w:t>
            </w:r>
          </w:p>
        </w:tc>
      </w:tr>
      <w:tr>
        <w:trPr>
          <w:trHeight w:val="118"/>
        </w:trPr>
        <w:tc>
          <w:tcPr>
            <w:tcW w:w="3720" w:type="dxa"/>
            <w:vAlign w:val="bottom"/>
            <w:gridSpan w:val="3"/>
          </w:tcPr>
          <w:p>
            <w:pPr>
              <w:spacing w:after="0" w:line="118" w:lineRule="exact"/>
              <w:rPr>
                <w:sz w:val="20"/>
                <w:szCs w:val="20"/>
                <w:color w:val="auto"/>
              </w:rPr>
            </w:pPr>
            <w:r>
              <w:rPr>
                <w:rFonts w:ascii="Arial" w:cs="Arial" w:eastAsia="Arial" w:hAnsi="Arial"/>
                <w:sz w:val="12"/>
                <w:szCs w:val="12"/>
                <w:color w:val="auto"/>
              </w:rPr>
              <w:t>Phone : +1 917 809 0814</w:t>
            </w:r>
          </w:p>
        </w:tc>
        <w:tc>
          <w:tcPr>
            <w:tcW w:w="3860" w:type="dxa"/>
            <w:vAlign w:val="bottom"/>
            <w:gridSpan w:val="2"/>
          </w:tcPr>
          <w:p>
            <w:pPr>
              <w:ind w:left="1480"/>
              <w:spacing w:after="0" w:line="118" w:lineRule="exact"/>
              <w:rPr>
                <w:sz w:val="20"/>
                <w:szCs w:val="20"/>
                <w:color w:val="auto"/>
              </w:rPr>
            </w:pPr>
            <w:r>
              <w:rPr>
                <w:rFonts w:ascii="Arial" w:cs="Arial" w:eastAsia="Arial" w:hAnsi="Arial"/>
                <w:sz w:val="12"/>
                <w:szCs w:val="12"/>
                <w:color w:val="auto"/>
              </w:rPr>
              <w:t xml:space="preserve">Email: </w:t>
            </w:r>
            <w:r>
              <w:rPr>
                <w:rFonts w:ascii="Arial" w:cs="Arial" w:eastAsia="Arial" w:hAnsi="Arial"/>
                <w:sz w:val="12"/>
                <w:szCs w:val="12"/>
                <w:color w:val="0000FF"/>
              </w:rPr>
              <w:t>kgallagher@lavoiehealthscience.com</w:t>
            </w:r>
          </w:p>
        </w:tc>
      </w:tr>
      <w:tr>
        <w:trPr>
          <w:trHeight w:val="115"/>
        </w:trPr>
        <w:tc>
          <w:tcPr>
            <w:tcW w:w="3720" w:type="dxa"/>
            <w:vAlign w:val="bottom"/>
            <w:gridSpan w:val="3"/>
          </w:tcPr>
          <w:p>
            <w:pPr>
              <w:spacing w:after="0" w:line="115" w:lineRule="exact"/>
              <w:rPr>
                <w:sz w:val="20"/>
                <w:szCs w:val="20"/>
                <w:color w:val="auto"/>
              </w:rPr>
            </w:pPr>
            <w:r>
              <w:rPr>
                <w:rFonts w:ascii="Arial" w:cs="Arial" w:eastAsia="Arial" w:hAnsi="Arial"/>
                <w:sz w:val="12"/>
                <w:szCs w:val="12"/>
                <w:color w:val="auto"/>
              </w:rPr>
              <w:t xml:space="preserve">Email: </w:t>
            </w:r>
            <w:r>
              <w:rPr>
                <w:rFonts w:ascii="Arial" w:cs="Arial" w:eastAsia="Arial" w:hAnsi="Arial"/>
                <w:sz w:val="12"/>
                <w:szCs w:val="12"/>
                <w:color w:val="0000FF"/>
              </w:rPr>
              <w:t>joshua.drumm@acimmune.com</w:t>
            </w:r>
          </w:p>
        </w:tc>
        <w:tc>
          <w:tcPr>
            <w:tcW w:w="1840" w:type="dxa"/>
            <w:vAlign w:val="bottom"/>
          </w:tcPr>
          <w:p>
            <w:pPr>
              <w:spacing w:after="0"/>
              <w:rPr>
                <w:sz w:val="10"/>
                <w:szCs w:val="10"/>
                <w:color w:val="auto"/>
              </w:rPr>
            </w:pPr>
          </w:p>
        </w:tc>
        <w:tc>
          <w:tcPr>
            <w:tcW w:w="2020" w:type="dxa"/>
            <w:vAlign w:val="bottom"/>
            <w:tcBorders>
              <w:top w:val="single" w:sz="8" w:color="0000FF"/>
            </w:tcBorders>
          </w:tcPr>
          <w:p>
            <w:pPr>
              <w:spacing w:after="0"/>
              <w:rPr>
                <w:sz w:val="10"/>
                <w:szCs w:val="10"/>
                <w:color w:val="auto"/>
              </w:rPr>
            </w:pPr>
          </w:p>
        </w:tc>
      </w:tr>
      <w:tr>
        <w:trPr>
          <w:trHeight w:val="20"/>
        </w:trPr>
        <w:tc>
          <w:tcPr>
            <w:tcW w:w="36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129" w:lineRule="exact"/>
        <w:rPr>
          <w:sz w:val="20"/>
          <w:szCs w:val="20"/>
          <w:color w:val="auto"/>
        </w:rPr>
      </w:pPr>
    </w:p>
    <w:p>
      <w:pPr>
        <w:ind w:left="5200"/>
        <w:spacing w:after="0"/>
        <w:rPr>
          <w:sz w:val="20"/>
          <w:szCs w:val="20"/>
          <w:color w:val="auto"/>
        </w:rPr>
      </w:pPr>
      <w:r>
        <w:rPr>
          <w:rFonts w:ascii="Arial" w:cs="Arial" w:eastAsia="Arial" w:hAnsi="Arial"/>
          <w:sz w:val="12"/>
          <w:szCs w:val="12"/>
          <w:b w:val="1"/>
          <w:bCs w:val="1"/>
          <w:color w:val="auto"/>
        </w:rPr>
        <w:t>European Investors &amp; Media</w:t>
      </w:r>
    </w:p>
    <w:p>
      <w:pPr>
        <w:spacing w:after="0" w:line="8" w:lineRule="exact"/>
        <w:rPr>
          <w:sz w:val="20"/>
          <w:szCs w:val="20"/>
          <w:color w:val="auto"/>
        </w:rPr>
      </w:pPr>
    </w:p>
    <w:p>
      <w:pPr>
        <w:ind w:left="5200"/>
        <w:spacing w:after="0"/>
        <w:rPr>
          <w:sz w:val="20"/>
          <w:szCs w:val="20"/>
          <w:color w:val="auto"/>
        </w:rPr>
      </w:pPr>
      <w:r>
        <w:rPr>
          <w:rFonts w:ascii="Arial" w:cs="Arial" w:eastAsia="Arial" w:hAnsi="Arial"/>
          <w:sz w:val="12"/>
          <w:szCs w:val="12"/>
          <w:color w:val="auto"/>
        </w:rPr>
        <w:t>Chris Maggos</w:t>
      </w:r>
    </w:p>
    <w:p>
      <w:pPr>
        <w:ind w:left="5200"/>
        <w:spacing w:after="0" w:line="234" w:lineRule="auto"/>
        <w:rPr>
          <w:sz w:val="20"/>
          <w:szCs w:val="20"/>
          <w:color w:val="auto"/>
        </w:rPr>
      </w:pPr>
      <w:r>
        <w:rPr>
          <w:rFonts w:ascii="Arial" w:cs="Arial" w:eastAsia="Arial" w:hAnsi="Arial"/>
          <w:sz w:val="12"/>
          <w:szCs w:val="12"/>
          <w:color w:val="auto"/>
        </w:rPr>
        <w:t>LifeSci Advisors</w:t>
      </w:r>
    </w:p>
    <w:p>
      <w:pPr>
        <w:ind w:left="5200"/>
        <w:spacing w:after="0" w:line="235" w:lineRule="auto"/>
        <w:rPr>
          <w:sz w:val="20"/>
          <w:szCs w:val="20"/>
          <w:color w:val="auto"/>
        </w:rPr>
      </w:pPr>
      <w:r>
        <w:rPr>
          <w:rFonts w:ascii="Arial" w:cs="Arial" w:eastAsia="Arial" w:hAnsi="Arial"/>
          <w:sz w:val="12"/>
          <w:szCs w:val="12"/>
          <w:color w:val="auto"/>
        </w:rPr>
        <w:t>Phone : +41 79 367 6254</w:t>
      </w:r>
    </w:p>
    <w:p>
      <w:pPr>
        <w:ind w:left="5200"/>
        <w:spacing w:after="0"/>
        <w:rPr>
          <w:sz w:val="20"/>
          <w:szCs w:val="20"/>
          <w:color w:val="auto"/>
        </w:rPr>
      </w:pPr>
      <w:r>
        <w:rPr>
          <w:rFonts w:ascii="Arial" w:cs="Arial" w:eastAsia="Arial" w:hAnsi="Arial"/>
          <w:sz w:val="12"/>
          <w:szCs w:val="12"/>
          <w:color w:val="auto"/>
        </w:rPr>
        <w:t xml:space="preserve">Email : </w:t>
      </w:r>
      <w:r>
        <w:rPr>
          <w:rFonts w:ascii="Arial" w:cs="Arial" w:eastAsia="Arial" w:hAnsi="Arial"/>
          <w:sz w:val="12"/>
          <w:szCs w:val="12"/>
          <w:u w:val="single" w:color="auto"/>
          <w:color w:val="0000FF"/>
        </w:rPr>
        <w:t>chris@lifesciadvisors.com</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146"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These include: the impact of Covid-19 on our business, suppliers, patients and employees and any other impact of Covid-19.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717804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431" w:right="299" w:bottom="1440" w:gutter="0" w:footer="0" w:header="0"/>
        </w:sectPr>
      </w:pPr>
    </w:p>
    <w:bookmarkStart w:id="46" w:name="page47"/>
    <w:bookmarkEnd w:id="46"/>
    <w:p>
      <w:pPr>
        <w:jc w:val="right"/>
        <w:spacing w:after="0"/>
        <w:rPr>
          <w:sz w:val="20"/>
          <w:szCs w:val="20"/>
          <w:color w:val="auto"/>
        </w:rPr>
      </w:pPr>
      <w:r>
        <w:rPr>
          <w:rFonts w:ascii="Arial" w:cs="Arial" w:eastAsia="Arial" w:hAnsi="Arial"/>
          <w:sz w:val="14"/>
          <w:szCs w:val="14"/>
          <w:b w:val="1"/>
          <w:bCs w:val="1"/>
          <w:color w:val="auto"/>
        </w:rPr>
        <w:t>Exhibit 99.3</w:t>
      </w:r>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Version of 25 June 2021, as voted by AGM</w:t>
      </w:r>
    </w:p>
    <w:p>
      <w:pPr>
        <w:spacing w:after="0" w:line="127"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260" w:type="dxa"/>
            <w:vAlign w:val="bottom"/>
            <w:tcBorders>
              <w:top w:val="single" w:sz="8" w:color="auto"/>
              <w:left w:val="single" w:sz="8" w:color="auto"/>
            </w:tcBorders>
          </w:tcPr>
          <w:p>
            <w:pPr>
              <w:spacing w:after="0"/>
              <w:rPr>
                <w:sz w:val="17"/>
                <w:szCs w:val="17"/>
                <w:color w:val="auto"/>
              </w:rPr>
            </w:pPr>
          </w:p>
        </w:tc>
        <w:tc>
          <w:tcPr>
            <w:tcW w:w="5280" w:type="dxa"/>
            <w:vAlign w:val="bottom"/>
            <w:tcBorders>
              <w:top w:val="single" w:sz="8" w:color="auto"/>
              <w:right w:val="single" w:sz="8" w:color="auto"/>
            </w:tcBorders>
          </w:tcPr>
          <w:p>
            <w:pPr>
              <w:jc w:val="center"/>
              <w:ind w:right="200"/>
              <w:spacing w:after="0"/>
              <w:rPr>
                <w:sz w:val="20"/>
                <w:szCs w:val="20"/>
                <w:color w:val="auto"/>
              </w:rPr>
            </w:pPr>
            <w:r>
              <w:rPr>
                <w:rFonts w:ascii="Arial" w:cs="Arial" w:eastAsia="Arial" w:hAnsi="Arial"/>
                <w:sz w:val="12"/>
                <w:szCs w:val="12"/>
                <w:b w:val="1"/>
                <w:bCs w:val="1"/>
                <w:color w:val="auto"/>
                <w:w w:val="99"/>
              </w:rPr>
              <w:t>ARTICLES OF ASSOCIATION</w:t>
            </w:r>
          </w:p>
        </w:tc>
        <w:tc>
          <w:tcPr>
            <w:tcW w:w="240" w:type="dxa"/>
            <w:vAlign w:val="bottom"/>
            <w:tcBorders>
              <w:top w:val="single" w:sz="8" w:color="auto"/>
              <w:right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5160" w:type="dxa"/>
            <w:vAlign w:val="bottom"/>
            <w:tcBorders>
              <w:top w:val="single" w:sz="8" w:color="auto"/>
              <w:right w:val="single" w:sz="8" w:color="auto"/>
            </w:tcBorders>
          </w:tcPr>
          <w:p>
            <w:pPr>
              <w:jc w:val="center"/>
              <w:ind w:right="320"/>
              <w:spacing w:after="0"/>
              <w:rPr>
                <w:sz w:val="20"/>
                <w:szCs w:val="20"/>
                <w:color w:val="auto"/>
              </w:rPr>
            </w:pPr>
            <w:r>
              <w:rPr>
                <w:rFonts w:ascii="Arial" w:cs="Arial" w:eastAsia="Arial" w:hAnsi="Arial"/>
                <w:sz w:val="12"/>
                <w:szCs w:val="12"/>
                <w:b w:val="1"/>
                <w:bCs w:val="1"/>
                <w:color w:val="auto"/>
                <w:w w:val="97"/>
              </w:rPr>
              <w:t>STATUTS</w:t>
            </w:r>
          </w:p>
        </w:tc>
      </w:tr>
      <w:tr>
        <w:trPr>
          <w:trHeight w:val="270"/>
        </w:trPr>
        <w:tc>
          <w:tcPr>
            <w:tcW w:w="260" w:type="dxa"/>
            <w:vAlign w:val="bottom"/>
            <w:tcBorders>
              <w:left w:val="single" w:sz="8" w:color="auto"/>
            </w:tcBorders>
          </w:tcPr>
          <w:p>
            <w:pPr>
              <w:spacing w:after="0"/>
              <w:rPr>
                <w:sz w:val="23"/>
                <w:szCs w:val="23"/>
                <w:color w:val="auto"/>
              </w:rPr>
            </w:pPr>
          </w:p>
        </w:tc>
        <w:tc>
          <w:tcPr>
            <w:tcW w:w="5280" w:type="dxa"/>
            <w:vAlign w:val="bottom"/>
            <w:tcBorders>
              <w:right w:val="single" w:sz="8" w:color="auto"/>
            </w:tcBorders>
          </w:tcPr>
          <w:p>
            <w:pPr>
              <w:jc w:val="center"/>
              <w:ind w:right="220"/>
              <w:spacing w:after="0"/>
              <w:rPr>
                <w:sz w:val="20"/>
                <w:szCs w:val="20"/>
                <w:color w:val="auto"/>
              </w:rPr>
            </w:pPr>
            <w:r>
              <w:rPr>
                <w:rFonts w:ascii="Arial" w:cs="Arial" w:eastAsia="Arial" w:hAnsi="Arial"/>
                <w:sz w:val="12"/>
                <w:szCs w:val="12"/>
                <w:b w:val="1"/>
                <w:bCs w:val="1"/>
                <w:color w:val="auto"/>
              </w:rPr>
              <w:t>of</w:t>
            </w:r>
          </w:p>
        </w:tc>
        <w:tc>
          <w:tcPr>
            <w:tcW w:w="240" w:type="dxa"/>
            <w:vAlign w:val="bottom"/>
            <w:tcBorders>
              <w:right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5160" w:type="dxa"/>
            <w:vAlign w:val="bottom"/>
            <w:tcBorders>
              <w:right w:val="single" w:sz="8" w:color="auto"/>
            </w:tcBorders>
          </w:tcPr>
          <w:p>
            <w:pPr>
              <w:jc w:val="center"/>
              <w:ind w:right="320"/>
              <w:spacing w:after="0"/>
              <w:rPr>
                <w:sz w:val="20"/>
                <w:szCs w:val="20"/>
                <w:color w:val="auto"/>
              </w:rPr>
            </w:pPr>
            <w:r>
              <w:rPr>
                <w:rFonts w:ascii="Arial" w:cs="Arial" w:eastAsia="Arial" w:hAnsi="Arial"/>
                <w:sz w:val="12"/>
                <w:szCs w:val="12"/>
                <w:b w:val="1"/>
                <w:bCs w:val="1"/>
                <w:color w:val="auto"/>
              </w:rPr>
              <w:t>DE</w:t>
            </w:r>
          </w:p>
        </w:tc>
      </w:tr>
      <w:tr>
        <w:trPr>
          <w:trHeight w:val="246"/>
        </w:trPr>
        <w:tc>
          <w:tcPr>
            <w:tcW w:w="260" w:type="dxa"/>
            <w:vAlign w:val="bottom"/>
            <w:tcBorders>
              <w:left w:val="single" w:sz="8" w:color="auto"/>
            </w:tcBorders>
          </w:tcPr>
          <w:p>
            <w:pPr>
              <w:spacing w:after="0"/>
              <w:rPr>
                <w:sz w:val="21"/>
                <w:szCs w:val="21"/>
                <w:color w:val="auto"/>
              </w:rPr>
            </w:pPr>
          </w:p>
        </w:tc>
        <w:tc>
          <w:tcPr>
            <w:tcW w:w="5280" w:type="dxa"/>
            <w:vAlign w:val="bottom"/>
            <w:tcBorders>
              <w:right w:val="single" w:sz="8" w:color="auto"/>
            </w:tcBorders>
          </w:tcPr>
          <w:p>
            <w:pPr>
              <w:jc w:val="center"/>
              <w:ind w:right="200"/>
              <w:spacing w:after="0"/>
              <w:rPr>
                <w:sz w:val="20"/>
                <w:szCs w:val="20"/>
                <w:color w:val="auto"/>
              </w:rPr>
            </w:pPr>
            <w:r>
              <w:rPr>
                <w:rFonts w:ascii="Arial" w:cs="Arial" w:eastAsia="Arial" w:hAnsi="Arial"/>
                <w:sz w:val="12"/>
                <w:szCs w:val="12"/>
                <w:b w:val="1"/>
                <w:bCs w:val="1"/>
                <w:color w:val="auto"/>
                <w:w w:val="99"/>
              </w:rPr>
              <w:t>AC Immune SA</w:t>
            </w:r>
          </w:p>
        </w:tc>
        <w:tc>
          <w:tcPr>
            <w:tcW w:w="240" w:type="dxa"/>
            <w:vAlign w:val="bottom"/>
            <w:tcBorders>
              <w:right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5160" w:type="dxa"/>
            <w:vAlign w:val="bottom"/>
            <w:tcBorders>
              <w:right w:val="single" w:sz="8" w:color="auto"/>
            </w:tcBorders>
          </w:tcPr>
          <w:p>
            <w:pPr>
              <w:jc w:val="center"/>
              <w:ind w:right="320"/>
              <w:spacing w:after="0"/>
              <w:rPr>
                <w:sz w:val="20"/>
                <w:szCs w:val="20"/>
                <w:color w:val="auto"/>
              </w:rPr>
            </w:pPr>
            <w:r>
              <w:rPr>
                <w:rFonts w:ascii="Arial" w:cs="Arial" w:eastAsia="Arial" w:hAnsi="Arial"/>
                <w:sz w:val="12"/>
                <w:szCs w:val="12"/>
                <w:b w:val="1"/>
                <w:bCs w:val="1"/>
                <w:color w:val="auto"/>
              </w:rPr>
              <w:t>AC IMMUNE SA</w:t>
            </w:r>
          </w:p>
        </w:tc>
      </w:tr>
      <w:tr>
        <w:trPr>
          <w:trHeight w:val="135"/>
        </w:trPr>
        <w:tc>
          <w:tcPr>
            <w:tcW w:w="260" w:type="dxa"/>
            <w:vAlign w:val="bottom"/>
            <w:tcBorders>
              <w:left w:val="single" w:sz="8" w:color="auto"/>
            </w:tcBorders>
          </w:tcPr>
          <w:p>
            <w:pPr>
              <w:spacing w:after="0"/>
              <w:rPr>
                <w:sz w:val="11"/>
                <w:szCs w:val="11"/>
                <w:color w:val="auto"/>
              </w:rPr>
            </w:pPr>
          </w:p>
        </w:tc>
        <w:tc>
          <w:tcPr>
            <w:tcW w:w="5280" w:type="dxa"/>
            <w:vAlign w:val="bottom"/>
            <w:tcBorders>
              <w:right w:val="single" w:sz="8" w:color="auto"/>
            </w:tcBorders>
          </w:tcPr>
          <w:p>
            <w:pPr>
              <w:jc w:val="center"/>
              <w:ind w:right="220"/>
              <w:spacing w:after="0" w:line="135" w:lineRule="exact"/>
              <w:rPr>
                <w:sz w:val="20"/>
                <w:szCs w:val="20"/>
                <w:color w:val="auto"/>
              </w:rPr>
            </w:pPr>
            <w:r>
              <w:rPr>
                <w:rFonts w:ascii="Arial" w:cs="Arial" w:eastAsia="Arial" w:hAnsi="Arial"/>
                <w:sz w:val="12"/>
                <w:szCs w:val="12"/>
                <w:b w:val="1"/>
                <w:bCs w:val="1"/>
                <w:color w:val="auto"/>
                <w:w w:val="99"/>
              </w:rPr>
              <w:t>(AC Immune AG)</w:t>
            </w:r>
          </w:p>
        </w:tc>
        <w:tc>
          <w:tcPr>
            <w:tcW w:w="24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5160" w:type="dxa"/>
            <w:vAlign w:val="bottom"/>
            <w:tcBorders>
              <w:right w:val="single" w:sz="8" w:color="auto"/>
            </w:tcBorders>
          </w:tcPr>
          <w:p>
            <w:pPr>
              <w:jc w:val="center"/>
              <w:ind w:right="320"/>
              <w:spacing w:after="0" w:line="135" w:lineRule="exact"/>
              <w:rPr>
                <w:sz w:val="20"/>
                <w:szCs w:val="20"/>
                <w:color w:val="auto"/>
              </w:rPr>
            </w:pPr>
            <w:r>
              <w:rPr>
                <w:rFonts w:ascii="Arial" w:cs="Arial" w:eastAsia="Arial" w:hAnsi="Arial"/>
                <w:sz w:val="12"/>
                <w:szCs w:val="12"/>
                <w:b w:val="1"/>
                <w:bCs w:val="1"/>
                <w:color w:val="auto"/>
                <w:w w:val="99"/>
              </w:rPr>
              <w:t>(AC IMMUNE AG)</w:t>
            </w:r>
          </w:p>
        </w:tc>
      </w:tr>
      <w:tr>
        <w:trPr>
          <w:trHeight w:val="159"/>
        </w:trPr>
        <w:tc>
          <w:tcPr>
            <w:tcW w:w="260" w:type="dxa"/>
            <w:vAlign w:val="bottom"/>
            <w:tcBorders>
              <w:left w:val="single" w:sz="8" w:color="auto"/>
            </w:tcBorders>
          </w:tcPr>
          <w:p>
            <w:pPr>
              <w:spacing w:after="0"/>
              <w:rPr>
                <w:sz w:val="13"/>
                <w:szCs w:val="13"/>
                <w:color w:val="auto"/>
              </w:rPr>
            </w:pPr>
          </w:p>
        </w:tc>
        <w:tc>
          <w:tcPr>
            <w:tcW w:w="5280" w:type="dxa"/>
            <w:vAlign w:val="bottom"/>
            <w:tcBorders>
              <w:right w:val="single" w:sz="8" w:color="auto"/>
            </w:tcBorders>
          </w:tcPr>
          <w:p>
            <w:pPr>
              <w:jc w:val="center"/>
              <w:ind w:right="220"/>
              <w:spacing w:after="0"/>
              <w:rPr>
                <w:sz w:val="20"/>
                <w:szCs w:val="20"/>
                <w:color w:val="auto"/>
              </w:rPr>
            </w:pPr>
            <w:r>
              <w:rPr>
                <w:rFonts w:ascii="Arial" w:cs="Arial" w:eastAsia="Arial" w:hAnsi="Arial"/>
                <w:sz w:val="12"/>
                <w:szCs w:val="12"/>
                <w:b w:val="1"/>
                <w:bCs w:val="1"/>
                <w:color w:val="auto"/>
                <w:w w:val="99"/>
              </w:rPr>
              <w:t>(AC Immune Ltd)</w:t>
            </w:r>
          </w:p>
        </w:tc>
        <w:tc>
          <w:tcPr>
            <w:tcW w:w="24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5160" w:type="dxa"/>
            <w:vAlign w:val="bottom"/>
            <w:tcBorders>
              <w:right w:val="single" w:sz="8" w:color="auto"/>
            </w:tcBorders>
          </w:tcPr>
          <w:p>
            <w:pPr>
              <w:jc w:val="center"/>
              <w:ind w:right="320"/>
              <w:spacing w:after="0"/>
              <w:rPr>
                <w:sz w:val="20"/>
                <w:szCs w:val="20"/>
                <w:color w:val="auto"/>
              </w:rPr>
            </w:pPr>
            <w:r>
              <w:rPr>
                <w:rFonts w:ascii="Arial" w:cs="Arial" w:eastAsia="Arial" w:hAnsi="Arial"/>
                <w:sz w:val="12"/>
                <w:szCs w:val="12"/>
                <w:b w:val="1"/>
                <w:bCs w:val="1"/>
                <w:color w:val="auto"/>
                <w:w w:val="98"/>
              </w:rPr>
              <w:t>(AC IMMUNE LTD)</w:t>
            </w:r>
          </w:p>
        </w:tc>
      </w:tr>
      <w:tr>
        <w:trPr>
          <w:trHeight w:val="270"/>
        </w:trPr>
        <w:tc>
          <w:tcPr>
            <w:tcW w:w="260" w:type="dxa"/>
            <w:vAlign w:val="bottom"/>
            <w:tcBorders>
              <w:left w:val="single" w:sz="8" w:color="auto"/>
            </w:tcBorders>
          </w:tcPr>
          <w:p>
            <w:pPr>
              <w:spacing w:after="0"/>
              <w:rPr>
                <w:sz w:val="23"/>
                <w:szCs w:val="23"/>
                <w:color w:val="auto"/>
              </w:rPr>
            </w:pPr>
          </w:p>
        </w:tc>
        <w:tc>
          <w:tcPr>
            <w:tcW w:w="5280" w:type="dxa"/>
            <w:vAlign w:val="bottom"/>
            <w:tcBorders>
              <w:right w:val="single" w:sz="8" w:color="auto"/>
            </w:tcBorders>
          </w:tcPr>
          <w:p>
            <w:pPr>
              <w:jc w:val="center"/>
              <w:ind w:right="200"/>
              <w:spacing w:after="0"/>
              <w:rPr>
                <w:sz w:val="20"/>
                <w:szCs w:val="20"/>
                <w:color w:val="auto"/>
              </w:rPr>
            </w:pPr>
            <w:r>
              <w:rPr>
                <w:rFonts w:ascii="Arial" w:cs="Arial" w:eastAsia="Arial" w:hAnsi="Arial"/>
                <w:sz w:val="12"/>
                <w:szCs w:val="12"/>
                <w:b w:val="1"/>
                <w:bCs w:val="1"/>
                <w:color w:val="auto"/>
                <w:w w:val="99"/>
              </w:rPr>
              <w:t>with registered office in</w:t>
            </w:r>
          </w:p>
        </w:tc>
        <w:tc>
          <w:tcPr>
            <w:tcW w:w="240" w:type="dxa"/>
            <w:vAlign w:val="bottom"/>
            <w:tcBorders>
              <w:right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5160" w:type="dxa"/>
            <w:vAlign w:val="bottom"/>
            <w:tcBorders>
              <w:right w:val="single" w:sz="8" w:color="auto"/>
            </w:tcBorders>
          </w:tcPr>
          <w:p>
            <w:pPr>
              <w:jc w:val="center"/>
              <w:ind w:right="320"/>
              <w:spacing w:after="0"/>
              <w:rPr>
                <w:sz w:val="20"/>
                <w:szCs w:val="20"/>
                <w:color w:val="auto"/>
              </w:rPr>
            </w:pPr>
            <w:r>
              <w:rPr>
                <w:rFonts w:ascii="Arial" w:cs="Arial" w:eastAsia="Arial" w:hAnsi="Arial"/>
                <w:sz w:val="12"/>
                <w:szCs w:val="12"/>
                <w:b w:val="1"/>
                <w:bCs w:val="1"/>
                <w:color w:val="auto"/>
              </w:rPr>
              <w:t>AVEC SIÈGE À</w:t>
            </w:r>
          </w:p>
        </w:tc>
      </w:tr>
      <w:tr>
        <w:trPr>
          <w:trHeight w:val="270"/>
        </w:trPr>
        <w:tc>
          <w:tcPr>
            <w:tcW w:w="260" w:type="dxa"/>
            <w:vAlign w:val="bottom"/>
            <w:tcBorders>
              <w:left w:val="single" w:sz="8" w:color="auto"/>
            </w:tcBorders>
          </w:tcPr>
          <w:p>
            <w:pPr>
              <w:spacing w:after="0"/>
              <w:rPr>
                <w:sz w:val="23"/>
                <w:szCs w:val="23"/>
                <w:color w:val="auto"/>
              </w:rPr>
            </w:pPr>
          </w:p>
        </w:tc>
        <w:tc>
          <w:tcPr>
            <w:tcW w:w="5280" w:type="dxa"/>
            <w:vAlign w:val="bottom"/>
            <w:tcBorders>
              <w:right w:val="single" w:sz="8" w:color="auto"/>
            </w:tcBorders>
          </w:tcPr>
          <w:p>
            <w:pPr>
              <w:jc w:val="center"/>
              <w:ind w:right="200"/>
              <w:spacing w:after="0"/>
              <w:rPr>
                <w:sz w:val="20"/>
                <w:szCs w:val="20"/>
                <w:color w:val="auto"/>
              </w:rPr>
            </w:pPr>
            <w:r>
              <w:rPr>
                <w:rFonts w:ascii="Arial" w:cs="Arial" w:eastAsia="Arial" w:hAnsi="Arial"/>
                <w:sz w:val="12"/>
                <w:szCs w:val="12"/>
                <w:b w:val="1"/>
                <w:bCs w:val="1"/>
                <w:color w:val="auto"/>
              </w:rPr>
              <w:t>Ecublens (VD)</w:t>
            </w:r>
          </w:p>
        </w:tc>
        <w:tc>
          <w:tcPr>
            <w:tcW w:w="240" w:type="dxa"/>
            <w:vAlign w:val="bottom"/>
            <w:tcBorders>
              <w:right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5160" w:type="dxa"/>
            <w:vAlign w:val="bottom"/>
            <w:tcBorders>
              <w:right w:val="single" w:sz="8" w:color="auto"/>
            </w:tcBorders>
          </w:tcPr>
          <w:p>
            <w:pPr>
              <w:jc w:val="center"/>
              <w:ind w:right="320"/>
              <w:spacing w:after="0"/>
              <w:rPr>
                <w:sz w:val="20"/>
                <w:szCs w:val="20"/>
                <w:color w:val="auto"/>
              </w:rPr>
            </w:pPr>
            <w:r>
              <w:rPr>
                <w:rFonts w:ascii="Arial" w:cs="Arial" w:eastAsia="Arial" w:hAnsi="Arial"/>
                <w:sz w:val="12"/>
                <w:szCs w:val="12"/>
                <w:b w:val="1"/>
                <w:bCs w:val="1"/>
                <w:color w:val="auto"/>
                <w:w w:val="99"/>
              </w:rPr>
              <w:t>ECUBLENS (VD)</w:t>
            </w:r>
          </w:p>
        </w:tc>
      </w:tr>
      <w:tr>
        <w:trPr>
          <w:trHeight w:val="270"/>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The French version of these articles of association shall prevail.</w:t>
            </w:r>
          </w:p>
        </w:tc>
        <w:tc>
          <w:tcPr>
            <w:tcW w:w="240" w:type="dxa"/>
            <w:vAlign w:val="bottom"/>
            <w:tcBorders>
              <w:right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5160" w:type="dxa"/>
            <w:vAlign w:val="bottom"/>
            <w:tcBorders>
              <w:right w:val="single" w:sz="8" w:color="auto"/>
            </w:tcBorders>
          </w:tcPr>
          <w:p>
            <w:pPr>
              <w:jc w:val="center"/>
              <w:ind w:right="320"/>
              <w:spacing w:after="0"/>
              <w:rPr>
                <w:sz w:val="20"/>
                <w:szCs w:val="20"/>
                <w:color w:val="auto"/>
              </w:rPr>
            </w:pPr>
            <w:r>
              <w:rPr>
                <w:rFonts w:ascii="Arial" w:cs="Arial" w:eastAsia="Arial" w:hAnsi="Arial"/>
                <w:sz w:val="12"/>
                <w:szCs w:val="12"/>
                <w:color w:val="auto"/>
                <w:w w:val="98"/>
              </w:rPr>
              <w:t>LA VERSION FRANÇAISE DE CES STATUTS FAIT FOI.</w:t>
            </w:r>
          </w:p>
        </w:tc>
      </w:tr>
      <w:tr>
        <w:trPr>
          <w:trHeight w:val="36"/>
        </w:trPr>
        <w:tc>
          <w:tcPr>
            <w:tcW w:w="260" w:type="dxa"/>
            <w:vAlign w:val="bottom"/>
            <w:tcBorders>
              <w:left w:val="single" w:sz="8" w:color="auto"/>
              <w:bottom w:val="single" w:sz="8" w:color="auto"/>
            </w:tcBorders>
          </w:tcPr>
          <w:p>
            <w:pPr>
              <w:spacing w:after="0"/>
              <w:rPr>
                <w:sz w:val="3"/>
                <w:szCs w:val="3"/>
                <w:color w:val="auto"/>
              </w:rPr>
            </w:pPr>
          </w:p>
        </w:tc>
        <w:tc>
          <w:tcPr>
            <w:tcW w:w="52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160" w:type="dxa"/>
            <w:vAlign w:val="bottom"/>
            <w:tcBorders>
              <w:bottom w:val="single" w:sz="8" w:color="auto"/>
              <w:right w:val="single" w:sz="8" w:color="auto"/>
            </w:tcBorders>
          </w:tcPr>
          <w:p>
            <w:pPr>
              <w:spacing w:after="0"/>
              <w:rPr>
                <w:sz w:val="3"/>
                <w:szCs w:val="3"/>
                <w:color w:val="auto"/>
              </w:rPr>
            </w:pPr>
          </w:p>
        </w:tc>
      </w:tr>
      <w:tr>
        <w:trPr>
          <w:trHeight w:val="154"/>
        </w:trPr>
        <w:tc>
          <w:tcPr>
            <w:tcW w:w="260" w:type="dxa"/>
            <w:vAlign w:val="bottom"/>
            <w:tcBorders>
              <w:left w:val="single" w:sz="8" w:color="auto"/>
            </w:tcBorders>
          </w:tcPr>
          <w:p>
            <w:pPr>
              <w:spacing w:after="0"/>
              <w:rPr>
                <w:sz w:val="13"/>
                <w:szCs w:val="13"/>
                <w:color w:val="auto"/>
              </w:rPr>
            </w:pPr>
          </w:p>
        </w:tc>
        <w:tc>
          <w:tcPr>
            <w:tcW w:w="5280" w:type="dxa"/>
            <w:vAlign w:val="bottom"/>
            <w:tcBorders>
              <w:right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360" w:type="dxa"/>
            <w:vAlign w:val="bottom"/>
          </w:tcPr>
          <w:p>
            <w:pPr>
              <w:ind w:left="20"/>
              <w:spacing w:after="0"/>
              <w:rPr>
                <w:sz w:val="20"/>
                <w:szCs w:val="20"/>
                <w:color w:val="auto"/>
              </w:rPr>
            </w:pPr>
            <w:r>
              <w:rPr>
                <w:rFonts w:ascii="Arial" w:cs="Arial" w:eastAsia="Arial" w:hAnsi="Arial"/>
                <w:sz w:val="12"/>
                <w:szCs w:val="12"/>
                <w:b w:val="1"/>
                <w:bCs w:val="1"/>
                <w:color w:val="auto"/>
              </w:rPr>
              <w:t>I.</w:t>
            </w:r>
          </w:p>
        </w:tc>
        <w:tc>
          <w:tcPr>
            <w:tcW w:w="5160" w:type="dxa"/>
            <w:vAlign w:val="bottom"/>
            <w:tcBorders>
              <w:right w:val="single" w:sz="8" w:color="auto"/>
            </w:tcBorders>
          </w:tcPr>
          <w:p>
            <w:pPr>
              <w:ind w:left="40"/>
              <w:spacing w:after="0"/>
              <w:rPr>
                <w:sz w:val="20"/>
                <w:szCs w:val="20"/>
                <w:color w:val="auto"/>
              </w:rPr>
            </w:pPr>
            <w:r>
              <w:rPr>
                <w:rFonts w:ascii="Arial" w:cs="Arial" w:eastAsia="Arial" w:hAnsi="Arial"/>
                <w:sz w:val="12"/>
                <w:szCs w:val="12"/>
                <w:b w:val="1"/>
                <w:bCs w:val="1"/>
                <w:color w:val="auto"/>
              </w:rPr>
              <w:t>RAISON SOCIALE, SIÈGE,</w:t>
            </w:r>
          </w:p>
        </w:tc>
      </w:tr>
      <w:tr>
        <w:trPr>
          <w:trHeight w:val="159"/>
        </w:trPr>
        <w:tc>
          <w:tcPr>
            <w:tcW w:w="260" w:type="dxa"/>
            <w:vAlign w:val="bottom"/>
            <w:tcBorders>
              <w:left w:val="single" w:sz="8" w:color="auto"/>
            </w:tcBorders>
          </w:tcPr>
          <w:p>
            <w:pPr>
              <w:ind w:left="40"/>
              <w:spacing w:after="0"/>
              <w:rPr>
                <w:sz w:val="20"/>
                <w:szCs w:val="20"/>
                <w:color w:val="auto"/>
              </w:rPr>
            </w:pPr>
            <w:r>
              <w:rPr>
                <w:rFonts w:ascii="Arial" w:cs="Arial" w:eastAsia="Arial" w:hAnsi="Arial"/>
                <w:sz w:val="12"/>
                <w:szCs w:val="12"/>
                <w:b w:val="1"/>
                <w:bCs w:val="1"/>
                <w:color w:val="auto"/>
              </w:rPr>
              <w:t>I.</w:t>
            </w:r>
          </w:p>
        </w:tc>
        <w:tc>
          <w:tcPr>
            <w:tcW w:w="5280" w:type="dxa"/>
            <w:vAlign w:val="bottom"/>
            <w:tcBorders>
              <w:right w:val="single" w:sz="8" w:color="auto"/>
            </w:tcBorders>
          </w:tcPr>
          <w:p>
            <w:pPr>
              <w:ind w:left="140"/>
              <w:spacing w:after="0"/>
              <w:rPr>
                <w:sz w:val="20"/>
                <w:szCs w:val="20"/>
                <w:color w:val="auto"/>
              </w:rPr>
            </w:pPr>
            <w:r>
              <w:rPr>
                <w:rFonts w:ascii="Arial" w:cs="Arial" w:eastAsia="Arial" w:hAnsi="Arial"/>
                <w:sz w:val="12"/>
                <w:szCs w:val="12"/>
                <w:b w:val="1"/>
                <w:bCs w:val="1"/>
                <w:color w:val="auto"/>
              </w:rPr>
              <w:t>CORPORATE NAME, PRINCIPAL OFFICE, DURATION AND PURPOSE OF THE COMPANY</w:t>
            </w:r>
          </w:p>
        </w:tc>
        <w:tc>
          <w:tcPr>
            <w:tcW w:w="24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5160" w:type="dxa"/>
            <w:vAlign w:val="bottom"/>
            <w:tcBorders>
              <w:right w:val="single" w:sz="8" w:color="auto"/>
            </w:tcBorders>
          </w:tcPr>
          <w:p>
            <w:pPr>
              <w:ind w:left="60"/>
              <w:spacing w:after="0"/>
              <w:rPr>
                <w:sz w:val="20"/>
                <w:szCs w:val="20"/>
                <w:color w:val="auto"/>
              </w:rPr>
            </w:pPr>
            <w:r>
              <w:rPr>
                <w:rFonts w:ascii="Arial" w:cs="Arial" w:eastAsia="Arial" w:hAnsi="Arial"/>
                <w:sz w:val="12"/>
                <w:szCs w:val="12"/>
                <w:b w:val="1"/>
                <w:bCs w:val="1"/>
                <w:color w:val="auto"/>
              </w:rPr>
              <w:t>DURÉE ET BUT DE LA SOCIÉTÉ</w:t>
            </w:r>
          </w:p>
        </w:tc>
      </w:tr>
      <w:tr>
        <w:trPr>
          <w:trHeight w:val="36"/>
        </w:trPr>
        <w:tc>
          <w:tcPr>
            <w:tcW w:w="5540" w:type="dxa"/>
            <w:vAlign w:val="bottom"/>
            <w:tcBorders>
              <w:left w:val="single" w:sz="8" w:color="auto"/>
              <w:bottom w:val="single" w:sz="8" w:color="auto"/>
              <w:right w:val="single" w:sz="8" w:color="auto"/>
            </w:tcBorders>
            <w:gridSpan w:val="2"/>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520" w:type="dxa"/>
            <w:vAlign w:val="bottom"/>
            <w:tcBorders>
              <w:bottom w:val="single" w:sz="8" w:color="auto"/>
              <w:right w:val="single" w:sz="8" w:color="auto"/>
            </w:tcBorders>
            <w:gridSpan w:val="2"/>
          </w:tcPr>
          <w:p>
            <w:pPr>
              <w:spacing w:after="0"/>
              <w:rPr>
                <w:sz w:val="3"/>
                <w:szCs w:val="3"/>
                <w:color w:val="auto"/>
              </w:rPr>
            </w:pPr>
          </w:p>
        </w:tc>
      </w:tr>
      <w:tr>
        <w:trPr>
          <w:trHeight w:val="17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Art. 1 Corporate Name and Duration</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Art. 1  Raison sociale et durée</w:t>
            </w:r>
          </w:p>
        </w:tc>
      </w:tr>
      <w:tr>
        <w:trPr>
          <w:trHeight w:val="270"/>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Under the name</w:t>
            </w:r>
          </w:p>
        </w:tc>
        <w:tc>
          <w:tcPr>
            <w:tcW w:w="240" w:type="dxa"/>
            <w:vAlign w:val="bottom"/>
            <w:tcBorders>
              <w:right w:val="single" w:sz="8" w:color="auto"/>
            </w:tcBorders>
          </w:tcPr>
          <w:p>
            <w:pPr>
              <w:spacing w:after="0"/>
              <w:rPr>
                <w:sz w:val="23"/>
                <w:szCs w:val="23"/>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Sous la raison sociale</w:t>
            </w:r>
          </w:p>
        </w:tc>
      </w:tr>
      <w:tr>
        <w:trPr>
          <w:trHeight w:val="260"/>
        </w:trPr>
        <w:tc>
          <w:tcPr>
            <w:tcW w:w="260" w:type="dxa"/>
            <w:vAlign w:val="bottom"/>
            <w:tcBorders>
              <w:left w:val="single" w:sz="8" w:color="auto"/>
            </w:tcBorders>
          </w:tcPr>
          <w:p>
            <w:pPr>
              <w:spacing w:after="0"/>
              <w:rPr>
                <w:sz w:val="22"/>
                <w:szCs w:val="22"/>
                <w:color w:val="auto"/>
              </w:rPr>
            </w:pPr>
          </w:p>
        </w:tc>
        <w:tc>
          <w:tcPr>
            <w:tcW w:w="5280" w:type="dxa"/>
            <w:vAlign w:val="bottom"/>
            <w:tcBorders>
              <w:right w:val="single" w:sz="8" w:color="auto"/>
            </w:tcBorders>
          </w:tcPr>
          <w:p>
            <w:pPr>
              <w:jc w:val="center"/>
              <w:ind w:right="200"/>
              <w:spacing w:after="0"/>
              <w:rPr>
                <w:sz w:val="20"/>
                <w:szCs w:val="20"/>
                <w:color w:val="auto"/>
              </w:rPr>
            </w:pPr>
            <w:r>
              <w:rPr>
                <w:rFonts w:ascii="Arial" w:cs="Arial" w:eastAsia="Arial" w:hAnsi="Arial"/>
                <w:sz w:val="12"/>
                <w:szCs w:val="12"/>
                <w:color w:val="auto"/>
                <w:w w:val="99"/>
              </w:rPr>
              <w:t>AC Immune SA</w:t>
            </w:r>
          </w:p>
        </w:tc>
        <w:tc>
          <w:tcPr>
            <w:tcW w:w="240" w:type="dxa"/>
            <w:vAlign w:val="bottom"/>
            <w:tcBorders>
              <w:right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5160" w:type="dxa"/>
            <w:vAlign w:val="bottom"/>
            <w:tcBorders>
              <w:right w:val="single" w:sz="8" w:color="auto"/>
            </w:tcBorders>
          </w:tcPr>
          <w:p>
            <w:pPr>
              <w:jc w:val="center"/>
              <w:ind w:right="320"/>
              <w:spacing w:after="0"/>
              <w:rPr>
                <w:sz w:val="20"/>
                <w:szCs w:val="20"/>
                <w:color w:val="auto"/>
              </w:rPr>
            </w:pPr>
            <w:r>
              <w:rPr>
                <w:rFonts w:ascii="Arial" w:cs="Arial" w:eastAsia="Arial" w:hAnsi="Arial"/>
                <w:sz w:val="12"/>
                <w:szCs w:val="12"/>
                <w:color w:val="auto"/>
                <w:w w:val="99"/>
              </w:rPr>
              <w:t>AC Immune SA</w:t>
            </w:r>
          </w:p>
        </w:tc>
      </w:tr>
      <w:tr>
        <w:trPr>
          <w:trHeight w:val="135"/>
        </w:trPr>
        <w:tc>
          <w:tcPr>
            <w:tcW w:w="260" w:type="dxa"/>
            <w:vAlign w:val="bottom"/>
            <w:tcBorders>
              <w:left w:val="single" w:sz="8" w:color="auto"/>
            </w:tcBorders>
          </w:tcPr>
          <w:p>
            <w:pPr>
              <w:spacing w:after="0"/>
              <w:rPr>
                <w:sz w:val="11"/>
                <w:szCs w:val="11"/>
                <w:color w:val="auto"/>
              </w:rPr>
            </w:pPr>
          </w:p>
        </w:tc>
        <w:tc>
          <w:tcPr>
            <w:tcW w:w="5280" w:type="dxa"/>
            <w:vAlign w:val="bottom"/>
            <w:tcBorders>
              <w:right w:val="single" w:sz="8" w:color="auto"/>
            </w:tcBorders>
          </w:tcPr>
          <w:p>
            <w:pPr>
              <w:jc w:val="center"/>
              <w:ind w:right="220"/>
              <w:spacing w:after="0" w:line="135" w:lineRule="exact"/>
              <w:rPr>
                <w:sz w:val="20"/>
                <w:szCs w:val="20"/>
                <w:color w:val="auto"/>
              </w:rPr>
            </w:pPr>
            <w:r>
              <w:rPr>
                <w:rFonts w:ascii="Arial" w:cs="Arial" w:eastAsia="Arial" w:hAnsi="Arial"/>
                <w:sz w:val="12"/>
                <w:szCs w:val="12"/>
                <w:color w:val="auto"/>
                <w:w w:val="99"/>
              </w:rPr>
              <w:t>(AC Immune AG)</w:t>
            </w:r>
          </w:p>
        </w:tc>
        <w:tc>
          <w:tcPr>
            <w:tcW w:w="24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5160" w:type="dxa"/>
            <w:vAlign w:val="bottom"/>
            <w:tcBorders>
              <w:right w:val="single" w:sz="8" w:color="auto"/>
            </w:tcBorders>
          </w:tcPr>
          <w:p>
            <w:pPr>
              <w:jc w:val="center"/>
              <w:ind w:right="340"/>
              <w:spacing w:after="0" w:line="135" w:lineRule="exact"/>
              <w:rPr>
                <w:sz w:val="20"/>
                <w:szCs w:val="20"/>
                <w:color w:val="auto"/>
              </w:rPr>
            </w:pPr>
            <w:r>
              <w:rPr>
                <w:rFonts w:ascii="Arial" w:cs="Arial" w:eastAsia="Arial" w:hAnsi="Arial"/>
                <w:sz w:val="12"/>
                <w:szCs w:val="12"/>
                <w:color w:val="auto"/>
                <w:w w:val="99"/>
              </w:rPr>
              <w:t>(AC Immune AG)</w:t>
            </w:r>
          </w:p>
        </w:tc>
      </w:tr>
      <w:tr>
        <w:trPr>
          <w:trHeight w:val="145"/>
        </w:trPr>
        <w:tc>
          <w:tcPr>
            <w:tcW w:w="260" w:type="dxa"/>
            <w:vAlign w:val="bottom"/>
            <w:tcBorders>
              <w:left w:val="single" w:sz="8" w:color="auto"/>
            </w:tcBorders>
          </w:tcPr>
          <w:p>
            <w:pPr>
              <w:spacing w:after="0"/>
              <w:rPr>
                <w:sz w:val="12"/>
                <w:szCs w:val="12"/>
                <w:color w:val="auto"/>
              </w:rPr>
            </w:pPr>
          </w:p>
        </w:tc>
        <w:tc>
          <w:tcPr>
            <w:tcW w:w="5280" w:type="dxa"/>
            <w:vAlign w:val="bottom"/>
            <w:tcBorders>
              <w:right w:val="single" w:sz="8" w:color="auto"/>
            </w:tcBorders>
          </w:tcPr>
          <w:p>
            <w:pPr>
              <w:jc w:val="center"/>
              <w:ind w:right="220"/>
              <w:spacing w:after="0"/>
              <w:rPr>
                <w:sz w:val="20"/>
                <w:szCs w:val="20"/>
                <w:color w:val="auto"/>
              </w:rPr>
            </w:pPr>
            <w:r>
              <w:rPr>
                <w:rFonts w:ascii="Arial" w:cs="Arial" w:eastAsia="Arial" w:hAnsi="Arial"/>
                <w:sz w:val="12"/>
                <w:szCs w:val="12"/>
                <w:color w:val="auto"/>
              </w:rPr>
              <w:t>(AC Immune Ltd)</w:t>
            </w:r>
          </w:p>
        </w:tc>
        <w:tc>
          <w:tcPr>
            <w:tcW w:w="24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5160" w:type="dxa"/>
            <w:vAlign w:val="bottom"/>
            <w:tcBorders>
              <w:right w:val="single" w:sz="8" w:color="auto"/>
            </w:tcBorders>
          </w:tcPr>
          <w:p>
            <w:pPr>
              <w:jc w:val="center"/>
              <w:ind w:right="320"/>
              <w:spacing w:after="0"/>
              <w:rPr>
                <w:sz w:val="20"/>
                <w:szCs w:val="20"/>
                <w:color w:val="auto"/>
              </w:rPr>
            </w:pPr>
            <w:r>
              <w:rPr>
                <w:rFonts w:ascii="Arial" w:cs="Arial" w:eastAsia="Arial" w:hAnsi="Arial"/>
                <w:sz w:val="12"/>
                <w:szCs w:val="12"/>
                <w:color w:val="auto"/>
                <w:w w:val="98"/>
              </w:rPr>
              <w:t>(AC Immune Ltd)</w:t>
            </w:r>
          </w:p>
        </w:tc>
      </w:tr>
      <w:tr>
        <w:trPr>
          <w:trHeight w:val="260"/>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 xml:space="preserve">there exists a Company pursuant to the provisions of Articles 620 </w:t>
            </w:r>
            <w:r>
              <w:rPr>
                <w:rFonts w:ascii="Arial" w:cs="Arial" w:eastAsia="Arial" w:hAnsi="Arial"/>
                <w:sz w:val="12"/>
                <w:szCs w:val="12"/>
                <w:i w:val="1"/>
                <w:iCs w:val="1"/>
                <w:color w:val="auto"/>
              </w:rPr>
              <w:t>et seq.</w:t>
            </w:r>
            <w:r>
              <w:rPr>
                <w:rFonts w:ascii="Arial" w:cs="Arial" w:eastAsia="Arial" w:hAnsi="Arial"/>
                <w:sz w:val="12"/>
                <w:szCs w:val="12"/>
                <w:color w:val="auto"/>
              </w:rPr>
              <w:t xml:space="preserve"> of the Swiss Code of</w:t>
            </w:r>
          </w:p>
        </w:tc>
        <w:tc>
          <w:tcPr>
            <w:tcW w:w="240" w:type="dxa"/>
            <w:vAlign w:val="bottom"/>
            <w:tcBorders>
              <w:right w:val="single" w:sz="8" w:color="auto"/>
            </w:tcBorders>
          </w:tcPr>
          <w:p>
            <w:pPr>
              <w:spacing w:after="0"/>
              <w:rPr>
                <w:sz w:val="22"/>
                <w:szCs w:val="22"/>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il existe une société conformément aux articles 620 ss. du Code des Obligations suisse (CO) ayant</w:t>
            </w:r>
          </w:p>
        </w:tc>
      </w:tr>
      <w:tr>
        <w:trPr>
          <w:trHeight w:val="145"/>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Obligations (CO) with registered office in Ecublens (VD). The duration of the Company is unlimited.</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son siège à Ecublens (VD). La durée de la société est illimitée.</w:t>
            </w:r>
          </w:p>
        </w:tc>
      </w:tr>
      <w:tr>
        <w:trPr>
          <w:trHeight w:val="36"/>
        </w:trPr>
        <w:tc>
          <w:tcPr>
            <w:tcW w:w="5540" w:type="dxa"/>
            <w:vAlign w:val="bottom"/>
            <w:tcBorders>
              <w:left w:val="single" w:sz="8" w:color="auto"/>
              <w:bottom w:val="single" w:sz="8" w:color="auto"/>
              <w:right w:val="single" w:sz="8" w:color="auto"/>
            </w:tcBorders>
            <w:gridSpan w:val="2"/>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160" w:type="dxa"/>
            <w:vAlign w:val="bottom"/>
            <w:tcBorders>
              <w:bottom w:val="single" w:sz="8" w:color="auto"/>
              <w:right w:val="single" w:sz="8" w:color="auto"/>
            </w:tcBorders>
          </w:tcPr>
          <w:p>
            <w:pPr>
              <w:spacing w:after="0"/>
              <w:rPr>
                <w:sz w:val="3"/>
                <w:szCs w:val="3"/>
                <w:color w:val="auto"/>
              </w:rPr>
            </w:pPr>
          </w:p>
        </w:tc>
      </w:tr>
      <w:tr>
        <w:trPr>
          <w:trHeight w:val="17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Art. 2 Purpose</w:t>
            </w:r>
          </w:p>
        </w:tc>
        <w:tc>
          <w:tcPr>
            <w:tcW w:w="240" w:type="dxa"/>
            <w:vAlign w:val="bottom"/>
            <w:tcBorders>
              <w:right w:val="single" w:sz="8" w:color="auto"/>
            </w:tcBorders>
          </w:tcPr>
          <w:p>
            <w:pPr>
              <w:spacing w:after="0"/>
              <w:rPr>
                <w:sz w:val="15"/>
                <w:szCs w:val="15"/>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w w:val="97"/>
              </w:rPr>
              <w:t>Art. 2</w:t>
            </w:r>
          </w:p>
        </w:tc>
        <w:tc>
          <w:tcPr>
            <w:tcW w:w="5160" w:type="dxa"/>
            <w:vAlign w:val="bottom"/>
            <w:tcBorders>
              <w:right w:val="single" w:sz="8" w:color="auto"/>
            </w:tcBorders>
          </w:tcPr>
          <w:p>
            <w:pPr>
              <w:ind w:left="80"/>
              <w:spacing w:after="0"/>
              <w:rPr>
                <w:sz w:val="20"/>
                <w:szCs w:val="20"/>
                <w:color w:val="auto"/>
              </w:rPr>
            </w:pPr>
            <w:r>
              <w:rPr>
                <w:rFonts w:ascii="Arial" w:cs="Arial" w:eastAsia="Arial" w:hAnsi="Arial"/>
                <w:sz w:val="12"/>
                <w:szCs w:val="12"/>
                <w:b w:val="1"/>
                <w:bCs w:val="1"/>
                <w:color w:val="auto"/>
              </w:rPr>
              <w:t>But</w:t>
            </w:r>
          </w:p>
        </w:tc>
      </w:tr>
      <w:tr>
        <w:trPr>
          <w:trHeight w:val="260"/>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The purpose of the Company is the research, study, development, manufacture, promotion, sale and</w:t>
            </w:r>
          </w:p>
        </w:tc>
        <w:tc>
          <w:tcPr>
            <w:tcW w:w="240" w:type="dxa"/>
            <w:vAlign w:val="bottom"/>
            <w:tcBorders>
              <w:right w:val="single" w:sz="8" w:color="auto"/>
            </w:tcBorders>
          </w:tcPr>
          <w:p>
            <w:pPr>
              <w:spacing w:after="0"/>
              <w:rPr>
                <w:sz w:val="22"/>
                <w:szCs w:val="22"/>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Le but de la société est la recherche, les études, le développement, la fabrication, la promotion, la</w:t>
            </w: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marketing of products and substances within the pharmaceutical and nutrition industry as well as the</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vente et le marketing des produits et des substances au sein de l'industrie pharmaceutique et de la</w:t>
            </w:r>
          </w:p>
        </w:tc>
      </w:tr>
      <w:tr>
        <w:trPr>
          <w:trHeight w:val="145"/>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purchase, sale and exploitation of patents and licenses in this field.</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nutrition ainsi que l'achat, la vente et l'exploitation de brevets et de licences dans ce domaine.</w:t>
            </w:r>
          </w:p>
        </w:tc>
      </w:tr>
      <w:tr>
        <w:trPr>
          <w:trHeight w:val="171"/>
        </w:trPr>
        <w:tc>
          <w:tcPr>
            <w:tcW w:w="5540" w:type="dxa"/>
            <w:vAlign w:val="bottom"/>
            <w:tcBorders>
              <w:left w:val="single" w:sz="8" w:color="auto"/>
              <w:bottom w:val="single" w:sz="8" w:color="auto"/>
              <w:right w:val="single" w:sz="8" w:color="auto"/>
            </w:tcBorders>
            <w:gridSpan w:val="2"/>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5520" w:type="dxa"/>
            <w:vAlign w:val="bottom"/>
            <w:tcBorders>
              <w:bottom w:val="single" w:sz="8" w:color="auto"/>
              <w:right w:val="single" w:sz="8" w:color="auto"/>
            </w:tcBorders>
            <w:gridSpan w:val="2"/>
          </w:tcPr>
          <w:p>
            <w:pPr>
              <w:spacing w:after="0"/>
              <w:rPr>
                <w:sz w:val="14"/>
                <w:szCs w:val="14"/>
                <w:color w:val="auto"/>
              </w:rPr>
            </w:pPr>
          </w:p>
        </w:tc>
      </w:tr>
      <w:tr>
        <w:trPr>
          <w:trHeight w:val="16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The Company may engage in any activities which are apt to favor the purpose of the Company directly</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La société peut se livrer à des activités qui sont de nature à favoriser directement ou indirectement le</w:t>
            </w:r>
          </w:p>
        </w:tc>
      </w:tr>
      <w:tr>
        <w:trPr>
          <w:trHeight w:val="145"/>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or indirectly. The Company may also acquire and sell real estate.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but de la société. La société peut également acquérir et vendre des biens immobiliers.</w:t>
            </w:r>
          </w:p>
        </w:tc>
      </w:tr>
      <w:tr>
        <w:trPr>
          <w:trHeight w:val="36"/>
        </w:trPr>
        <w:tc>
          <w:tcPr>
            <w:tcW w:w="5540" w:type="dxa"/>
            <w:vAlign w:val="bottom"/>
            <w:tcBorders>
              <w:left w:val="single" w:sz="8" w:color="auto"/>
              <w:bottom w:val="single" w:sz="8" w:color="auto"/>
              <w:right w:val="single" w:sz="8" w:color="auto"/>
            </w:tcBorders>
            <w:gridSpan w:val="2"/>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520" w:type="dxa"/>
            <w:vAlign w:val="bottom"/>
            <w:tcBorders>
              <w:bottom w:val="single" w:sz="8" w:color="auto"/>
              <w:right w:val="single" w:sz="8" w:color="auto"/>
            </w:tcBorders>
            <w:gridSpan w:val="2"/>
          </w:tcPr>
          <w:p>
            <w:pPr>
              <w:spacing w:after="0"/>
              <w:rPr>
                <w:sz w:val="3"/>
                <w:szCs w:val="3"/>
                <w:color w:val="auto"/>
              </w:rPr>
            </w:pPr>
          </w:p>
        </w:tc>
      </w:tr>
      <w:tr>
        <w:trPr>
          <w:trHeight w:val="16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The Company may open branch offices in Switzerland and abroad and may also acquire participations</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La société peut ouvrir des succursales en Suisse et à l'étranger et peut également acquérir des</w:t>
            </w:r>
          </w:p>
        </w:tc>
      </w:tr>
      <w:tr>
        <w:trPr>
          <w:trHeight w:val="145"/>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in other companies.</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participations dans d'autres sociétés.</w:t>
            </w:r>
          </w:p>
        </w:tc>
      </w:tr>
      <w:tr>
        <w:trPr>
          <w:trHeight w:val="36"/>
        </w:trPr>
        <w:tc>
          <w:tcPr>
            <w:tcW w:w="5540" w:type="dxa"/>
            <w:vAlign w:val="bottom"/>
            <w:tcBorders>
              <w:left w:val="single" w:sz="8" w:color="auto"/>
              <w:bottom w:val="single" w:sz="8" w:color="auto"/>
              <w:right w:val="single" w:sz="8" w:color="auto"/>
            </w:tcBorders>
            <w:gridSpan w:val="2"/>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520" w:type="dxa"/>
            <w:vAlign w:val="bottom"/>
            <w:tcBorders>
              <w:bottom w:val="single" w:sz="8" w:color="auto"/>
              <w:right w:val="single" w:sz="8" w:color="auto"/>
            </w:tcBorders>
            <w:gridSpan w:val="2"/>
          </w:tcPr>
          <w:p>
            <w:pPr>
              <w:spacing w:after="0"/>
              <w:rPr>
                <w:sz w:val="3"/>
                <w:szCs w:val="3"/>
                <w:color w:val="auto"/>
              </w:rPr>
            </w:pPr>
          </w:p>
        </w:tc>
      </w:tr>
      <w:tr>
        <w:trPr>
          <w:trHeight w:val="17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The Company may provide securities to its subsidiaries and supply guarantees.</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La société peut fournir des titres à ses filiales et des garanties d'approvisionnement.</w:t>
            </w:r>
          </w:p>
        </w:tc>
      </w:tr>
      <w:tr>
        <w:trPr>
          <w:trHeight w:val="36"/>
        </w:trPr>
        <w:tc>
          <w:tcPr>
            <w:tcW w:w="260" w:type="dxa"/>
            <w:vAlign w:val="bottom"/>
            <w:tcBorders>
              <w:left w:val="single" w:sz="8" w:color="auto"/>
              <w:bottom w:val="single" w:sz="8" w:color="auto"/>
            </w:tcBorders>
          </w:tcPr>
          <w:p>
            <w:pPr>
              <w:spacing w:after="0"/>
              <w:rPr>
                <w:sz w:val="3"/>
                <w:szCs w:val="3"/>
                <w:color w:val="auto"/>
              </w:rPr>
            </w:pPr>
          </w:p>
        </w:tc>
        <w:tc>
          <w:tcPr>
            <w:tcW w:w="52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160" w:type="dxa"/>
            <w:vAlign w:val="bottom"/>
            <w:tcBorders>
              <w:bottom w:val="single" w:sz="8" w:color="auto"/>
              <w:right w:val="single" w:sz="8" w:color="auto"/>
            </w:tcBorders>
          </w:tcPr>
          <w:p>
            <w:pPr>
              <w:spacing w:after="0"/>
              <w:rPr>
                <w:sz w:val="3"/>
                <w:szCs w:val="3"/>
                <w:color w:val="auto"/>
              </w:rPr>
            </w:pPr>
          </w:p>
        </w:tc>
      </w:tr>
      <w:tr>
        <w:trPr>
          <w:trHeight w:val="493"/>
        </w:trPr>
        <w:tc>
          <w:tcPr>
            <w:tcW w:w="2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118" w:right="299" w:bottom="1440" w:gutter="0" w:footer="0" w:header="0"/>
        </w:sectPr>
      </w:pPr>
    </w:p>
    <w:bookmarkStart w:id="47" w:name="page48"/>
    <w:bookmarkEnd w:id="4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45"/>
        </w:trPr>
        <w:tc>
          <w:tcPr>
            <w:tcW w:w="34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0" w:type="dxa"/>
            <w:vAlign w:val="bottom"/>
          </w:tcPr>
          <w:p>
            <w:pPr>
              <w:jc w:val="right"/>
              <w:spacing w:after="0"/>
              <w:rPr>
                <w:sz w:val="20"/>
                <w:szCs w:val="20"/>
                <w:color w:val="auto"/>
              </w:rPr>
            </w:pPr>
            <w:r>
              <w:rPr>
                <w:rFonts w:ascii="Arial" w:cs="Arial" w:eastAsia="Arial" w:hAnsi="Arial"/>
                <w:sz w:val="12"/>
                <w:szCs w:val="12"/>
                <w:color w:val="auto"/>
              </w:rPr>
              <w:t>2</w:t>
            </w:r>
          </w:p>
        </w:tc>
      </w:tr>
      <w:tr>
        <w:trPr>
          <w:trHeight w:val="225"/>
        </w:trPr>
        <w:tc>
          <w:tcPr>
            <w:tcW w:w="340" w:type="dxa"/>
            <w:vAlign w:val="bottom"/>
            <w:tcBorders>
              <w:bottom w:val="single" w:sz="8" w:color="auto"/>
            </w:tcBorders>
          </w:tcPr>
          <w:p>
            <w:pPr>
              <w:spacing w:after="0"/>
              <w:rPr>
                <w:sz w:val="19"/>
                <w:szCs w:val="19"/>
                <w:color w:val="auto"/>
              </w:rPr>
            </w:pPr>
          </w:p>
        </w:tc>
        <w:tc>
          <w:tcPr>
            <w:tcW w:w="5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200" w:type="dxa"/>
            <w:vAlign w:val="bottom"/>
            <w:tcBorders>
              <w:bottom w:val="single" w:sz="8" w:color="auto"/>
            </w:tcBorders>
          </w:tcPr>
          <w:p>
            <w:pPr>
              <w:spacing w:after="0"/>
              <w:rPr>
                <w:sz w:val="19"/>
                <w:szCs w:val="19"/>
                <w:color w:val="auto"/>
              </w:rPr>
            </w:pPr>
          </w:p>
        </w:tc>
      </w:tr>
      <w:tr>
        <w:trPr>
          <w:trHeight w:val="178"/>
        </w:trPr>
        <w:tc>
          <w:tcPr>
            <w:tcW w:w="340" w:type="dxa"/>
            <w:vAlign w:val="bottom"/>
            <w:tcBorders>
              <w:left w:val="single" w:sz="8" w:color="auto"/>
            </w:tcBorders>
          </w:tcPr>
          <w:p>
            <w:pPr>
              <w:ind w:left="40"/>
              <w:spacing w:after="0"/>
              <w:rPr>
                <w:sz w:val="20"/>
                <w:szCs w:val="20"/>
                <w:color w:val="auto"/>
              </w:rPr>
            </w:pPr>
            <w:r>
              <w:rPr>
                <w:rFonts w:ascii="Arial" w:cs="Arial" w:eastAsia="Arial" w:hAnsi="Arial"/>
                <w:sz w:val="12"/>
                <w:szCs w:val="12"/>
                <w:b w:val="1"/>
                <w:bCs w:val="1"/>
                <w:color w:val="auto"/>
              </w:rPr>
              <w:t>II.</w:t>
            </w:r>
          </w:p>
        </w:tc>
        <w:tc>
          <w:tcPr>
            <w:tcW w:w="5200" w:type="dxa"/>
            <w:vAlign w:val="bottom"/>
            <w:tcBorders>
              <w:right w:val="single" w:sz="8" w:color="auto"/>
            </w:tcBorders>
          </w:tcPr>
          <w:p>
            <w:pPr>
              <w:ind w:left="200"/>
              <w:spacing w:after="0"/>
              <w:rPr>
                <w:sz w:val="20"/>
                <w:szCs w:val="20"/>
                <w:color w:val="auto"/>
              </w:rPr>
            </w:pPr>
            <w:r>
              <w:rPr>
                <w:rFonts w:ascii="Arial" w:cs="Arial" w:eastAsia="Arial" w:hAnsi="Arial"/>
                <w:sz w:val="12"/>
                <w:szCs w:val="12"/>
                <w:b w:val="1"/>
                <w:bCs w:val="1"/>
                <w:color w:val="auto"/>
              </w:rPr>
              <w:t>SHARE CAPITAL AND SHARES</w:t>
            </w:r>
          </w:p>
        </w:tc>
        <w:tc>
          <w:tcPr>
            <w:tcW w:w="240" w:type="dxa"/>
            <w:vAlign w:val="bottom"/>
            <w:tcBorders>
              <w:right w:val="single" w:sz="8" w:color="auto"/>
            </w:tcBorders>
          </w:tcPr>
          <w:p>
            <w:pPr>
              <w:spacing w:after="0"/>
              <w:rPr>
                <w:sz w:val="15"/>
                <w:szCs w:val="15"/>
                <w:color w:val="auto"/>
              </w:rPr>
            </w:pP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II.</w:t>
            </w:r>
          </w:p>
        </w:tc>
        <w:tc>
          <w:tcPr>
            <w:tcW w:w="5200" w:type="dxa"/>
            <w:vAlign w:val="bottom"/>
            <w:tcBorders>
              <w:right w:val="single" w:sz="8" w:color="auto"/>
            </w:tcBorders>
          </w:tcPr>
          <w:p>
            <w:pPr>
              <w:jc w:val="right"/>
              <w:ind w:right="3080"/>
              <w:spacing w:after="0"/>
              <w:rPr>
                <w:sz w:val="20"/>
                <w:szCs w:val="20"/>
                <w:color w:val="auto"/>
              </w:rPr>
            </w:pPr>
            <w:r>
              <w:rPr>
                <w:rFonts w:ascii="Arial" w:cs="Arial" w:eastAsia="Arial" w:hAnsi="Arial"/>
                <w:sz w:val="12"/>
                <w:szCs w:val="12"/>
                <w:b w:val="1"/>
                <w:bCs w:val="1"/>
                <w:color w:val="auto"/>
              </w:rPr>
              <w:t>CAPITAL-ACTIONS ET ACTIONS</w:t>
            </w:r>
          </w:p>
        </w:tc>
      </w:tr>
      <w:tr>
        <w:trPr>
          <w:trHeight w:val="36"/>
        </w:trPr>
        <w:tc>
          <w:tcPr>
            <w:tcW w:w="5540" w:type="dxa"/>
            <w:vAlign w:val="bottom"/>
            <w:tcBorders>
              <w:left w:val="single" w:sz="8" w:color="auto"/>
              <w:bottom w:val="single" w:sz="8" w:color="auto"/>
              <w:right w:val="single" w:sz="8" w:color="auto"/>
            </w:tcBorders>
            <w:gridSpan w:val="2"/>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520" w:type="dxa"/>
            <w:vAlign w:val="bottom"/>
            <w:tcBorders>
              <w:bottom w:val="single" w:sz="8" w:color="auto"/>
              <w:right w:val="single" w:sz="8" w:color="auto"/>
            </w:tcBorders>
            <w:gridSpan w:val="2"/>
          </w:tcPr>
          <w:p>
            <w:pPr>
              <w:spacing w:after="0"/>
              <w:rPr>
                <w:sz w:val="3"/>
                <w:szCs w:val="3"/>
                <w:color w:val="auto"/>
              </w:rPr>
            </w:pPr>
          </w:p>
        </w:tc>
      </w:tr>
      <w:tr>
        <w:trPr>
          <w:trHeight w:val="17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Art. 3   Share Capital and Shares</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Art. 3   Capital-actions et actions</w:t>
            </w:r>
          </w:p>
        </w:tc>
      </w:tr>
      <w:tr>
        <w:trPr>
          <w:trHeight w:val="260"/>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The Share Capital of the Company is CHF 1'537'748.98. It is divided into 76'887'449 registered shares</w:t>
            </w:r>
          </w:p>
        </w:tc>
        <w:tc>
          <w:tcPr>
            <w:tcW w:w="240" w:type="dxa"/>
            <w:vAlign w:val="bottom"/>
            <w:tcBorders>
              <w:right w:val="single" w:sz="8" w:color="auto"/>
            </w:tcBorders>
          </w:tcPr>
          <w:p>
            <w:pPr>
              <w:spacing w:after="0"/>
              <w:rPr>
                <w:sz w:val="22"/>
                <w:szCs w:val="22"/>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Le capital-actions de la société se monte à CHF 1'537'748.98. Il est divisé en 76'887'449 actions</w:t>
            </w:r>
          </w:p>
        </w:tc>
      </w:tr>
      <w:tr>
        <w:trPr>
          <w:trHeight w:val="145"/>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with a nominal value of CHF 0.02 each, fully paid-in.</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nominatives d'une valeur nominale de CHF 0.02 chacune, entièrement libérées.</w:t>
            </w:r>
          </w:p>
        </w:tc>
      </w:tr>
      <w:tr>
        <w:trPr>
          <w:trHeight w:val="36"/>
        </w:trPr>
        <w:tc>
          <w:tcPr>
            <w:tcW w:w="340" w:type="dxa"/>
            <w:vAlign w:val="bottom"/>
            <w:tcBorders>
              <w:left w:val="single" w:sz="8" w:color="auto"/>
              <w:bottom w:val="single" w:sz="8" w:color="auto"/>
            </w:tcBorders>
          </w:tcPr>
          <w:p>
            <w:pPr>
              <w:spacing w:after="0"/>
              <w:rPr>
                <w:sz w:val="3"/>
                <w:szCs w:val="3"/>
                <w:color w:val="auto"/>
              </w:rPr>
            </w:pPr>
          </w:p>
        </w:tc>
        <w:tc>
          <w:tcPr>
            <w:tcW w:w="520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520" w:type="dxa"/>
            <w:vAlign w:val="bottom"/>
            <w:tcBorders>
              <w:bottom w:val="single" w:sz="8" w:color="auto"/>
              <w:right w:val="single" w:sz="8" w:color="auto"/>
            </w:tcBorders>
            <w:gridSpan w:val="2"/>
          </w:tcPr>
          <w:p>
            <w:pPr>
              <w:spacing w:after="0"/>
              <w:rPr>
                <w:sz w:val="3"/>
                <w:szCs w:val="3"/>
                <w:color w:val="auto"/>
              </w:rPr>
            </w:pPr>
          </w:p>
        </w:tc>
      </w:tr>
      <w:tr>
        <w:trPr>
          <w:trHeight w:val="154"/>
        </w:trPr>
        <w:tc>
          <w:tcPr>
            <w:tcW w:w="340" w:type="dxa"/>
            <w:vAlign w:val="bottom"/>
            <w:tcBorders>
              <w:left w:val="single" w:sz="8" w:color="auto"/>
            </w:tcBorders>
          </w:tcPr>
          <w:p>
            <w:pPr>
              <w:spacing w:after="0"/>
              <w:rPr>
                <w:sz w:val="13"/>
                <w:szCs w:val="13"/>
                <w:color w:val="auto"/>
              </w:rPr>
            </w:pPr>
          </w:p>
        </w:tc>
        <w:tc>
          <w:tcPr>
            <w:tcW w:w="5200" w:type="dxa"/>
            <w:vAlign w:val="bottom"/>
            <w:tcBorders>
              <w:right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Art. 3a  Augmentation autorisée du</w:t>
            </w:r>
          </w:p>
        </w:tc>
      </w:tr>
      <w:tr>
        <w:trPr>
          <w:trHeight w:val="159"/>
        </w:trPr>
        <w:tc>
          <w:tcPr>
            <w:tcW w:w="55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Art. 3a   Authorized Capital Increase of Share Capital</w:t>
            </w:r>
          </w:p>
        </w:tc>
        <w:tc>
          <w:tcPr>
            <w:tcW w:w="24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5200" w:type="dxa"/>
            <w:vAlign w:val="bottom"/>
            <w:tcBorders>
              <w:right w:val="single" w:sz="8" w:color="auto"/>
            </w:tcBorders>
          </w:tcPr>
          <w:p>
            <w:pPr>
              <w:jc w:val="right"/>
              <w:ind w:right="4080"/>
              <w:spacing w:after="0"/>
              <w:rPr>
                <w:sz w:val="20"/>
                <w:szCs w:val="20"/>
                <w:color w:val="auto"/>
              </w:rPr>
            </w:pPr>
            <w:r>
              <w:rPr>
                <w:rFonts w:ascii="Arial" w:cs="Arial" w:eastAsia="Arial" w:hAnsi="Arial"/>
                <w:sz w:val="12"/>
                <w:szCs w:val="12"/>
                <w:b w:val="1"/>
                <w:bCs w:val="1"/>
                <w:color w:val="auto"/>
              </w:rPr>
              <w:t>capital-actions</w:t>
            </w:r>
          </w:p>
        </w:tc>
      </w:tr>
      <w:tr>
        <w:trPr>
          <w:trHeight w:val="36"/>
        </w:trPr>
        <w:tc>
          <w:tcPr>
            <w:tcW w:w="5540" w:type="dxa"/>
            <w:vAlign w:val="bottom"/>
            <w:tcBorders>
              <w:left w:val="single" w:sz="8" w:color="auto"/>
              <w:bottom w:val="single" w:sz="8" w:color="auto"/>
              <w:right w:val="single" w:sz="8" w:color="auto"/>
            </w:tcBorders>
            <w:gridSpan w:val="2"/>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520" w:type="dxa"/>
            <w:vAlign w:val="bottom"/>
            <w:tcBorders>
              <w:bottom w:val="single" w:sz="8" w:color="auto"/>
              <w:right w:val="single" w:sz="8" w:color="auto"/>
            </w:tcBorders>
            <w:gridSpan w:val="2"/>
          </w:tcPr>
          <w:p>
            <w:pPr>
              <w:spacing w:after="0"/>
              <w:rPr>
                <w:sz w:val="3"/>
                <w:szCs w:val="3"/>
                <w:color w:val="auto"/>
              </w:rPr>
            </w:pPr>
          </w:p>
        </w:tc>
      </w:tr>
      <w:tr>
        <w:trPr>
          <w:trHeight w:val="16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The Board of Directors is authorized to increase the share capital, in one or several steps until 27</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Le conseil d'administration est autorisé à augmenter le capital-actions, en une ou plusieurs étapes</w:t>
            </w: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June 2022, by a maximum amount of CHF 190'000 by issuing a maximum of 9'500'000 registered</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jusqu'au 27 juin 2022, d'un montant maximum de CHF 190'000 par l'émission d'un nombre maximum</w:t>
            </w: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shares with a par value of CHF 0.02 each, to be fully paid up. An increase of the share capital (i) by</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de 9'500'000 actions nominatives d'une valeur nominale de CHF 0.02 chacune, à libérer entièrement.</w:t>
            </w: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means of an offering underwritten by a financial institution, a syndicate or another third party or third</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Une augmentation de capital (i) par souscription d'actions par une institution financière, un syndicat ou</w:t>
            </w: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parties, followed by an offer to the then-existing shareholders of the Company and (ii) in partial</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un tiers ou des tiers, suivie par une souscription d'actions par les actionnaires de la société alors</w:t>
            </w:r>
          </w:p>
        </w:tc>
      </w:tr>
      <w:tr>
        <w:trPr>
          <w:trHeight w:val="145"/>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amounts shall also be permissible.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existants et (ii) par montants partiels, est également autorisée.</w:t>
            </w:r>
          </w:p>
        </w:tc>
      </w:tr>
      <w:tr>
        <w:trPr>
          <w:trHeight w:val="36"/>
        </w:trPr>
        <w:tc>
          <w:tcPr>
            <w:tcW w:w="5540" w:type="dxa"/>
            <w:vAlign w:val="bottom"/>
            <w:tcBorders>
              <w:left w:val="single" w:sz="8" w:color="auto"/>
              <w:bottom w:val="single" w:sz="8" w:color="auto"/>
              <w:right w:val="single" w:sz="8" w:color="auto"/>
            </w:tcBorders>
            <w:gridSpan w:val="2"/>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520" w:type="dxa"/>
            <w:vAlign w:val="bottom"/>
            <w:tcBorders>
              <w:bottom w:val="single" w:sz="8" w:color="auto"/>
              <w:right w:val="single" w:sz="8" w:color="auto"/>
            </w:tcBorders>
            <w:gridSpan w:val="2"/>
          </w:tcPr>
          <w:p>
            <w:pPr>
              <w:spacing w:after="0"/>
              <w:rPr>
                <w:sz w:val="3"/>
                <w:szCs w:val="3"/>
                <w:color w:val="auto"/>
              </w:rPr>
            </w:pPr>
          </w:p>
        </w:tc>
      </w:tr>
      <w:tr>
        <w:trPr>
          <w:trHeight w:val="16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The Board of Directors shall determine the time of the issuance, the issue price, the manner in which</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Le conseil d'administration fixe la date d'émission, le prix d'émission, la manière de libérer les</w:t>
            </w: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the new registered shares have to be paid up, the date from which the registered shares carry the</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nouvelles actions nominatives, la date à partir de laquelle les actions nominatives donnent droit à un</w:t>
            </w: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right to dividends, the conditions for the exercise of the preemptive rights and the allotment of</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dividende, les conditions pour l'exercice des droits de souscription préférentiels et l'attribution des</w:t>
            </w: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preemptive rights that have not been exercised. The Board of Directors may allow the preemptive</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droits de souscription préférentiels qui n'ont pas été exercés. Le conseil d'administration peut</w:t>
            </w: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rights that have not been exercised to expire, or it may place with third parties such rights or registered</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autoriser que des droits de souscription préférentiels qui n'ont pas été exercés expirent ou attribuer à</w:t>
            </w: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shares, the preemptive rights of which have not been exercised, at market conditions or use them</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des tiers ces droits ou actions nominatives, dont les droits de souscription préférentiels n'ont pas été</w:t>
            </w:r>
          </w:p>
        </w:tc>
      </w:tr>
      <w:tr>
        <w:trPr>
          <w:trHeight w:val="145"/>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otherwise in the interest of the Company.</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exercés, aux conditions du marché ou les utiliser autrement dans l'intérêt de la société.</w:t>
            </w:r>
          </w:p>
        </w:tc>
      </w:tr>
      <w:tr>
        <w:trPr>
          <w:trHeight w:val="36"/>
        </w:trPr>
        <w:tc>
          <w:tcPr>
            <w:tcW w:w="340" w:type="dxa"/>
            <w:vAlign w:val="bottom"/>
            <w:tcBorders>
              <w:left w:val="single" w:sz="8" w:color="auto"/>
              <w:bottom w:val="single" w:sz="8" w:color="auto"/>
            </w:tcBorders>
          </w:tcPr>
          <w:p>
            <w:pPr>
              <w:spacing w:after="0"/>
              <w:rPr>
                <w:sz w:val="3"/>
                <w:szCs w:val="3"/>
                <w:color w:val="auto"/>
              </w:rPr>
            </w:pPr>
          </w:p>
        </w:tc>
        <w:tc>
          <w:tcPr>
            <w:tcW w:w="520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200" w:type="dxa"/>
            <w:vAlign w:val="bottom"/>
            <w:tcBorders>
              <w:bottom w:val="single" w:sz="8" w:color="auto"/>
              <w:right w:val="single" w:sz="8" w:color="auto"/>
            </w:tcBorders>
          </w:tcPr>
          <w:p>
            <w:pPr>
              <w:spacing w:after="0"/>
              <w:rPr>
                <w:sz w:val="3"/>
                <w:szCs w:val="3"/>
                <w:color w:val="auto"/>
              </w:rPr>
            </w:pPr>
          </w:p>
        </w:tc>
      </w:tr>
      <w:tr>
        <w:trPr>
          <w:trHeight w:val="493"/>
        </w:trPr>
        <w:tc>
          <w:tcPr>
            <w:tcW w:w="34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211" w:right="299" w:bottom="1440" w:gutter="0" w:footer="0" w:header="0"/>
        </w:sectPr>
      </w:pPr>
    </w:p>
    <w:bookmarkStart w:id="48" w:name="page49"/>
    <w:bookmarkEnd w:id="48"/>
    <w:p>
      <w:pPr>
        <w:ind w:left="11160"/>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59055</wp:posOffset>
            </wp:positionV>
            <wp:extent cx="7178040" cy="28403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2840355"/>
                    </a:xfrm>
                    <a:prstGeom prst="rect">
                      <a:avLst/>
                    </a:prstGeom>
                    <a:noFill/>
                  </pic:spPr>
                </pic:pic>
              </a:graphicData>
            </a:graphic>
          </wp:anchor>
        </w:drawing>
      </w:r>
    </w:p>
    <w:p>
      <w:pPr>
        <w:sectPr>
          <w:pgSz w:w="11900" w:h="16838" w:orient="portrait"/>
          <w:cols w:equalWidth="0" w:num="1">
            <w:col w:w="11220"/>
          </w:cols>
          <w:pgMar w:left="340" w:top="211" w:right="339" w:bottom="1440" w:gutter="0" w:footer="0" w:header="0"/>
        </w:sectPr>
      </w:pPr>
    </w:p>
    <w:p>
      <w:pPr>
        <w:spacing w:after="0" w:line="146" w:lineRule="exact"/>
        <w:rPr>
          <w:sz w:val="20"/>
          <w:szCs w:val="20"/>
          <w:color w:val="auto"/>
        </w:rPr>
      </w:pPr>
    </w:p>
    <w:p>
      <w:pPr>
        <w:spacing w:after="0" w:line="246" w:lineRule="auto"/>
        <w:rPr>
          <w:sz w:val="20"/>
          <w:szCs w:val="20"/>
          <w:color w:val="auto"/>
        </w:rPr>
      </w:pPr>
      <w:r>
        <w:rPr>
          <w:rFonts w:ascii="Arial" w:cs="Arial" w:eastAsia="Arial" w:hAnsi="Arial"/>
          <w:sz w:val="12"/>
          <w:szCs w:val="12"/>
          <w:color w:val="auto"/>
        </w:rPr>
        <w:t>The Board of Directors is authorized to withdraw or limit the preemptive rights of the shareholders and to allot them to third parties:</w:t>
      </w:r>
    </w:p>
    <w:p>
      <w:pPr>
        <w:spacing w:after="0" w:line="122" w:lineRule="exact"/>
        <w:rPr>
          <w:sz w:val="20"/>
          <w:szCs w:val="20"/>
          <w:color w:val="auto"/>
        </w:rPr>
      </w:pPr>
    </w:p>
    <w:p>
      <w:pPr>
        <w:ind w:left="240" w:hanging="234"/>
        <w:spacing w:after="0"/>
        <w:tabs>
          <w:tab w:leader="none" w:pos="240" w:val="left"/>
        </w:tabs>
        <w:numPr>
          <w:ilvl w:val="0"/>
          <w:numId w:val="3"/>
        </w:numPr>
        <w:rPr>
          <w:rFonts w:ascii="Arial" w:cs="Arial" w:eastAsia="Arial" w:hAnsi="Arial"/>
          <w:sz w:val="12"/>
          <w:szCs w:val="12"/>
          <w:color w:val="auto"/>
        </w:rPr>
      </w:pPr>
      <w:r>
        <w:rPr>
          <w:rFonts w:ascii="Arial" w:cs="Arial" w:eastAsia="Arial" w:hAnsi="Arial"/>
          <w:sz w:val="12"/>
          <w:szCs w:val="12"/>
          <w:color w:val="auto"/>
        </w:rPr>
        <w:t>if the issue price of the new registered shares is determined by reference to the market price; or</w:t>
      </w:r>
    </w:p>
    <w:p>
      <w:pPr>
        <w:spacing w:after="0" w:line="132" w:lineRule="exact"/>
        <w:rPr>
          <w:rFonts w:ascii="Arial" w:cs="Arial" w:eastAsia="Arial" w:hAnsi="Arial"/>
          <w:sz w:val="12"/>
          <w:szCs w:val="12"/>
          <w:color w:val="auto"/>
        </w:rPr>
      </w:pPr>
    </w:p>
    <w:p>
      <w:pPr>
        <w:jc w:val="both"/>
        <w:ind w:left="260" w:hanging="254"/>
        <w:spacing w:after="0"/>
        <w:tabs>
          <w:tab w:leader="none" w:pos="274" w:val="left"/>
        </w:tabs>
        <w:numPr>
          <w:ilvl w:val="0"/>
          <w:numId w:val="3"/>
        </w:numPr>
        <w:rPr>
          <w:rFonts w:ascii="Arial" w:cs="Arial" w:eastAsia="Arial" w:hAnsi="Arial"/>
          <w:sz w:val="12"/>
          <w:szCs w:val="12"/>
          <w:color w:val="auto"/>
        </w:rPr>
      </w:pPr>
      <w:r>
        <w:rPr>
          <w:rFonts w:ascii="Arial" w:cs="Arial" w:eastAsia="Arial" w:hAnsi="Arial"/>
          <w:sz w:val="12"/>
          <w:szCs w:val="12"/>
          <w:color w:val="auto"/>
        </w:rPr>
        <w:t>for the acquisition of an enterprise, part of an enterprise or participations, or for the financing or refinancing of any of such acquisition, or in the event of share placement for the financing or refinancing of such placement; or</w:t>
      </w:r>
    </w:p>
    <w:p>
      <w:pPr>
        <w:spacing w:after="0" w:line="126" w:lineRule="exact"/>
        <w:rPr>
          <w:rFonts w:ascii="Arial" w:cs="Arial" w:eastAsia="Arial" w:hAnsi="Arial"/>
          <w:sz w:val="12"/>
          <w:szCs w:val="12"/>
          <w:color w:val="auto"/>
        </w:rPr>
      </w:pPr>
    </w:p>
    <w:p>
      <w:pPr>
        <w:jc w:val="both"/>
        <w:ind w:left="260" w:hanging="254"/>
        <w:spacing w:after="0"/>
        <w:tabs>
          <w:tab w:leader="none" w:pos="281" w:val="left"/>
        </w:tabs>
        <w:numPr>
          <w:ilvl w:val="0"/>
          <w:numId w:val="3"/>
        </w:numPr>
        <w:rPr>
          <w:rFonts w:ascii="Arial" w:cs="Arial" w:eastAsia="Arial" w:hAnsi="Arial"/>
          <w:sz w:val="12"/>
          <w:szCs w:val="12"/>
          <w:color w:val="auto"/>
        </w:rPr>
      </w:pPr>
      <w:r>
        <w:rPr>
          <w:rFonts w:ascii="Arial" w:cs="Arial" w:eastAsia="Arial" w:hAnsi="Arial"/>
          <w:sz w:val="12"/>
          <w:szCs w:val="12"/>
          <w:color w:val="auto"/>
        </w:rPr>
        <w:t>for purposes of broadening the shareholder constituency of the Company in certain financial or investor markets, for purposes of the participation of strategic partners, or in connection with the listing or registration of new registered shares on domestic or foreign stock exchanges; or</w:t>
      </w:r>
    </w:p>
    <w:p>
      <w:pPr>
        <w:spacing w:after="0" w:line="126" w:lineRule="exact"/>
        <w:rPr>
          <w:rFonts w:ascii="Arial" w:cs="Arial" w:eastAsia="Arial" w:hAnsi="Arial"/>
          <w:sz w:val="12"/>
          <w:szCs w:val="12"/>
          <w:color w:val="auto"/>
        </w:rPr>
      </w:pPr>
    </w:p>
    <w:p>
      <w:pPr>
        <w:jc w:val="both"/>
        <w:ind w:left="260" w:hanging="254"/>
        <w:spacing w:after="0"/>
        <w:tabs>
          <w:tab w:leader="none" w:pos="245" w:val="left"/>
        </w:tabs>
        <w:numPr>
          <w:ilvl w:val="0"/>
          <w:numId w:val="3"/>
        </w:numPr>
        <w:rPr>
          <w:rFonts w:ascii="Arial" w:cs="Arial" w:eastAsia="Arial" w:hAnsi="Arial"/>
          <w:sz w:val="12"/>
          <w:szCs w:val="12"/>
          <w:color w:val="auto"/>
        </w:rPr>
      </w:pPr>
      <w:r>
        <w:rPr>
          <w:rFonts w:ascii="Arial" w:cs="Arial" w:eastAsia="Arial" w:hAnsi="Arial"/>
          <w:sz w:val="12"/>
          <w:szCs w:val="12"/>
          <w:color w:val="auto"/>
        </w:rPr>
        <w:t>for purposes of granting an over-allotment option (Greenshoe) of up to 20% of the total number of registered shares in a placement or sale of registered shares to the respective initial purchaser(s) or underwriter(s); or</w:t>
      </w:r>
    </w:p>
    <w:p>
      <w:pPr>
        <w:spacing w:after="0" w:line="261" w:lineRule="exact"/>
        <w:rPr>
          <w:rFonts w:ascii="Arial" w:cs="Arial" w:eastAsia="Arial" w:hAnsi="Arial"/>
          <w:sz w:val="12"/>
          <w:szCs w:val="12"/>
          <w:color w:val="auto"/>
        </w:rPr>
      </w:pPr>
    </w:p>
    <w:p>
      <w:pPr>
        <w:jc w:val="both"/>
        <w:ind w:left="260" w:hanging="254"/>
        <w:spacing w:after="0" w:line="290" w:lineRule="auto"/>
        <w:tabs>
          <w:tab w:leader="none" w:pos="258" w:val="left"/>
        </w:tabs>
        <w:numPr>
          <w:ilvl w:val="0"/>
          <w:numId w:val="3"/>
        </w:numPr>
        <w:rPr>
          <w:rFonts w:ascii="Arial" w:cs="Arial" w:eastAsia="Arial" w:hAnsi="Arial"/>
          <w:sz w:val="11"/>
          <w:szCs w:val="11"/>
          <w:color w:val="auto"/>
        </w:rPr>
      </w:pPr>
      <w:r>
        <w:rPr>
          <w:rFonts w:ascii="Arial" w:cs="Arial" w:eastAsia="Arial" w:hAnsi="Arial"/>
          <w:sz w:val="11"/>
          <w:szCs w:val="11"/>
          <w:color w:val="auto"/>
        </w:rPr>
        <w:t>for raising of capital (including private placements) in a fast and flexible which probably could not be reached without the exclusion of the statutory pre-emptive right of the existing shareholders; or</w:t>
      </w:r>
    </w:p>
    <w:p>
      <w:pPr>
        <w:spacing w:after="0" w:line="234" w:lineRule="exact"/>
        <w:rPr>
          <w:rFonts w:ascii="Arial" w:cs="Arial" w:eastAsia="Arial" w:hAnsi="Arial"/>
          <w:sz w:val="11"/>
          <w:szCs w:val="11"/>
          <w:color w:val="auto"/>
        </w:rPr>
      </w:pPr>
    </w:p>
    <w:p>
      <w:pPr>
        <w:ind w:left="240" w:hanging="234"/>
        <w:spacing w:after="0"/>
        <w:tabs>
          <w:tab w:leader="none" w:pos="240" w:val="left"/>
        </w:tabs>
        <w:numPr>
          <w:ilvl w:val="0"/>
          <w:numId w:val="3"/>
        </w:numPr>
        <w:rPr>
          <w:rFonts w:ascii="Arial" w:cs="Arial" w:eastAsia="Arial" w:hAnsi="Arial"/>
          <w:sz w:val="12"/>
          <w:szCs w:val="12"/>
          <w:color w:val="auto"/>
        </w:rPr>
      </w:pPr>
      <w:r>
        <w:rPr>
          <w:rFonts w:ascii="Arial" w:cs="Arial" w:eastAsia="Arial" w:hAnsi="Arial"/>
          <w:sz w:val="12"/>
          <w:szCs w:val="12"/>
          <w:color w:val="auto"/>
        </w:rPr>
        <w:t>for other valid grounds in the sense of Article 652b para. 2 CO; or</w:t>
      </w:r>
    </w:p>
    <w:p>
      <w:pPr>
        <w:spacing w:after="0" w:line="132" w:lineRule="exact"/>
        <w:rPr>
          <w:rFonts w:ascii="Arial" w:cs="Arial" w:eastAsia="Arial" w:hAnsi="Arial"/>
          <w:sz w:val="12"/>
          <w:szCs w:val="12"/>
          <w:color w:val="auto"/>
        </w:rPr>
      </w:pPr>
    </w:p>
    <w:p>
      <w:pPr>
        <w:jc w:val="both"/>
        <w:ind w:left="260" w:hanging="254"/>
        <w:spacing w:after="0" w:line="229" w:lineRule="auto"/>
        <w:tabs>
          <w:tab w:leader="none" w:pos="3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following a shareholder or a group of shareholders acting in concert having accumulated shareholdings in excess of 33 </w:t>
      </w:r>
      <w:r>
        <w:rPr>
          <w:rFonts w:ascii="Arial" w:cs="Arial" w:eastAsia="Arial" w:hAnsi="Arial"/>
          <w:sz w:val="19"/>
          <w:szCs w:val="19"/>
          <w:color w:val="auto"/>
          <w:vertAlign w:val="superscript"/>
        </w:rPr>
        <w:t>1</w:t>
      </w:r>
      <w:r>
        <w:rPr>
          <w:rFonts w:ascii="Arial" w:cs="Arial" w:eastAsia="Arial" w:hAnsi="Arial"/>
          <w:sz w:val="12"/>
          <w:szCs w:val="12"/>
          <w:color w:val="auto"/>
        </w:rPr>
        <w:t>/</w:t>
      </w:r>
      <w:r>
        <w:rPr>
          <w:rFonts w:ascii="Arial" w:cs="Arial" w:eastAsia="Arial" w:hAnsi="Arial"/>
          <w:sz w:val="19"/>
          <w:szCs w:val="19"/>
          <w:color w:val="auto"/>
          <w:vertAlign w:val="subscript"/>
        </w:rPr>
        <w:t>3</w:t>
      </w:r>
      <w:r>
        <w:rPr>
          <w:rFonts w:ascii="Arial" w:cs="Arial" w:eastAsia="Arial" w:hAnsi="Arial"/>
          <w:sz w:val="12"/>
          <w:szCs w:val="12"/>
          <w:color w:val="auto"/>
        </w:rPr>
        <w:t xml:space="preserve"> % of the share capital registered in the commercial register without having submitted to the other shareholders a takeover offer recommended by the Board of Directors, or for the defense of an actual, threatened or potential takeover bid, in relation to which the Board of Directors, upon consultation with an independent financial adviser retained by it, has not recommended to the shareholders acceptance on the basis that the Board of Directors has not found the takeover bid to be financially fair to the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434975</wp:posOffset>
            </wp:positionV>
            <wp:extent cx="717804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left="5" w:right="20"/>
        <w:spacing w:after="0" w:line="246" w:lineRule="auto"/>
        <w:rPr>
          <w:sz w:val="20"/>
          <w:szCs w:val="20"/>
          <w:color w:val="auto"/>
        </w:rPr>
      </w:pPr>
      <w:r>
        <w:rPr>
          <w:rFonts w:ascii="Arial" w:cs="Arial" w:eastAsia="Arial" w:hAnsi="Arial"/>
          <w:sz w:val="12"/>
          <w:szCs w:val="12"/>
          <w:color w:val="auto"/>
        </w:rPr>
        <w:t>Le conseil d'administration est autorisé à retirer ou de limiter les droits de souscription préférentiels des actionnaires et de les attribuer à des tiers:</w:t>
      </w:r>
    </w:p>
    <w:p>
      <w:pPr>
        <w:spacing w:after="0" w:line="122" w:lineRule="exact"/>
        <w:rPr>
          <w:sz w:val="20"/>
          <w:szCs w:val="20"/>
          <w:color w:val="auto"/>
        </w:rPr>
      </w:pPr>
    </w:p>
    <w:p>
      <w:pPr>
        <w:ind w:left="265" w:right="20" w:hanging="265"/>
        <w:spacing w:after="0" w:line="246" w:lineRule="auto"/>
        <w:tabs>
          <w:tab w:leader="none" w:pos="264" w:val="left"/>
        </w:tabs>
        <w:numPr>
          <w:ilvl w:val="0"/>
          <w:numId w:val="4"/>
        </w:numPr>
        <w:rPr>
          <w:rFonts w:ascii="Arial" w:cs="Arial" w:eastAsia="Arial" w:hAnsi="Arial"/>
          <w:sz w:val="12"/>
          <w:szCs w:val="12"/>
          <w:color w:val="auto"/>
        </w:rPr>
      </w:pPr>
      <w:r>
        <w:rPr>
          <w:rFonts w:ascii="Arial" w:cs="Arial" w:eastAsia="Arial" w:hAnsi="Arial"/>
          <w:sz w:val="12"/>
          <w:szCs w:val="12"/>
          <w:color w:val="auto"/>
        </w:rPr>
        <w:t>si le prix d'émission des nouvelles actions nominatives est déterminé avec une référence au prix de marché; ou</w:t>
      </w:r>
    </w:p>
    <w:p>
      <w:pPr>
        <w:spacing w:after="0" w:line="122" w:lineRule="exact"/>
        <w:rPr>
          <w:rFonts w:ascii="Arial" w:cs="Arial" w:eastAsia="Arial" w:hAnsi="Arial"/>
          <w:sz w:val="12"/>
          <w:szCs w:val="12"/>
          <w:color w:val="auto"/>
        </w:rPr>
      </w:pPr>
    </w:p>
    <w:p>
      <w:pPr>
        <w:jc w:val="both"/>
        <w:ind w:left="265" w:right="20" w:hanging="265"/>
        <w:spacing w:after="0"/>
        <w:tabs>
          <w:tab w:leader="none" w:pos="257" w:val="left"/>
        </w:tabs>
        <w:numPr>
          <w:ilvl w:val="0"/>
          <w:numId w:val="4"/>
        </w:numPr>
        <w:rPr>
          <w:rFonts w:ascii="Arial" w:cs="Arial" w:eastAsia="Arial" w:hAnsi="Arial"/>
          <w:sz w:val="12"/>
          <w:szCs w:val="12"/>
          <w:color w:val="auto"/>
        </w:rPr>
      </w:pPr>
      <w:r>
        <w:rPr>
          <w:rFonts w:ascii="Arial" w:cs="Arial" w:eastAsia="Arial" w:hAnsi="Arial"/>
          <w:sz w:val="12"/>
          <w:szCs w:val="12"/>
          <w:color w:val="auto"/>
        </w:rPr>
        <w:t>pour l'acquisition d'une entreprise, part d'entreprise ou participation, ou pour le financement ou le refinancement de ladite acquisition, ou en cas de placement d'actions pour le financement ou le refinancement dudit placement; ou</w:t>
      </w:r>
    </w:p>
    <w:p>
      <w:pPr>
        <w:spacing w:after="0" w:line="126" w:lineRule="exact"/>
        <w:rPr>
          <w:rFonts w:ascii="Arial" w:cs="Arial" w:eastAsia="Arial" w:hAnsi="Arial"/>
          <w:sz w:val="12"/>
          <w:szCs w:val="12"/>
          <w:color w:val="auto"/>
        </w:rPr>
      </w:pPr>
    </w:p>
    <w:p>
      <w:pPr>
        <w:jc w:val="both"/>
        <w:ind w:left="265" w:right="20" w:hanging="265"/>
        <w:spacing w:after="0" w:line="238" w:lineRule="auto"/>
        <w:tabs>
          <w:tab w:leader="none" w:pos="272" w:val="left"/>
        </w:tabs>
        <w:numPr>
          <w:ilvl w:val="0"/>
          <w:numId w:val="4"/>
        </w:numPr>
        <w:rPr>
          <w:rFonts w:ascii="Arial" w:cs="Arial" w:eastAsia="Arial" w:hAnsi="Arial"/>
          <w:sz w:val="12"/>
          <w:szCs w:val="12"/>
          <w:color w:val="auto"/>
        </w:rPr>
      </w:pPr>
      <w:r>
        <w:rPr>
          <w:rFonts w:ascii="Arial" w:cs="Arial" w:eastAsia="Arial" w:hAnsi="Arial"/>
          <w:sz w:val="12"/>
          <w:szCs w:val="12"/>
          <w:color w:val="auto"/>
        </w:rPr>
        <w:t>pour l'élargissement de la base des actionnaires de la société dans certains marchés financiers ou d'investissement, afin de permettre une participation de partenaires stratégiques, ou dans le cas de cotation ou d'enregistrement de nouvelles actions nominatives aux bourses nationales ou étrangères; ou</w:t>
      </w:r>
    </w:p>
    <w:p>
      <w:pPr>
        <w:spacing w:after="0" w:line="127" w:lineRule="exact"/>
        <w:rPr>
          <w:rFonts w:ascii="Arial" w:cs="Arial" w:eastAsia="Arial" w:hAnsi="Arial"/>
          <w:sz w:val="12"/>
          <w:szCs w:val="12"/>
          <w:color w:val="auto"/>
        </w:rPr>
      </w:pPr>
    </w:p>
    <w:p>
      <w:pPr>
        <w:jc w:val="both"/>
        <w:ind w:left="265" w:right="20" w:hanging="265"/>
        <w:spacing w:after="0"/>
        <w:tabs>
          <w:tab w:leader="none" w:pos="321" w:val="left"/>
        </w:tabs>
        <w:numPr>
          <w:ilvl w:val="0"/>
          <w:numId w:val="4"/>
        </w:numPr>
        <w:rPr>
          <w:rFonts w:ascii="Arial" w:cs="Arial" w:eastAsia="Arial" w:hAnsi="Arial"/>
          <w:sz w:val="12"/>
          <w:szCs w:val="12"/>
          <w:color w:val="auto"/>
        </w:rPr>
      </w:pPr>
      <w:r>
        <w:rPr>
          <w:rFonts w:ascii="Arial" w:cs="Arial" w:eastAsia="Arial" w:hAnsi="Arial"/>
          <w:sz w:val="12"/>
          <w:szCs w:val="12"/>
          <w:color w:val="auto"/>
        </w:rPr>
        <w:t>pour octroyer une option de surallocation (Greenshoe) d'un maximum de 20% du nombre total d'actions nominatives dans un placement ou une vente d'actions nominatives à l'/des acheteur(s) initial(s) ou du/des souscripteur(s) respectif(s); ou</w:t>
      </w:r>
    </w:p>
    <w:p>
      <w:pPr>
        <w:spacing w:after="0" w:line="126" w:lineRule="exact"/>
        <w:rPr>
          <w:rFonts w:ascii="Arial" w:cs="Arial" w:eastAsia="Arial" w:hAnsi="Arial"/>
          <w:sz w:val="12"/>
          <w:szCs w:val="12"/>
          <w:color w:val="auto"/>
        </w:rPr>
      </w:pPr>
    </w:p>
    <w:p>
      <w:pPr>
        <w:jc w:val="both"/>
        <w:ind w:left="265" w:right="20" w:hanging="265"/>
        <w:spacing w:after="0"/>
        <w:tabs>
          <w:tab w:leader="none" w:pos="223" w:val="left"/>
        </w:tabs>
        <w:numPr>
          <w:ilvl w:val="0"/>
          <w:numId w:val="4"/>
        </w:numPr>
        <w:rPr>
          <w:rFonts w:ascii="Arial" w:cs="Arial" w:eastAsia="Arial" w:hAnsi="Arial"/>
          <w:sz w:val="12"/>
          <w:szCs w:val="12"/>
          <w:color w:val="auto"/>
        </w:rPr>
      </w:pPr>
      <w:r>
        <w:rPr>
          <w:rFonts w:ascii="Arial" w:cs="Arial" w:eastAsia="Arial" w:hAnsi="Arial"/>
          <w:sz w:val="12"/>
          <w:szCs w:val="12"/>
          <w:color w:val="auto"/>
        </w:rPr>
        <w:t>pour lever des capitaux (y compris des placements privés) dans un délai rapide et flexible, ce qui ne pourrait probablement pas être réalisé sans l'exclusion du droit préférentiel de souscription statuaire des actionnaires existants; ou</w:t>
      </w:r>
    </w:p>
    <w:p>
      <w:pPr>
        <w:spacing w:after="0" w:line="126" w:lineRule="exact"/>
        <w:rPr>
          <w:rFonts w:ascii="Arial" w:cs="Arial" w:eastAsia="Arial" w:hAnsi="Arial"/>
          <w:sz w:val="12"/>
          <w:szCs w:val="12"/>
          <w:color w:val="auto"/>
        </w:rPr>
      </w:pPr>
    </w:p>
    <w:p>
      <w:pPr>
        <w:ind w:left="245" w:hanging="245"/>
        <w:spacing w:after="0"/>
        <w:tabs>
          <w:tab w:leader="none" w:pos="245" w:val="left"/>
        </w:tabs>
        <w:numPr>
          <w:ilvl w:val="0"/>
          <w:numId w:val="4"/>
        </w:numPr>
        <w:rPr>
          <w:rFonts w:ascii="Arial" w:cs="Arial" w:eastAsia="Arial" w:hAnsi="Arial"/>
          <w:sz w:val="12"/>
          <w:szCs w:val="12"/>
          <w:color w:val="auto"/>
        </w:rPr>
      </w:pPr>
      <w:r>
        <w:rPr>
          <w:rFonts w:ascii="Arial" w:cs="Arial" w:eastAsia="Arial" w:hAnsi="Arial"/>
          <w:sz w:val="12"/>
          <w:szCs w:val="12"/>
          <w:color w:val="auto"/>
        </w:rPr>
        <w:t>pour d'autres motifs valables au sens de l'article 652b al. 2 CO; ou</w:t>
      </w:r>
    </w:p>
    <w:p>
      <w:pPr>
        <w:spacing w:after="0" w:line="132" w:lineRule="exact"/>
        <w:rPr>
          <w:rFonts w:ascii="Arial" w:cs="Arial" w:eastAsia="Arial" w:hAnsi="Arial"/>
          <w:sz w:val="12"/>
          <w:szCs w:val="12"/>
          <w:color w:val="auto"/>
        </w:rPr>
      </w:pPr>
    </w:p>
    <w:p>
      <w:pPr>
        <w:jc w:val="both"/>
        <w:ind w:left="265" w:right="20" w:hanging="265"/>
        <w:spacing w:after="0" w:line="229" w:lineRule="auto"/>
        <w:tabs>
          <w:tab w:leader="none" w:pos="320"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suite à l'accumulation par un actionnaire ou un groupe d'actionnaires agissant de concert de participations supérieures à 33 </w:t>
      </w:r>
      <w:r>
        <w:rPr>
          <w:rFonts w:ascii="Arial" w:cs="Arial" w:eastAsia="Arial" w:hAnsi="Arial"/>
          <w:sz w:val="19"/>
          <w:szCs w:val="19"/>
          <w:color w:val="auto"/>
          <w:vertAlign w:val="superscript"/>
        </w:rPr>
        <w:t>1</w:t>
      </w:r>
      <w:r>
        <w:rPr>
          <w:rFonts w:ascii="Arial" w:cs="Arial" w:eastAsia="Arial" w:hAnsi="Arial"/>
          <w:sz w:val="12"/>
          <w:szCs w:val="12"/>
          <w:color w:val="auto"/>
        </w:rPr>
        <w:t>/</w:t>
      </w:r>
      <w:r>
        <w:rPr>
          <w:rFonts w:ascii="Arial" w:cs="Arial" w:eastAsia="Arial" w:hAnsi="Arial"/>
          <w:sz w:val="19"/>
          <w:szCs w:val="19"/>
          <w:color w:val="auto"/>
          <w:vertAlign w:val="subscript"/>
        </w:rPr>
        <w:t>3</w:t>
      </w:r>
      <w:r>
        <w:rPr>
          <w:rFonts w:ascii="Arial" w:cs="Arial" w:eastAsia="Arial" w:hAnsi="Arial"/>
          <w:sz w:val="12"/>
          <w:szCs w:val="12"/>
          <w:color w:val="auto"/>
        </w:rPr>
        <w:t xml:space="preserve"> % du capital-actions inscrit au registre du commerce sans avoir soumis aux autres actionnaires une offre publique d'achat recommandée par le conseil d'administration, ou pour la défense d'une offre publique d'achat réelle, imminente ou potentielle, pour laquelle le conseil d'administration, après consultation avec un conseiller financier indépendant retenu par lui, n'a pas recommandé l'acceptation aux actionnaires car il a estimé que l'offre publique d'achat n'était pas financièrement équitable pour les actionnaires.</w:t>
      </w:r>
    </w:p>
    <w:p>
      <w:pPr>
        <w:sectPr>
          <w:pgSz w:w="11900" w:h="16838" w:orient="portrait"/>
          <w:cols w:equalWidth="0" w:num="2">
            <w:col w:w="5440" w:space="335"/>
            <w:col w:w="5445"/>
          </w:cols>
          <w:pgMar w:left="340" w:top="211" w:right="339" w:bottom="1440" w:gutter="0" w:footer="0" w:header="0"/>
          <w:type w:val="continuous"/>
        </w:sectPr>
      </w:pPr>
    </w:p>
    <w:bookmarkStart w:id="49" w:name="page50"/>
    <w:bookmarkEnd w:id="49"/>
    <w:tbl>
      <w:tblPr>
        <w:tblLayout w:type="fixed"/>
        <w:tblInd w:w="10" w:type="dxa"/>
        <w:tblCellMar>
          <w:top w:w="0" w:type="dxa"/>
          <w:left w:w="0" w:type="dxa"/>
          <w:bottom w:w="0" w:type="dxa"/>
          <w:right w:w="0" w:type="dxa"/>
        </w:tblCellMar>
      </w:tblPr>
      <w:tr>
        <w:trPr>
          <w:trHeight w:val="145"/>
        </w:trPr>
        <w:tc>
          <w:tcPr>
            <w:tcW w:w="5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520" w:type="dxa"/>
            <w:vAlign w:val="bottom"/>
          </w:tcPr>
          <w:p>
            <w:pPr>
              <w:ind w:left="5420"/>
              <w:spacing w:after="0"/>
              <w:rPr>
                <w:sz w:val="20"/>
                <w:szCs w:val="20"/>
                <w:color w:val="auto"/>
              </w:rPr>
            </w:pPr>
            <w:r>
              <w:rPr>
                <w:rFonts w:ascii="Arial" w:cs="Arial" w:eastAsia="Arial" w:hAnsi="Arial"/>
                <w:sz w:val="12"/>
                <w:szCs w:val="12"/>
                <w:color w:val="auto"/>
                <w:w w:val="89"/>
              </w:rPr>
              <w:t>4</w:t>
            </w:r>
          </w:p>
        </w:tc>
      </w:tr>
      <w:tr>
        <w:trPr>
          <w:trHeight w:val="63"/>
        </w:trPr>
        <w:tc>
          <w:tcPr>
            <w:tcW w:w="5540" w:type="dxa"/>
            <w:vAlign w:val="bottom"/>
            <w:tcBorders>
              <w:bottom w:val="single" w:sz="8" w:color="auto"/>
            </w:tcBorders>
            <w:gridSpan w:val="2"/>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520" w:type="dxa"/>
            <w:vAlign w:val="bottom"/>
            <w:tcBorders>
              <w:bottom w:val="single" w:sz="8" w:color="auto"/>
            </w:tcBorders>
          </w:tcPr>
          <w:p>
            <w:pPr>
              <w:spacing w:after="0"/>
              <w:rPr>
                <w:sz w:val="5"/>
                <w:szCs w:val="5"/>
                <w:color w:val="auto"/>
              </w:rPr>
            </w:pPr>
          </w:p>
        </w:tc>
      </w:tr>
      <w:tr>
        <w:trPr>
          <w:trHeight w:val="16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The acquisition of registered shares out of authorized capital increase of share capital for general</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L'acquisition d'actions nominatives dans le cadre d'une augmentation autorisée du capital-actions à</w:t>
            </w: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purposes and any transfers of registered shares shall be subject to the restrictions specified in Article</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des fins générales et les transferts d'actions nominatives sont soumis aux restrictions prévues à</w:t>
            </w:r>
          </w:p>
        </w:tc>
      </w:tr>
      <w:tr>
        <w:trPr>
          <w:trHeight w:val="145"/>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4 of the Articles of Association.</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l'article 4 des statuts.</w:t>
            </w:r>
          </w:p>
        </w:tc>
      </w:tr>
      <w:tr>
        <w:trPr>
          <w:trHeight w:val="36"/>
        </w:trPr>
        <w:tc>
          <w:tcPr>
            <w:tcW w:w="520" w:type="dxa"/>
            <w:vAlign w:val="bottom"/>
            <w:tcBorders>
              <w:left w:val="single" w:sz="8" w:color="auto"/>
              <w:bottom w:val="single" w:sz="8" w:color="auto"/>
            </w:tcBorders>
          </w:tcPr>
          <w:p>
            <w:pPr>
              <w:spacing w:after="0"/>
              <w:rPr>
                <w:sz w:val="3"/>
                <w:szCs w:val="3"/>
                <w:color w:val="auto"/>
              </w:rPr>
            </w:pPr>
          </w:p>
        </w:tc>
        <w:tc>
          <w:tcPr>
            <w:tcW w:w="502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520" w:type="dxa"/>
            <w:vAlign w:val="bottom"/>
            <w:tcBorders>
              <w:bottom w:val="single" w:sz="8" w:color="auto"/>
              <w:right w:val="single" w:sz="8" w:color="auto"/>
            </w:tcBorders>
          </w:tcPr>
          <w:p>
            <w:pPr>
              <w:spacing w:after="0"/>
              <w:rPr>
                <w:sz w:val="3"/>
                <w:szCs w:val="3"/>
                <w:color w:val="auto"/>
              </w:rPr>
            </w:pPr>
          </w:p>
        </w:tc>
      </w:tr>
      <w:tr>
        <w:trPr>
          <w:trHeight w:val="154"/>
        </w:trPr>
        <w:tc>
          <w:tcPr>
            <w:tcW w:w="520" w:type="dxa"/>
            <w:vAlign w:val="bottom"/>
            <w:tcBorders>
              <w:left w:val="single" w:sz="8" w:color="auto"/>
            </w:tcBorders>
          </w:tcPr>
          <w:p>
            <w:pPr>
              <w:ind w:left="40"/>
              <w:spacing w:after="0"/>
              <w:rPr>
                <w:sz w:val="20"/>
                <w:szCs w:val="20"/>
                <w:color w:val="auto"/>
              </w:rPr>
            </w:pPr>
            <w:r>
              <w:rPr>
                <w:rFonts w:ascii="Arial" w:cs="Arial" w:eastAsia="Arial" w:hAnsi="Arial"/>
                <w:sz w:val="12"/>
                <w:szCs w:val="12"/>
                <w:b w:val="1"/>
                <w:bCs w:val="1"/>
                <w:color w:val="auto"/>
              </w:rPr>
              <w:t>Art. 3b</w:t>
            </w:r>
          </w:p>
        </w:tc>
        <w:tc>
          <w:tcPr>
            <w:tcW w:w="5020" w:type="dxa"/>
            <w:vAlign w:val="bottom"/>
            <w:tcBorders>
              <w:right w:val="single" w:sz="8" w:color="auto"/>
            </w:tcBorders>
          </w:tcPr>
          <w:p>
            <w:pPr>
              <w:ind w:left="100"/>
              <w:spacing w:after="0"/>
              <w:rPr>
                <w:sz w:val="20"/>
                <w:szCs w:val="20"/>
                <w:color w:val="auto"/>
              </w:rPr>
            </w:pPr>
            <w:r>
              <w:rPr>
                <w:rFonts w:ascii="Arial" w:cs="Arial" w:eastAsia="Arial" w:hAnsi="Arial"/>
                <w:sz w:val="12"/>
                <w:szCs w:val="12"/>
                <w:b w:val="1"/>
                <w:bCs w:val="1"/>
                <w:color w:val="auto"/>
              </w:rPr>
              <w:t>Conditional Capital Increase for Bonds and Similar Debt Instruments</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ind w:left="40"/>
              <w:spacing w:after="0"/>
              <w:rPr>
                <w:sz w:val="20"/>
                <w:szCs w:val="20"/>
                <w:color w:val="auto"/>
              </w:rPr>
            </w:pPr>
            <w:r>
              <w:rPr>
                <w:rFonts w:ascii="Arial" w:cs="Arial" w:eastAsia="Arial" w:hAnsi="Arial"/>
                <w:sz w:val="12"/>
                <w:szCs w:val="12"/>
                <w:b w:val="1"/>
                <w:bCs w:val="1"/>
                <w:color w:val="auto"/>
              </w:rPr>
              <w:t>Art. 3b Augmentation conditionnelle du capital-actions pour les obligations et instruments de</w:t>
            </w:r>
          </w:p>
        </w:tc>
      </w:tr>
      <w:tr>
        <w:trPr>
          <w:trHeight w:val="159"/>
        </w:trPr>
        <w:tc>
          <w:tcPr>
            <w:tcW w:w="520" w:type="dxa"/>
            <w:vAlign w:val="bottom"/>
            <w:tcBorders>
              <w:left w:val="single" w:sz="8" w:color="auto"/>
            </w:tcBorders>
          </w:tcPr>
          <w:p>
            <w:pPr>
              <w:spacing w:after="0"/>
              <w:rPr>
                <w:sz w:val="13"/>
                <w:szCs w:val="13"/>
                <w:color w:val="auto"/>
              </w:rPr>
            </w:pPr>
          </w:p>
        </w:tc>
        <w:tc>
          <w:tcPr>
            <w:tcW w:w="5020" w:type="dxa"/>
            <w:vAlign w:val="bottom"/>
            <w:tcBorders>
              <w:right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tcPr>
          <w:p>
            <w:pPr>
              <w:ind w:left="540"/>
              <w:spacing w:after="0"/>
              <w:rPr>
                <w:sz w:val="20"/>
                <w:szCs w:val="20"/>
                <w:color w:val="auto"/>
              </w:rPr>
            </w:pPr>
            <w:r>
              <w:rPr>
                <w:rFonts w:ascii="Arial" w:cs="Arial" w:eastAsia="Arial" w:hAnsi="Arial"/>
                <w:sz w:val="12"/>
                <w:szCs w:val="12"/>
                <w:b w:val="1"/>
                <w:bCs w:val="1"/>
                <w:color w:val="auto"/>
              </w:rPr>
              <w:t>dettes similaire</w:t>
            </w:r>
          </w:p>
        </w:tc>
      </w:tr>
      <w:tr>
        <w:trPr>
          <w:trHeight w:val="36"/>
        </w:trPr>
        <w:tc>
          <w:tcPr>
            <w:tcW w:w="5540" w:type="dxa"/>
            <w:vAlign w:val="bottom"/>
            <w:tcBorders>
              <w:left w:val="single" w:sz="8" w:color="auto"/>
              <w:bottom w:val="single" w:sz="8" w:color="auto"/>
              <w:right w:val="single" w:sz="8" w:color="auto"/>
            </w:tcBorders>
            <w:gridSpan w:val="2"/>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520" w:type="dxa"/>
            <w:vAlign w:val="bottom"/>
            <w:tcBorders>
              <w:bottom w:val="single" w:sz="8" w:color="auto"/>
              <w:right w:val="single" w:sz="8" w:color="auto"/>
            </w:tcBorders>
          </w:tcPr>
          <w:p>
            <w:pPr>
              <w:spacing w:after="0"/>
              <w:rPr>
                <w:sz w:val="3"/>
                <w:szCs w:val="3"/>
                <w:color w:val="auto"/>
              </w:rPr>
            </w:pPr>
          </w:p>
        </w:tc>
      </w:tr>
      <w:tr>
        <w:trPr>
          <w:trHeight w:val="16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The share capital of the Company shall be increased by a maximum amount of</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Le capital-actions de la société peut être augmenté d'un montant maximum de CHF 91'560.94 par</w:t>
            </w: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CHF 91'560.94 through the issue of a maximum of 4'578'047 registered shares, payable in full, each</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l'émission d'un maximum de 4'578'047 actions nominatives, d'une valeur nominale de CHF 0.02</w:t>
            </w: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with a nominal value of CHF 0.02 through the exercise of conversion and/or option or warrant rights</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chacune, à libérer entièrement, suite à l'exercice de droits de conversion et/ou d'option ou de bons de</w:t>
            </w: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granted in connection with bonds or similar instruments, issued or to be issued by the Company or by</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souscription accordés en relation avec des obligations ou d'instruments similaires, émis ou devant</w:t>
            </w: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subsidiaries of the Company, including convertible debt instruments.</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être émis par la société ou par des filiales de la société, y compris les instruments d'emprunt</w:t>
            </w:r>
          </w:p>
        </w:tc>
      </w:tr>
      <w:tr>
        <w:trPr>
          <w:trHeight w:val="145"/>
        </w:trPr>
        <w:tc>
          <w:tcPr>
            <w:tcW w:w="520" w:type="dxa"/>
            <w:vAlign w:val="bottom"/>
            <w:tcBorders>
              <w:left w:val="single" w:sz="8" w:color="auto"/>
            </w:tcBorders>
          </w:tcPr>
          <w:p>
            <w:pPr>
              <w:spacing w:after="0"/>
              <w:rPr>
                <w:sz w:val="12"/>
                <w:szCs w:val="12"/>
                <w:color w:val="auto"/>
              </w:rPr>
            </w:pPr>
          </w:p>
        </w:tc>
        <w:tc>
          <w:tcPr>
            <w:tcW w:w="5020" w:type="dxa"/>
            <w:vAlign w:val="bottom"/>
            <w:tcBorders>
              <w:right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convertibles.</w:t>
            </w:r>
          </w:p>
        </w:tc>
      </w:tr>
      <w:tr>
        <w:trPr>
          <w:trHeight w:val="36"/>
        </w:trPr>
        <w:tc>
          <w:tcPr>
            <w:tcW w:w="5540" w:type="dxa"/>
            <w:vAlign w:val="bottom"/>
            <w:tcBorders>
              <w:left w:val="single" w:sz="8" w:color="auto"/>
              <w:bottom w:val="single" w:sz="8" w:color="auto"/>
              <w:right w:val="single" w:sz="8" w:color="auto"/>
            </w:tcBorders>
            <w:gridSpan w:val="2"/>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520" w:type="dxa"/>
            <w:vAlign w:val="bottom"/>
            <w:tcBorders>
              <w:bottom w:val="single" w:sz="8" w:color="auto"/>
              <w:right w:val="single" w:sz="8" w:color="auto"/>
            </w:tcBorders>
          </w:tcPr>
          <w:p>
            <w:pPr>
              <w:spacing w:after="0"/>
              <w:rPr>
                <w:sz w:val="3"/>
                <w:szCs w:val="3"/>
                <w:color w:val="auto"/>
              </w:rPr>
            </w:pPr>
          </w:p>
        </w:tc>
      </w:tr>
      <w:tr>
        <w:trPr>
          <w:trHeight w:val="16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Shareholders' subscription rights are excluded. Shareholders' advance subscription rights with regard</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Le droit de souscription préférentiel des actionnaires est exclu. Les droits de souscription préférentiels</w:t>
            </w: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to the new bonds or similar instruments may be restricted or excluded by decision of the Board of</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préalables des actionnaires à l'égard des nouvelles obligations ou instruments similaires peuvent être</w:t>
            </w: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Directors in order to finance or re-finance the acquisition of companies, parts of companies or</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limités ou exclus par décision du conseil d'administration afin de financer ou de refinancer l'acquisition</w:t>
            </w: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holdings, or new investments planned by the Company, or in order to issue convertible bonds and</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d'entreprises, parts d'entreprises ou de holdings, ou de nouveaux investissements prévus par la</w:t>
            </w: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warrants on the international capital markets or through private placement. If advance subscription</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société, ou en vue d'émettre des obligations convertibles et des bons de souscription sur les marchés</w:t>
            </w: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rights are excluded, then (1) the instruments are to be placed at market conditions, (2) the exercise</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internationaux de capitaux ou par placement privé. Si les droits de souscription préférentiels</w:t>
            </w: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period is not to exceed ten years from the date of issue for warrants and twenty years for conversion</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préalables sont exclus, (1) les instruments doivent être attribués aux conditions du marché, (2) la</w:t>
            </w: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rights and (3) the conversion or exercise price for the new shares is to be set at least in line with the</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période d'exercice ne doit pas dépasser dix ans à partir de la date d'émission des bons de</w:t>
            </w: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market conditions prevailing at the date on which the instruments are issued. The respective holders</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souscription et vingt ans pour les droits de conversion et (3) le prix de conversion ou d'exercice des</w:t>
            </w: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of conversion and/or option or warrant rights are entitled to subscribe the new shares.</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actions nouvelles doit être fixé au moins aux conditions du marché prévalant à la date à laquelle les</w:t>
            </w:r>
          </w:p>
        </w:tc>
      </w:tr>
      <w:tr>
        <w:trPr>
          <w:trHeight w:val="135"/>
        </w:trPr>
        <w:tc>
          <w:tcPr>
            <w:tcW w:w="520" w:type="dxa"/>
            <w:vAlign w:val="bottom"/>
            <w:tcBorders>
              <w:left w:val="single" w:sz="8" w:color="auto"/>
            </w:tcBorders>
          </w:tcPr>
          <w:p>
            <w:pPr>
              <w:spacing w:after="0"/>
              <w:rPr>
                <w:sz w:val="11"/>
                <w:szCs w:val="11"/>
                <w:color w:val="auto"/>
              </w:rPr>
            </w:pPr>
          </w:p>
        </w:tc>
        <w:tc>
          <w:tcPr>
            <w:tcW w:w="5020" w:type="dxa"/>
            <w:vAlign w:val="bottom"/>
            <w:tcBorders>
              <w:right w:val="single" w:sz="8" w:color="auto"/>
            </w:tcBorders>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instruments sont émis. Les détenteurs respectifs de droits de conversion et/ou option ou de bons de</w:t>
            </w:r>
          </w:p>
        </w:tc>
      </w:tr>
      <w:tr>
        <w:trPr>
          <w:trHeight w:val="145"/>
        </w:trPr>
        <w:tc>
          <w:tcPr>
            <w:tcW w:w="520" w:type="dxa"/>
            <w:vAlign w:val="bottom"/>
            <w:tcBorders>
              <w:left w:val="single" w:sz="8" w:color="auto"/>
            </w:tcBorders>
          </w:tcPr>
          <w:p>
            <w:pPr>
              <w:spacing w:after="0"/>
              <w:rPr>
                <w:sz w:val="12"/>
                <w:szCs w:val="12"/>
                <w:color w:val="auto"/>
              </w:rPr>
            </w:pPr>
          </w:p>
        </w:tc>
        <w:tc>
          <w:tcPr>
            <w:tcW w:w="5020" w:type="dxa"/>
            <w:vAlign w:val="bottom"/>
            <w:tcBorders>
              <w:right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souscription ont le droit de souscrire les nouvelles actions.</w:t>
            </w:r>
          </w:p>
        </w:tc>
      </w:tr>
      <w:tr>
        <w:trPr>
          <w:trHeight w:val="36"/>
        </w:trPr>
        <w:tc>
          <w:tcPr>
            <w:tcW w:w="520" w:type="dxa"/>
            <w:vAlign w:val="bottom"/>
            <w:tcBorders>
              <w:left w:val="single" w:sz="8" w:color="auto"/>
              <w:bottom w:val="single" w:sz="8" w:color="auto"/>
            </w:tcBorders>
          </w:tcPr>
          <w:p>
            <w:pPr>
              <w:spacing w:after="0"/>
              <w:rPr>
                <w:sz w:val="3"/>
                <w:szCs w:val="3"/>
                <w:color w:val="auto"/>
              </w:rPr>
            </w:pPr>
          </w:p>
        </w:tc>
        <w:tc>
          <w:tcPr>
            <w:tcW w:w="502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520" w:type="dxa"/>
            <w:vAlign w:val="bottom"/>
            <w:tcBorders>
              <w:bottom w:val="single" w:sz="8" w:color="auto"/>
              <w:right w:val="single" w:sz="8" w:color="auto"/>
            </w:tcBorders>
          </w:tcPr>
          <w:p>
            <w:pPr>
              <w:spacing w:after="0"/>
              <w:rPr>
                <w:sz w:val="3"/>
                <w:szCs w:val="3"/>
                <w:color w:val="auto"/>
              </w:rPr>
            </w:pPr>
          </w:p>
        </w:tc>
      </w:tr>
      <w:tr>
        <w:trPr>
          <w:trHeight w:val="493"/>
        </w:trPr>
        <w:tc>
          <w:tcPr>
            <w:tcW w:w="52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211" w:right="299" w:bottom="1440" w:gutter="0" w:footer="0" w:header="0"/>
        </w:sectPr>
      </w:pPr>
    </w:p>
    <w:bookmarkStart w:id="50" w:name="page51"/>
    <w:bookmarkEnd w:id="5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45"/>
        </w:trPr>
        <w:tc>
          <w:tcPr>
            <w:tcW w:w="74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920" w:type="dxa"/>
            <w:vAlign w:val="bottom"/>
          </w:tcPr>
          <w:p>
            <w:pPr>
              <w:jc w:val="right"/>
              <w:spacing w:after="0"/>
              <w:rPr>
                <w:sz w:val="20"/>
                <w:szCs w:val="20"/>
                <w:color w:val="auto"/>
              </w:rPr>
            </w:pPr>
            <w:r>
              <w:rPr>
                <w:rFonts w:ascii="Arial" w:cs="Arial" w:eastAsia="Arial" w:hAnsi="Arial"/>
                <w:sz w:val="12"/>
                <w:szCs w:val="12"/>
                <w:color w:val="auto"/>
              </w:rPr>
              <w:t>5</w:t>
            </w:r>
          </w:p>
        </w:tc>
      </w:tr>
      <w:tr>
        <w:trPr>
          <w:trHeight w:val="63"/>
        </w:trPr>
        <w:tc>
          <w:tcPr>
            <w:tcW w:w="5540" w:type="dxa"/>
            <w:vAlign w:val="bottom"/>
            <w:tcBorders>
              <w:bottom w:val="single" w:sz="8" w:color="auto"/>
            </w:tcBorders>
            <w:gridSpan w:val="2"/>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520" w:type="dxa"/>
            <w:vAlign w:val="bottom"/>
            <w:tcBorders>
              <w:bottom w:val="single" w:sz="8" w:color="auto"/>
            </w:tcBorders>
            <w:gridSpan w:val="2"/>
          </w:tcPr>
          <w:p>
            <w:pPr>
              <w:spacing w:after="0"/>
              <w:rPr>
                <w:sz w:val="5"/>
                <w:szCs w:val="5"/>
                <w:color w:val="auto"/>
              </w:rPr>
            </w:pPr>
          </w:p>
        </w:tc>
      </w:tr>
      <w:tr>
        <w:trPr>
          <w:trHeight w:val="16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The acquisition of registered shares through the exercise of conversion rights or warrants and any</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L'acquisition d'actions nominatives par l'exercice de droits ou de bons de conversion et les transferts</w:t>
            </w: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transfers of registered shares shall be subject to the restrictions specified in Article 4 of the Articles of</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d'actions nominatives sont assujetties aux restrictions prévues par l'article 4 des statuts.</w:t>
            </w:r>
          </w:p>
        </w:tc>
      </w:tr>
      <w:tr>
        <w:trPr>
          <w:trHeight w:val="145"/>
        </w:trPr>
        <w:tc>
          <w:tcPr>
            <w:tcW w:w="740" w:type="dxa"/>
            <w:vAlign w:val="bottom"/>
            <w:tcBorders>
              <w:left w:val="single" w:sz="8" w:color="auto"/>
            </w:tcBorders>
          </w:tcPr>
          <w:p>
            <w:pPr>
              <w:ind w:left="40"/>
              <w:spacing w:after="0"/>
              <w:rPr>
                <w:sz w:val="20"/>
                <w:szCs w:val="20"/>
                <w:color w:val="auto"/>
              </w:rPr>
            </w:pPr>
            <w:r>
              <w:rPr>
                <w:rFonts w:ascii="Arial" w:cs="Arial" w:eastAsia="Arial" w:hAnsi="Arial"/>
                <w:sz w:val="12"/>
                <w:szCs w:val="12"/>
                <w:color w:val="auto"/>
              </w:rPr>
              <w:t>Association.</w:t>
            </w:r>
          </w:p>
        </w:tc>
        <w:tc>
          <w:tcPr>
            <w:tcW w:w="4800" w:type="dxa"/>
            <w:vAlign w:val="bottom"/>
            <w:tcBorders>
              <w:right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4920" w:type="dxa"/>
            <w:vAlign w:val="bottom"/>
            <w:tcBorders>
              <w:right w:val="single" w:sz="8" w:color="auto"/>
            </w:tcBorders>
          </w:tcPr>
          <w:p>
            <w:pPr>
              <w:spacing w:after="0"/>
              <w:rPr>
                <w:sz w:val="12"/>
                <w:szCs w:val="12"/>
                <w:color w:val="auto"/>
              </w:rPr>
            </w:pPr>
          </w:p>
        </w:tc>
      </w:tr>
      <w:tr>
        <w:trPr>
          <w:trHeight w:val="36"/>
        </w:trPr>
        <w:tc>
          <w:tcPr>
            <w:tcW w:w="740" w:type="dxa"/>
            <w:vAlign w:val="bottom"/>
            <w:tcBorders>
              <w:left w:val="single" w:sz="8" w:color="auto"/>
              <w:bottom w:val="single" w:sz="8" w:color="auto"/>
            </w:tcBorders>
          </w:tcPr>
          <w:p>
            <w:pPr>
              <w:spacing w:after="0"/>
              <w:rPr>
                <w:sz w:val="3"/>
                <w:szCs w:val="3"/>
                <w:color w:val="auto"/>
              </w:rPr>
            </w:pPr>
          </w:p>
        </w:tc>
        <w:tc>
          <w:tcPr>
            <w:tcW w:w="480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920" w:type="dxa"/>
            <w:vAlign w:val="bottom"/>
            <w:tcBorders>
              <w:bottom w:val="single" w:sz="8" w:color="auto"/>
              <w:right w:val="single" w:sz="8" w:color="auto"/>
            </w:tcBorders>
          </w:tcPr>
          <w:p>
            <w:pPr>
              <w:spacing w:after="0"/>
              <w:rPr>
                <w:sz w:val="3"/>
                <w:szCs w:val="3"/>
                <w:color w:val="auto"/>
              </w:rPr>
            </w:pPr>
          </w:p>
        </w:tc>
      </w:tr>
      <w:tr>
        <w:trPr>
          <w:trHeight w:val="154"/>
        </w:trPr>
        <w:tc>
          <w:tcPr>
            <w:tcW w:w="740" w:type="dxa"/>
            <w:vAlign w:val="bottom"/>
            <w:tcBorders>
              <w:left w:val="single" w:sz="8" w:color="auto"/>
            </w:tcBorders>
          </w:tcPr>
          <w:p>
            <w:pPr>
              <w:ind w:left="40"/>
              <w:spacing w:after="0"/>
              <w:rPr>
                <w:sz w:val="20"/>
                <w:szCs w:val="20"/>
                <w:color w:val="auto"/>
              </w:rPr>
            </w:pPr>
            <w:r>
              <w:rPr>
                <w:rFonts w:ascii="Arial" w:cs="Arial" w:eastAsia="Arial" w:hAnsi="Arial"/>
                <w:sz w:val="12"/>
                <w:szCs w:val="12"/>
                <w:b w:val="1"/>
                <w:bCs w:val="1"/>
                <w:color w:val="auto"/>
              </w:rPr>
              <w:t>Art. 3c</w:t>
            </w:r>
          </w:p>
        </w:tc>
        <w:tc>
          <w:tcPr>
            <w:tcW w:w="4800" w:type="dxa"/>
            <w:vAlign w:val="bottom"/>
            <w:tcBorders>
              <w:right w:val="single" w:sz="8" w:color="auto"/>
            </w:tcBorders>
          </w:tcPr>
          <w:p>
            <w:pPr>
              <w:ind w:left="40"/>
              <w:spacing w:after="0"/>
              <w:rPr>
                <w:sz w:val="20"/>
                <w:szCs w:val="20"/>
                <w:color w:val="auto"/>
              </w:rPr>
            </w:pPr>
            <w:r>
              <w:rPr>
                <w:rFonts w:ascii="Arial" w:cs="Arial" w:eastAsia="Arial" w:hAnsi="Arial"/>
                <w:sz w:val="12"/>
                <w:szCs w:val="12"/>
                <w:b w:val="1"/>
                <w:bCs w:val="1"/>
                <w:color w:val="auto"/>
              </w:rPr>
              <w:t>Conditional Share Capital Increase for Employee Benefit Plans</w:t>
            </w:r>
          </w:p>
        </w:tc>
        <w:tc>
          <w:tcPr>
            <w:tcW w:w="240" w:type="dxa"/>
            <w:vAlign w:val="bottom"/>
            <w:tcBorders>
              <w:right w:val="single" w:sz="8" w:color="auto"/>
            </w:tcBorders>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Art. 3c</w:t>
            </w:r>
          </w:p>
        </w:tc>
        <w:tc>
          <w:tcPr>
            <w:tcW w:w="4920" w:type="dxa"/>
            <w:vAlign w:val="bottom"/>
            <w:tcBorders>
              <w:right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Augmentation conditionnelle du capital-actions pour les plans d'avantages</w:t>
            </w:r>
          </w:p>
        </w:tc>
      </w:tr>
      <w:tr>
        <w:trPr>
          <w:trHeight w:val="159"/>
        </w:trPr>
        <w:tc>
          <w:tcPr>
            <w:tcW w:w="740" w:type="dxa"/>
            <w:vAlign w:val="bottom"/>
            <w:tcBorders>
              <w:left w:val="single" w:sz="8" w:color="auto"/>
            </w:tcBorders>
          </w:tcPr>
          <w:p>
            <w:pPr>
              <w:spacing w:after="0"/>
              <w:rPr>
                <w:sz w:val="13"/>
                <w:szCs w:val="13"/>
                <w:color w:val="auto"/>
              </w:rPr>
            </w:pPr>
          </w:p>
        </w:tc>
        <w:tc>
          <w:tcPr>
            <w:tcW w:w="4800" w:type="dxa"/>
            <w:vAlign w:val="bottom"/>
            <w:tcBorders>
              <w:right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4920" w:type="dxa"/>
            <w:vAlign w:val="bottom"/>
            <w:tcBorders>
              <w:right w:val="single" w:sz="8" w:color="auto"/>
            </w:tcBorders>
          </w:tcPr>
          <w:p>
            <w:pPr>
              <w:jc w:val="right"/>
              <w:ind w:right="4200"/>
              <w:spacing w:after="0"/>
              <w:rPr>
                <w:sz w:val="20"/>
                <w:szCs w:val="20"/>
                <w:color w:val="auto"/>
              </w:rPr>
            </w:pPr>
            <w:r>
              <w:rPr>
                <w:rFonts w:ascii="Arial" w:cs="Arial" w:eastAsia="Arial" w:hAnsi="Arial"/>
                <w:sz w:val="12"/>
                <w:szCs w:val="12"/>
                <w:b w:val="1"/>
                <w:bCs w:val="1"/>
                <w:color w:val="auto"/>
              </w:rPr>
              <w:t>sociaux</w:t>
            </w:r>
          </w:p>
        </w:tc>
      </w:tr>
      <w:tr>
        <w:trPr>
          <w:trHeight w:val="36"/>
        </w:trPr>
        <w:tc>
          <w:tcPr>
            <w:tcW w:w="5540" w:type="dxa"/>
            <w:vAlign w:val="bottom"/>
            <w:tcBorders>
              <w:left w:val="single" w:sz="8" w:color="auto"/>
              <w:bottom w:val="single" w:sz="8" w:color="auto"/>
              <w:right w:val="single" w:sz="8" w:color="auto"/>
            </w:tcBorders>
            <w:gridSpan w:val="2"/>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520" w:type="dxa"/>
            <w:vAlign w:val="bottom"/>
            <w:tcBorders>
              <w:bottom w:val="single" w:sz="8" w:color="auto"/>
              <w:right w:val="single" w:sz="8" w:color="auto"/>
            </w:tcBorders>
            <w:gridSpan w:val="2"/>
          </w:tcPr>
          <w:p>
            <w:pPr>
              <w:spacing w:after="0"/>
              <w:rPr>
                <w:sz w:val="3"/>
                <w:szCs w:val="3"/>
                <w:color w:val="auto"/>
              </w:rPr>
            </w:pPr>
          </w:p>
        </w:tc>
      </w:tr>
      <w:tr>
        <w:trPr>
          <w:trHeight w:val="16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The share capital of the Company shall be increased by an amount not exceeding CHF 65'954.32</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Le capital social de la société sera augmenté d'un montant ne dépassant pas CHF 65'954.32 par</w:t>
            </w: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through the issue of a maximum of 3'297'716 registered shares, payable in full, each with a nominal</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l'émission d'un maximum de 3'297'716 actions nominatives, entièrement libérées, chacune avec une</w:t>
            </w: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value of CHF 0.02, in connection with the exercise of option rights granted to any employee of the</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valeur nominale de CHF 0.02, dans le cadre de l'exercice de droits d'option accordés à tout employé</w:t>
            </w: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Company or a subsidiary, and any consultant, members of the Board of Directors, or other person</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de la Société ou d'une succursale, et à tout consultant, aux membres du conseil d'administration, ou à</w:t>
            </w:r>
          </w:p>
        </w:tc>
      </w:tr>
      <w:tr>
        <w:trPr>
          <w:trHeight w:val="145"/>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providing services to the Company or a subsidiary.</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d'autres personnes fournissant des services en faveur de la Société ou d'une filiale.</w:t>
            </w:r>
          </w:p>
        </w:tc>
      </w:tr>
      <w:tr>
        <w:trPr>
          <w:trHeight w:val="36"/>
        </w:trPr>
        <w:tc>
          <w:tcPr>
            <w:tcW w:w="5540" w:type="dxa"/>
            <w:vAlign w:val="bottom"/>
            <w:tcBorders>
              <w:left w:val="single" w:sz="8" w:color="auto"/>
              <w:bottom w:val="single" w:sz="8" w:color="auto"/>
              <w:right w:val="single" w:sz="8" w:color="auto"/>
            </w:tcBorders>
            <w:gridSpan w:val="2"/>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520" w:type="dxa"/>
            <w:vAlign w:val="bottom"/>
            <w:tcBorders>
              <w:bottom w:val="single" w:sz="8" w:color="auto"/>
              <w:right w:val="single" w:sz="8" w:color="auto"/>
            </w:tcBorders>
            <w:gridSpan w:val="2"/>
          </w:tcPr>
          <w:p>
            <w:pPr>
              <w:spacing w:after="0"/>
              <w:rPr>
                <w:sz w:val="3"/>
                <w:szCs w:val="3"/>
                <w:color w:val="auto"/>
              </w:rPr>
            </w:pPr>
          </w:p>
        </w:tc>
      </w:tr>
      <w:tr>
        <w:trPr>
          <w:trHeight w:val="16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Shareholders' subscription rights shall be excluded with regard to these shares. These new registered</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Le droit de souscription préférentiel des actionnaires est exclu à l'égard de ces actions. Ces nouvelles</w:t>
            </w: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shares may be issued at a price below the current market price. The Board of Directors shall specify</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actions nominatives peuvent être émises à un prix inférieur au prix du marché actuel. Le conseil</w:t>
            </w: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the precise conditions of issue including the issue price of the shares.</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d'administration doit préciser les conditions précises d'émission, y compris le prix d'émission des</w:t>
            </w:r>
          </w:p>
        </w:tc>
      </w:tr>
      <w:tr>
        <w:trPr>
          <w:trHeight w:val="145"/>
        </w:trPr>
        <w:tc>
          <w:tcPr>
            <w:tcW w:w="740" w:type="dxa"/>
            <w:vAlign w:val="bottom"/>
            <w:tcBorders>
              <w:left w:val="single" w:sz="8" w:color="auto"/>
            </w:tcBorders>
          </w:tcPr>
          <w:p>
            <w:pPr>
              <w:spacing w:after="0"/>
              <w:rPr>
                <w:sz w:val="12"/>
                <w:szCs w:val="12"/>
                <w:color w:val="auto"/>
              </w:rPr>
            </w:pPr>
          </w:p>
        </w:tc>
        <w:tc>
          <w:tcPr>
            <w:tcW w:w="4800" w:type="dxa"/>
            <w:vAlign w:val="bottom"/>
            <w:tcBorders>
              <w:right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600" w:type="dxa"/>
            <w:vAlign w:val="bottom"/>
          </w:tcPr>
          <w:p>
            <w:pPr>
              <w:ind w:left="40"/>
              <w:spacing w:after="0"/>
              <w:rPr>
                <w:sz w:val="20"/>
                <w:szCs w:val="20"/>
                <w:color w:val="auto"/>
              </w:rPr>
            </w:pPr>
            <w:r>
              <w:rPr>
                <w:rFonts w:ascii="Arial" w:cs="Arial" w:eastAsia="Arial" w:hAnsi="Arial"/>
                <w:sz w:val="12"/>
                <w:szCs w:val="12"/>
                <w:color w:val="auto"/>
              </w:rPr>
              <w:t>actions.</w:t>
            </w:r>
          </w:p>
        </w:tc>
        <w:tc>
          <w:tcPr>
            <w:tcW w:w="4920" w:type="dxa"/>
            <w:vAlign w:val="bottom"/>
            <w:tcBorders>
              <w:right w:val="single" w:sz="8" w:color="auto"/>
            </w:tcBorders>
          </w:tcPr>
          <w:p>
            <w:pPr>
              <w:spacing w:after="0"/>
              <w:rPr>
                <w:sz w:val="12"/>
                <w:szCs w:val="12"/>
                <w:color w:val="auto"/>
              </w:rPr>
            </w:pPr>
          </w:p>
        </w:tc>
      </w:tr>
      <w:tr>
        <w:trPr>
          <w:trHeight w:val="36"/>
        </w:trPr>
        <w:tc>
          <w:tcPr>
            <w:tcW w:w="5540" w:type="dxa"/>
            <w:vAlign w:val="bottom"/>
            <w:tcBorders>
              <w:left w:val="single" w:sz="8" w:color="auto"/>
              <w:bottom w:val="single" w:sz="8" w:color="auto"/>
              <w:right w:val="single" w:sz="8" w:color="auto"/>
            </w:tcBorders>
            <w:gridSpan w:val="2"/>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520" w:type="dxa"/>
            <w:vAlign w:val="bottom"/>
            <w:tcBorders>
              <w:bottom w:val="single" w:sz="8" w:color="auto"/>
              <w:right w:val="single" w:sz="8" w:color="auto"/>
            </w:tcBorders>
            <w:gridSpan w:val="2"/>
          </w:tcPr>
          <w:p>
            <w:pPr>
              <w:spacing w:after="0"/>
              <w:rPr>
                <w:sz w:val="3"/>
                <w:szCs w:val="3"/>
                <w:color w:val="auto"/>
              </w:rPr>
            </w:pPr>
          </w:p>
        </w:tc>
      </w:tr>
      <w:tr>
        <w:trPr>
          <w:trHeight w:val="16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The acquisition of registered shares in connection with employee participation and any further</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L'acquisition d'actions nominatives dans le cadre de la participation des employés et d'autres</w:t>
            </w: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transfers of registered shares shall be subject to the restrictions specified in Article 4 of the Articles of</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transferts d'actions nominatives sont soumis aux restrictions prévues à l'article 4 des statuts.</w:t>
            </w:r>
          </w:p>
        </w:tc>
      </w:tr>
      <w:tr>
        <w:trPr>
          <w:trHeight w:val="145"/>
        </w:trPr>
        <w:tc>
          <w:tcPr>
            <w:tcW w:w="740" w:type="dxa"/>
            <w:vAlign w:val="bottom"/>
            <w:tcBorders>
              <w:left w:val="single" w:sz="8" w:color="auto"/>
            </w:tcBorders>
          </w:tcPr>
          <w:p>
            <w:pPr>
              <w:ind w:left="40"/>
              <w:spacing w:after="0"/>
              <w:rPr>
                <w:sz w:val="20"/>
                <w:szCs w:val="20"/>
                <w:color w:val="auto"/>
              </w:rPr>
            </w:pPr>
            <w:r>
              <w:rPr>
                <w:rFonts w:ascii="Arial" w:cs="Arial" w:eastAsia="Arial" w:hAnsi="Arial"/>
                <w:sz w:val="12"/>
                <w:szCs w:val="12"/>
                <w:color w:val="auto"/>
              </w:rPr>
              <w:t>Association.</w:t>
            </w:r>
          </w:p>
        </w:tc>
        <w:tc>
          <w:tcPr>
            <w:tcW w:w="4800" w:type="dxa"/>
            <w:vAlign w:val="bottom"/>
            <w:tcBorders>
              <w:right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4920" w:type="dxa"/>
            <w:vAlign w:val="bottom"/>
            <w:tcBorders>
              <w:right w:val="single" w:sz="8" w:color="auto"/>
            </w:tcBorders>
          </w:tcPr>
          <w:p>
            <w:pPr>
              <w:spacing w:after="0"/>
              <w:rPr>
                <w:sz w:val="12"/>
                <w:szCs w:val="12"/>
                <w:color w:val="auto"/>
              </w:rPr>
            </w:pPr>
          </w:p>
        </w:tc>
      </w:tr>
      <w:tr>
        <w:trPr>
          <w:trHeight w:val="36"/>
        </w:trPr>
        <w:tc>
          <w:tcPr>
            <w:tcW w:w="740" w:type="dxa"/>
            <w:vAlign w:val="bottom"/>
            <w:tcBorders>
              <w:left w:val="single" w:sz="8" w:color="auto"/>
              <w:bottom w:val="single" w:sz="8" w:color="auto"/>
            </w:tcBorders>
          </w:tcPr>
          <w:p>
            <w:pPr>
              <w:spacing w:after="0"/>
              <w:rPr>
                <w:sz w:val="3"/>
                <w:szCs w:val="3"/>
                <w:color w:val="auto"/>
              </w:rPr>
            </w:pPr>
          </w:p>
        </w:tc>
        <w:tc>
          <w:tcPr>
            <w:tcW w:w="480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920" w:type="dxa"/>
            <w:vAlign w:val="bottom"/>
            <w:tcBorders>
              <w:bottom w:val="single" w:sz="8" w:color="auto"/>
              <w:right w:val="single" w:sz="8" w:color="auto"/>
            </w:tcBorders>
          </w:tcPr>
          <w:p>
            <w:pPr>
              <w:spacing w:after="0"/>
              <w:rPr>
                <w:sz w:val="3"/>
                <w:szCs w:val="3"/>
                <w:color w:val="auto"/>
              </w:rPr>
            </w:pPr>
          </w:p>
        </w:tc>
      </w:tr>
      <w:tr>
        <w:trPr>
          <w:trHeight w:val="493"/>
        </w:trPr>
        <w:tc>
          <w:tcPr>
            <w:tcW w:w="74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211" w:right="299" w:bottom="1440" w:gutter="0" w:footer="0" w:header="0"/>
        </w:sectPr>
      </w:pPr>
    </w:p>
    <w:bookmarkStart w:id="51" w:name="page52"/>
    <w:bookmarkEnd w:id="5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45"/>
        </w:trPr>
        <w:tc>
          <w:tcPr>
            <w:tcW w:w="76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960" w:type="dxa"/>
            <w:vAlign w:val="bottom"/>
          </w:tcPr>
          <w:p>
            <w:pPr>
              <w:jc w:val="right"/>
              <w:spacing w:after="0"/>
              <w:rPr>
                <w:sz w:val="20"/>
                <w:szCs w:val="20"/>
                <w:color w:val="auto"/>
              </w:rPr>
            </w:pPr>
            <w:r>
              <w:rPr>
                <w:rFonts w:ascii="Arial" w:cs="Arial" w:eastAsia="Arial" w:hAnsi="Arial"/>
                <w:sz w:val="12"/>
                <w:szCs w:val="12"/>
                <w:color w:val="auto"/>
              </w:rPr>
              <w:t>6</w:t>
            </w:r>
          </w:p>
        </w:tc>
      </w:tr>
      <w:tr>
        <w:trPr>
          <w:trHeight w:val="63"/>
        </w:trPr>
        <w:tc>
          <w:tcPr>
            <w:tcW w:w="760" w:type="dxa"/>
            <w:vAlign w:val="bottom"/>
            <w:tcBorders>
              <w:bottom w:val="single" w:sz="8" w:color="auto"/>
            </w:tcBorders>
          </w:tcPr>
          <w:p>
            <w:pPr>
              <w:spacing w:after="0"/>
              <w:rPr>
                <w:sz w:val="5"/>
                <w:szCs w:val="5"/>
                <w:color w:val="auto"/>
              </w:rPr>
            </w:pPr>
          </w:p>
        </w:tc>
        <w:tc>
          <w:tcPr>
            <w:tcW w:w="47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4960" w:type="dxa"/>
            <w:vAlign w:val="bottom"/>
            <w:tcBorders>
              <w:bottom w:val="single" w:sz="8" w:color="auto"/>
            </w:tcBorders>
          </w:tcPr>
          <w:p>
            <w:pPr>
              <w:spacing w:after="0"/>
              <w:rPr>
                <w:sz w:val="5"/>
                <w:szCs w:val="5"/>
                <w:color w:val="auto"/>
              </w:rPr>
            </w:pPr>
          </w:p>
        </w:tc>
      </w:tr>
      <w:tr>
        <w:trPr>
          <w:trHeight w:val="178"/>
        </w:trPr>
        <w:tc>
          <w:tcPr>
            <w:tcW w:w="760" w:type="dxa"/>
            <w:vAlign w:val="bottom"/>
            <w:tcBorders>
              <w:left w:val="single" w:sz="8" w:color="auto"/>
            </w:tcBorders>
          </w:tcPr>
          <w:p>
            <w:pPr>
              <w:ind w:left="40"/>
              <w:spacing w:after="0"/>
              <w:rPr>
                <w:sz w:val="20"/>
                <w:szCs w:val="20"/>
                <w:color w:val="auto"/>
              </w:rPr>
            </w:pPr>
            <w:r>
              <w:rPr>
                <w:rFonts w:ascii="Arial" w:cs="Arial" w:eastAsia="Arial" w:hAnsi="Arial"/>
                <w:sz w:val="12"/>
                <w:szCs w:val="12"/>
                <w:b w:val="1"/>
                <w:bCs w:val="1"/>
                <w:color w:val="auto"/>
              </w:rPr>
              <w:t>Art. 4</w:t>
            </w: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12"/>
                <w:szCs w:val="12"/>
                <w:b w:val="1"/>
                <w:bCs w:val="1"/>
                <w:color w:val="auto"/>
              </w:rPr>
              <w:t>Share Register</w:t>
            </w:r>
          </w:p>
        </w:tc>
        <w:tc>
          <w:tcPr>
            <w:tcW w:w="240" w:type="dxa"/>
            <w:vAlign w:val="bottom"/>
            <w:tcBorders>
              <w:right w:val="single" w:sz="8" w:color="auto"/>
            </w:tcBorders>
          </w:tcPr>
          <w:p>
            <w:pPr>
              <w:spacing w:after="0"/>
              <w:rPr>
                <w:sz w:val="15"/>
                <w:szCs w:val="15"/>
                <w:color w:val="auto"/>
              </w:rPr>
            </w:pP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Art. 4</w:t>
            </w:r>
          </w:p>
        </w:tc>
        <w:tc>
          <w:tcPr>
            <w:tcW w:w="4960" w:type="dxa"/>
            <w:vAlign w:val="bottom"/>
            <w:tcBorders>
              <w:right w:val="single" w:sz="8" w:color="auto"/>
            </w:tcBorders>
          </w:tcPr>
          <w:p>
            <w:pPr>
              <w:jc w:val="right"/>
              <w:ind w:right="3520"/>
              <w:spacing w:after="0"/>
              <w:rPr>
                <w:sz w:val="20"/>
                <w:szCs w:val="20"/>
                <w:color w:val="auto"/>
              </w:rPr>
            </w:pPr>
            <w:r>
              <w:rPr>
                <w:rFonts w:ascii="Arial" w:cs="Arial" w:eastAsia="Arial" w:hAnsi="Arial"/>
                <w:sz w:val="12"/>
                <w:szCs w:val="12"/>
                <w:b w:val="1"/>
                <w:bCs w:val="1"/>
                <w:color w:val="auto"/>
              </w:rPr>
              <w:t>Registre des actions</w:t>
            </w:r>
          </w:p>
        </w:tc>
      </w:tr>
      <w:tr>
        <w:trPr>
          <w:trHeight w:val="260"/>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The Company shall maintain a share register in which it shall register the name, first name and place</w:t>
            </w:r>
          </w:p>
        </w:tc>
        <w:tc>
          <w:tcPr>
            <w:tcW w:w="240" w:type="dxa"/>
            <w:vAlign w:val="bottom"/>
            <w:tcBorders>
              <w:right w:val="single" w:sz="8" w:color="auto"/>
            </w:tcBorders>
          </w:tcPr>
          <w:p>
            <w:pPr>
              <w:spacing w:after="0"/>
              <w:rPr>
                <w:sz w:val="22"/>
                <w:szCs w:val="22"/>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La société tient un registre des actions nominatives, dans lequel sont inscrits le nom, le prénom et</w:t>
            </w: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of residence (in case of legal persons the place of incorporation) of the owners and usufructuaries of</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l'adresse (dans le cas d'une personne morale, le siège) des propriétaires et des usufruitiers des</w:t>
            </w: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its registered shares. Natural and legal persons as well as legal representatives of minors etc. entitled</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actions. Les personnes physiques et morales ainsi que les représentants légaux des mineurs etc.</w:t>
            </w: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by law to the voting rights of a share which they do not own will be noted in the share register upon</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autorisés par la loi à voter alors qu'ils ne sont pas propriétaires des actions seront, sur demande,</w:t>
            </w:r>
          </w:p>
        </w:tc>
      </w:tr>
      <w:tr>
        <w:trPr>
          <w:trHeight w:val="145"/>
        </w:trPr>
        <w:tc>
          <w:tcPr>
            <w:tcW w:w="760" w:type="dxa"/>
            <w:vAlign w:val="bottom"/>
            <w:tcBorders>
              <w:left w:val="single" w:sz="8" w:color="auto"/>
            </w:tcBorders>
          </w:tcPr>
          <w:p>
            <w:pPr>
              <w:ind w:left="40"/>
              <w:spacing w:after="0"/>
              <w:rPr>
                <w:sz w:val="20"/>
                <w:szCs w:val="20"/>
                <w:color w:val="auto"/>
              </w:rPr>
            </w:pPr>
            <w:r>
              <w:rPr>
                <w:rFonts w:ascii="Arial" w:cs="Arial" w:eastAsia="Arial" w:hAnsi="Arial"/>
                <w:sz w:val="12"/>
                <w:szCs w:val="12"/>
                <w:color w:val="auto"/>
              </w:rPr>
              <w:t>request.</w:t>
            </w:r>
          </w:p>
        </w:tc>
        <w:tc>
          <w:tcPr>
            <w:tcW w:w="4780" w:type="dxa"/>
            <w:vAlign w:val="bottom"/>
            <w:tcBorders>
              <w:right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inscrits dans le registre des actions.</w:t>
            </w:r>
          </w:p>
        </w:tc>
      </w:tr>
      <w:tr>
        <w:trPr>
          <w:trHeight w:val="36"/>
        </w:trPr>
        <w:tc>
          <w:tcPr>
            <w:tcW w:w="5540" w:type="dxa"/>
            <w:vAlign w:val="bottom"/>
            <w:tcBorders>
              <w:left w:val="single" w:sz="8" w:color="auto"/>
              <w:bottom w:val="single" w:sz="8" w:color="auto"/>
              <w:right w:val="single" w:sz="8" w:color="auto"/>
            </w:tcBorders>
            <w:gridSpan w:val="2"/>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520" w:type="dxa"/>
            <w:vAlign w:val="bottom"/>
            <w:tcBorders>
              <w:bottom w:val="single" w:sz="8" w:color="auto"/>
              <w:right w:val="single" w:sz="8" w:color="auto"/>
            </w:tcBorders>
            <w:gridSpan w:val="2"/>
          </w:tcPr>
          <w:p>
            <w:pPr>
              <w:spacing w:after="0"/>
              <w:rPr>
                <w:sz w:val="3"/>
                <w:szCs w:val="3"/>
                <w:color w:val="auto"/>
              </w:rPr>
            </w:pPr>
          </w:p>
        </w:tc>
      </w:tr>
      <w:tr>
        <w:trPr>
          <w:trHeight w:val="16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Upon request, acquirers of shares will be registered in the share register without limitation as</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Sur demande, les acquéreurs d'actions seront inscrits dans le registre des actions sans limitation</w:t>
            </w: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shareholders if they expressly certify that they acquired the shares in their own name and for their own</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comme actionnaires s'ils attestent expressément qu'ils ont acquis les actions en leur propre nom et</w:t>
            </w:r>
          </w:p>
        </w:tc>
      </w:tr>
      <w:tr>
        <w:trPr>
          <w:trHeight w:val="145"/>
        </w:trPr>
        <w:tc>
          <w:tcPr>
            <w:tcW w:w="760" w:type="dxa"/>
            <w:vAlign w:val="bottom"/>
            <w:tcBorders>
              <w:left w:val="single" w:sz="8" w:color="auto"/>
            </w:tcBorders>
          </w:tcPr>
          <w:p>
            <w:pPr>
              <w:ind w:left="40"/>
              <w:spacing w:after="0"/>
              <w:rPr>
                <w:sz w:val="20"/>
                <w:szCs w:val="20"/>
                <w:color w:val="auto"/>
              </w:rPr>
            </w:pPr>
            <w:r>
              <w:rPr>
                <w:rFonts w:ascii="Arial" w:cs="Arial" w:eastAsia="Arial" w:hAnsi="Arial"/>
                <w:sz w:val="12"/>
                <w:szCs w:val="12"/>
                <w:color w:val="auto"/>
              </w:rPr>
              <w:t>account.</w:t>
            </w:r>
          </w:p>
        </w:tc>
        <w:tc>
          <w:tcPr>
            <w:tcW w:w="4780" w:type="dxa"/>
            <w:vAlign w:val="bottom"/>
            <w:tcBorders>
              <w:right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pour leur propre compte.</w:t>
            </w:r>
          </w:p>
        </w:tc>
      </w:tr>
      <w:tr>
        <w:trPr>
          <w:trHeight w:val="36"/>
        </w:trPr>
        <w:tc>
          <w:tcPr>
            <w:tcW w:w="5540" w:type="dxa"/>
            <w:vAlign w:val="bottom"/>
            <w:tcBorders>
              <w:left w:val="single" w:sz="8" w:color="auto"/>
              <w:bottom w:val="single" w:sz="8" w:color="auto"/>
              <w:right w:val="single" w:sz="8" w:color="auto"/>
            </w:tcBorders>
            <w:gridSpan w:val="2"/>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520" w:type="dxa"/>
            <w:vAlign w:val="bottom"/>
            <w:tcBorders>
              <w:bottom w:val="single" w:sz="8" w:color="auto"/>
              <w:right w:val="single" w:sz="8" w:color="auto"/>
            </w:tcBorders>
            <w:gridSpan w:val="2"/>
          </w:tcPr>
          <w:p>
            <w:pPr>
              <w:spacing w:after="0"/>
              <w:rPr>
                <w:sz w:val="3"/>
                <w:szCs w:val="3"/>
                <w:color w:val="auto"/>
              </w:rPr>
            </w:pPr>
          </w:p>
        </w:tc>
      </w:tr>
      <w:tr>
        <w:trPr>
          <w:trHeight w:val="16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Persons who do not expressly declare in the registration application that they are holding the shares</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Les personnes qui ne déclarent pas expressément dans la demande d'inscription qu'ils détiennent les</w:t>
            </w: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on their own account (thereafter: nominees) shall forthwith be entered on the share register as</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actions pour leur propre compte (par la suite: les candidats) doivent immédiatement être inscrits dans</w:t>
            </w: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shareholders with voting rights up to a maximum of 3 percent of the share capital. Beyond that limit,</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le registre des actions comme actionnaires avec droit de vote pour un maximum de 3 pour cent du</w:t>
            </w: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registered shares of nominees shall only be entered as voting if the nominees in question confirm in</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capital-actions. Au-delà de cette limite, les actions nominatives des candidats ne sont inscrites avec</w:t>
            </w: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writing that they are willing to disclose the names, addresses and shareholdings of the persons on</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droit de vote que si les candidats en question confirment par écrit qu'ils sont prêts à divulguer les</w:t>
            </w: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whose account they hold 0.5 percent or more of the share capital. The Board of Directors concludes</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noms, adresses et participations des personnes pour le compte desquelles ils détiennent 0,5 pour</w:t>
            </w: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agreements with nominees that among other things govern the representation of shareholders and the</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cent ou plus du capital-actions. Le conseil d'administration conclut des accords avec les candidats</w:t>
            </w:r>
          </w:p>
        </w:tc>
      </w:tr>
      <w:tr>
        <w:trPr>
          <w:trHeight w:val="145"/>
        </w:trPr>
        <w:tc>
          <w:tcPr>
            <w:tcW w:w="760" w:type="dxa"/>
            <w:vAlign w:val="bottom"/>
            <w:tcBorders>
              <w:left w:val="single" w:sz="8" w:color="auto"/>
            </w:tcBorders>
          </w:tcPr>
          <w:p>
            <w:pPr>
              <w:ind w:left="40"/>
              <w:spacing w:after="0"/>
              <w:rPr>
                <w:sz w:val="20"/>
                <w:szCs w:val="20"/>
                <w:color w:val="auto"/>
              </w:rPr>
            </w:pPr>
            <w:r>
              <w:rPr>
                <w:rFonts w:ascii="Arial" w:cs="Arial" w:eastAsia="Arial" w:hAnsi="Arial"/>
                <w:sz w:val="12"/>
                <w:szCs w:val="12"/>
                <w:color w:val="auto"/>
              </w:rPr>
              <w:t>voting rights.</w:t>
            </w:r>
          </w:p>
        </w:tc>
        <w:tc>
          <w:tcPr>
            <w:tcW w:w="4780" w:type="dxa"/>
            <w:vAlign w:val="bottom"/>
            <w:tcBorders>
              <w:right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qui, entre autres choses, régissent la représentation des actionnaires et des droits de vote.</w:t>
            </w:r>
          </w:p>
        </w:tc>
      </w:tr>
      <w:tr>
        <w:trPr>
          <w:trHeight w:val="36"/>
        </w:trPr>
        <w:tc>
          <w:tcPr>
            <w:tcW w:w="5540" w:type="dxa"/>
            <w:vAlign w:val="bottom"/>
            <w:tcBorders>
              <w:left w:val="single" w:sz="8" w:color="auto"/>
              <w:bottom w:val="single" w:sz="8" w:color="auto"/>
              <w:right w:val="single" w:sz="8" w:color="auto"/>
            </w:tcBorders>
            <w:gridSpan w:val="2"/>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520" w:type="dxa"/>
            <w:vAlign w:val="bottom"/>
            <w:tcBorders>
              <w:bottom w:val="single" w:sz="8" w:color="auto"/>
              <w:right w:val="single" w:sz="8" w:color="auto"/>
            </w:tcBorders>
            <w:gridSpan w:val="2"/>
          </w:tcPr>
          <w:p>
            <w:pPr>
              <w:spacing w:after="0"/>
              <w:rPr>
                <w:sz w:val="3"/>
                <w:szCs w:val="3"/>
                <w:color w:val="auto"/>
              </w:rPr>
            </w:pPr>
          </w:p>
        </w:tc>
      </w:tr>
      <w:tr>
        <w:trPr>
          <w:trHeight w:val="16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After hearing the registered shareholder or nominee, the Board of Directors may remove entries in the</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Après avoir entendu l'actionnaire enregistré ou le candidat, le conseil d'administration peut supprimer</w:t>
            </w: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share register with retroactive effect as per the date of entry, if such entry was based on false</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des inscriptions dans le registre des actions avec effet rétroactif à la date d'inscription, si cette</w:t>
            </w: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information. The party affected must be informed of such removal immediately.</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inscription était basée sur de fausses informations. La partie touchée doit être immédiatement</w:t>
            </w:r>
          </w:p>
        </w:tc>
      </w:tr>
      <w:tr>
        <w:trPr>
          <w:trHeight w:val="145"/>
        </w:trPr>
        <w:tc>
          <w:tcPr>
            <w:tcW w:w="760" w:type="dxa"/>
            <w:vAlign w:val="bottom"/>
            <w:tcBorders>
              <w:left w:val="single" w:sz="8" w:color="auto"/>
            </w:tcBorders>
          </w:tcPr>
          <w:p>
            <w:pPr>
              <w:spacing w:after="0"/>
              <w:rPr>
                <w:sz w:val="12"/>
                <w:szCs w:val="12"/>
                <w:color w:val="auto"/>
              </w:rPr>
            </w:pPr>
          </w:p>
        </w:tc>
        <w:tc>
          <w:tcPr>
            <w:tcW w:w="4780" w:type="dxa"/>
            <w:vAlign w:val="bottom"/>
            <w:tcBorders>
              <w:right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informée de cette suppression.</w:t>
            </w:r>
          </w:p>
        </w:tc>
      </w:tr>
      <w:tr>
        <w:trPr>
          <w:trHeight w:val="36"/>
        </w:trPr>
        <w:tc>
          <w:tcPr>
            <w:tcW w:w="760" w:type="dxa"/>
            <w:vAlign w:val="bottom"/>
            <w:tcBorders>
              <w:left w:val="single" w:sz="8" w:color="auto"/>
              <w:bottom w:val="single" w:sz="8" w:color="auto"/>
            </w:tcBorders>
          </w:tcPr>
          <w:p>
            <w:pPr>
              <w:spacing w:after="0"/>
              <w:rPr>
                <w:sz w:val="3"/>
                <w:szCs w:val="3"/>
                <w:color w:val="auto"/>
              </w:rPr>
            </w:pPr>
          </w:p>
        </w:tc>
        <w:tc>
          <w:tcPr>
            <w:tcW w:w="4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493"/>
        </w:trPr>
        <w:tc>
          <w:tcPr>
            <w:tcW w:w="76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211" w:right="299" w:bottom="1440" w:gutter="0" w:footer="0" w:header="0"/>
        </w:sectPr>
      </w:pPr>
    </w:p>
    <w:bookmarkStart w:id="52" w:name="page53"/>
    <w:bookmarkEnd w:id="5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45"/>
        </w:trPr>
        <w:tc>
          <w:tcPr>
            <w:tcW w:w="50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20" w:type="dxa"/>
            <w:vAlign w:val="bottom"/>
          </w:tcPr>
          <w:p>
            <w:pPr>
              <w:jc w:val="right"/>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63"/>
        </w:trPr>
        <w:tc>
          <w:tcPr>
            <w:tcW w:w="5540" w:type="dxa"/>
            <w:vAlign w:val="bottom"/>
            <w:tcBorders>
              <w:bottom w:val="single" w:sz="8" w:color="auto"/>
            </w:tcBorders>
            <w:gridSpan w:val="2"/>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520" w:type="dxa"/>
            <w:vAlign w:val="bottom"/>
            <w:tcBorders>
              <w:bottom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554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2"/>
                <w:szCs w:val="12"/>
                <w:color w:val="auto"/>
              </w:rPr>
              <w:t>No individual or legal entity may, directly or indirectly, formally, constructively or beneficially own (as</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Aucune personne physique ou morale ne peut, directement ou indirectement, formellement ou</w:t>
            </w:r>
          </w:p>
        </w:tc>
        <w:tc>
          <w:tcPr>
            <w:tcW w:w="0" w:type="dxa"/>
            <w:vAlign w:val="bottom"/>
          </w:tcPr>
          <w:p>
            <w:pPr>
              <w:spacing w:after="0"/>
              <w:rPr>
                <w:sz w:val="1"/>
                <w:szCs w:val="1"/>
                <w:color w:val="auto"/>
              </w:rPr>
            </w:pPr>
          </w:p>
        </w:tc>
      </w:tr>
      <w:tr>
        <w:trPr>
          <w:trHeight w:val="135"/>
        </w:trPr>
        <w:tc>
          <w:tcPr>
            <w:tcW w:w="5540" w:type="dxa"/>
            <w:vAlign w:val="bottom"/>
            <w:tcBorders>
              <w:left w:val="single" w:sz="8" w:color="auto"/>
              <w:right w:val="single" w:sz="8" w:color="auto"/>
            </w:tcBorders>
            <w:gridSpan w:val="2"/>
          </w:tcPr>
          <w:p>
            <w:pPr>
              <w:jc w:val="right"/>
              <w:spacing w:after="0" w:line="135" w:lineRule="exact"/>
              <w:rPr>
                <w:sz w:val="20"/>
                <w:szCs w:val="20"/>
                <w:color w:val="auto"/>
              </w:rPr>
            </w:pPr>
            <w:r>
              <w:rPr>
                <w:rFonts w:ascii="Arial" w:cs="Arial" w:eastAsia="Arial" w:hAnsi="Arial"/>
                <w:sz w:val="12"/>
                <w:szCs w:val="12"/>
                <w:color w:val="auto"/>
              </w:rPr>
              <w:t>defined in the next paragraph below) or otherwise control voting rights ("Controlled Shares") with</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implicitement détenir à son profit (comme défini dans le paragraphe ci-dessous) ou, d'une autre</w:t>
            </w:r>
          </w:p>
        </w:tc>
        <w:tc>
          <w:tcPr>
            <w:tcW w:w="0" w:type="dxa"/>
            <w:vAlign w:val="bottom"/>
          </w:tcPr>
          <w:p>
            <w:pPr>
              <w:spacing w:after="0"/>
              <w:rPr>
                <w:sz w:val="1"/>
                <w:szCs w:val="1"/>
                <w:color w:val="auto"/>
              </w:rPr>
            </w:pPr>
          </w:p>
        </w:tc>
      </w:tr>
      <w:tr>
        <w:trPr>
          <w:trHeight w:val="180"/>
        </w:trPr>
        <w:tc>
          <w:tcPr>
            <w:tcW w:w="5540" w:type="dxa"/>
            <w:vAlign w:val="bottom"/>
            <w:tcBorders>
              <w:left w:val="single" w:sz="8" w:color="auto"/>
              <w:right w:val="single" w:sz="8" w:color="auto"/>
            </w:tcBorders>
            <w:gridSpan w:val="2"/>
          </w:tcPr>
          <w:p>
            <w:pPr>
              <w:jc w:val="right"/>
              <w:spacing w:after="0" w:line="180" w:lineRule="exact"/>
              <w:rPr>
                <w:sz w:val="20"/>
                <w:szCs w:val="20"/>
                <w:color w:val="auto"/>
              </w:rPr>
            </w:pPr>
            <w:r>
              <w:rPr>
                <w:rFonts w:ascii="Arial" w:cs="Arial" w:eastAsia="Arial" w:hAnsi="Arial"/>
                <w:sz w:val="12"/>
                <w:szCs w:val="12"/>
                <w:color w:val="auto"/>
              </w:rPr>
              <w:t xml:space="preserve">respect to 33 </w:t>
            </w:r>
            <w:r>
              <w:rPr>
                <w:rFonts w:ascii="Arial" w:cs="Arial" w:eastAsia="Arial" w:hAnsi="Arial"/>
                <w:sz w:val="19"/>
                <w:szCs w:val="19"/>
                <w:color w:val="auto"/>
                <w:vertAlign w:val="superscript"/>
              </w:rPr>
              <w:t>1</w:t>
            </w:r>
            <w:r>
              <w:rPr>
                <w:rFonts w:ascii="Arial" w:cs="Arial" w:eastAsia="Arial" w:hAnsi="Arial"/>
                <w:sz w:val="12"/>
                <w:szCs w:val="12"/>
                <w:color w:val="auto"/>
              </w:rPr>
              <w:t>/</w:t>
            </w:r>
            <w:r>
              <w:rPr>
                <w:rFonts w:ascii="Arial" w:cs="Arial" w:eastAsia="Arial" w:hAnsi="Arial"/>
                <w:sz w:val="19"/>
                <w:szCs w:val="19"/>
                <w:color w:val="auto"/>
                <w:vertAlign w:val="subscript"/>
              </w:rPr>
              <w:t>3</w:t>
            </w:r>
            <w:r>
              <w:rPr>
                <w:rFonts w:ascii="Arial" w:cs="Arial" w:eastAsia="Arial" w:hAnsi="Arial"/>
                <w:sz w:val="12"/>
                <w:szCs w:val="12"/>
                <w:color w:val="auto"/>
              </w:rPr>
              <w:t xml:space="preserve"> % or more of the registered share capital recorded in the Commercial Register</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gridSpan w:val="2"/>
          </w:tcPr>
          <w:p>
            <w:pPr>
              <w:jc w:val="right"/>
              <w:spacing w:after="0" w:line="180" w:lineRule="exact"/>
              <w:rPr>
                <w:sz w:val="20"/>
                <w:szCs w:val="20"/>
                <w:color w:val="auto"/>
              </w:rPr>
            </w:pPr>
            <w:r>
              <w:rPr>
                <w:rFonts w:ascii="Arial" w:cs="Arial" w:eastAsia="Arial" w:hAnsi="Arial"/>
                <w:sz w:val="12"/>
                <w:szCs w:val="12"/>
                <w:color w:val="auto"/>
              </w:rPr>
              <w:t xml:space="preserve">manière, contrôler le droit de vote (les "Actions Contrôlées") de 33 </w:t>
            </w:r>
            <w:r>
              <w:rPr>
                <w:rFonts w:ascii="Arial" w:cs="Arial" w:eastAsia="Arial" w:hAnsi="Arial"/>
                <w:sz w:val="19"/>
                <w:szCs w:val="19"/>
                <w:color w:val="auto"/>
                <w:vertAlign w:val="superscript"/>
              </w:rPr>
              <w:t>1</w:t>
            </w:r>
            <w:r>
              <w:rPr>
                <w:rFonts w:ascii="Arial" w:cs="Arial" w:eastAsia="Arial" w:hAnsi="Arial"/>
                <w:sz w:val="12"/>
                <w:szCs w:val="12"/>
                <w:color w:val="auto"/>
              </w:rPr>
              <w:t>/</w:t>
            </w:r>
            <w:r>
              <w:rPr>
                <w:rFonts w:ascii="Arial" w:cs="Arial" w:eastAsia="Arial" w:hAnsi="Arial"/>
                <w:sz w:val="19"/>
                <w:szCs w:val="19"/>
                <w:color w:val="auto"/>
                <w:vertAlign w:val="subscript"/>
              </w:rPr>
              <w:t>3</w:t>
            </w:r>
            <w:r>
              <w:rPr>
                <w:rFonts w:ascii="Arial" w:cs="Arial" w:eastAsia="Arial" w:hAnsi="Arial"/>
                <w:sz w:val="12"/>
                <w:szCs w:val="12"/>
                <w:color w:val="auto"/>
              </w:rPr>
              <w:t xml:space="preserve"> % ou plus du capital-actions</w:t>
            </w:r>
          </w:p>
        </w:tc>
        <w:tc>
          <w:tcPr>
            <w:tcW w:w="0" w:type="dxa"/>
            <w:vAlign w:val="bottom"/>
          </w:tcPr>
          <w:p>
            <w:pPr>
              <w:spacing w:after="0"/>
              <w:rPr>
                <w:sz w:val="1"/>
                <w:szCs w:val="1"/>
                <w:color w:val="auto"/>
              </w:rPr>
            </w:pPr>
          </w:p>
        </w:tc>
      </w:tr>
      <w:tr>
        <w:trPr>
          <w:trHeight w:val="135"/>
        </w:trPr>
        <w:tc>
          <w:tcPr>
            <w:tcW w:w="5540" w:type="dxa"/>
            <w:vAlign w:val="bottom"/>
            <w:tcBorders>
              <w:left w:val="single" w:sz="8" w:color="auto"/>
              <w:right w:val="single" w:sz="8" w:color="auto"/>
            </w:tcBorders>
            <w:gridSpan w:val="2"/>
          </w:tcPr>
          <w:p>
            <w:pPr>
              <w:jc w:val="right"/>
              <w:spacing w:after="0" w:line="135" w:lineRule="exact"/>
              <w:rPr>
                <w:sz w:val="20"/>
                <w:szCs w:val="20"/>
                <w:color w:val="auto"/>
              </w:rPr>
            </w:pPr>
            <w:r>
              <w:rPr>
                <w:rFonts w:ascii="Arial" w:cs="Arial" w:eastAsia="Arial" w:hAnsi="Arial"/>
                <w:sz w:val="12"/>
                <w:szCs w:val="12"/>
                <w:color w:val="auto"/>
              </w:rPr>
              <w:t>except if such individual or legal entity has submitted prior to the acquisition of such Controlled Shares</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jc w:val="right"/>
              <w:spacing w:after="0" w:line="135" w:lineRule="exact"/>
              <w:rPr>
                <w:sz w:val="20"/>
                <w:szCs w:val="20"/>
                <w:color w:val="auto"/>
              </w:rPr>
            </w:pPr>
            <w:r>
              <w:rPr>
                <w:rFonts w:ascii="Arial" w:cs="Arial" w:eastAsia="Arial" w:hAnsi="Arial"/>
                <w:sz w:val="12"/>
                <w:szCs w:val="12"/>
                <w:color w:val="auto"/>
              </w:rPr>
              <w:t>nominatif tel qu'inscrit au registre du commerce sauf si cette personne physique ou morale a présenté</w:t>
            </w:r>
          </w:p>
        </w:tc>
        <w:tc>
          <w:tcPr>
            <w:tcW w:w="0" w:type="dxa"/>
            <w:vAlign w:val="bottom"/>
          </w:tcPr>
          <w:p>
            <w:pPr>
              <w:spacing w:after="0"/>
              <w:rPr>
                <w:sz w:val="1"/>
                <w:szCs w:val="1"/>
                <w:color w:val="auto"/>
              </w:rPr>
            </w:pPr>
          </w:p>
        </w:tc>
      </w:tr>
      <w:tr>
        <w:trPr>
          <w:trHeight w:val="135"/>
        </w:trPr>
        <w:tc>
          <w:tcPr>
            <w:tcW w:w="5540" w:type="dxa"/>
            <w:vAlign w:val="bottom"/>
            <w:tcBorders>
              <w:left w:val="single" w:sz="8" w:color="auto"/>
              <w:right w:val="single" w:sz="8" w:color="auto"/>
            </w:tcBorders>
            <w:gridSpan w:val="2"/>
          </w:tcPr>
          <w:p>
            <w:pPr>
              <w:jc w:val="right"/>
              <w:spacing w:after="0" w:line="135" w:lineRule="exact"/>
              <w:rPr>
                <w:sz w:val="20"/>
                <w:szCs w:val="20"/>
                <w:color w:val="auto"/>
              </w:rPr>
            </w:pPr>
            <w:r>
              <w:rPr>
                <w:rFonts w:ascii="Arial" w:cs="Arial" w:eastAsia="Arial" w:hAnsi="Arial"/>
                <w:sz w:val="12"/>
                <w:szCs w:val="12"/>
                <w:color w:val="auto"/>
              </w:rPr>
              <w:t>an orderly tender offer to all shareholders with a minimum price of the higher of (i) the volume</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jc w:val="right"/>
              <w:spacing w:after="0" w:line="135" w:lineRule="exact"/>
              <w:rPr>
                <w:sz w:val="20"/>
                <w:szCs w:val="20"/>
                <w:color w:val="auto"/>
              </w:rPr>
            </w:pPr>
            <w:r>
              <w:rPr>
                <w:rFonts w:ascii="Arial" w:cs="Arial" w:eastAsia="Arial" w:hAnsi="Arial"/>
                <w:sz w:val="12"/>
                <w:szCs w:val="12"/>
                <w:color w:val="auto"/>
              </w:rPr>
              <w:t>avant l'acquisition de ces Actions Contrôlée une offre publique d'achat en bonne et due forme à tous</w:t>
            </w:r>
          </w:p>
        </w:tc>
        <w:tc>
          <w:tcPr>
            <w:tcW w:w="0" w:type="dxa"/>
            <w:vAlign w:val="bottom"/>
          </w:tcPr>
          <w:p>
            <w:pPr>
              <w:spacing w:after="0"/>
              <w:rPr>
                <w:sz w:val="1"/>
                <w:szCs w:val="1"/>
                <w:color w:val="auto"/>
              </w:rPr>
            </w:pPr>
          </w:p>
        </w:tc>
      </w:tr>
      <w:tr>
        <w:trPr>
          <w:trHeight w:val="135"/>
        </w:trPr>
        <w:tc>
          <w:tcPr>
            <w:tcW w:w="5540" w:type="dxa"/>
            <w:vAlign w:val="bottom"/>
            <w:tcBorders>
              <w:left w:val="single" w:sz="8" w:color="auto"/>
              <w:right w:val="single" w:sz="8" w:color="auto"/>
            </w:tcBorders>
            <w:gridSpan w:val="2"/>
          </w:tcPr>
          <w:p>
            <w:pPr>
              <w:jc w:val="right"/>
              <w:spacing w:after="0" w:line="135" w:lineRule="exact"/>
              <w:rPr>
                <w:sz w:val="20"/>
                <w:szCs w:val="20"/>
                <w:color w:val="auto"/>
              </w:rPr>
            </w:pPr>
            <w:r>
              <w:rPr>
                <w:rFonts w:ascii="Arial" w:cs="Arial" w:eastAsia="Arial" w:hAnsi="Arial"/>
                <w:sz w:val="12"/>
                <w:szCs w:val="12"/>
                <w:color w:val="auto"/>
              </w:rPr>
              <w:t>weighted average price of the last 60 trading days prior to the publication of the tender offer or (ii) the</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jc w:val="right"/>
              <w:spacing w:after="0" w:line="135" w:lineRule="exact"/>
              <w:rPr>
                <w:sz w:val="20"/>
                <w:szCs w:val="20"/>
                <w:color w:val="auto"/>
              </w:rPr>
            </w:pPr>
            <w:r>
              <w:rPr>
                <w:rFonts w:ascii="Arial" w:cs="Arial" w:eastAsia="Arial" w:hAnsi="Arial"/>
                <w:sz w:val="12"/>
                <w:szCs w:val="12"/>
                <w:color w:val="auto"/>
              </w:rPr>
              <w:t>les actionnaires à un prix minimum équivalent au montant le plus élevé entre (i) le cours moyen</w:t>
            </w:r>
          </w:p>
        </w:tc>
        <w:tc>
          <w:tcPr>
            <w:tcW w:w="0" w:type="dxa"/>
            <w:vAlign w:val="bottom"/>
          </w:tcPr>
          <w:p>
            <w:pPr>
              <w:spacing w:after="0"/>
              <w:rPr>
                <w:sz w:val="1"/>
                <w:szCs w:val="1"/>
                <w:color w:val="auto"/>
              </w:rPr>
            </w:pPr>
          </w:p>
        </w:tc>
      </w:tr>
      <w:tr>
        <w:trPr>
          <w:trHeight w:val="135"/>
        </w:trPr>
        <w:tc>
          <w:tcPr>
            <w:tcW w:w="5540" w:type="dxa"/>
            <w:vAlign w:val="bottom"/>
            <w:tcBorders>
              <w:left w:val="single" w:sz="8" w:color="auto"/>
              <w:right w:val="single" w:sz="8" w:color="auto"/>
            </w:tcBorders>
            <w:gridSpan w:val="2"/>
          </w:tcPr>
          <w:p>
            <w:pPr>
              <w:jc w:val="right"/>
              <w:spacing w:after="0" w:line="135" w:lineRule="exact"/>
              <w:rPr>
                <w:sz w:val="20"/>
                <w:szCs w:val="20"/>
                <w:color w:val="auto"/>
              </w:rPr>
            </w:pPr>
            <w:r>
              <w:rPr>
                <w:rFonts w:ascii="Arial" w:cs="Arial" w:eastAsia="Arial" w:hAnsi="Arial"/>
                <w:sz w:val="12"/>
                <w:szCs w:val="12"/>
                <w:color w:val="auto"/>
              </w:rPr>
              <w:t>highest price paid by such individual or legal entity in the 12 months preceding to the publication of the</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jc w:val="right"/>
              <w:spacing w:after="0" w:line="135" w:lineRule="exact"/>
              <w:rPr>
                <w:sz w:val="20"/>
                <w:szCs w:val="20"/>
                <w:color w:val="auto"/>
              </w:rPr>
            </w:pPr>
            <w:r>
              <w:rPr>
                <w:rFonts w:ascii="Arial" w:cs="Arial" w:eastAsia="Arial" w:hAnsi="Arial"/>
                <w:sz w:val="12"/>
                <w:szCs w:val="12"/>
                <w:color w:val="auto"/>
              </w:rPr>
              <w:t>pondéré en fonction du volume des 60 derniers jours de bourse précédant la publication de l'offre</w:t>
            </w:r>
          </w:p>
        </w:tc>
        <w:tc>
          <w:tcPr>
            <w:tcW w:w="0" w:type="dxa"/>
            <w:vAlign w:val="bottom"/>
          </w:tcPr>
          <w:p>
            <w:pPr>
              <w:spacing w:after="0"/>
              <w:rPr>
                <w:sz w:val="1"/>
                <w:szCs w:val="1"/>
                <w:color w:val="auto"/>
              </w:rPr>
            </w:pPr>
          </w:p>
        </w:tc>
      </w:tr>
      <w:tr>
        <w:trPr>
          <w:trHeight w:val="135"/>
        </w:trPr>
        <w:tc>
          <w:tcPr>
            <w:tcW w:w="5540" w:type="dxa"/>
            <w:vAlign w:val="bottom"/>
            <w:tcBorders>
              <w:left w:val="single" w:sz="8" w:color="auto"/>
              <w:right w:val="single" w:sz="8" w:color="auto"/>
            </w:tcBorders>
            <w:gridSpan w:val="2"/>
          </w:tcPr>
          <w:p>
            <w:pPr>
              <w:jc w:val="right"/>
              <w:spacing w:after="0" w:line="135" w:lineRule="exact"/>
              <w:rPr>
                <w:sz w:val="20"/>
                <w:szCs w:val="20"/>
                <w:color w:val="auto"/>
              </w:rPr>
            </w:pPr>
            <w:r>
              <w:rPr>
                <w:rFonts w:ascii="Arial" w:cs="Arial" w:eastAsia="Arial" w:hAnsi="Arial"/>
                <w:sz w:val="12"/>
                <w:szCs w:val="12"/>
                <w:color w:val="auto"/>
              </w:rPr>
              <w:t>tender offer. Those associated through capital, voting power, joint management or in any other way, or</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jc w:val="right"/>
              <w:spacing w:after="0" w:line="135" w:lineRule="exact"/>
              <w:rPr>
                <w:sz w:val="20"/>
                <w:szCs w:val="20"/>
                <w:color w:val="auto"/>
              </w:rPr>
            </w:pPr>
            <w:r>
              <w:rPr>
                <w:rFonts w:ascii="Arial" w:cs="Arial" w:eastAsia="Arial" w:hAnsi="Arial"/>
                <w:sz w:val="12"/>
                <w:szCs w:val="12"/>
                <w:color w:val="auto"/>
              </w:rPr>
              <w:t>publique d'achat et (ii) le plus haut prix payé par cette personne physique ou morale dans les 12 mois</w:t>
            </w:r>
          </w:p>
        </w:tc>
        <w:tc>
          <w:tcPr>
            <w:tcW w:w="0" w:type="dxa"/>
            <w:vAlign w:val="bottom"/>
          </w:tcPr>
          <w:p>
            <w:pPr>
              <w:spacing w:after="0"/>
              <w:rPr>
                <w:sz w:val="1"/>
                <w:szCs w:val="1"/>
                <w:color w:val="auto"/>
              </w:rPr>
            </w:pPr>
          </w:p>
        </w:tc>
      </w:tr>
      <w:tr>
        <w:trPr>
          <w:trHeight w:val="135"/>
        </w:trPr>
        <w:tc>
          <w:tcPr>
            <w:tcW w:w="5540" w:type="dxa"/>
            <w:vAlign w:val="bottom"/>
            <w:tcBorders>
              <w:left w:val="single" w:sz="8" w:color="auto"/>
              <w:right w:val="single" w:sz="8" w:color="auto"/>
            </w:tcBorders>
            <w:gridSpan w:val="2"/>
          </w:tcPr>
          <w:p>
            <w:pPr>
              <w:jc w:val="right"/>
              <w:spacing w:after="0" w:line="135" w:lineRule="exact"/>
              <w:rPr>
                <w:sz w:val="20"/>
                <w:szCs w:val="20"/>
                <w:color w:val="auto"/>
              </w:rPr>
            </w:pPr>
            <w:r>
              <w:rPr>
                <w:rFonts w:ascii="Arial" w:cs="Arial" w:eastAsia="Arial" w:hAnsi="Arial"/>
                <w:sz w:val="12"/>
                <w:szCs w:val="12"/>
                <w:color w:val="auto"/>
              </w:rPr>
              <w:t>joining for the acquisition of shares, shall be regarded as one person. The registered shares</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jc w:val="right"/>
              <w:spacing w:after="0" w:line="135" w:lineRule="exact"/>
              <w:rPr>
                <w:sz w:val="20"/>
                <w:szCs w:val="20"/>
                <w:color w:val="auto"/>
              </w:rPr>
            </w:pPr>
            <w:r>
              <w:rPr>
                <w:rFonts w:ascii="Arial" w:cs="Arial" w:eastAsia="Arial" w:hAnsi="Arial"/>
                <w:sz w:val="12"/>
                <w:szCs w:val="12"/>
                <w:color w:val="auto"/>
              </w:rPr>
              <w:t>précédant la publication de l'offre publique d'achat. Les personnes associées par le capital, les droits</w:t>
            </w:r>
          </w:p>
        </w:tc>
        <w:tc>
          <w:tcPr>
            <w:tcW w:w="0" w:type="dxa"/>
            <w:vAlign w:val="bottom"/>
          </w:tcPr>
          <w:p>
            <w:pPr>
              <w:spacing w:after="0"/>
              <w:rPr>
                <w:sz w:val="1"/>
                <w:szCs w:val="1"/>
                <w:color w:val="auto"/>
              </w:rPr>
            </w:pPr>
          </w:p>
        </w:tc>
      </w:tr>
      <w:tr>
        <w:trPr>
          <w:trHeight w:val="136"/>
        </w:trPr>
        <w:tc>
          <w:tcPr>
            <w:tcW w:w="5540" w:type="dxa"/>
            <w:vAlign w:val="bottom"/>
            <w:tcBorders>
              <w:left w:val="single" w:sz="8" w:color="auto"/>
              <w:right w:val="single" w:sz="8" w:color="auto"/>
            </w:tcBorders>
            <w:gridSpan w:val="2"/>
          </w:tcPr>
          <w:p>
            <w:pPr>
              <w:jc w:val="right"/>
              <w:spacing w:after="0" w:line="136" w:lineRule="exact"/>
              <w:rPr>
                <w:sz w:val="20"/>
                <w:szCs w:val="20"/>
                <w:color w:val="auto"/>
              </w:rPr>
            </w:pPr>
            <w:r>
              <w:rPr>
                <w:rFonts w:ascii="Arial" w:cs="Arial" w:eastAsia="Arial" w:hAnsi="Arial"/>
                <w:sz w:val="10"/>
                <w:szCs w:val="10"/>
                <w:color w:val="auto"/>
              </w:rPr>
              <w:t xml:space="preserve">exceeding the limit of 33 </w:t>
            </w:r>
            <w:r>
              <w:rPr>
                <w:rFonts w:ascii="Arial" w:cs="Arial" w:eastAsia="Arial" w:hAnsi="Arial"/>
                <w:sz w:val="15"/>
                <w:szCs w:val="15"/>
                <w:color w:val="auto"/>
                <w:vertAlign w:val="superscript"/>
              </w:rPr>
              <w:t>1</w:t>
            </w:r>
            <w:r>
              <w:rPr>
                <w:rFonts w:ascii="Arial" w:cs="Arial" w:eastAsia="Arial" w:hAnsi="Arial"/>
                <w:sz w:val="10"/>
                <w:szCs w:val="10"/>
                <w:color w:val="auto"/>
              </w:rPr>
              <w:t>/</w:t>
            </w:r>
            <w:r>
              <w:rPr>
                <w:rFonts w:ascii="Arial" w:cs="Arial" w:eastAsia="Arial" w:hAnsi="Arial"/>
                <w:sz w:val="15"/>
                <w:szCs w:val="15"/>
                <w:color w:val="auto"/>
                <w:vertAlign w:val="subscript"/>
              </w:rPr>
              <w:t>3</w:t>
            </w:r>
            <w:r>
              <w:rPr>
                <w:rFonts w:ascii="Arial" w:cs="Arial" w:eastAsia="Arial" w:hAnsi="Arial"/>
                <w:sz w:val="10"/>
                <w:szCs w:val="10"/>
                <w:color w:val="auto"/>
              </w:rPr>
              <w:t xml:space="preserve"> % and not benefiting from the exemption regarding a tender offer shall be</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jc w:val="right"/>
              <w:spacing w:after="0" w:line="136" w:lineRule="exact"/>
              <w:rPr>
                <w:sz w:val="20"/>
                <w:szCs w:val="20"/>
                <w:color w:val="auto"/>
              </w:rPr>
            </w:pPr>
            <w:r>
              <w:rPr>
                <w:rFonts w:ascii="Arial" w:cs="Arial" w:eastAsia="Arial" w:hAnsi="Arial"/>
                <w:sz w:val="12"/>
                <w:szCs w:val="12"/>
                <w:color w:val="auto"/>
              </w:rPr>
              <w:t>de vote, une gestion commune ou de toute autre manière, ou qui se joignent pour une acquisition</w:t>
            </w:r>
          </w:p>
        </w:tc>
        <w:tc>
          <w:tcPr>
            <w:tcW w:w="0" w:type="dxa"/>
            <w:vAlign w:val="bottom"/>
          </w:tcPr>
          <w:p>
            <w:pPr>
              <w:spacing w:after="0"/>
              <w:rPr>
                <w:sz w:val="1"/>
                <w:szCs w:val="1"/>
                <w:color w:val="auto"/>
              </w:rPr>
            </w:pPr>
          </w:p>
        </w:tc>
      </w:tr>
      <w:tr>
        <w:trPr>
          <w:trHeight w:val="135"/>
        </w:trPr>
        <w:tc>
          <w:tcPr>
            <w:tcW w:w="5540" w:type="dxa"/>
            <w:vAlign w:val="bottom"/>
            <w:tcBorders>
              <w:left w:val="single" w:sz="8" w:color="auto"/>
              <w:right w:val="single" w:sz="8" w:color="auto"/>
            </w:tcBorders>
            <w:gridSpan w:val="2"/>
            <w:vMerge w:val="restart"/>
          </w:tcPr>
          <w:p>
            <w:pPr>
              <w:ind w:left="40"/>
              <w:spacing w:after="0"/>
              <w:rPr>
                <w:sz w:val="20"/>
                <w:szCs w:val="20"/>
                <w:color w:val="auto"/>
              </w:rPr>
            </w:pPr>
            <w:r>
              <w:rPr>
                <w:rFonts w:ascii="Arial" w:cs="Arial" w:eastAsia="Arial" w:hAnsi="Arial"/>
                <w:sz w:val="12"/>
                <w:szCs w:val="12"/>
                <w:color w:val="auto"/>
              </w:rPr>
              <w:t>entered in the share register as shares without voting rights.</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jc w:val="right"/>
              <w:spacing w:after="0" w:line="134" w:lineRule="exact"/>
              <w:rPr>
                <w:sz w:val="20"/>
                <w:szCs w:val="20"/>
                <w:color w:val="auto"/>
              </w:rPr>
            </w:pPr>
            <w:r>
              <w:rPr>
                <w:rFonts w:ascii="Arial" w:cs="Arial" w:eastAsia="Arial" w:hAnsi="Arial"/>
                <w:sz w:val="12"/>
                <w:szCs w:val="12"/>
                <w:color w:val="auto"/>
              </w:rPr>
              <w:t>d'actions, sont considérées comme une personne. Les actions nominatives dépassant la limite de 33</w:t>
            </w:r>
          </w:p>
        </w:tc>
        <w:tc>
          <w:tcPr>
            <w:tcW w:w="0" w:type="dxa"/>
            <w:vAlign w:val="bottom"/>
          </w:tcPr>
          <w:p>
            <w:pPr>
              <w:spacing w:after="0"/>
              <w:rPr>
                <w:sz w:val="1"/>
                <w:szCs w:val="1"/>
                <w:color w:val="auto"/>
              </w:rPr>
            </w:pPr>
          </w:p>
        </w:tc>
      </w:tr>
      <w:tr>
        <w:trPr>
          <w:trHeight w:val="54"/>
        </w:trPr>
        <w:tc>
          <w:tcPr>
            <w:tcW w:w="5540" w:type="dxa"/>
            <w:vAlign w:val="bottom"/>
            <w:tcBorders>
              <w:left w:val="single" w:sz="8" w:color="auto"/>
              <w:right w:val="single" w:sz="8" w:color="auto"/>
            </w:tcBorders>
            <w:gridSpan w:val="2"/>
            <w:vMerge w:val="continue"/>
          </w:tcPr>
          <w:p>
            <w:pPr>
              <w:spacing w:after="0"/>
              <w:rPr>
                <w:sz w:val="4"/>
                <w:szCs w:val="4"/>
                <w:color w:val="auto"/>
              </w:rPr>
            </w:pPr>
          </w:p>
        </w:tc>
        <w:tc>
          <w:tcPr>
            <w:tcW w:w="240" w:type="dxa"/>
            <w:vAlign w:val="bottom"/>
            <w:tcBorders>
              <w:right w:val="single" w:sz="8" w:color="auto"/>
            </w:tcBorders>
          </w:tcPr>
          <w:p>
            <w:pPr>
              <w:spacing w:after="0"/>
              <w:rPr>
                <w:sz w:val="4"/>
                <w:szCs w:val="4"/>
                <w:color w:val="auto"/>
              </w:rPr>
            </w:pPr>
          </w:p>
        </w:tc>
        <w:tc>
          <w:tcPr>
            <w:tcW w:w="5520" w:type="dxa"/>
            <w:vAlign w:val="bottom"/>
            <w:tcBorders>
              <w:right w:val="single" w:sz="8" w:color="auto"/>
            </w:tcBorders>
            <w:gridSpan w:val="2"/>
            <w:vMerge w:val="restart"/>
          </w:tcPr>
          <w:p>
            <w:pPr>
              <w:jc w:val="right"/>
              <w:spacing w:after="0" w:line="180" w:lineRule="exact"/>
              <w:rPr>
                <w:sz w:val="20"/>
                <w:szCs w:val="20"/>
                <w:color w:val="auto"/>
              </w:rPr>
            </w:pPr>
            <w:r>
              <w:rPr>
                <w:rFonts w:ascii="Arial" w:cs="Arial" w:eastAsia="Arial" w:hAnsi="Arial"/>
                <w:sz w:val="19"/>
                <w:szCs w:val="19"/>
                <w:color w:val="auto"/>
                <w:vertAlign w:val="superscript"/>
              </w:rPr>
              <w:t>1</w:t>
            </w:r>
            <w:r>
              <w:rPr>
                <w:rFonts w:ascii="Arial" w:cs="Arial" w:eastAsia="Arial" w:hAnsi="Arial"/>
                <w:sz w:val="12"/>
                <w:szCs w:val="12"/>
                <w:color w:val="auto"/>
              </w:rPr>
              <w:t>/</w:t>
            </w:r>
            <w:r>
              <w:rPr>
                <w:rFonts w:ascii="Arial" w:cs="Arial" w:eastAsia="Arial" w:hAnsi="Arial"/>
                <w:sz w:val="19"/>
                <w:szCs w:val="19"/>
                <w:color w:val="auto"/>
                <w:vertAlign w:val="subscript"/>
              </w:rPr>
              <w:t>3</w:t>
            </w:r>
            <w:r>
              <w:rPr>
                <w:rFonts w:ascii="Arial" w:cs="Arial" w:eastAsia="Arial" w:hAnsi="Arial"/>
                <w:sz w:val="12"/>
                <w:szCs w:val="12"/>
                <w:color w:val="auto"/>
              </w:rPr>
              <w:t xml:space="preserve"> % et ne bénéficiant pas de l'exemption relative à une offre publique d'achat sont inscrites dans le</w:t>
            </w:r>
          </w:p>
        </w:tc>
        <w:tc>
          <w:tcPr>
            <w:tcW w:w="0" w:type="dxa"/>
            <w:vAlign w:val="bottom"/>
          </w:tcPr>
          <w:p>
            <w:pPr>
              <w:spacing w:after="0"/>
              <w:rPr>
                <w:sz w:val="1"/>
                <w:szCs w:val="1"/>
                <w:color w:val="auto"/>
              </w:rPr>
            </w:pPr>
          </w:p>
        </w:tc>
      </w:tr>
      <w:tr>
        <w:trPr>
          <w:trHeight w:val="125"/>
        </w:trPr>
        <w:tc>
          <w:tcPr>
            <w:tcW w:w="500" w:type="dxa"/>
            <w:vAlign w:val="bottom"/>
            <w:tcBorders>
              <w:left w:val="single" w:sz="8" w:color="auto"/>
            </w:tcBorders>
          </w:tcPr>
          <w:p>
            <w:pPr>
              <w:spacing w:after="0"/>
              <w:rPr>
                <w:sz w:val="10"/>
                <w:szCs w:val="10"/>
                <w:color w:val="auto"/>
              </w:rPr>
            </w:pPr>
          </w:p>
        </w:tc>
        <w:tc>
          <w:tcPr>
            <w:tcW w:w="5040" w:type="dxa"/>
            <w:vAlign w:val="bottom"/>
            <w:tcBorders>
              <w:right w:val="single" w:sz="8" w:color="auto"/>
            </w:tcBorders>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552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500" w:type="dxa"/>
            <w:vAlign w:val="bottom"/>
            <w:tcBorders>
              <w:left w:val="single" w:sz="8" w:color="auto"/>
            </w:tcBorders>
          </w:tcPr>
          <w:p>
            <w:pPr>
              <w:spacing w:after="0"/>
              <w:rPr>
                <w:sz w:val="12"/>
                <w:szCs w:val="12"/>
                <w:color w:val="auto"/>
              </w:rPr>
            </w:pPr>
          </w:p>
        </w:tc>
        <w:tc>
          <w:tcPr>
            <w:tcW w:w="5040" w:type="dxa"/>
            <w:vAlign w:val="bottom"/>
            <w:tcBorders>
              <w:right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registre des actions comme des actions sans droit de vote.</w:t>
            </w:r>
          </w:p>
        </w:tc>
        <w:tc>
          <w:tcPr>
            <w:tcW w:w="0" w:type="dxa"/>
            <w:vAlign w:val="bottom"/>
          </w:tcPr>
          <w:p>
            <w:pPr>
              <w:spacing w:after="0"/>
              <w:rPr>
                <w:sz w:val="1"/>
                <w:szCs w:val="1"/>
                <w:color w:val="auto"/>
              </w:rPr>
            </w:pPr>
          </w:p>
        </w:tc>
      </w:tr>
      <w:tr>
        <w:trPr>
          <w:trHeight w:val="36"/>
        </w:trPr>
        <w:tc>
          <w:tcPr>
            <w:tcW w:w="5540" w:type="dxa"/>
            <w:vAlign w:val="bottom"/>
            <w:tcBorders>
              <w:left w:val="single" w:sz="8" w:color="auto"/>
              <w:bottom w:val="single" w:sz="8" w:color="auto"/>
              <w:right w:val="single" w:sz="8" w:color="auto"/>
            </w:tcBorders>
            <w:gridSpan w:val="2"/>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5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For the purposes of this Article 4, "Controlled Shares" in reference to any individual or entity means:</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jc w:val="right"/>
              <w:spacing w:after="0"/>
              <w:rPr>
                <w:sz w:val="20"/>
                <w:szCs w:val="20"/>
                <w:color w:val="auto"/>
              </w:rPr>
            </w:pPr>
            <w:r>
              <w:rPr>
                <w:rFonts w:ascii="Arial" w:cs="Arial" w:eastAsia="Arial" w:hAnsi="Arial"/>
                <w:sz w:val="12"/>
                <w:szCs w:val="12"/>
                <w:color w:val="auto"/>
              </w:rPr>
              <w:t>Aux fins du présent article 4, Actions Contrôlées signifie en référence à toute personne physique ou</w:t>
            </w:r>
          </w:p>
        </w:tc>
        <w:tc>
          <w:tcPr>
            <w:tcW w:w="0" w:type="dxa"/>
            <w:vAlign w:val="bottom"/>
          </w:tcPr>
          <w:p>
            <w:pPr>
              <w:spacing w:after="0"/>
              <w:rPr>
                <w:sz w:val="1"/>
                <w:szCs w:val="1"/>
                <w:color w:val="auto"/>
              </w:rPr>
            </w:pPr>
          </w:p>
        </w:tc>
      </w:tr>
      <w:tr>
        <w:trPr>
          <w:trHeight w:val="145"/>
        </w:trPr>
        <w:tc>
          <w:tcPr>
            <w:tcW w:w="5540" w:type="dxa"/>
            <w:vAlign w:val="bottom"/>
            <w:tcBorders>
              <w:left w:val="single" w:sz="8" w:color="auto"/>
              <w:right w:val="single" w:sz="8" w:color="auto"/>
            </w:tcBorders>
            <w:gridSpan w:val="2"/>
            <w:vMerge w:val="restart"/>
          </w:tcPr>
          <w:p>
            <w:pPr>
              <w:jc w:val="right"/>
              <w:spacing w:after="0"/>
              <w:rPr>
                <w:sz w:val="20"/>
                <w:szCs w:val="20"/>
                <w:color w:val="auto"/>
              </w:rPr>
            </w:pPr>
            <w:r>
              <w:rPr>
                <w:rFonts w:ascii="Arial" w:cs="Arial" w:eastAsia="Arial" w:hAnsi="Arial"/>
                <w:sz w:val="12"/>
                <w:szCs w:val="12"/>
                <w:color w:val="auto"/>
              </w:rPr>
              <w:t>(a)  all shares of the Company directly, indirectly or constructively owned by such individual or entity;</w:t>
            </w:r>
          </w:p>
        </w:tc>
        <w:tc>
          <w:tcPr>
            <w:tcW w:w="240" w:type="dxa"/>
            <w:vAlign w:val="bottom"/>
            <w:tcBorders>
              <w:right w:val="single" w:sz="8" w:color="auto"/>
            </w:tcBorders>
          </w:tcPr>
          <w:p>
            <w:pPr>
              <w:spacing w:after="0"/>
              <w:rPr>
                <w:sz w:val="12"/>
                <w:szCs w:val="12"/>
                <w:color w:val="auto"/>
              </w:rPr>
            </w:pPr>
          </w:p>
        </w:tc>
        <w:tc>
          <w:tcPr>
            <w:tcW w:w="500" w:type="dxa"/>
            <w:vAlign w:val="bottom"/>
          </w:tcPr>
          <w:p>
            <w:pPr>
              <w:ind w:left="40"/>
              <w:spacing w:after="0"/>
              <w:rPr>
                <w:sz w:val="20"/>
                <w:szCs w:val="20"/>
                <w:color w:val="auto"/>
              </w:rPr>
            </w:pPr>
            <w:r>
              <w:rPr>
                <w:rFonts w:ascii="Arial" w:cs="Arial" w:eastAsia="Arial" w:hAnsi="Arial"/>
                <w:sz w:val="12"/>
                <w:szCs w:val="12"/>
                <w:color w:val="auto"/>
              </w:rPr>
              <w:t>morale:</w:t>
            </w:r>
          </w:p>
        </w:tc>
        <w:tc>
          <w:tcPr>
            <w:tcW w:w="50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5540" w:type="dxa"/>
            <w:vAlign w:val="bottom"/>
            <w:tcBorders>
              <w:left w:val="single" w:sz="8" w:color="auto"/>
              <w:right w:val="single" w:sz="8" w:color="auto"/>
            </w:tcBorders>
            <w:gridSpan w:val="2"/>
            <w:vMerge w:val="continue"/>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50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540" w:type="dxa"/>
            <w:vAlign w:val="bottom"/>
            <w:tcBorders>
              <w:left w:val="single" w:sz="8" w:color="auto"/>
              <w:right w:val="single" w:sz="8" w:color="auto"/>
            </w:tcBorders>
            <w:gridSpan w:val="2"/>
          </w:tcPr>
          <w:p>
            <w:pPr>
              <w:ind w:left="300"/>
              <w:spacing w:after="0" w:line="135" w:lineRule="exact"/>
              <w:rPr>
                <w:sz w:val="20"/>
                <w:szCs w:val="20"/>
                <w:color w:val="auto"/>
              </w:rPr>
            </w:pPr>
            <w:r>
              <w:rPr>
                <w:rFonts w:ascii="Arial" w:cs="Arial" w:eastAsia="Arial" w:hAnsi="Arial"/>
                <w:sz w:val="12"/>
                <w:szCs w:val="12"/>
                <w:color w:val="auto"/>
              </w:rPr>
              <w:t>provided that</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jc w:val="right"/>
              <w:spacing w:after="0" w:line="135" w:lineRule="exact"/>
              <w:rPr>
                <w:sz w:val="20"/>
                <w:szCs w:val="20"/>
                <w:color w:val="auto"/>
              </w:rPr>
            </w:pPr>
            <w:r>
              <w:rPr>
                <w:rFonts w:ascii="Arial" w:cs="Arial" w:eastAsia="Arial" w:hAnsi="Arial"/>
                <w:sz w:val="12"/>
                <w:szCs w:val="12"/>
                <w:color w:val="auto"/>
              </w:rPr>
              <w:t>(a)  toutes actions directement, indirectement ou implicitement détenues par cette personne physique</w:t>
            </w:r>
          </w:p>
        </w:tc>
        <w:tc>
          <w:tcPr>
            <w:tcW w:w="0" w:type="dxa"/>
            <w:vAlign w:val="bottom"/>
          </w:tcPr>
          <w:p>
            <w:pPr>
              <w:spacing w:after="0"/>
              <w:rPr>
                <w:sz w:val="1"/>
                <w:szCs w:val="1"/>
                <w:color w:val="auto"/>
              </w:rPr>
            </w:pPr>
          </w:p>
        </w:tc>
      </w:tr>
      <w:tr>
        <w:trPr>
          <w:trHeight w:val="145"/>
        </w:trPr>
        <w:tc>
          <w:tcPr>
            <w:tcW w:w="500" w:type="dxa"/>
            <w:vAlign w:val="bottom"/>
            <w:tcBorders>
              <w:left w:val="single" w:sz="8" w:color="auto"/>
            </w:tcBorders>
          </w:tcPr>
          <w:p>
            <w:pPr>
              <w:spacing w:after="0"/>
              <w:rPr>
                <w:sz w:val="12"/>
                <w:szCs w:val="12"/>
                <w:color w:val="auto"/>
              </w:rPr>
            </w:pPr>
          </w:p>
        </w:tc>
        <w:tc>
          <w:tcPr>
            <w:tcW w:w="5040" w:type="dxa"/>
            <w:vAlign w:val="bottom"/>
            <w:tcBorders>
              <w:right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300"/>
              <w:spacing w:after="0"/>
              <w:rPr>
                <w:sz w:val="20"/>
                <w:szCs w:val="20"/>
                <w:color w:val="auto"/>
              </w:rPr>
            </w:pPr>
            <w:r>
              <w:rPr>
                <w:rFonts w:ascii="Arial" w:cs="Arial" w:eastAsia="Arial" w:hAnsi="Arial"/>
                <w:sz w:val="12"/>
                <w:szCs w:val="12"/>
                <w:color w:val="auto"/>
              </w:rPr>
              <w:t>ou morale, à condition que</w:t>
            </w:r>
          </w:p>
        </w:tc>
        <w:tc>
          <w:tcPr>
            <w:tcW w:w="0" w:type="dxa"/>
            <w:vAlign w:val="bottom"/>
          </w:tcPr>
          <w:p>
            <w:pPr>
              <w:spacing w:after="0"/>
              <w:rPr>
                <w:sz w:val="1"/>
                <w:szCs w:val="1"/>
                <w:color w:val="auto"/>
              </w:rPr>
            </w:pPr>
          </w:p>
        </w:tc>
      </w:tr>
      <w:tr>
        <w:trPr>
          <w:trHeight w:val="260"/>
        </w:trPr>
        <w:tc>
          <w:tcPr>
            <w:tcW w:w="554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2"/>
                <w:szCs w:val="12"/>
                <w:color w:val="auto"/>
              </w:rPr>
              <w:t>(i)   shares owned, directly or indirectly, by or for a partnership, or trust or estate will be</w:t>
            </w:r>
          </w:p>
        </w:tc>
        <w:tc>
          <w:tcPr>
            <w:tcW w:w="240" w:type="dxa"/>
            <w:vAlign w:val="bottom"/>
            <w:tcBorders>
              <w:right w:val="single" w:sz="8" w:color="auto"/>
            </w:tcBorders>
          </w:tcPr>
          <w:p>
            <w:pPr>
              <w:spacing w:after="0"/>
              <w:rPr>
                <w:sz w:val="22"/>
                <w:szCs w:val="22"/>
                <w:color w:val="auto"/>
              </w:rPr>
            </w:pPr>
          </w:p>
        </w:tc>
        <w:tc>
          <w:tcPr>
            <w:tcW w:w="5520" w:type="dxa"/>
            <w:vAlign w:val="bottom"/>
            <w:tcBorders>
              <w:right w:val="single" w:sz="8" w:color="auto"/>
            </w:tcBorders>
            <w:gridSpan w:val="2"/>
          </w:tcPr>
          <w:p>
            <w:pPr>
              <w:jc w:val="right"/>
              <w:spacing w:after="0"/>
              <w:rPr>
                <w:sz w:val="20"/>
                <w:szCs w:val="20"/>
                <w:color w:val="auto"/>
              </w:rPr>
            </w:pPr>
            <w:r>
              <w:rPr>
                <w:rFonts w:ascii="Arial" w:cs="Arial" w:eastAsia="Arial" w:hAnsi="Arial"/>
                <w:sz w:val="12"/>
                <w:szCs w:val="12"/>
                <w:color w:val="auto"/>
              </w:rPr>
              <w:t>(i)   les actions détenues, directement ou indirectement, par ou pour un partenariat, une fiducie</w:t>
            </w:r>
          </w:p>
        </w:tc>
        <w:tc>
          <w:tcPr>
            <w:tcW w:w="0" w:type="dxa"/>
            <w:vAlign w:val="bottom"/>
          </w:tcPr>
          <w:p>
            <w:pPr>
              <w:spacing w:after="0"/>
              <w:rPr>
                <w:sz w:val="1"/>
                <w:szCs w:val="1"/>
                <w:color w:val="auto"/>
              </w:rPr>
            </w:pPr>
          </w:p>
        </w:tc>
      </w:tr>
      <w:tr>
        <w:trPr>
          <w:trHeight w:val="135"/>
        </w:trPr>
        <w:tc>
          <w:tcPr>
            <w:tcW w:w="500" w:type="dxa"/>
            <w:vAlign w:val="bottom"/>
            <w:tcBorders>
              <w:left w:val="single" w:sz="8" w:color="auto"/>
            </w:tcBorders>
          </w:tcPr>
          <w:p>
            <w:pPr>
              <w:spacing w:after="0"/>
              <w:rPr>
                <w:sz w:val="11"/>
                <w:szCs w:val="11"/>
                <w:color w:val="auto"/>
              </w:rPr>
            </w:pPr>
          </w:p>
        </w:tc>
        <w:tc>
          <w:tcPr>
            <w:tcW w:w="5040" w:type="dxa"/>
            <w:vAlign w:val="bottom"/>
            <w:tcBorders>
              <w:right w:val="single" w:sz="8" w:color="auto"/>
            </w:tcBorders>
          </w:tcPr>
          <w:p>
            <w:pPr>
              <w:ind w:left="60"/>
              <w:spacing w:after="0" w:line="135" w:lineRule="exact"/>
              <w:rPr>
                <w:sz w:val="20"/>
                <w:szCs w:val="20"/>
                <w:color w:val="auto"/>
              </w:rPr>
            </w:pPr>
            <w:r>
              <w:rPr>
                <w:rFonts w:ascii="Arial" w:cs="Arial" w:eastAsia="Arial" w:hAnsi="Arial"/>
                <w:sz w:val="12"/>
                <w:szCs w:val="12"/>
                <w:color w:val="auto"/>
              </w:rPr>
              <w:t>considered as being owned proportionately by its partners, or beneficiaries; and</w:t>
            </w:r>
          </w:p>
        </w:tc>
        <w:tc>
          <w:tcPr>
            <w:tcW w:w="24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5020" w:type="dxa"/>
            <w:vAlign w:val="bottom"/>
            <w:tcBorders>
              <w:right w:val="single" w:sz="8" w:color="auto"/>
            </w:tcBorders>
          </w:tcPr>
          <w:p>
            <w:pPr>
              <w:jc w:val="right"/>
              <w:spacing w:after="0" w:line="135" w:lineRule="exact"/>
              <w:rPr>
                <w:sz w:val="20"/>
                <w:szCs w:val="20"/>
                <w:color w:val="auto"/>
              </w:rPr>
            </w:pPr>
            <w:r>
              <w:rPr>
                <w:rFonts w:ascii="Arial" w:cs="Arial" w:eastAsia="Arial" w:hAnsi="Arial"/>
                <w:sz w:val="12"/>
                <w:szCs w:val="12"/>
                <w:color w:val="auto"/>
              </w:rPr>
              <w:t>ou   une   communauté   d'héritiers   sont   considérées   comme   étant   détenues</w:t>
            </w:r>
          </w:p>
        </w:tc>
        <w:tc>
          <w:tcPr>
            <w:tcW w:w="0" w:type="dxa"/>
            <w:vAlign w:val="bottom"/>
          </w:tcPr>
          <w:p>
            <w:pPr>
              <w:spacing w:after="0"/>
              <w:rPr>
                <w:sz w:val="1"/>
                <w:szCs w:val="1"/>
                <w:color w:val="auto"/>
              </w:rPr>
            </w:pPr>
          </w:p>
        </w:tc>
      </w:tr>
      <w:tr>
        <w:trPr>
          <w:trHeight w:val="145"/>
        </w:trPr>
        <w:tc>
          <w:tcPr>
            <w:tcW w:w="500" w:type="dxa"/>
            <w:vAlign w:val="bottom"/>
            <w:tcBorders>
              <w:left w:val="single" w:sz="8" w:color="auto"/>
            </w:tcBorders>
          </w:tcPr>
          <w:p>
            <w:pPr>
              <w:spacing w:after="0"/>
              <w:rPr>
                <w:sz w:val="12"/>
                <w:szCs w:val="12"/>
                <w:color w:val="auto"/>
              </w:rPr>
            </w:pPr>
          </w:p>
        </w:tc>
        <w:tc>
          <w:tcPr>
            <w:tcW w:w="5040" w:type="dxa"/>
            <w:vAlign w:val="bottom"/>
            <w:tcBorders>
              <w:right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50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proportionnellement par leurs partenaires ou bénéficiaires; et</w:t>
            </w:r>
          </w:p>
        </w:tc>
        <w:tc>
          <w:tcPr>
            <w:tcW w:w="0" w:type="dxa"/>
            <w:vAlign w:val="bottom"/>
          </w:tcPr>
          <w:p>
            <w:pPr>
              <w:spacing w:after="0"/>
              <w:rPr>
                <w:sz w:val="1"/>
                <w:szCs w:val="1"/>
                <w:color w:val="auto"/>
              </w:rPr>
            </w:pPr>
          </w:p>
        </w:tc>
      </w:tr>
      <w:tr>
        <w:trPr>
          <w:trHeight w:val="260"/>
        </w:trPr>
        <w:tc>
          <w:tcPr>
            <w:tcW w:w="500" w:type="dxa"/>
            <w:vAlign w:val="bottom"/>
            <w:tcBorders>
              <w:left w:val="single" w:sz="8" w:color="auto"/>
            </w:tcBorders>
          </w:tcPr>
          <w:p>
            <w:pPr>
              <w:spacing w:after="0"/>
              <w:rPr>
                <w:sz w:val="22"/>
                <w:szCs w:val="22"/>
                <w:color w:val="auto"/>
              </w:rPr>
            </w:pPr>
          </w:p>
        </w:tc>
        <w:tc>
          <w:tcPr>
            <w:tcW w:w="5040" w:type="dxa"/>
            <w:vAlign w:val="bottom"/>
            <w:tcBorders>
              <w:right w:val="single" w:sz="8" w:color="auto"/>
            </w:tcBorders>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500" w:type="dxa"/>
            <w:vAlign w:val="bottom"/>
          </w:tcPr>
          <w:p>
            <w:pPr>
              <w:ind w:left="300"/>
              <w:spacing w:after="0"/>
              <w:rPr>
                <w:sz w:val="20"/>
                <w:szCs w:val="20"/>
                <w:color w:val="auto"/>
              </w:rPr>
            </w:pPr>
            <w:r>
              <w:rPr>
                <w:rFonts w:ascii="Arial" w:cs="Arial" w:eastAsia="Arial" w:hAnsi="Arial"/>
                <w:sz w:val="12"/>
                <w:szCs w:val="12"/>
                <w:color w:val="auto"/>
              </w:rPr>
              <w:t>(ii)</w:t>
            </w:r>
          </w:p>
        </w:tc>
        <w:tc>
          <w:tcPr>
            <w:tcW w:w="502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les actions détenues, directement ou indirectement, par ou pour une société seront</w:t>
            </w:r>
          </w:p>
        </w:tc>
        <w:tc>
          <w:tcPr>
            <w:tcW w:w="0" w:type="dxa"/>
            <w:vAlign w:val="bottom"/>
          </w:tcPr>
          <w:p>
            <w:pPr>
              <w:spacing w:after="0"/>
              <w:rPr>
                <w:sz w:val="1"/>
                <w:szCs w:val="1"/>
                <w:color w:val="auto"/>
              </w:rPr>
            </w:pPr>
          </w:p>
        </w:tc>
      </w:tr>
      <w:tr>
        <w:trPr>
          <w:trHeight w:val="135"/>
        </w:trPr>
        <w:tc>
          <w:tcPr>
            <w:tcW w:w="500" w:type="dxa"/>
            <w:vAlign w:val="bottom"/>
            <w:tcBorders>
              <w:left w:val="single" w:sz="8" w:color="auto"/>
            </w:tcBorders>
          </w:tcPr>
          <w:p>
            <w:pPr>
              <w:ind w:left="300"/>
              <w:spacing w:after="0" w:line="135" w:lineRule="exact"/>
              <w:rPr>
                <w:sz w:val="20"/>
                <w:szCs w:val="20"/>
                <w:color w:val="auto"/>
              </w:rPr>
            </w:pPr>
            <w:r>
              <w:rPr>
                <w:rFonts w:ascii="Arial" w:cs="Arial" w:eastAsia="Arial" w:hAnsi="Arial"/>
                <w:sz w:val="12"/>
                <w:szCs w:val="12"/>
                <w:color w:val="auto"/>
              </w:rPr>
              <w:t>(ii)</w:t>
            </w:r>
          </w:p>
        </w:tc>
        <w:tc>
          <w:tcPr>
            <w:tcW w:w="5040" w:type="dxa"/>
            <w:vAlign w:val="bottom"/>
            <w:tcBorders>
              <w:right w:val="single" w:sz="8" w:color="auto"/>
            </w:tcBorders>
          </w:tcPr>
          <w:p>
            <w:pPr>
              <w:jc w:val="right"/>
              <w:spacing w:after="0" w:line="135" w:lineRule="exact"/>
              <w:rPr>
                <w:sz w:val="20"/>
                <w:szCs w:val="20"/>
                <w:color w:val="auto"/>
              </w:rPr>
            </w:pPr>
            <w:r>
              <w:rPr>
                <w:rFonts w:ascii="Arial" w:cs="Arial" w:eastAsia="Arial" w:hAnsi="Arial"/>
                <w:sz w:val="12"/>
                <w:szCs w:val="12"/>
                <w:color w:val="auto"/>
              </w:rPr>
              <w:t>shares owned, directly or indirectly, by or for a corporation will be considered as being</w:t>
            </w:r>
          </w:p>
        </w:tc>
        <w:tc>
          <w:tcPr>
            <w:tcW w:w="24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5020" w:type="dxa"/>
            <w:vAlign w:val="bottom"/>
            <w:tcBorders>
              <w:right w:val="single" w:sz="8" w:color="auto"/>
            </w:tcBorders>
          </w:tcPr>
          <w:p>
            <w:pPr>
              <w:jc w:val="right"/>
              <w:spacing w:after="0" w:line="135" w:lineRule="exact"/>
              <w:rPr>
                <w:sz w:val="20"/>
                <w:szCs w:val="20"/>
                <w:color w:val="auto"/>
              </w:rPr>
            </w:pPr>
            <w:r>
              <w:rPr>
                <w:rFonts w:ascii="Arial" w:cs="Arial" w:eastAsia="Arial" w:hAnsi="Arial"/>
                <w:sz w:val="12"/>
                <w:szCs w:val="12"/>
                <w:color w:val="auto"/>
              </w:rPr>
              <w:t>considérées comme étant détenues proportionnellement par tout actionnaire détenant 50%</w:t>
            </w:r>
          </w:p>
        </w:tc>
        <w:tc>
          <w:tcPr>
            <w:tcW w:w="0" w:type="dxa"/>
            <w:vAlign w:val="bottom"/>
          </w:tcPr>
          <w:p>
            <w:pPr>
              <w:spacing w:after="0"/>
              <w:rPr>
                <w:sz w:val="1"/>
                <w:szCs w:val="1"/>
                <w:color w:val="auto"/>
              </w:rPr>
            </w:pPr>
          </w:p>
        </w:tc>
      </w:tr>
      <w:tr>
        <w:trPr>
          <w:trHeight w:val="135"/>
        </w:trPr>
        <w:tc>
          <w:tcPr>
            <w:tcW w:w="500" w:type="dxa"/>
            <w:vAlign w:val="bottom"/>
            <w:tcBorders>
              <w:left w:val="single" w:sz="8" w:color="auto"/>
            </w:tcBorders>
          </w:tcPr>
          <w:p>
            <w:pPr>
              <w:spacing w:after="0"/>
              <w:rPr>
                <w:sz w:val="11"/>
                <w:szCs w:val="11"/>
                <w:color w:val="auto"/>
              </w:rPr>
            </w:pPr>
          </w:p>
        </w:tc>
        <w:tc>
          <w:tcPr>
            <w:tcW w:w="5040" w:type="dxa"/>
            <w:vAlign w:val="bottom"/>
            <w:tcBorders>
              <w:right w:val="single" w:sz="8" w:color="auto"/>
            </w:tcBorders>
          </w:tcPr>
          <w:p>
            <w:pPr>
              <w:jc w:val="right"/>
              <w:spacing w:after="0" w:line="135" w:lineRule="exact"/>
              <w:rPr>
                <w:sz w:val="20"/>
                <w:szCs w:val="20"/>
                <w:color w:val="auto"/>
              </w:rPr>
            </w:pPr>
            <w:r>
              <w:rPr>
                <w:rFonts w:ascii="Arial" w:cs="Arial" w:eastAsia="Arial" w:hAnsi="Arial"/>
                <w:sz w:val="12"/>
                <w:szCs w:val="12"/>
                <w:color w:val="auto"/>
              </w:rPr>
              <w:t>owned proportionately by any shareholder owning 50% or more of the outstanding voting</w:t>
            </w:r>
          </w:p>
        </w:tc>
        <w:tc>
          <w:tcPr>
            <w:tcW w:w="24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50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ou plus des actions avec droit de vote en circulation de cette société; et</w:t>
            </w:r>
          </w:p>
        </w:tc>
        <w:tc>
          <w:tcPr>
            <w:tcW w:w="0" w:type="dxa"/>
            <w:vAlign w:val="bottom"/>
          </w:tcPr>
          <w:p>
            <w:pPr>
              <w:spacing w:after="0"/>
              <w:rPr>
                <w:sz w:val="1"/>
                <w:szCs w:val="1"/>
                <w:color w:val="auto"/>
              </w:rPr>
            </w:pPr>
          </w:p>
        </w:tc>
      </w:tr>
      <w:tr>
        <w:trPr>
          <w:trHeight w:val="145"/>
        </w:trPr>
        <w:tc>
          <w:tcPr>
            <w:tcW w:w="500" w:type="dxa"/>
            <w:vAlign w:val="bottom"/>
            <w:tcBorders>
              <w:left w:val="single" w:sz="8" w:color="auto"/>
            </w:tcBorders>
          </w:tcPr>
          <w:p>
            <w:pPr>
              <w:spacing w:after="0"/>
              <w:rPr>
                <w:sz w:val="12"/>
                <w:szCs w:val="12"/>
                <w:color w:val="auto"/>
              </w:rPr>
            </w:pPr>
          </w:p>
        </w:tc>
        <w:tc>
          <w:tcPr>
            <w:tcW w:w="504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shares of such corporation; and</w:t>
            </w:r>
          </w:p>
        </w:tc>
        <w:tc>
          <w:tcPr>
            <w:tcW w:w="24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50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500" w:type="dxa"/>
            <w:vAlign w:val="bottom"/>
            <w:tcBorders>
              <w:left w:val="single" w:sz="8" w:color="auto"/>
              <w:bottom w:val="single" w:sz="8" w:color="auto"/>
            </w:tcBorders>
          </w:tcPr>
          <w:p>
            <w:pPr>
              <w:spacing w:after="0"/>
              <w:rPr>
                <w:sz w:val="3"/>
                <w:szCs w:val="3"/>
                <w:color w:val="auto"/>
              </w:rPr>
            </w:pPr>
          </w:p>
        </w:tc>
        <w:tc>
          <w:tcPr>
            <w:tcW w:w="504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0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93"/>
        </w:trPr>
        <w:tc>
          <w:tcPr>
            <w:tcW w:w="5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211" w:right="299" w:bottom="1440" w:gutter="0" w:footer="0" w:header="0"/>
        </w:sectPr>
      </w:pPr>
    </w:p>
    <w:bookmarkStart w:id="53" w:name="page54"/>
    <w:bookmarkEnd w:id="53"/>
    <w:p>
      <w:pPr>
        <w:ind w:left="11154"/>
        <w:spacing w:after="0"/>
        <w:rPr>
          <w:sz w:val="20"/>
          <w:szCs w:val="20"/>
          <w:color w:val="auto"/>
        </w:rPr>
      </w:pPr>
      <w:r>
        <w:rPr>
          <w:rFonts w:ascii="Arial" w:cs="Arial" w:eastAsia="Arial" w:hAnsi="Arial"/>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59055</wp:posOffset>
            </wp:positionV>
            <wp:extent cx="7178040" cy="23831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2383155"/>
                    </a:xfrm>
                    <a:prstGeom prst="rect">
                      <a:avLst/>
                    </a:prstGeom>
                    <a:noFill/>
                  </pic:spPr>
                </pic:pic>
              </a:graphicData>
            </a:graphic>
          </wp:anchor>
        </w:drawing>
      </w:r>
    </w:p>
    <w:p>
      <w:pPr>
        <w:sectPr>
          <w:pgSz w:w="11900" w:h="16838" w:orient="portrait"/>
          <w:cols w:equalWidth="0" w:num="1">
            <w:col w:w="11214"/>
          </w:cols>
          <w:pgMar w:left="346" w:top="211" w:right="339" w:bottom="1440" w:gutter="0" w:footer="0" w:header="0"/>
        </w:sectPr>
      </w:pPr>
    </w:p>
    <w:p>
      <w:pPr>
        <w:spacing w:after="0" w:line="146" w:lineRule="exact"/>
        <w:rPr>
          <w:sz w:val="20"/>
          <w:szCs w:val="20"/>
          <w:color w:val="auto"/>
        </w:rPr>
      </w:pPr>
    </w:p>
    <w:p>
      <w:pPr>
        <w:ind w:left="514" w:hanging="259"/>
        <w:spacing w:after="0"/>
        <w:tabs>
          <w:tab w:leader="none" w:pos="514" w:val="left"/>
        </w:tabs>
        <w:numPr>
          <w:ilvl w:val="1"/>
          <w:numId w:val="5"/>
        </w:numPr>
        <w:rPr>
          <w:rFonts w:ascii="Arial" w:cs="Arial" w:eastAsia="Arial" w:hAnsi="Arial"/>
          <w:sz w:val="12"/>
          <w:szCs w:val="12"/>
          <w:color w:val="auto"/>
        </w:rPr>
      </w:pPr>
      <w:r>
        <w:rPr>
          <w:rFonts w:ascii="Arial" w:cs="Arial" w:eastAsia="Arial" w:hAnsi="Arial"/>
          <w:sz w:val="12"/>
          <w:szCs w:val="12"/>
          <w:color w:val="auto"/>
        </w:rPr>
        <w:t>shares subject to options, warrants or other similar rights shall be deemed to be owned; and</w:t>
      </w:r>
    </w:p>
    <w:p>
      <w:pPr>
        <w:spacing w:after="0" w:line="132" w:lineRule="exact"/>
        <w:rPr>
          <w:rFonts w:ascii="Arial" w:cs="Arial" w:eastAsia="Arial" w:hAnsi="Arial"/>
          <w:sz w:val="12"/>
          <w:szCs w:val="12"/>
          <w:color w:val="auto"/>
        </w:rPr>
      </w:pPr>
    </w:p>
    <w:p>
      <w:pPr>
        <w:ind w:left="254" w:hanging="254"/>
        <w:spacing w:after="0" w:line="246" w:lineRule="auto"/>
        <w:tabs>
          <w:tab w:leader="none" w:pos="313" w:val="left"/>
        </w:tabs>
        <w:numPr>
          <w:ilvl w:val="0"/>
          <w:numId w:val="6"/>
        </w:numPr>
        <w:rPr>
          <w:rFonts w:ascii="Arial" w:cs="Arial" w:eastAsia="Arial" w:hAnsi="Arial"/>
          <w:sz w:val="12"/>
          <w:szCs w:val="12"/>
          <w:color w:val="auto"/>
        </w:rPr>
      </w:pPr>
      <w:r>
        <w:rPr>
          <w:rFonts w:ascii="Arial" w:cs="Arial" w:eastAsia="Arial" w:hAnsi="Arial"/>
          <w:sz w:val="12"/>
          <w:szCs w:val="12"/>
          <w:color w:val="auto"/>
        </w:rPr>
        <w:t>all shares of the Company directly, indirectly beneficially owned by such individual or entity; provided that</w:t>
      </w:r>
    </w:p>
    <w:p>
      <w:pPr>
        <w:spacing w:after="0" w:line="122" w:lineRule="exact"/>
        <w:rPr>
          <w:rFonts w:ascii="Arial" w:cs="Arial" w:eastAsia="Arial" w:hAnsi="Arial"/>
          <w:sz w:val="12"/>
          <w:szCs w:val="12"/>
          <w:color w:val="auto"/>
        </w:rPr>
      </w:pPr>
    </w:p>
    <w:p>
      <w:pPr>
        <w:jc w:val="both"/>
        <w:ind w:left="514" w:hanging="259"/>
        <w:spacing w:after="0"/>
        <w:tabs>
          <w:tab w:leader="none" w:pos="528" w:val="left"/>
        </w:tabs>
        <w:numPr>
          <w:ilvl w:val="1"/>
          <w:numId w:val="6"/>
        </w:numPr>
        <w:rPr>
          <w:rFonts w:ascii="Arial" w:cs="Arial" w:eastAsia="Arial" w:hAnsi="Arial"/>
          <w:sz w:val="12"/>
          <w:szCs w:val="12"/>
          <w:color w:val="auto"/>
        </w:rPr>
      </w:pPr>
      <w:r>
        <w:rPr>
          <w:rFonts w:ascii="Arial" w:cs="Arial" w:eastAsia="Arial" w:hAnsi="Arial"/>
          <w:sz w:val="12"/>
          <w:szCs w:val="12"/>
          <w:color w:val="auto"/>
        </w:rPr>
        <w:t>a beneficial owner of a security includes any person who, directly or indirectly, through any contract, arrangement, understanding, relationship, or otherwise alone or together with other such persons has or shares:</w:t>
      </w:r>
    </w:p>
    <w:p>
      <w:pPr>
        <w:spacing w:after="0" w:line="126" w:lineRule="exact"/>
        <w:rPr>
          <w:rFonts w:ascii="Arial" w:cs="Arial" w:eastAsia="Arial" w:hAnsi="Arial"/>
          <w:sz w:val="12"/>
          <w:szCs w:val="12"/>
          <w:color w:val="auto"/>
        </w:rPr>
      </w:pPr>
    </w:p>
    <w:p>
      <w:pPr>
        <w:ind w:left="774" w:hanging="263"/>
        <w:spacing w:after="0" w:line="246" w:lineRule="auto"/>
        <w:tabs>
          <w:tab w:leader="none" w:pos="779" w:val="left"/>
        </w:tabs>
        <w:numPr>
          <w:ilvl w:val="2"/>
          <w:numId w:val="6"/>
        </w:numPr>
        <w:rPr>
          <w:rFonts w:ascii="Arial" w:cs="Arial" w:eastAsia="Arial" w:hAnsi="Arial"/>
          <w:sz w:val="12"/>
          <w:szCs w:val="12"/>
          <w:color w:val="auto"/>
        </w:rPr>
      </w:pPr>
      <w:r>
        <w:rPr>
          <w:rFonts w:ascii="Arial" w:cs="Arial" w:eastAsia="Arial" w:hAnsi="Arial"/>
          <w:sz w:val="12"/>
          <w:szCs w:val="12"/>
          <w:color w:val="auto"/>
        </w:rPr>
        <w:t>voting power which includes the power to vote, or to direct the voting of, such security; and/or</w:t>
      </w:r>
    </w:p>
    <w:p>
      <w:pPr>
        <w:spacing w:after="0" w:line="122" w:lineRule="exact"/>
        <w:rPr>
          <w:rFonts w:ascii="Arial" w:cs="Arial" w:eastAsia="Arial" w:hAnsi="Arial"/>
          <w:sz w:val="12"/>
          <w:szCs w:val="12"/>
          <w:color w:val="auto"/>
        </w:rPr>
      </w:pPr>
    </w:p>
    <w:p>
      <w:pPr>
        <w:ind w:left="774" w:hanging="263"/>
        <w:spacing w:after="0" w:line="246" w:lineRule="auto"/>
        <w:tabs>
          <w:tab w:leader="none" w:pos="799" w:val="left"/>
        </w:tabs>
        <w:numPr>
          <w:ilvl w:val="2"/>
          <w:numId w:val="6"/>
        </w:numPr>
        <w:rPr>
          <w:rFonts w:ascii="Arial" w:cs="Arial" w:eastAsia="Arial" w:hAnsi="Arial"/>
          <w:sz w:val="12"/>
          <w:szCs w:val="12"/>
          <w:color w:val="auto"/>
        </w:rPr>
      </w:pPr>
      <w:r>
        <w:rPr>
          <w:rFonts w:ascii="Arial" w:cs="Arial" w:eastAsia="Arial" w:hAnsi="Arial"/>
          <w:sz w:val="12"/>
          <w:szCs w:val="12"/>
          <w:color w:val="auto"/>
        </w:rPr>
        <w:t>investment power which includes the power to dispose, or to direct the disposition of, such security.</w:t>
      </w:r>
    </w:p>
    <w:p>
      <w:pPr>
        <w:spacing w:after="0" w:line="122" w:lineRule="exact"/>
        <w:rPr>
          <w:sz w:val="20"/>
          <w:szCs w:val="20"/>
          <w:color w:val="auto"/>
        </w:rPr>
      </w:pPr>
    </w:p>
    <w:p>
      <w:pPr>
        <w:jc w:val="both"/>
        <w:ind w:left="514" w:hanging="259"/>
        <w:spacing w:after="0" w:line="238" w:lineRule="auto"/>
        <w:tabs>
          <w:tab w:leader="none" w:pos="591" w:val="left"/>
        </w:tabs>
        <w:numPr>
          <w:ilvl w:val="0"/>
          <w:numId w:val="7"/>
        </w:numPr>
        <w:rPr>
          <w:rFonts w:ascii="Arial" w:cs="Arial" w:eastAsia="Arial" w:hAnsi="Arial"/>
          <w:sz w:val="12"/>
          <w:szCs w:val="12"/>
          <w:color w:val="auto"/>
        </w:rPr>
      </w:pPr>
      <w:r>
        <w:rPr>
          <w:rFonts w:ascii="Arial" w:cs="Arial" w:eastAsia="Arial" w:hAnsi="Arial"/>
          <w:sz w:val="12"/>
          <w:szCs w:val="12"/>
          <w:color w:val="auto"/>
        </w:rPr>
        <w:t>Any person who, directly or indirectly, creates or uses a trust, proxy, power of attorney, pooling arrangement or any other contract, arrangement, or device with the purpose or effect of divesting such person of beneficial ownership of shares of the Company or preventing the vesting of such beneficial ownership as part of a plan or scheme to evade the provisions of these articles of association shall be deemed to be the beneficial owner of such shares.</w:t>
      </w:r>
    </w:p>
    <w:p>
      <w:pPr>
        <w:spacing w:after="0" w:line="125" w:lineRule="exact"/>
        <w:rPr>
          <w:rFonts w:ascii="Arial" w:cs="Arial" w:eastAsia="Arial" w:hAnsi="Arial"/>
          <w:sz w:val="12"/>
          <w:szCs w:val="12"/>
          <w:color w:val="auto"/>
        </w:rPr>
      </w:pPr>
    </w:p>
    <w:p>
      <w:pPr>
        <w:jc w:val="both"/>
        <w:ind w:left="514" w:hanging="259"/>
        <w:spacing w:after="0" w:line="237" w:lineRule="auto"/>
        <w:tabs>
          <w:tab w:leader="none" w:pos="519" w:val="left"/>
        </w:tabs>
        <w:numPr>
          <w:ilvl w:val="0"/>
          <w:numId w:val="7"/>
        </w:numPr>
        <w:rPr>
          <w:rFonts w:ascii="Arial" w:cs="Arial" w:eastAsia="Arial" w:hAnsi="Arial"/>
          <w:sz w:val="12"/>
          <w:szCs w:val="12"/>
          <w:color w:val="auto"/>
        </w:rPr>
      </w:pPr>
      <w:r>
        <w:rPr>
          <w:rFonts w:ascii="Arial" w:cs="Arial" w:eastAsia="Arial" w:hAnsi="Arial"/>
          <w:sz w:val="12"/>
          <w:szCs w:val="12"/>
          <w:color w:val="auto"/>
        </w:rPr>
        <w:t>A person shall be deemed to be the beneficial owner of shares if that person has the right to acquire beneficial ownership of such shares within 60 days, including but not limited to any right acquired: (A) through the exercise of any option, warrant or right; (B) through the conversion of a security; (C) pursuant to the power to revoke a trust, discretionary account, or similar arrangement; or (D) pursuant to the automatic termination of a trust, discretionary account or similar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349885</wp:posOffset>
            </wp:positionV>
            <wp:extent cx="717804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left="505" w:right="20" w:hanging="250"/>
        <w:spacing w:after="0" w:line="246" w:lineRule="auto"/>
        <w:tabs>
          <w:tab w:leader="none" w:pos="557" w:val="left"/>
        </w:tabs>
        <w:numPr>
          <w:ilvl w:val="1"/>
          <w:numId w:val="8"/>
        </w:numPr>
        <w:rPr>
          <w:rFonts w:ascii="Arial" w:cs="Arial" w:eastAsia="Arial" w:hAnsi="Arial"/>
          <w:sz w:val="12"/>
          <w:szCs w:val="12"/>
          <w:color w:val="auto"/>
        </w:rPr>
      </w:pPr>
      <w:r>
        <w:rPr>
          <w:rFonts w:ascii="Arial" w:cs="Arial" w:eastAsia="Arial" w:hAnsi="Arial"/>
          <w:sz w:val="12"/>
          <w:szCs w:val="12"/>
          <w:color w:val="auto"/>
        </w:rPr>
        <w:t>les actions sujettes à des options, des bons de souscription ou autres droits semblables sont réputées être détenues; et</w:t>
      </w:r>
    </w:p>
    <w:p>
      <w:pPr>
        <w:spacing w:after="0" w:line="122" w:lineRule="exact"/>
        <w:rPr>
          <w:rFonts w:ascii="Arial" w:cs="Arial" w:eastAsia="Arial" w:hAnsi="Arial"/>
          <w:sz w:val="12"/>
          <w:szCs w:val="12"/>
          <w:color w:val="auto"/>
        </w:rPr>
      </w:pPr>
    </w:p>
    <w:p>
      <w:pPr>
        <w:ind w:left="265" w:right="20" w:hanging="265"/>
        <w:spacing w:after="0" w:line="246" w:lineRule="auto"/>
        <w:tabs>
          <w:tab w:leader="none" w:pos="338" w:val="left"/>
        </w:tabs>
        <w:numPr>
          <w:ilvl w:val="0"/>
          <w:numId w:val="9"/>
        </w:numPr>
        <w:rPr>
          <w:rFonts w:ascii="Arial" w:cs="Arial" w:eastAsia="Arial" w:hAnsi="Arial"/>
          <w:sz w:val="12"/>
          <w:szCs w:val="12"/>
          <w:color w:val="auto"/>
        </w:rPr>
      </w:pPr>
      <w:r>
        <w:rPr>
          <w:rFonts w:ascii="Arial" w:cs="Arial" w:eastAsia="Arial" w:hAnsi="Arial"/>
          <w:sz w:val="12"/>
          <w:szCs w:val="12"/>
          <w:color w:val="auto"/>
        </w:rPr>
        <w:t>toutes actions de la société détenues directement, indirectement ou à son profit par cette personne physique ou morale, à condition que</w:t>
      </w:r>
    </w:p>
    <w:p>
      <w:pPr>
        <w:spacing w:after="0" w:line="122" w:lineRule="exact"/>
        <w:rPr>
          <w:rFonts w:ascii="Arial" w:cs="Arial" w:eastAsia="Arial" w:hAnsi="Arial"/>
          <w:sz w:val="12"/>
          <w:szCs w:val="12"/>
          <w:color w:val="auto"/>
        </w:rPr>
      </w:pPr>
    </w:p>
    <w:p>
      <w:pPr>
        <w:jc w:val="both"/>
        <w:ind w:left="505" w:right="20" w:hanging="250"/>
        <w:spacing w:after="0"/>
        <w:tabs>
          <w:tab w:leader="none" w:pos="523" w:val="left"/>
        </w:tabs>
        <w:numPr>
          <w:ilvl w:val="1"/>
          <w:numId w:val="9"/>
        </w:numPr>
        <w:rPr>
          <w:rFonts w:ascii="Arial" w:cs="Arial" w:eastAsia="Arial" w:hAnsi="Arial"/>
          <w:sz w:val="12"/>
          <w:szCs w:val="12"/>
          <w:color w:val="auto"/>
        </w:rPr>
      </w:pPr>
      <w:r>
        <w:rPr>
          <w:rFonts w:ascii="Arial" w:cs="Arial" w:eastAsia="Arial" w:hAnsi="Arial"/>
          <w:sz w:val="12"/>
          <w:szCs w:val="12"/>
          <w:color w:val="auto"/>
        </w:rPr>
        <w:t>un bénéficiaire effectif d'un titre comprend toute personne qui, directement ou indirectement, par le biais d'un contrat, d'un accord, d'une entente, d'une relation, ou autrement, seul ou avec d'autres personnes a ou partage:</w:t>
      </w:r>
    </w:p>
    <w:p>
      <w:pPr>
        <w:spacing w:after="0" w:line="126" w:lineRule="exact"/>
        <w:rPr>
          <w:rFonts w:ascii="Arial" w:cs="Arial" w:eastAsia="Arial" w:hAnsi="Arial"/>
          <w:sz w:val="12"/>
          <w:szCs w:val="12"/>
          <w:color w:val="auto"/>
        </w:rPr>
      </w:pPr>
    </w:p>
    <w:p>
      <w:pPr>
        <w:ind w:left="765" w:hanging="254"/>
        <w:spacing w:after="0"/>
        <w:tabs>
          <w:tab w:leader="none" w:pos="765" w:val="left"/>
        </w:tabs>
        <w:numPr>
          <w:ilvl w:val="2"/>
          <w:numId w:val="9"/>
        </w:numPr>
        <w:rPr>
          <w:rFonts w:ascii="Arial" w:cs="Arial" w:eastAsia="Arial" w:hAnsi="Arial"/>
          <w:sz w:val="12"/>
          <w:szCs w:val="12"/>
          <w:color w:val="auto"/>
        </w:rPr>
      </w:pPr>
      <w:r>
        <w:rPr>
          <w:rFonts w:ascii="Arial" w:cs="Arial" w:eastAsia="Arial" w:hAnsi="Arial"/>
          <w:sz w:val="12"/>
          <w:szCs w:val="12"/>
          <w:color w:val="auto"/>
        </w:rPr>
        <w:t>le pouvoir de voter, y compris le pouvoir de voter ou de diriger le vote d'un tel titre; et/ou</w:t>
      </w:r>
    </w:p>
    <w:p>
      <w:pPr>
        <w:spacing w:after="0" w:line="132" w:lineRule="exact"/>
        <w:rPr>
          <w:rFonts w:ascii="Arial" w:cs="Arial" w:eastAsia="Arial" w:hAnsi="Arial"/>
          <w:sz w:val="12"/>
          <w:szCs w:val="12"/>
          <w:color w:val="auto"/>
        </w:rPr>
      </w:pPr>
    </w:p>
    <w:p>
      <w:pPr>
        <w:ind w:left="765" w:right="20" w:hanging="254"/>
        <w:spacing w:after="0" w:line="246" w:lineRule="auto"/>
        <w:tabs>
          <w:tab w:leader="none" w:pos="757" w:val="left"/>
        </w:tabs>
        <w:numPr>
          <w:ilvl w:val="2"/>
          <w:numId w:val="9"/>
        </w:numPr>
        <w:rPr>
          <w:rFonts w:ascii="Arial" w:cs="Arial" w:eastAsia="Arial" w:hAnsi="Arial"/>
          <w:sz w:val="12"/>
          <w:szCs w:val="12"/>
          <w:color w:val="auto"/>
        </w:rPr>
      </w:pPr>
      <w:r>
        <w:rPr>
          <w:rFonts w:ascii="Arial" w:cs="Arial" w:eastAsia="Arial" w:hAnsi="Arial"/>
          <w:sz w:val="12"/>
          <w:szCs w:val="12"/>
          <w:color w:val="auto"/>
        </w:rPr>
        <w:t>le pouvoir d'investir, y compris le pouvoir de disposer ou de diriger la disposition d'un tel titre.</w:t>
      </w:r>
    </w:p>
    <w:p>
      <w:pPr>
        <w:spacing w:after="0" w:line="122" w:lineRule="exact"/>
        <w:rPr>
          <w:sz w:val="20"/>
          <w:szCs w:val="20"/>
          <w:color w:val="auto"/>
        </w:rPr>
      </w:pPr>
    </w:p>
    <w:p>
      <w:pPr>
        <w:jc w:val="both"/>
        <w:ind w:left="505" w:right="20" w:hanging="250"/>
        <w:spacing w:after="0" w:line="238" w:lineRule="auto"/>
        <w:tabs>
          <w:tab w:leader="none" w:pos="665" w:val="left"/>
        </w:tabs>
        <w:numPr>
          <w:ilvl w:val="0"/>
          <w:numId w:val="10"/>
        </w:numPr>
        <w:rPr>
          <w:rFonts w:ascii="Arial" w:cs="Arial" w:eastAsia="Arial" w:hAnsi="Arial"/>
          <w:sz w:val="12"/>
          <w:szCs w:val="12"/>
          <w:color w:val="auto"/>
        </w:rPr>
      </w:pPr>
      <w:r>
        <w:rPr>
          <w:rFonts w:ascii="Arial" w:cs="Arial" w:eastAsia="Arial" w:hAnsi="Arial"/>
          <w:sz w:val="12"/>
          <w:szCs w:val="12"/>
          <w:color w:val="auto"/>
        </w:rPr>
        <w:t>Toute personne qui, directement ou indirectement, crée ou utilise une fiducie, une procuration, un pooling ou tout autre contrat, accord, ou un dispositif ayant pour objet ou pour effet de priver cette personne de la propriété effective des actions de la société ou d'en empêcher l'acquisition effective au moyen d'un plan ou programme visant à se soustraire aux dispositions de ces statuts est réputée être le propriétaire effectif de ces actions.</w:t>
      </w:r>
    </w:p>
    <w:p>
      <w:pPr>
        <w:spacing w:after="0" w:line="125" w:lineRule="exact"/>
        <w:rPr>
          <w:rFonts w:ascii="Arial" w:cs="Arial" w:eastAsia="Arial" w:hAnsi="Arial"/>
          <w:sz w:val="12"/>
          <w:szCs w:val="12"/>
          <w:color w:val="auto"/>
        </w:rPr>
      </w:pPr>
    </w:p>
    <w:p>
      <w:pPr>
        <w:jc w:val="both"/>
        <w:ind w:left="505" w:right="20" w:hanging="250"/>
        <w:spacing w:after="0" w:line="237" w:lineRule="auto"/>
        <w:tabs>
          <w:tab w:leader="none" w:pos="550" w:val="left"/>
        </w:tabs>
        <w:numPr>
          <w:ilvl w:val="0"/>
          <w:numId w:val="10"/>
        </w:numPr>
        <w:rPr>
          <w:rFonts w:ascii="Arial" w:cs="Arial" w:eastAsia="Arial" w:hAnsi="Arial"/>
          <w:sz w:val="12"/>
          <w:szCs w:val="12"/>
          <w:color w:val="auto"/>
        </w:rPr>
      </w:pPr>
      <w:r>
        <w:rPr>
          <w:rFonts w:ascii="Arial" w:cs="Arial" w:eastAsia="Arial" w:hAnsi="Arial"/>
          <w:sz w:val="12"/>
          <w:szCs w:val="12"/>
          <w:color w:val="auto"/>
        </w:rPr>
        <w:t>Une personne est réputée être propriétaire effective d'actions si cette personne a le droit d'acquérir la propriété effective de ces actions dans les 60 jours, y compris, mais pas limité à un droit acquis: (A) au moyen de l'exercice d'une option, d'un bon ou d'un droit de souscription; (B) par la conversion d'un titre; (C) en vertu du pouvoir de révoquer une fiducie, compte discrétionnaire ou accord semblable; ou (D) conformément à la résiliation automatique d'une fiducie, compte discrétionnaire ou accord semblable.</w:t>
      </w:r>
    </w:p>
    <w:p>
      <w:pPr>
        <w:sectPr>
          <w:pgSz w:w="11900" w:h="16838" w:orient="portrait"/>
          <w:cols w:equalWidth="0" w:num="2">
            <w:col w:w="5434" w:space="335"/>
            <w:col w:w="5445"/>
          </w:cols>
          <w:pgMar w:left="346" w:top="211" w:right="339" w:bottom="1440" w:gutter="0" w:footer="0" w:header="0"/>
          <w:type w:val="continuous"/>
        </w:sectPr>
      </w:pPr>
    </w:p>
    <w:bookmarkStart w:id="54" w:name="page55"/>
    <w:bookmarkEnd w:id="54"/>
    <w:tbl>
      <w:tblPr>
        <w:tblLayout w:type="fixed"/>
        <w:tblInd w:w="10" w:type="dxa"/>
        <w:tblCellMar>
          <w:top w:w="0" w:type="dxa"/>
          <w:left w:w="0" w:type="dxa"/>
          <w:bottom w:w="0" w:type="dxa"/>
          <w:right w:w="0" w:type="dxa"/>
        </w:tblCellMar>
      </w:tblPr>
      <w:tr>
        <w:trPr>
          <w:trHeight w:val="145"/>
        </w:trPr>
        <w:tc>
          <w:tcPr>
            <w:tcW w:w="46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320" w:type="dxa"/>
            <w:vAlign w:val="bottom"/>
          </w:tcPr>
          <w:p>
            <w:pPr>
              <w:jc w:val="right"/>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63"/>
        </w:trPr>
        <w:tc>
          <w:tcPr>
            <w:tcW w:w="5540" w:type="dxa"/>
            <w:vAlign w:val="bottom"/>
            <w:tcBorders>
              <w:bottom w:val="single" w:sz="8" w:color="auto"/>
            </w:tcBorders>
            <w:gridSpan w:val="2"/>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5540" w:type="dxa"/>
            <w:vAlign w:val="bottom"/>
            <w:tcBorders>
              <w:left w:val="single" w:sz="8" w:color="auto"/>
              <w:right w:val="single" w:sz="8" w:color="auto"/>
            </w:tcBorders>
            <w:gridSpan w:val="2"/>
          </w:tcPr>
          <w:p>
            <w:pPr>
              <w:ind w:left="40"/>
              <w:spacing w:after="0" w:line="169" w:lineRule="exact"/>
              <w:rPr>
                <w:sz w:val="20"/>
                <w:szCs w:val="20"/>
                <w:color w:val="auto"/>
              </w:rPr>
            </w:pPr>
            <w:r>
              <w:rPr>
                <w:rFonts w:ascii="Arial" w:cs="Arial" w:eastAsia="Arial" w:hAnsi="Arial"/>
                <w:sz w:val="12"/>
                <w:szCs w:val="12"/>
                <w:color w:val="auto"/>
              </w:rPr>
              <w:t xml:space="preserve">The limit of 33 </w:t>
            </w:r>
            <w:r>
              <w:rPr>
                <w:rFonts w:ascii="Arial" w:cs="Arial" w:eastAsia="Arial" w:hAnsi="Arial"/>
                <w:sz w:val="19"/>
                <w:szCs w:val="19"/>
                <w:color w:val="auto"/>
                <w:vertAlign w:val="superscript"/>
              </w:rPr>
              <w:t>1</w:t>
            </w:r>
            <w:r>
              <w:rPr>
                <w:rFonts w:ascii="Arial" w:cs="Arial" w:eastAsia="Arial" w:hAnsi="Arial"/>
                <w:sz w:val="12"/>
                <w:szCs w:val="12"/>
                <w:color w:val="auto"/>
              </w:rPr>
              <w:t>/  % of the registered share capital also applies to the subscription for, or acquisition</w:t>
            </w:r>
          </w:p>
        </w:tc>
        <w:tc>
          <w:tcPr>
            <w:tcW w:w="240" w:type="dxa"/>
            <w:vAlign w:val="bottom"/>
            <w:tcBorders>
              <w:right w:val="single" w:sz="8" w:color="auto"/>
            </w:tcBorders>
          </w:tcPr>
          <w:p>
            <w:pPr>
              <w:spacing w:after="0"/>
              <w:rPr>
                <w:sz w:val="14"/>
                <w:szCs w:val="14"/>
                <w:color w:val="auto"/>
              </w:rPr>
            </w:pPr>
          </w:p>
        </w:tc>
        <w:tc>
          <w:tcPr>
            <w:tcW w:w="540" w:type="dxa"/>
            <w:vAlign w:val="bottom"/>
          </w:tcPr>
          <w:p>
            <w:pPr>
              <w:ind w:left="40"/>
              <w:spacing w:after="0"/>
              <w:rPr>
                <w:sz w:val="20"/>
                <w:szCs w:val="20"/>
                <w:color w:val="auto"/>
              </w:rPr>
            </w:pPr>
            <w:r>
              <w:rPr>
                <w:rFonts w:ascii="Arial" w:cs="Arial" w:eastAsia="Arial" w:hAnsi="Arial"/>
                <w:sz w:val="12"/>
                <w:szCs w:val="12"/>
                <w:color w:val="auto"/>
              </w:rPr>
              <w:t>La limite</w:t>
            </w:r>
          </w:p>
        </w:tc>
        <w:tc>
          <w:tcPr>
            <w:tcW w:w="560" w:type="dxa"/>
            <w:vAlign w:val="bottom"/>
          </w:tcPr>
          <w:p>
            <w:pPr>
              <w:ind w:left="60"/>
              <w:spacing w:after="0" w:line="169" w:lineRule="exact"/>
              <w:rPr>
                <w:sz w:val="20"/>
                <w:szCs w:val="20"/>
                <w:color w:val="auto"/>
              </w:rPr>
            </w:pPr>
            <w:r>
              <w:rPr>
                <w:rFonts w:ascii="Arial" w:cs="Arial" w:eastAsia="Arial" w:hAnsi="Arial"/>
                <w:sz w:val="12"/>
                <w:szCs w:val="12"/>
                <w:color w:val="auto"/>
              </w:rPr>
              <w:t xml:space="preserve">de 33 </w:t>
            </w:r>
            <w:r>
              <w:rPr>
                <w:rFonts w:ascii="Arial" w:cs="Arial" w:eastAsia="Arial" w:hAnsi="Arial"/>
                <w:sz w:val="19"/>
                <w:szCs w:val="19"/>
                <w:color w:val="auto"/>
                <w:vertAlign w:val="superscript"/>
              </w:rPr>
              <w:t>1</w:t>
            </w:r>
            <w:r>
              <w:rPr>
                <w:rFonts w:ascii="Arial" w:cs="Arial" w:eastAsia="Arial" w:hAnsi="Arial"/>
                <w:sz w:val="12"/>
                <w:szCs w:val="12"/>
                <w:color w:val="auto"/>
              </w:rPr>
              <w:t>/</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3</w:t>
            </w:r>
          </w:p>
        </w:tc>
        <w:tc>
          <w:tcPr>
            <w:tcW w:w="432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 du capital-actions nominatif s'applique également à la souscription ou</w:t>
            </w:r>
          </w:p>
        </w:tc>
        <w:tc>
          <w:tcPr>
            <w:tcW w:w="0" w:type="dxa"/>
            <w:vAlign w:val="bottom"/>
          </w:tcPr>
          <w:p>
            <w:pPr>
              <w:spacing w:after="0"/>
              <w:rPr>
                <w:sz w:val="1"/>
                <w:szCs w:val="1"/>
                <w:color w:val="auto"/>
              </w:rPr>
            </w:pPr>
          </w:p>
        </w:tc>
      </w:tr>
      <w:tr>
        <w:trPr>
          <w:trHeight w:val="44"/>
        </w:trPr>
        <w:tc>
          <w:tcPr>
            <w:tcW w:w="460" w:type="dxa"/>
            <w:vAlign w:val="bottom"/>
            <w:tcBorders>
              <w:left w:val="single" w:sz="8" w:color="auto"/>
            </w:tcBorders>
          </w:tcPr>
          <w:p>
            <w:pPr>
              <w:spacing w:after="0"/>
              <w:rPr>
                <w:sz w:val="3"/>
                <w:szCs w:val="3"/>
                <w:color w:val="auto"/>
              </w:rPr>
            </w:pPr>
          </w:p>
        </w:tc>
        <w:tc>
          <w:tcPr>
            <w:tcW w:w="5080" w:type="dxa"/>
            <w:vAlign w:val="bottom"/>
            <w:tcBorders>
              <w:right w:val="single" w:sz="8" w:color="auto"/>
            </w:tcBorders>
          </w:tcPr>
          <w:p>
            <w:pPr>
              <w:jc w:val="right"/>
              <w:ind w:right="4498"/>
              <w:spacing w:after="0" w:line="45" w:lineRule="exact"/>
              <w:rPr>
                <w:sz w:val="20"/>
                <w:szCs w:val="20"/>
                <w:color w:val="auto"/>
              </w:rPr>
            </w:pPr>
            <w:r>
              <w:rPr>
                <w:rFonts w:ascii="Arial" w:cs="Arial" w:eastAsia="Arial" w:hAnsi="Arial"/>
                <w:sz w:val="5"/>
                <w:szCs w:val="5"/>
                <w:color w:val="auto"/>
              </w:rPr>
              <w:t>3</w:t>
            </w:r>
          </w:p>
        </w:tc>
        <w:tc>
          <w:tcPr>
            <w:tcW w:w="240" w:type="dxa"/>
            <w:vAlign w:val="bottom"/>
            <w:tcBorders>
              <w:right w:val="single" w:sz="8" w:color="auto"/>
            </w:tcBorders>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43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of, registered shares by exercising option or convertible rights arising from registered or bearer</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4"/>
          </w:tcPr>
          <w:p>
            <w:pPr>
              <w:ind w:left="40"/>
              <w:spacing w:after="0" w:line="135" w:lineRule="exact"/>
              <w:rPr>
                <w:sz w:val="20"/>
                <w:szCs w:val="20"/>
                <w:color w:val="auto"/>
              </w:rPr>
            </w:pPr>
            <w:r>
              <w:rPr>
                <w:rFonts w:ascii="Arial" w:cs="Arial" w:eastAsia="Arial" w:hAnsi="Arial"/>
                <w:sz w:val="12"/>
                <w:szCs w:val="12"/>
                <w:color w:val="auto"/>
              </w:rPr>
              <w:t>l'acquisition d'actions nominatives par l'exercice d'options ou de droits convertibles découlant de titres</w:t>
            </w:r>
          </w:p>
        </w:tc>
        <w:tc>
          <w:tcPr>
            <w:tcW w:w="0" w:type="dxa"/>
            <w:vAlign w:val="bottom"/>
          </w:tcPr>
          <w:p>
            <w:pPr>
              <w:spacing w:after="0"/>
              <w:rPr>
                <w:sz w:val="1"/>
                <w:szCs w:val="1"/>
                <w:color w:val="auto"/>
              </w:rPr>
            </w:pP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securities or any other securities issued by the Company or third parties, as well as by means of</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4"/>
          </w:tcPr>
          <w:p>
            <w:pPr>
              <w:ind w:left="40"/>
              <w:spacing w:after="0" w:line="135" w:lineRule="exact"/>
              <w:rPr>
                <w:sz w:val="20"/>
                <w:szCs w:val="20"/>
                <w:color w:val="auto"/>
              </w:rPr>
            </w:pPr>
            <w:r>
              <w:rPr>
                <w:rFonts w:ascii="Arial" w:cs="Arial" w:eastAsia="Arial" w:hAnsi="Arial"/>
                <w:sz w:val="12"/>
                <w:szCs w:val="12"/>
                <w:color w:val="auto"/>
              </w:rPr>
              <w:t>nominatifs ou au porteur ou d'autres titres émis par la société ou par des tiers, ainsi que par le biais</w:t>
            </w:r>
          </w:p>
        </w:tc>
        <w:tc>
          <w:tcPr>
            <w:tcW w:w="0" w:type="dxa"/>
            <w:vAlign w:val="bottom"/>
          </w:tcPr>
          <w:p>
            <w:pPr>
              <w:spacing w:after="0"/>
              <w:rPr>
                <w:sz w:val="1"/>
                <w:szCs w:val="1"/>
                <w:color w:val="auto"/>
              </w:rPr>
            </w:pP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exercising purchased preemptive rights arising from either registered or bearer shares. The registered</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4"/>
          </w:tcPr>
          <w:p>
            <w:pPr>
              <w:ind w:left="40"/>
              <w:spacing w:after="0" w:line="135" w:lineRule="exact"/>
              <w:rPr>
                <w:sz w:val="20"/>
                <w:szCs w:val="20"/>
                <w:color w:val="auto"/>
              </w:rPr>
            </w:pPr>
            <w:r>
              <w:rPr>
                <w:rFonts w:ascii="Arial" w:cs="Arial" w:eastAsia="Arial" w:hAnsi="Arial"/>
                <w:sz w:val="12"/>
                <w:szCs w:val="12"/>
                <w:color w:val="auto"/>
              </w:rPr>
              <w:t>de l'exercice de droits de souscription préférentiels achetés découlant d'actions nominatives ou au</w:t>
            </w:r>
          </w:p>
        </w:tc>
        <w:tc>
          <w:tcPr>
            <w:tcW w:w="0" w:type="dxa"/>
            <w:vAlign w:val="bottom"/>
          </w:tcPr>
          <w:p>
            <w:pPr>
              <w:spacing w:after="0"/>
              <w:rPr>
                <w:sz w:val="1"/>
                <w:szCs w:val="1"/>
                <w:color w:val="auto"/>
              </w:rPr>
            </w:pPr>
          </w:p>
        </w:tc>
      </w:tr>
      <w:tr>
        <w:trPr>
          <w:trHeight w:val="180"/>
        </w:trPr>
        <w:tc>
          <w:tcPr>
            <w:tcW w:w="5540" w:type="dxa"/>
            <w:vAlign w:val="bottom"/>
            <w:tcBorders>
              <w:left w:val="single" w:sz="8" w:color="auto"/>
              <w:right w:val="single" w:sz="8" w:color="auto"/>
            </w:tcBorders>
            <w:gridSpan w:val="2"/>
          </w:tcPr>
          <w:p>
            <w:pPr>
              <w:ind w:left="40"/>
              <w:spacing w:after="0" w:line="180" w:lineRule="exact"/>
              <w:rPr>
                <w:sz w:val="20"/>
                <w:szCs w:val="20"/>
                <w:color w:val="auto"/>
              </w:rPr>
            </w:pPr>
            <w:r>
              <w:rPr>
                <w:rFonts w:ascii="Arial" w:cs="Arial" w:eastAsia="Arial" w:hAnsi="Arial"/>
                <w:sz w:val="12"/>
                <w:szCs w:val="12"/>
                <w:color w:val="auto"/>
              </w:rPr>
              <w:t xml:space="preserve">shares exceeding the limit of 33 </w:t>
            </w:r>
            <w:r>
              <w:rPr>
                <w:rFonts w:ascii="Arial" w:cs="Arial" w:eastAsia="Arial" w:hAnsi="Arial"/>
                <w:sz w:val="19"/>
                <w:szCs w:val="19"/>
                <w:color w:val="auto"/>
                <w:vertAlign w:val="superscript"/>
              </w:rPr>
              <w:t>1</w:t>
            </w:r>
            <w:r>
              <w:rPr>
                <w:rFonts w:ascii="Arial" w:cs="Arial" w:eastAsia="Arial" w:hAnsi="Arial"/>
                <w:sz w:val="12"/>
                <w:szCs w:val="12"/>
                <w:color w:val="auto"/>
              </w:rPr>
              <w:t>/</w:t>
            </w:r>
            <w:r>
              <w:rPr>
                <w:rFonts w:ascii="Arial" w:cs="Arial" w:eastAsia="Arial" w:hAnsi="Arial"/>
                <w:sz w:val="19"/>
                <w:szCs w:val="19"/>
                <w:color w:val="auto"/>
                <w:vertAlign w:val="subscript"/>
              </w:rPr>
              <w:t>3</w:t>
            </w:r>
            <w:r>
              <w:rPr>
                <w:rFonts w:ascii="Arial" w:cs="Arial" w:eastAsia="Arial" w:hAnsi="Arial"/>
                <w:sz w:val="12"/>
                <w:szCs w:val="12"/>
                <w:color w:val="auto"/>
              </w:rPr>
              <w:t xml:space="preserve"> % shall be entered in the share register as shares without voting</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gridSpan w:val="4"/>
          </w:tcPr>
          <w:p>
            <w:pPr>
              <w:ind w:left="40"/>
              <w:spacing w:after="0" w:line="180" w:lineRule="exact"/>
              <w:rPr>
                <w:sz w:val="20"/>
                <w:szCs w:val="20"/>
                <w:color w:val="auto"/>
              </w:rPr>
            </w:pPr>
            <w:r>
              <w:rPr>
                <w:rFonts w:ascii="Arial" w:cs="Arial" w:eastAsia="Arial" w:hAnsi="Arial"/>
                <w:sz w:val="12"/>
                <w:szCs w:val="12"/>
                <w:color w:val="auto"/>
              </w:rPr>
              <w:t xml:space="preserve">porteur. Les actions nominatives dépassant la limite de 33 </w:t>
            </w:r>
            <w:r>
              <w:rPr>
                <w:rFonts w:ascii="Arial" w:cs="Arial" w:eastAsia="Arial" w:hAnsi="Arial"/>
                <w:sz w:val="19"/>
                <w:szCs w:val="19"/>
                <w:color w:val="auto"/>
                <w:vertAlign w:val="superscript"/>
              </w:rPr>
              <w:t>1</w:t>
            </w:r>
            <w:r>
              <w:rPr>
                <w:rFonts w:ascii="Arial" w:cs="Arial" w:eastAsia="Arial" w:hAnsi="Arial"/>
                <w:sz w:val="12"/>
                <w:szCs w:val="12"/>
                <w:color w:val="auto"/>
              </w:rPr>
              <w:t>/</w:t>
            </w:r>
            <w:r>
              <w:rPr>
                <w:rFonts w:ascii="Arial" w:cs="Arial" w:eastAsia="Arial" w:hAnsi="Arial"/>
                <w:sz w:val="19"/>
                <w:szCs w:val="19"/>
                <w:color w:val="auto"/>
                <w:vertAlign w:val="subscript"/>
              </w:rPr>
              <w:t>3</w:t>
            </w:r>
            <w:r>
              <w:rPr>
                <w:rFonts w:ascii="Arial" w:cs="Arial" w:eastAsia="Arial" w:hAnsi="Arial"/>
                <w:sz w:val="12"/>
                <w:szCs w:val="12"/>
                <w:color w:val="auto"/>
              </w:rPr>
              <w:t xml:space="preserve"> % sont inscrites dans le registre des</w:t>
            </w:r>
          </w:p>
        </w:tc>
        <w:tc>
          <w:tcPr>
            <w:tcW w:w="0" w:type="dxa"/>
            <w:vAlign w:val="bottom"/>
          </w:tcPr>
          <w:p>
            <w:pPr>
              <w:spacing w:after="0"/>
              <w:rPr>
                <w:sz w:val="1"/>
                <w:szCs w:val="1"/>
                <w:color w:val="auto"/>
              </w:rPr>
            </w:pPr>
          </w:p>
        </w:tc>
      </w:tr>
      <w:tr>
        <w:trPr>
          <w:trHeight w:val="145"/>
        </w:trPr>
        <w:tc>
          <w:tcPr>
            <w:tcW w:w="460" w:type="dxa"/>
            <w:vAlign w:val="bottom"/>
            <w:tcBorders>
              <w:left w:val="single" w:sz="8" w:color="auto"/>
            </w:tcBorders>
          </w:tcPr>
          <w:p>
            <w:pPr>
              <w:ind w:left="40"/>
              <w:spacing w:after="0"/>
              <w:rPr>
                <w:sz w:val="20"/>
                <w:szCs w:val="20"/>
                <w:color w:val="auto"/>
              </w:rPr>
            </w:pPr>
            <w:r>
              <w:rPr>
                <w:rFonts w:ascii="Arial" w:cs="Arial" w:eastAsia="Arial" w:hAnsi="Arial"/>
                <w:sz w:val="12"/>
                <w:szCs w:val="12"/>
                <w:color w:val="auto"/>
              </w:rPr>
              <w:t>rights.</w:t>
            </w:r>
          </w:p>
        </w:tc>
        <w:tc>
          <w:tcPr>
            <w:tcW w:w="5080" w:type="dxa"/>
            <w:vAlign w:val="bottom"/>
            <w:tcBorders>
              <w:right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4"/>
          </w:tcPr>
          <w:p>
            <w:pPr>
              <w:ind w:left="40"/>
              <w:spacing w:after="0"/>
              <w:rPr>
                <w:sz w:val="20"/>
                <w:szCs w:val="20"/>
                <w:color w:val="auto"/>
              </w:rPr>
            </w:pPr>
            <w:r>
              <w:rPr>
                <w:rFonts w:ascii="Arial" w:cs="Arial" w:eastAsia="Arial" w:hAnsi="Arial"/>
                <w:sz w:val="12"/>
                <w:szCs w:val="12"/>
                <w:color w:val="auto"/>
              </w:rPr>
              <w:t>actions comme des actions sans droit de vote.</w:t>
            </w:r>
          </w:p>
        </w:tc>
        <w:tc>
          <w:tcPr>
            <w:tcW w:w="0" w:type="dxa"/>
            <w:vAlign w:val="bottom"/>
          </w:tcPr>
          <w:p>
            <w:pPr>
              <w:spacing w:after="0"/>
              <w:rPr>
                <w:sz w:val="1"/>
                <w:szCs w:val="1"/>
                <w:color w:val="auto"/>
              </w:rPr>
            </w:pPr>
          </w:p>
        </w:tc>
      </w:tr>
      <w:tr>
        <w:trPr>
          <w:trHeight w:val="260"/>
        </w:trPr>
        <w:tc>
          <w:tcPr>
            <w:tcW w:w="460" w:type="dxa"/>
            <w:vAlign w:val="bottom"/>
            <w:tcBorders>
              <w:left w:val="single" w:sz="8" w:color="auto"/>
            </w:tcBorders>
          </w:tcPr>
          <w:p>
            <w:pPr>
              <w:spacing w:after="0"/>
              <w:rPr>
                <w:sz w:val="22"/>
                <w:szCs w:val="22"/>
                <w:color w:val="auto"/>
              </w:rPr>
            </w:pPr>
          </w:p>
        </w:tc>
        <w:tc>
          <w:tcPr>
            <w:tcW w:w="5080" w:type="dxa"/>
            <w:vAlign w:val="bottom"/>
            <w:tcBorders>
              <w:right w:val="single" w:sz="8" w:color="auto"/>
            </w:tcBorders>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5520" w:type="dxa"/>
            <w:vAlign w:val="bottom"/>
            <w:tcBorders>
              <w:right w:val="single" w:sz="8" w:color="auto"/>
            </w:tcBorders>
            <w:gridSpan w:val="4"/>
          </w:tcPr>
          <w:p>
            <w:pPr>
              <w:ind w:left="40"/>
              <w:spacing w:after="0"/>
              <w:rPr>
                <w:sz w:val="20"/>
                <w:szCs w:val="20"/>
                <w:color w:val="auto"/>
              </w:rPr>
            </w:pPr>
            <w:r>
              <w:rPr>
                <w:rFonts w:ascii="Arial" w:cs="Arial" w:eastAsia="Arial" w:hAnsi="Arial"/>
                <w:sz w:val="12"/>
                <w:szCs w:val="12"/>
                <w:color w:val="auto"/>
              </w:rPr>
              <w:t>Le conseil d'administration peut dans des cas particuliers approuver des exceptions aux règles</w:t>
            </w:r>
          </w:p>
        </w:tc>
        <w:tc>
          <w:tcPr>
            <w:tcW w:w="0" w:type="dxa"/>
            <w:vAlign w:val="bottom"/>
          </w:tcPr>
          <w:p>
            <w:pPr>
              <w:spacing w:after="0"/>
              <w:rPr>
                <w:sz w:val="1"/>
                <w:szCs w:val="1"/>
                <w:color w:val="auto"/>
              </w:rPr>
            </w:pP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The Board of Directors may in special cases approve exceptions to the above regulations. The Board</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4"/>
          </w:tcPr>
          <w:p>
            <w:pPr>
              <w:ind w:left="40"/>
              <w:spacing w:after="0" w:line="135" w:lineRule="exact"/>
              <w:rPr>
                <w:sz w:val="20"/>
                <w:szCs w:val="20"/>
                <w:color w:val="auto"/>
              </w:rPr>
            </w:pPr>
            <w:r>
              <w:rPr>
                <w:rFonts w:ascii="Arial" w:cs="Arial" w:eastAsia="Arial" w:hAnsi="Arial"/>
                <w:sz w:val="12"/>
                <w:szCs w:val="12"/>
                <w:color w:val="auto"/>
              </w:rPr>
              <w:t>précitées. Il est en outre autorisé, après consultation avec la personne concernée, de supprimer avec</w:t>
            </w:r>
          </w:p>
        </w:tc>
        <w:tc>
          <w:tcPr>
            <w:tcW w:w="0" w:type="dxa"/>
            <w:vAlign w:val="bottom"/>
          </w:tcPr>
          <w:p>
            <w:pPr>
              <w:spacing w:after="0"/>
              <w:rPr>
                <w:sz w:val="1"/>
                <w:szCs w:val="1"/>
                <w:color w:val="auto"/>
              </w:rPr>
            </w:pP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of Directors is in addition authorized, after due consultation with the person concerned, to delete with</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4"/>
          </w:tcPr>
          <w:p>
            <w:pPr>
              <w:ind w:left="40"/>
              <w:spacing w:after="0" w:line="135" w:lineRule="exact"/>
              <w:rPr>
                <w:sz w:val="20"/>
                <w:szCs w:val="20"/>
                <w:color w:val="auto"/>
              </w:rPr>
            </w:pPr>
            <w:r>
              <w:rPr>
                <w:rFonts w:ascii="Arial" w:cs="Arial" w:eastAsia="Arial" w:hAnsi="Arial"/>
                <w:sz w:val="12"/>
                <w:szCs w:val="12"/>
                <w:color w:val="auto"/>
              </w:rPr>
              <w:t>effet rétroactif des inscriptions du registre des actions qui ont été effectuées sur la base de fausses</w:t>
            </w:r>
          </w:p>
        </w:tc>
        <w:tc>
          <w:tcPr>
            <w:tcW w:w="0" w:type="dxa"/>
            <w:vAlign w:val="bottom"/>
          </w:tcPr>
          <w:p>
            <w:pPr>
              <w:spacing w:after="0"/>
              <w:rPr>
                <w:sz w:val="1"/>
                <w:szCs w:val="1"/>
                <w:color w:val="auto"/>
              </w:rPr>
            </w:pPr>
          </w:p>
        </w:tc>
      </w:tr>
      <w:tr>
        <w:trPr>
          <w:trHeight w:val="145"/>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retroactive effect entries in the share register which were effected on the basis of false information.</w:t>
            </w:r>
          </w:p>
        </w:tc>
        <w:tc>
          <w:tcPr>
            <w:tcW w:w="240" w:type="dxa"/>
            <w:vAlign w:val="bottom"/>
            <w:tcBorders>
              <w:right w:val="single" w:sz="8" w:color="auto"/>
            </w:tcBorders>
          </w:tcPr>
          <w:p>
            <w:pPr>
              <w:spacing w:after="0"/>
              <w:rPr>
                <w:sz w:val="12"/>
                <w:szCs w:val="12"/>
                <w:color w:val="auto"/>
              </w:rPr>
            </w:pPr>
          </w:p>
        </w:tc>
        <w:tc>
          <w:tcPr>
            <w:tcW w:w="1100" w:type="dxa"/>
            <w:vAlign w:val="bottom"/>
            <w:gridSpan w:val="2"/>
          </w:tcPr>
          <w:p>
            <w:pPr>
              <w:ind w:left="40"/>
              <w:spacing w:after="0"/>
              <w:rPr>
                <w:sz w:val="20"/>
                <w:szCs w:val="20"/>
                <w:color w:val="auto"/>
              </w:rPr>
            </w:pPr>
            <w:r>
              <w:rPr>
                <w:rFonts w:ascii="Arial" w:cs="Arial" w:eastAsia="Arial" w:hAnsi="Arial"/>
                <w:sz w:val="12"/>
                <w:szCs w:val="12"/>
                <w:color w:val="auto"/>
              </w:rPr>
              <w:t>informations.</w:t>
            </w:r>
          </w:p>
        </w:tc>
        <w:tc>
          <w:tcPr>
            <w:tcW w:w="100" w:type="dxa"/>
            <w:vAlign w:val="bottom"/>
          </w:tcPr>
          <w:p>
            <w:pPr>
              <w:spacing w:after="0"/>
              <w:rPr>
                <w:sz w:val="12"/>
                <w:szCs w:val="12"/>
                <w:color w:val="auto"/>
              </w:rPr>
            </w:pPr>
          </w:p>
        </w:tc>
        <w:tc>
          <w:tcPr>
            <w:tcW w:w="4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460" w:type="dxa"/>
            <w:vAlign w:val="bottom"/>
            <w:tcBorders>
              <w:left w:val="single" w:sz="8" w:color="auto"/>
              <w:bottom w:val="single" w:sz="8" w:color="auto"/>
            </w:tcBorders>
          </w:tcPr>
          <w:p>
            <w:pPr>
              <w:spacing w:after="0"/>
              <w:rPr>
                <w:sz w:val="3"/>
                <w:szCs w:val="3"/>
                <w:color w:val="auto"/>
              </w:rPr>
            </w:pPr>
          </w:p>
        </w:tc>
        <w:tc>
          <w:tcPr>
            <w:tcW w:w="50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980" w:type="dxa"/>
            <w:vAlign w:val="bottom"/>
            <w:tcBorders>
              <w:bottom w:val="single" w:sz="8" w:color="auto"/>
              <w:right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460" w:type="dxa"/>
            <w:vAlign w:val="bottom"/>
            <w:tcBorders>
              <w:left w:val="single" w:sz="8" w:color="auto"/>
            </w:tcBorders>
          </w:tcPr>
          <w:p>
            <w:pPr>
              <w:ind w:left="40"/>
              <w:spacing w:after="0"/>
              <w:rPr>
                <w:sz w:val="20"/>
                <w:szCs w:val="20"/>
                <w:color w:val="auto"/>
              </w:rPr>
            </w:pPr>
            <w:r>
              <w:rPr>
                <w:rFonts w:ascii="Arial" w:cs="Arial" w:eastAsia="Arial" w:hAnsi="Arial"/>
                <w:sz w:val="12"/>
                <w:szCs w:val="12"/>
                <w:b w:val="1"/>
                <w:bCs w:val="1"/>
                <w:color w:val="auto"/>
              </w:rPr>
              <w:t>Art. 5</w:t>
            </w:r>
          </w:p>
        </w:tc>
        <w:tc>
          <w:tcPr>
            <w:tcW w:w="5080" w:type="dxa"/>
            <w:vAlign w:val="bottom"/>
            <w:tcBorders>
              <w:right w:val="single" w:sz="8" w:color="auto"/>
            </w:tcBorders>
          </w:tcPr>
          <w:p>
            <w:pPr>
              <w:jc w:val="right"/>
              <w:ind w:right="2258"/>
              <w:spacing w:after="0"/>
              <w:rPr>
                <w:sz w:val="20"/>
                <w:szCs w:val="20"/>
                <w:color w:val="auto"/>
              </w:rPr>
            </w:pPr>
            <w:r>
              <w:rPr>
                <w:rFonts w:ascii="Arial" w:cs="Arial" w:eastAsia="Arial" w:hAnsi="Arial"/>
                <w:sz w:val="12"/>
                <w:szCs w:val="12"/>
                <w:b w:val="1"/>
                <w:bCs w:val="1"/>
                <w:color w:val="auto"/>
              </w:rPr>
              <w:t>Share Certificates and Intermediated Securities</w:t>
            </w:r>
          </w:p>
        </w:tc>
        <w:tc>
          <w:tcPr>
            <w:tcW w:w="240" w:type="dxa"/>
            <w:vAlign w:val="bottom"/>
            <w:tcBorders>
              <w:right w:val="single" w:sz="8" w:color="auto"/>
            </w:tcBorders>
          </w:tcPr>
          <w:p>
            <w:pPr>
              <w:spacing w:after="0"/>
              <w:rPr>
                <w:sz w:val="15"/>
                <w:szCs w:val="15"/>
                <w:color w:val="auto"/>
              </w:rPr>
            </w:pP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Art. 5</w:t>
            </w:r>
          </w:p>
        </w:tc>
        <w:tc>
          <w:tcPr>
            <w:tcW w:w="4980" w:type="dxa"/>
            <w:vAlign w:val="bottom"/>
            <w:tcBorders>
              <w:right w:val="single" w:sz="8" w:color="auto"/>
            </w:tcBorders>
            <w:gridSpan w:val="3"/>
          </w:tcPr>
          <w:p>
            <w:pPr>
              <w:jc w:val="right"/>
              <w:ind w:right="2560"/>
              <w:spacing w:after="0"/>
              <w:rPr>
                <w:sz w:val="20"/>
                <w:szCs w:val="20"/>
                <w:color w:val="auto"/>
              </w:rPr>
            </w:pPr>
            <w:r>
              <w:rPr>
                <w:rFonts w:ascii="Arial" w:cs="Arial" w:eastAsia="Arial" w:hAnsi="Arial"/>
                <w:sz w:val="12"/>
                <w:szCs w:val="12"/>
                <w:b w:val="1"/>
                <w:bCs w:val="1"/>
                <w:color w:val="auto"/>
              </w:rPr>
              <w:t>Certificats d'actions et titres intermédiés</w:t>
            </w:r>
          </w:p>
        </w:tc>
        <w:tc>
          <w:tcPr>
            <w:tcW w:w="0" w:type="dxa"/>
            <w:vAlign w:val="bottom"/>
          </w:tcPr>
          <w:p>
            <w:pPr>
              <w:spacing w:after="0"/>
              <w:rPr>
                <w:sz w:val="1"/>
                <w:szCs w:val="1"/>
                <w:color w:val="auto"/>
              </w:rPr>
            </w:pPr>
          </w:p>
        </w:tc>
      </w:tr>
      <w:tr>
        <w:trPr>
          <w:trHeight w:val="260"/>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The Company may issue registered shares in the form of single certificates, global certificates and</w:t>
            </w:r>
          </w:p>
        </w:tc>
        <w:tc>
          <w:tcPr>
            <w:tcW w:w="240" w:type="dxa"/>
            <w:vAlign w:val="bottom"/>
            <w:tcBorders>
              <w:right w:val="single" w:sz="8" w:color="auto"/>
            </w:tcBorders>
          </w:tcPr>
          <w:p>
            <w:pPr>
              <w:spacing w:after="0"/>
              <w:rPr>
                <w:sz w:val="22"/>
                <w:szCs w:val="22"/>
                <w:color w:val="auto"/>
              </w:rPr>
            </w:pPr>
          </w:p>
        </w:tc>
        <w:tc>
          <w:tcPr>
            <w:tcW w:w="5520" w:type="dxa"/>
            <w:vAlign w:val="bottom"/>
            <w:tcBorders>
              <w:right w:val="single" w:sz="8" w:color="auto"/>
            </w:tcBorders>
            <w:gridSpan w:val="4"/>
          </w:tcPr>
          <w:p>
            <w:pPr>
              <w:ind w:left="40"/>
              <w:spacing w:after="0"/>
              <w:rPr>
                <w:sz w:val="20"/>
                <w:szCs w:val="20"/>
                <w:color w:val="auto"/>
              </w:rPr>
            </w:pPr>
            <w:r>
              <w:rPr>
                <w:rFonts w:ascii="Arial" w:cs="Arial" w:eastAsia="Arial" w:hAnsi="Arial"/>
                <w:sz w:val="12"/>
                <w:szCs w:val="12"/>
                <w:color w:val="auto"/>
              </w:rPr>
              <w:t>La société peut émettre des actions nominatives sous forme de certificats individuels, de certificats</w:t>
            </w:r>
          </w:p>
        </w:tc>
        <w:tc>
          <w:tcPr>
            <w:tcW w:w="0" w:type="dxa"/>
            <w:vAlign w:val="bottom"/>
          </w:tcPr>
          <w:p>
            <w:pPr>
              <w:spacing w:after="0"/>
              <w:rPr>
                <w:sz w:val="1"/>
                <w:szCs w:val="1"/>
                <w:color w:val="auto"/>
              </w:rPr>
            </w:pP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uncertificated securities. Under the conditions set forth by statutory law, the Company may convert its</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4"/>
          </w:tcPr>
          <w:p>
            <w:pPr>
              <w:ind w:left="40"/>
              <w:spacing w:after="0" w:line="135" w:lineRule="exact"/>
              <w:rPr>
                <w:sz w:val="20"/>
                <w:szCs w:val="20"/>
                <w:color w:val="auto"/>
              </w:rPr>
            </w:pPr>
            <w:r>
              <w:rPr>
                <w:rFonts w:ascii="Arial" w:cs="Arial" w:eastAsia="Arial" w:hAnsi="Arial"/>
                <w:sz w:val="12"/>
                <w:szCs w:val="12"/>
                <w:color w:val="auto"/>
              </w:rPr>
              <w:t>globaux et de titres dématérialisés. Dans les conditions prévues par la loi, la société peut convertir</w:t>
            </w:r>
          </w:p>
        </w:tc>
        <w:tc>
          <w:tcPr>
            <w:tcW w:w="0" w:type="dxa"/>
            <w:vAlign w:val="bottom"/>
          </w:tcPr>
          <w:p>
            <w:pPr>
              <w:spacing w:after="0"/>
              <w:rPr>
                <w:sz w:val="1"/>
                <w:szCs w:val="1"/>
                <w:color w:val="auto"/>
              </w:rPr>
            </w:pP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registered shares from one form into another form at any time and without the approval of the</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4"/>
          </w:tcPr>
          <w:p>
            <w:pPr>
              <w:ind w:left="40"/>
              <w:spacing w:after="0" w:line="135" w:lineRule="exact"/>
              <w:rPr>
                <w:sz w:val="20"/>
                <w:szCs w:val="20"/>
                <w:color w:val="auto"/>
              </w:rPr>
            </w:pPr>
            <w:r>
              <w:rPr>
                <w:rFonts w:ascii="Arial" w:cs="Arial" w:eastAsia="Arial" w:hAnsi="Arial"/>
                <w:sz w:val="12"/>
                <w:szCs w:val="12"/>
                <w:color w:val="auto"/>
              </w:rPr>
              <w:t>ses actions nominatives d'une forme en une autre forme, à tout moment et sans l'approbation des</w:t>
            </w:r>
          </w:p>
        </w:tc>
        <w:tc>
          <w:tcPr>
            <w:tcW w:w="0" w:type="dxa"/>
            <w:vAlign w:val="bottom"/>
          </w:tcPr>
          <w:p>
            <w:pPr>
              <w:spacing w:after="0"/>
              <w:rPr>
                <w:sz w:val="1"/>
                <w:szCs w:val="1"/>
                <w:color w:val="auto"/>
              </w:rPr>
            </w:pPr>
          </w:p>
        </w:tc>
      </w:tr>
      <w:tr>
        <w:trPr>
          <w:trHeight w:val="145"/>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shareholders.</w:t>
            </w:r>
          </w:p>
        </w:tc>
        <w:tc>
          <w:tcPr>
            <w:tcW w:w="240" w:type="dxa"/>
            <w:vAlign w:val="bottom"/>
            <w:tcBorders>
              <w:right w:val="single" w:sz="8" w:color="auto"/>
            </w:tcBorders>
          </w:tcPr>
          <w:p>
            <w:pPr>
              <w:spacing w:after="0"/>
              <w:rPr>
                <w:sz w:val="12"/>
                <w:szCs w:val="12"/>
                <w:color w:val="auto"/>
              </w:rPr>
            </w:pPr>
          </w:p>
        </w:tc>
        <w:tc>
          <w:tcPr>
            <w:tcW w:w="1100" w:type="dxa"/>
            <w:vAlign w:val="bottom"/>
            <w:gridSpan w:val="2"/>
          </w:tcPr>
          <w:p>
            <w:pPr>
              <w:ind w:left="40"/>
              <w:spacing w:after="0"/>
              <w:rPr>
                <w:sz w:val="20"/>
                <w:szCs w:val="20"/>
                <w:color w:val="auto"/>
              </w:rPr>
            </w:pPr>
            <w:r>
              <w:rPr>
                <w:rFonts w:ascii="Arial" w:cs="Arial" w:eastAsia="Arial" w:hAnsi="Arial"/>
                <w:sz w:val="12"/>
                <w:szCs w:val="12"/>
                <w:color w:val="auto"/>
              </w:rPr>
              <w:t>actionnaires.</w:t>
            </w:r>
          </w:p>
        </w:tc>
        <w:tc>
          <w:tcPr>
            <w:tcW w:w="100" w:type="dxa"/>
            <w:vAlign w:val="bottom"/>
          </w:tcPr>
          <w:p>
            <w:pPr>
              <w:spacing w:after="0"/>
              <w:rPr>
                <w:sz w:val="12"/>
                <w:szCs w:val="12"/>
                <w:color w:val="auto"/>
              </w:rPr>
            </w:pPr>
          </w:p>
        </w:tc>
        <w:tc>
          <w:tcPr>
            <w:tcW w:w="4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5540" w:type="dxa"/>
            <w:vAlign w:val="bottom"/>
            <w:tcBorders>
              <w:left w:val="single" w:sz="8" w:color="auto"/>
              <w:bottom w:val="single" w:sz="8" w:color="auto"/>
              <w:right w:val="single" w:sz="8" w:color="auto"/>
            </w:tcBorders>
            <w:gridSpan w:val="2"/>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520" w:type="dxa"/>
            <w:vAlign w:val="bottom"/>
            <w:tcBorders>
              <w:bottom w:val="single" w:sz="8" w:color="auto"/>
              <w:right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The shareholder has no right to demand a conversion of the registered shares. Each shareholder may,</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4"/>
          </w:tcPr>
          <w:p>
            <w:pPr>
              <w:ind w:left="40"/>
              <w:spacing w:after="0"/>
              <w:rPr>
                <w:sz w:val="20"/>
                <w:szCs w:val="20"/>
                <w:color w:val="auto"/>
              </w:rPr>
            </w:pPr>
            <w:r>
              <w:rPr>
                <w:rFonts w:ascii="Arial" w:cs="Arial" w:eastAsia="Arial" w:hAnsi="Arial"/>
                <w:sz w:val="12"/>
                <w:szCs w:val="12"/>
                <w:color w:val="auto"/>
              </w:rPr>
              <w:t>L'actionnaire n'a pas le droit d'exiger une conversion d'actions nominatives. Chaque actionnaire peut</w:t>
            </w:r>
          </w:p>
        </w:tc>
        <w:tc>
          <w:tcPr>
            <w:tcW w:w="0" w:type="dxa"/>
            <w:vAlign w:val="bottom"/>
          </w:tcPr>
          <w:p>
            <w:pPr>
              <w:spacing w:after="0"/>
              <w:rPr>
                <w:sz w:val="1"/>
                <w:szCs w:val="1"/>
                <w:color w:val="auto"/>
              </w:rPr>
            </w:pP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however, at any time request a written confirmation from the Company of the registered shares held</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4"/>
          </w:tcPr>
          <w:p>
            <w:pPr>
              <w:ind w:left="40"/>
              <w:spacing w:after="0" w:line="135" w:lineRule="exact"/>
              <w:rPr>
                <w:sz w:val="20"/>
                <w:szCs w:val="20"/>
                <w:color w:val="auto"/>
              </w:rPr>
            </w:pPr>
            <w:r>
              <w:rPr>
                <w:rFonts w:ascii="Arial" w:cs="Arial" w:eastAsia="Arial" w:hAnsi="Arial"/>
                <w:sz w:val="12"/>
                <w:szCs w:val="12"/>
                <w:color w:val="auto"/>
              </w:rPr>
              <w:t>toutefois, à tout moment, demander une confirmation écrite de la société du nombres d'actions</w:t>
            </w:r>
          </w:p>
        </w:tc>
        <w:tc>
          <w:tcPr>
            <w:tcW w:w="0" w:type="dxa"/>
            <w:vAlign w:val="bottom"/>
          </w:tcPr>
          <w:p>
            <w:pPr>
              <w:spacing w:after="0"/>
              <w:rPr>
                <w:sz w:val="1"/>
                <w:szCs w:val="1"/>
                <w:color w:val="auto"/>
              </w:rPr>
            </w:pPr>
          </w:p>
        </w:tc>
      </w:tr>
      <w:tr>
        <w:trPr>
          <w:trHeight w:val="145"/>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by such shareholder, as reflected in the share register.</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4"/>
          </w:tcPr>
          <w:p>
            <w:pPr>
              <w:ind w:left="40"/>
              <w:spacing w:after="0"/>
              <w:rPr>
                <w:sz w:val="20"/>
                <w:szCs w:val="20"/>
                <w:color w:val="auto"/>
              </w:rPr>
            </w:pPr>
            <w:r>
              <w:rPr>
                <w:rFonts w:ascii="Arial" w:cs="Arial" w:eastAsia="Arial" w:hAnsi="Arial"/>
                <w:sz w:val="12"/>
                <w:szCs w:val="12"/>
                <w:color w:val="auto"/>
              </w:rPr>
              <w:t>nominatives détenues par cet actionnaire telles qu'inscrites au registre du commerce.</w:t>
            </w:r>
          </w:p>
        </w:tc>
        <w:tc>
          <w:tcPr>
            <w:tcW w:w="0" w:type="dxa"/>
            <w:vAlign w:val="bottom"/>
          </w:tcPr>
          <w:p>
            <w:pPr>
              <w:spacing w:after="0"/>
              <w:rPr>
                <w:sz w:val="1"/>
                <w:szCs w:val="1"/>
                <w:color w:val="auto"/>
              </w:rPr>
            </w:pPr>
          </w:p>
        </w:tc>
      </w:tr>
      <w:tr>
        <w:trPr>
          <w:trHeight w:val="36"/>
        </w:trPr>
        <w:tc>
          <w:tcPr>
            <w:tcW w:w="460" w:type="dxa"/>
            <w:vAlign w:val="bottom"/>
            <w:tcBorders>
              <w:left w:val="single" w:sz="8" w:color="auto"/>
              <w:bottom w:val="single" w:sz="8" w:color="auto"/>
            </w:tcBorders>
          </w:tcPr>
          <w:p>
            <w:pPr>
              <w:spacing w:after="0"/>
              <w:rPr>
                <w:sz w:val="3"/>
                <w:szCs w:val="3"/>
                <w:color w:val="auto"/>
              </w:rPr>
            </w:pPr>
          </w:p>
        </w:tc>
        <w:tc>
          <w:tcPr>
            <w:tcW w:w="50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3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93"/>
        </w:trPr>
        <w:tc>
          <w:tcPr>
            <w:tcW w:w="46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211" w:right="299" w:bottom="1440" w:gutter="0" w:footer="0" w:header="0"/>
        </w:sectPr>
      </w:pPr>
    </w:p>
    <w:bookmarkStart w:id="55" w:name="page56"/>
    <w:bookmarkEnd w:id="5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45"/>
        </w:trPr>
        <w:tc>
          <w:tcPr>
            <w:tcW w:w="38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160" w:type="dxa"/>
            <w:vAlign w:val="bottom"/>
          </w:tcPr>
          <w:p>
            <w:pPr>
              <w:ind w:left="4980"/>
              <w:spacing w:after="0"/>
              <w:rPr>
                <w:sz w:val="20"/>
                <w:szCs w:val="20"/>
                <w:color w:val="auto"/>
              </w:rPr>
            </w:pPr>
            <w:r>
              <w:rPr>
                <w:rFonts w:ascii="Arial" w:cs="Arial" w:eastAsia="Arial" w:hAnsi="Arial"/>
                <w:sz w:val="12"/>
                <w:szCs w:val="12"/>
                <w:color w:val="auto"/>
              </w:rPr>
              <w:t>10</w:t>
            </w:r>
          </w:p>
        </w:tc>
      </w:tr>
      <w:tr>
        <w:trPr>
          <w:trHeight w:val="63"/>
        </w:trPr>
        <w:tc>
          <w:tcPr>
            <w:tcW w:w="5540" w:type="dxa"/>
            <w:vAlign w:val="bottom"/>
            <w:tcBorders>
              <w:bottom w:val="single" w:sz="8" w:color="auto"/>
            </w:tcBorders>
            <w:gridSpan w:val="2"/>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520" w:type="dxa"/>
            <w:vAlign w:val="bottom"/>
            <w:tcBorders>
              <w:bottom w:val="single" w:sz="8" w:color="auto"/>
            </w:tcBorders>
            <w:gridSpan w:val="2"/>
          </w:tcPr>
          <w:p>
            <w:pPr>
              <w:spacing w:after="0"/>
              <w:rPr>
                <w:sz w:val="5"/>
                <w:szCs w:val="5"/>
                <w:color w:val="auto"/>
              </w:rPr>
            </w:pPr>
          </w:p>
        </w:tc>
      </w:tr>
      <w:tr>
        <w:trPr>
          <w:trHeight w:val="16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The transfer of intermediated securities and the pledging of these intermediated securities shall be</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Le transfert des titres intermédiés et la mise en gage de ces titres intermédiés suivent les dispositions</w:t>
            </w: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based on the provisions of the Swiss Federal Intermediated Securities Act. Transfer of propriety as</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de la Loi fédérale sur les titres intermédiés. Le transfert de propriété à titre de sûreté par cession</w:t>
            </w:r>
          </w:p>
        </w:tc>
      </w:tr>
      <w:tr>
        <w:trPr>
          <w:trHeight w:val="145"/>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collateral by means of written assignment are not permitted.</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écrite n'est pas autorisé.</w:t>
            </w:r>
          </w:p>
        </w:tc>
      </w:tr>
      <w:tr>
        <w:trPr>
          <w:trHeight w:val="36"/>
        </w:trPr>
        <w:tc>
          <w:tcPr>
            <w:tcW w:w="5540" w:type="dxa"/>
            <w:vAlign w:val="bottom"/>
            <w:tcBorders>
              <w:left w:val="single" w:sz="8" w:color="auto"/>
              <w:bottom w:val="single" w:sz="8" w:color="auto"/>
              <w:right w:val="single" w:sz="8" w:color="auto"/>
            </w:tcBorders>
            <w:gridSpan w:val="2"/>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160" w:type="dxa"/>
            <w:vAlign w:val="bottom"/>
            <w:tcBorders>
              <w:bottom w:val="single" w:sz="8" w:color="auto"/>
              <w:right w:val="single" w:sz="8" w:color="auto"/>
            </w:tcBorders>
          </w:tcPr>
          <w:p>
            <w:pPr>
              <w:spacing w:after="0"/>
              <w:rPr>
                <w:sz w:val="3"/>
                <w:szCs w:val="3"/>
                <w:color w:val="auto"/>
              </w:rPr>
            </w:pPr>
          </w:p>
        </w:tc>
      </w:tr>
      <w:tr>
        <w:trPr>
          <w:trHeight w:val="17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Art. 6   Exercise of Shareholders Rights</w:t>
            </w:r>
          </w:p>
        </w:tc>
        <w:tc>
          <w:tcPr>
            <w:tcW w:w="240" w:type="dxa"/>
            <w:vAlign w:val="bottom"/>
            <w:tcBorders>
              <w:right w:val="single" w:sz="8" w:color="auto"/>
            </w:tcBorders>
          </w:tcPr>
          <w:p>
            <w:pPr>
              <w:spacing w:after="0"/>
              <w:rPr>
                <w:sz w:val="15"/>
                <w:szCs w:val="15"/>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w w:val="97"/>
              </w:rPr>
              <w:t>Art. 6</w:t>
            </w:r>
          </w:p>
        </w:tc>
        <w:tc>
          <w:tcPr>
            <w:tcW w:w="5160" w:type="dxa"/>
            <w:vAlign w:val="bottom"/>
            <w:tcBorders>
              <w:right w:val="single" w:sz="8" w:color="auto"/>
            </w:tcBorders>
          </w:tcPr>
          <w:p>
            <w:pPr>
              <w:ind w:left="220"/>
              <w:spacing w:after="0"/>
              <w:rPr>
                <w:sz w:val="20"/>
                <w:szCs w:val="20"/>
                <w:color w:val="auto"/>
              </w:rPr>
            </w:pPr>
            <w:r>
              <w:rPr>
                <w:rFonts w:ascii="Arial" w:cs="Arial" w:eastAsia="Arial" w:hAnsi="Arial"/>
                <w:sz w:val="12"/>
                <w:szCs w:val="12"/>
                <w:b w:val="1"/>
                <w:bCs w:val="1"/>
                <w:color w:val="auto"/>
              </w:rPr>
              <w:t>Exercice des droits des actionnaires</w:t>
            </w:r>
          </w:p>
        </w:tc>
      </w:tr>
      <w:tr>
        <w:trPr>
          <w:trHeight w:val="270"/>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The shares are indivisible and the Company recognizes only one single representative per share.</w:t>
            </w:r>
          </w:p>
        </w:tc>
        <w:tc>
          <w:tcPr>
            <w:tcW w:w="240" w:type="dxa"/>
            <w:vAlign w:val="bottom"/>
            <w:tcBorders>
              <w:right w:val="single" w:sz="8" w:color="auto"/>
            </w:tcBorders>
          </w:tcPr>
          <w:p>
            <w:pPr>
              <w:spacing w:after="0"/>
              <w:rPr>
                <w:sz w:val="23"/>
                <w:szCs w:val="23"/>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Les actions sont indivisibles et la société ne reconnaît qu'un seul représentant par action.</w:t>
            </w:r>
          </w:p>
        </w:tc>
      </w:tr>
      <w:tr>
        <w:trPr>
          <w:trHeight w:val="36"/>
        </w:trPr>
        <w:tc>
          <w:tcPr>
            <w:tcW w:w="5540" w:type="dxa"/>
            <w:vAlign w:val="bottom"/>
            <w:tcBorders>
              <w:left w:val="single" w:sz="8" w:color="auto"/>
              <w:bottom w:val="single" w:sz="8" w:color="auto"/>
              <w:right w:val="single" w:sz="8" w:color="auto"/>
            </w:tcBorders>
            <w:gridSpan w:val="2"/>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520" w:type="dxa"/>
            <w:vAlign w:val="bottom"/>
            <w:tcBorders>
              <w:bottom w:val="single" w:sz="8" w:color="auto"/>
              <w:right w:val="single" w:sz="8" w:color="auto"/>
            </w:tcBorders>
            <w:gridSpan w:val="2"/>
          </w:tcPr>
          <w:p>
            <w:pPr>
              <w:spacing w:after="0"/>
              <w:rPr>
                <w:sz w:val="3"/>
                <w:szCs w:val="3"/>
                <w:color w:val="auto"/>
              </w:rPr>
            </w:pPr>
          </w:p>
        </w:tc>
      </w:tr>
      <w:tr>
        <w:trPr>
          <w:trHeight w:val="16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The right to vote and the other rights pertaining to a registered share may only be exercised by a</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Le droit de vote et les autres droits relatifs à une action nominative ne peut être exercé que par un</w:t>
            </w: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shareholder, a usufructuary or a nominee who is registered with the right to vote in the share register</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actionnaire, un usufruitier ou un candidat qui est inscrit avec le droit de vote dans le registre des</w:t>
            </w:r>
          </w:p>
        </w:tc>
      </w:tr>
      <w:tr>
        <w:trPr>
          <w:trHeight w:val="145"/>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and by persons who are entitled by law to the voting rights of a share.</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actions et par des personnes autorisées par la loi à exercer les droits de vote d'une action.</w:t>
            </w:r>
          </w:p>
        </w:tc>
      </w:tr>
      <w:tr>
        <w:trPr>
          <w:trHeight w:val="36"/>
        </w:trPr>
        <w:tc>
          <w:tcPr>
            <w:tcW w:w="380" w:type="dxa"/>
            <w:vAlign w:val="bottom"/>
            <w:tcBorders>
              <w:left w:val="single" w:sz="8" w:color="auto"/>
              <w:bottom w:val="single" w:sz="8" w:color="auto"/>
            </w:tcBorders>
          </w:tcPr>
          <w:p>
            <w:pPr>
              <w:spacing w:after="0"/>
              <w:rPr>
                <w:sz w:val="3"/>
                <w:szCs w:val="3"/>
                <w:color w:val="auto"/>
              </w:rPr>
            </w:pPr>
          </w:p>
        </w:tc>
        <w:tc>
          <w:tcPr>
            <w:tcW w:w="516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160" w:type="dxa"/>
            <w:vAlign w:val="bottom"/>
            <w:tcBorders>
              <w:bottom w:val="single" w:sz="8" w:color="auto"/>
              <w:right w:val="single" w:sz="8" w:color="auto"/>
            </w:tcBorders>
          </w:tcPr>
          <w:p>
            <w:pPr>
              <w:spacing w:after="0"/>
              <w:rPr>
                <w:sz w:val="3"/>
                <w:szCs w:val="3"/>
                <w:color w:val="auto"/>
              </w:rPr>
            </w:pPr>
          </w:p>
        </w:tc>
      </w:tr>
      <w:tr>
        <w:trPr>
          <w:trHeight w:val="178"/>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2"/>
                <w:szCs w:val="12"/>
                <w:b w:val="1"/>
                <w:bCs w:val="1"/>
                <w:color w:val="auto"/>
              </w:rPr>
              <w:t>III.</w:t>
            </w:r>
          </w:p>
        </w:tc>
        <w:tc>
          <w:tcPr>
            <w:tcW w:w="5160" w:type="dxa"/>
            <w:vAlign w:val="bottom"/>
            <w:tcBorders>
              <w:right w:val="single" w:sz="8" w:color="auto"/>
            </w:tcBorders>
          </w:tcPr>
          <w:p>
            <w:pPr>
              <w:ind w:left="140"/>
              <w:spacing w:after="0"/>
              <w:rPr>
                <w:sz w:val="20"/>
                <w:szCs w:val="20"/>
                <w:color w:val="auto"/>
              </w:rPr>
            </w:pPr>
            <w:r>
              <w:rPr>
                <w:rFonts w:ascii="Arial" w:cs="Arial" w:eastAsia="Arial" w:hAnsi="Arial"/>
                <w:sz w:val="12"/>
                <w:szCs w:val="12"/>
                <w:b w:val="1"/>
                <w:bCs w:val="1"/>
                <w:color w:val="auto"/>
              </w:rPr>
              <w:t>CORPORATE STRUCTURE</w:t>
            </w:r>
          </w:p>
        </w:tc>
        <w:tc>
          <w:tcPr>
            <w:tcW w:w="240" w:type="dxa"/>
            <w:vAlign w:val="bottom"/>
            <w:tcBorders>
              <w:right w:val="single" w:sz="8" w:color="auto"/>
            </w:tcBorders>
          </w:tcPr>
          <w:p>
            <w:pPr>
              <w:spacing w:after="0"/>
              <w:rPr>
                <w:sz w:val="15"/>
                <w:szCs w:val="15"/>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III.</w:t>
            </w:r>
          </w:p>
        </w:tc>
        <w:tc>
          <w:tcPr>
            <w:tcW w:w="5160" w:type="dxa"/>
            <w:vAlign w:val="bottom"/>
            <w:tcBorders>
              <w:right w:val="single" w:sz="8" w:color="auto"/>
            </w:tcBorders>
          </w:tcPr>
          <w:p>
            <w:pPr>
              <w:ind w:left="180"/>
              <w:spacing w:after="0"/>
              <w:rPr>
                <w:sz w:val="20"/>
                <w:szCs w:val="20"/>
                <w:color w:val="auto"/>
              </w:rPr>
            </w:pPr>
            <w:r>
              <w:rPr>
                <w:rFonts w:ascii="Arial" w:cs="Arial" w:eastAsia="Arial" w:hAnsi="Arial"/>
                <w:sz w:val="12"/>
                <w:szCs w:val="12"/>
                <w:b w:val="1"/>
                <w:bCs w:val="1"/>
                <w:color w:val="auto"/>
              </w:rPr>
              <w:t>STRUCTURE DE LA SOCIÉTÉ</w:t>
            </w:r>
          </w:p>
        </w:tc>
      </w:tr>
      <w:tr>
        <w:trPr>
          <w:trHeight w:val="36"/>
        </w:trPr>
        <w:tc>
          <w:tcPr>
            <w:tcW w:w="380" w:type="dxa"/>
            <w:vAlign w:val="bottom"/>
            <w:tcBorders>
              <w:left w:val="single" w:sz="8" w:color="auto"/>
              <w:bottom w:val="single" w:sz="8" w:color="auto"/>
            </w:tcBorders>
          </w:tcPr>
          <w:p>
            <w:pPr>
              <w:spacing w:after="0"/>
              <w:rPr>
                <w:sz w:val="3"/>
                <w:szCs w:val="3"/>
                <w:color w:val="auto"/>
              </w:rPr>
            </w:pPr>
          </w:p>
        </w:tc>
        <w:tc>
          <w:tcPr>
            <w:tcW w:w="516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160" w:type="dxa"/>
            <w:vAlign w:val="bottom"/>
            <w:tcBorders>
              <w:bottom w:val="single" w:sz="8" w:color="auto"/>
              <w:right w:val="single" w:sz="8" w:color="auto"/>
            </w:tcBorders>
          </w:tcPr>
          <w:p>
            <w:pPr>
              <w:spacing w:after="0"/>
              <w:rPr>
                <w:sz w:val="3"/>
                <w:szCs w:val="3"/>
                <w:color w:val="auto"/>
              </w:rPr>
            </w:pPr>
          </w:p>
        </w:tc>
      </w:tr>
      <w:tr>
        <w:trPr>
          <w:trHeight w:val="178"/>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2"/>
                <w:szCs w:val="12"/>
                <w:b w:val="1"/>
                <w:bCs w:val="1"/>
                <w:color w:val="auto"/>
              </w:rPr>
              <w:t>Art. 7</w:t>
            </w:r>
          </w:p>
        </w:tc>
        <w:tc>
          <w:tcPr>
            <w:tcW w:w="5160" w:type="dxa"/>
            <w:vAlign w:val="bottom"/>
            <w:tcBorders>
              <w:right w:val="single" w:sz="8" w:color="auto"/>
            </w:tcBorders>
          </w:tcPr>
          <w:p>
            <w:pPr>
              <w:ind w:left="180"/>
              <w:spacing w:after="0"/>
              <w:rPr>
                <w:sz w:val="20"/>
                <w:szCs w:val="20"/>
                <w:color w:val="auto"/>
              </w:rPr>
            </w:pPr>
            <w:r>
              <w:rPr>
                <w:rFonts w:ascii="Arial" w:cs="Arial" w:eastAsia="Arial" w:hAnsi="Arial"/>
                <w:sz w:val="12"/>
                <w:szCs w:val="12"/>
                <w:b w:val="1"/>
                <w:bCs w:val="1"/>
                <w:color w:val="auto"/>
              </w:rPr>
              <w:t>Organization</w:t>
            </w:r>
          </w:p>
        </w:tc>
        <w:tc>
          <w:tcPr>
            <w:tcW w:w="240" w:type="dxa"/>
            <w:vAlign w:val="bottom"/>
            <w:tcBorders>
              <w:right w:val="single" w:sz="8" w:color="auto"/>
            </w:tcBorders>
          </w:tcPr>
          <w:p>
            <w:pPr>
              <w:spacing w:after="0"/>
              <w:rPr>
                <w:sz w:val="15"/>
                <w:szCs w:val="15"/>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w w:val="97"/>
              </w:rPr>
              <w:t>Art. 7</w:t>
            </w:r>
          </w:p>
        </w:tc>
        <w:tc>
          <w:tcPr>
            <w:tcW w:w="5160" w:type="dxa"/>
            <w:vAlign w:val="bottom"/>
            <w:tcBorders>
              <w:right w:val="single" w:sz="8" w:color="auto"/>
            </w:tcBorders>
          </w:tcPr>
          <w:p>
            <w:pPr>
              <w:ind w:left="220"/>
              <w:spacing w:after="0"/>
              <w:rPr>
                <w:sz w:val="20"/>
                <w:szCs w:val="20"/>
                <w:color w:val="auto"/>
              </w:rPr>
            </w:pPr>
            <w:r>
              <w:rPr>
                <w:rFonts w:ascii="Arial" w:cs="Arial" w:eastAsia="Arial" w:hAnsi="Arial"/>
                <w:sz w:val="12"/>
                <w:szCs w:val="12"/>
                <w:b w:val="1"/>
                <w:bCs w:val="1"/>
                <w:color w:val="auto"/>
              </w:rPr>
              <w:t>Organisation</w:t>
            </w:r>
          </w:p>
        </w:tc>
      </w:tr>
      <w:tr>
        <w:trPr>
          <w:trHeight w:val="270"/>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The corporate bodies are:</w:t>
            </w:r>
          </w:p>
        </w:tc>
        <w:tc>
          <w:tcPr>
            <w:tcW w:w="240" w:type="dxa"/>
            <w:vAlign w:val="bottom"/>
            <w:tcBorders>
              <w:right w:val="single" w:sz="8" w:color="auto"/>
            </w:tcBorders>
          </w:tcPr>
          <w:p>
            <w:pPr>
              <w:spacing w:after="0"/>
              <w:rPr>
                <w:sz w:val="23"/>
                <w:szCs w:val="23"/>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Les organes de la société sont:</w:t>
            </w:r>
          </w:p>
        </w:tc>
      </w:tr>
      <w:tr>
        <w:trPr>
          <w:trHeight w:val="27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2"/>
                <w:szCs w:val="12"/>
                <w:color w:val="auto"/>
              </w:rPr>
              <w:t>A.</w:t>
            </w:r>
          </w:p>
        </w:tc>
        <w:tc>
          <w:tcPr>
            <w:tcW w:w="51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the General Meeting;</w:t>
            </w:r>
          </w:p>
        </w:tc>
        <w:tc>
          <w:tcPr>
            <w:tcW w:w="240" w:type="dxa"/>
            <w:vAlign w:val="bottom"/>
            <w:tcBorders>
              <w:right w:val="single" w:sz="8" w:color="auto"/>
            </w:tcBorders>
          </w:tcPr>
          <w:p>
            <w:pPr>
              <w:spacing w:after="0"/>
              <w:rPr>
                <w:sz w:val="23"/>
                <w:szCs w:val="23"/>
                <w:color w:val="auto"/>
              </w:rPr>
            </w:pPr>
          </w:p>
        </w:tc>
        <w:tc>
          <w:tcPr>
            <w:tcW w:w="360" w:type="dxa"/>
            <w:vAlign w:val="bottom"/>
          </w:tcPr>
          <w:p>
            <w:pPr>
              <w:ind w:left="40"/>
              <w:spacing w:after="0"/>
              <w:rPr>
                <w:sz w:val="20"/>
                <w:szCs w:val="20"/>
                <w:color w:val="auto"/>
              </w:rPr>
            </w:pPr>
            <w:r>
              <w:rPr>
                <w:rFonts w:ascii="Arial" w:cs="Arial" w:eastAsia="Arial" w:hAnsi="Arial"/>
                <w:sz w:val="12"/>
                <w:szCs w:val="12"/>
                <w:color w:val="auto"/>
              </w:rPr>
              <w:t>A.</w:t>
            </w:r>
          </w:p>
        </w:tc>
        <w:tc>
          <w:tcPr>
            <w:tcW w:w="51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L'assemblé générale;</w:t>
            </w:r>
          </w:p>
        </w:tc>
      </w:tr>
      <w:tr>
        <w:trPr>
          <w:trHeight w:val="27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2"/>
                <w:szCs w:val="12"/>
                <w:color w:val="auto"/>
              </w:rPr>
              <w:t>B.</w:t>
            </w:r>
          </w:p>
        </w:tc>
        <w:tc>
          <w:tcPr>
            <w:tcW w:w="51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the Board of Directors;</w:t>
            </w:r>
          </w:p>
        </w:tc>
        <w:tc>
          <w:tcPr>
            <w:tcW w:w="240" w:type="dxa"/>
            <w:vAlign w:val="bottom"/>
            <w:tcBorders>
              <w:right w:val="single" w:sz="8" w:color="auto"/>
            </w:tcBorders>
          </w:tcPr>
          <w:p>
            <w:pPr>
              <w:spacing w:after="0"/>
              <w:rPr>
                <w:sz w:val="23"/>
                <w:szCs w:val="23"/>
                <w:color w:val="auto"/>
              </w:rPr>
            </w:pPr>
          </w:p>
        </w:tc>
        <w:tc>
          <w:tcPr>
            <w:tcW w:w="360" w:type="dxa"/>
            <w:vAlign w:val="bottom"/>
          </w:tcPr>
          <w:p>
            <w:pPr>
              <w:ind w:left="40"/>
              <w:spacing w:after="0"/>
              <w:rPr>
                <w:sz w:val="20"/>
                <w:szCs w:val="20"/>
                <w:color w:val="auto"/>
              </w:rPr>
            </w:pPr>
            <w:r>
              <w:rPr>
                <w:rFonts w:ascii="Arial" w:cs="Arial" w:eastAsia="Arial" w:hAnsi="Arial"/>
                <w:sz w:val="12"/>
                <w:szCs w:val="12"/>
                <w:color w:val="auto"/>
              </w:rPr>
              <w:t>B.</w:t>
            </w:r>
          </w:p>
        </w:tc>
        <w:tc>
          <w:tcPr>
            <w:tcW w:w="51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Le conseil d'administration;</w:t>
            </w:r>
          </w:p>
        </w:tc>
      </w:tr>
      <w:tr>
        <w:trPr>
          <w:trHeight w:val="27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2"/>
                <w:szCs w:val="12"/>
                <w:color w:val="auto"/>
              </w:rPr>
              <w:t>C.</w:t>
            </w:r>
          </w:p>
        </w:tc>
        <w:tc>
          <w:tcPr>
            <w:tcW w:w="51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the Auditors.</w:t>
            </w:r>
          </w:p>
        </w:tc>
        <w:tc>
          <w:tcPr>
            <w:tcW w:w="240" w:type="dxa"/>
            <w:vAlign w:val="bottom"/>
            <w:tcBorders>
              <w:right w:val="single" w:sz="8" w:color="auto"/>
            </w:tcBorders>
          </w:tcPr>
          <w:p>
            <w:pPr>
              <w:spacing w:after="0"/>
              <w:rPr>
                <w:sz w:val="23"/>
                <w:szCs w:val="23"/>
                <w:color w:val="auto"/>
              </w:rPr>
            </w:pPr>
          </w:p>
        </w:tc>
        <w:tc>
          <w:tcPr>
            <w:tcW w:w="360" w:type="dxa"/>
            <w:vAlign w:val="bottom"/>
          </w:tcPr>
          <w:p>
            <w:pPr>
              <w:ind w:left="40"/>
              <w:spacing w:after="0"/>
              <w:rPr>
                <w:sz w:val="20"/>
                <w:szCs w:val="20"/>
                <w:color w:val="auto"/>
              </w:rPr>
            </w:pPr>
            <w:r>
              <w:rPr>
                <w:rFonts w:ascii="Arial" w:cs="Arial" w:eastAsia="Arial" w:hAnsi="Arial"/>
                <w:sz w:val="12"/>
                <w:szCs w:val="12"/>
                <w:color w:val="auto"/>
              </w:rPr>
              <w:t>C.</w:t>
            </w:r>
          </w:p>
        </w:tc>
        <w:tc>
          <w:tcPr>
            <w:tcW w:w="51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l'organe de révision.</w:t>
            </w:r>
          </w:p>
        </w:tc>
      </w:tr>
      <w:tr>
        <w:trPr>
          <w:trHeight w:val="36"/>
        </w:trPr>
        <w:tc>
          <w:tcPr>
            <w:tcW w:w="380" w:type="dxa"/>
            <w:vAlign w:val="bottom"/>
            <w:tcBorders>
              <w:left w:val="single" w:sz="8" w:color="auto"/>
              <w:bottom w:val="single" w:sz="8" w:color="auto"/>
            </w:tcBorders>
          </w:tcPr>
          <w:p>
            <w:pPr>
              <w:spacing w:after="0"/>
              <w:rPr>
                <w:sz w:val="3"/>
                <w:szCs w:val="3"/>
                <w:color w:val="auto"/>
              </w:rPr>
            </w:pPr>
          </w:p>
        </w:tc>
        <w:tc>
          <w:tcPr>
            <w:tcW w:w="516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160" w:type="dxa"/>
            <w:vAlign w:val="bottom"/>
            <w:tcBorders>
              <w:bottom w:val="single" w:sz="8" w:color="auto"/>
              <w:right w:val="single" w:sz="8" w:color="auto"/>
            </w:tcBorders>
          </w:tcPr>
          <w:p>
            <w:pPr>
              <w:spacing w:after="0"/>
              <w:rPr>
                <w:sz w:val="3"/>
                <w:szCs w:val="3"/>
                <w:color w:val="auto"/>
              </w:rPr>
            </w:pPr>
          </w:p>
        </w:tc>
      </w:tr>
      <w:tr>
        <w:trPr>
          <w:trHeight w:val="178"/>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2"/>
                <w:szCs w:val="12"/>
                <w:b w:val="1"/>
                <w:bCs w:val="1"/>
                <w:color w:val="auto"/>
              </w:rPr>
              <w:t>IV.</w:t>
            </w:r>
          </w:p>
        </w:tc>
        <w:tc>
          <w:tcPr>
            <w:tcW w:w="5160" w:type="dxa"/>
            <w:vAlign w:val="bottom"/>
            <w:tcBorders>
              <w:right w:val="single" w:sz="8" w:color="auto"/>
            </w:tcBorders>
          </w:tcPr>
          <w:p>
            <w:pPr>
              <w:ind w:left="140"/>
              <w:spacing w:after="0"/>
              <w:rPr>
                <w:sz w:val="20"/>
                <w:szCs w:val="20"/>
                <w:color w:val="auto"/>
              </w:rPr>
            </w:pPr>
            <w:r>
              <w:rPr>
                <w:rFonts w:ascii="Arial" w:cs="Arial" w:eastAsia="Arial" w:hAnsi="Arial"/>
                <w:sz w:val="12"/>
                <w:szCs w:val="12"/>
                <w:b w:val="1"/>
                <w:bCs w:val="1"/>
                <w:color w:val="auto"/>
              </w:rPr>
              <w:t>THE GENERAL MEETING</w:t>
            </w:r>
          </w:p>
        </w:tc>
        <w:tc>
          <w:tcPr>
            <w:tcW w:w="240" w:type="dxa"/>
            <w:vAlign w:val="bottom"/>
            <w:tcBorders>
              <w:right w:val="single" w:sz="8" w:color="auto"/>
            </w:tcBorders>
          </w:tcPr>
          <w:p>
            <w:pPr>
              <w:spacing w:after="0"/>
              <w:rPr>
                <w:sz w:val="15"/>
                <w:szCs w:val="15"/>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IV.</w:t>
            </w:r>
          </w:p>
        </w:tc>
        <w:tc>
          <w:tcPr>
            <w:tcW w:w="5160" w:type="dxa"/>
            <w:vAlign w:val="bottom"/>
            <w:tcBorders>
              <w:right w:val="single" w:sz="8" w:color="auto"/>
            </w:tcBorders>
          </w:tcPr>
          <w:p>
            <w:pPr>
              <w:ind w:left="180"/>
              <w:spacing w:after="0"/>
              <w:rPr>
                <w:sz w:val="20"/>
                <w:szCs w:val="20"/>
                <w:color w:val="auto"/>
              </w:rPr>
            </w:pPr>
            <w:r>
              <w:rPr>
                <w:rFonts w:ascii="Arial" w:cs="Arial" w:eastAsia="Arial" w:hAnsi="Arial"/>
                <w:sz w:val="12"/>
                <w:szCs w:val="12"/>
                <w:b w:val="1"/>
                <w:bCs w:val="1"/>
                <w:color w:val="auto"/>
              </w:rPr>
              <w:t>L'ASSEMBLÉE GÉNÉRALE</w:t>
            </w:r>
          </w:p>
        </w:tc>
      </w:tr>
      <w:tr>
        <w:trPr>
          <w:trHeight w:val="36"/>
        </w:trPr>
        <w:tc>
          <w:tcPr>
            <w:tcW w:w="380" w:type="dxa"/>
            <w:vAlign w:val="bottom"/>
            <w:tcBorders>
              <w:left w:val="single" w:sz="8" w:color="auto"/>
              <w:bottom w:val="single" w:sz="8" w:color="auto"/>
            </w:tcBorders>
          </w:tcPr>
          <w:p>
            <w:pPr>
              <w:spacing w:after="0"/>
              <w:rPr>
                <w:sz w:val="3"/>
                <w:szCs w:val="3"/>
                <w:color w:val="auto"/>
              </w:rPr>
            </w:pPr>
          </w:p>
        </w:tc>
        <w:tc>
          <w:tcPr>
            <w:tcW w:w="516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160" w:type="dxa"/>
            <w:vAlign w:val="bottom"/>
            <w:tcBorders>
              <w:bottom w:val="single" w:sz="8" w:color="auto"/>
              <w:right w:val="single" w:sz="8" w:color="auto"/>
            </w:tcBorders>
          </w:tcPr>
          <w:p>
            <w:pPr>
              <w:spacing w:after="0"/>
              <w:rPr>
                <w:sz w:val="3"/>
                <w:szCs w:val="3"/>
                <w:color w:val="auto"/>
              </w:rPr>
            </w:pPr>
          </w:p>
        </w:tc>
      </w:tr>
      <w:tr>
        <w:trPr>
          <w:trHeight w:val="178"/>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2"/>
                <w:szCs w:val="12"/>
                <w:b w:val="1"/>
                <w:bCs w:val="1"/>
                <w:color w:val="auto"/>
              </w:rPr>
              <w:t>Art. 8</w:t>
            </w:r>
          </w:p>
        </w:tc>
        <w:tc>
          <w:tcPr>
            <w:tcW w:w="5160" w:type="dxa"/>
            <w:vAlign w:val="bottom"/>
            <w:tcBorders>
              <w:right w:val="single" w:sz="8" w:color="auto"/>
            </w:tcBorders>
          </w:tcPr>
          <w:p>
            <w:pPr>
              <w:ind w:left="180"/>
              <w:spacing w:after="0"/>
              <w:rPr>
                <w:sz w:val="20"/>
                <w:szCs w:val="20"/>
                <w:color w:val="auto"/>
              </w:rPr>
            </w:pPr>
            <w:r>
              <w:rPr>
                <w:rFonts w:ascii="Arial" w:cs="Arial" w:eastAsia="Arial" w:hAnsi="Arial"/>
                <w:sz w:val="12"/>
                <w:szCs w:val="12"/>
                <w:b w:val="1"/>
                <w:bCs w:val="1"/>
                <w:color w:val="auto"/>
              </w:rPr>
              <w:t>Powers</w:t>
            </w:r>
          </w:p>
        </w:tc>
        <w:tc>
          <w:tcPr>
            <w:tcW w:w="240" w:type="dxa"/>
            <w:vAlign w:val="bottom"/>
            <w:tcBorders>
              <w:right w:val="single" w:sz="8" w:color="auto"/>
            </w:tcBorders>
          </w:tcPr>
          <w:p>
            <w:pPr>
              <w:spacing w:after="0"/>
              <w:rPr>
                <w:sz w:val="15"/>
                <w:szCs w:val="15"/>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w w:val="97"/>
              </w:rPr>
              <w:t>Art. 8</w:t>
            </w:r>
          </w:p>
        </w:tc>
        <w:tc>
          <w:tcPr>
            <w:tcW w:w="5160" w:type="dxa"/>
            <w:vAlign w:val="bottom"/>
            <w:tcBorders>
              <w:right w:val="single" w:sz="8" w:color="auto"/>
            </w:tcBorders>
          </w:tcPr>
          <w:p>
            <w:pPr>
              <w:ind w:left="220"/>
              <w:spacing w:after="0"/>
              <w:rPr>
                <w:sz w:val="20"/>
                <w:szCs w:val="20"/>
                <w:color w:val="auto"/>
              </w:rPr>
            </w:pPr>
            <w:r>
              <w:rPr>
                <w:rFonts w:ascii="Arial" w:cs="Arial" w:eastAsia="Arial" w:hAnsi="Arial"/>
                <w:sz w:val="12"/>
                <w:szCs w:val="12"/>
                <w:b w:val="1"/>
                <w:bCs w:val="1"/>
                <w:color w:val="auto"/>
              </w:rPr>
              <w:t>Pouvoirs</w:t>
            </w:r>
          </w:p>
        </w:tc>
      </w:tr>
      <w:tr>
        <w:trPr>
          <w:trHeight w:val="260"/>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The General Meeting is the supreme body of the Company. It has the following non delegable</w:t>
            </w:r>
          </w:p>
        </w:tc>
        <w:tc>
          <w:tcPr>
            <w:tcW w:w="240" w:type="dxa"/>
            <w:vAlign w:val="bottom"/>
            <w:tcBorders>
              <w:right w:val="single" w:sz="8" w:color="auto"/>
            </w:tcBorders>
          </w:tcPr>
          <w:p>
            <w:pPr>
              <w:spacing w:after="0"/>
              <w:rPr>
                <w:sz w:val="22"/>
                <w:szCs w:val="22"/>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L'assemblée générale des actionnaires est le pouvoir suprême de la société. Elle a les droits</w:t>
            </w:r>
          </w:p>
        </w:tc>
      </w:tr>
      <w:tr>
        <w:trPr>
          <w:trHeight w:val="145"/>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powers:</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intransmissibles suivants:</w:t>
            </w:r>
          </w:p>
        </w:tc>
      </w:tr>
      <w:tr>
        <w:trPr>
          <w:trHeight w:val="36"/>
        </w:trPr>
        <w:tc>
          <w:tcPr>
            <w:tcW w:w="5540" w:type="dxa"/>
            <w:vAlign w:val="bottom"/>
            <w:tcBorders>
              <w:left w:val="single" w:sz="8" w:color="auto"/>
              <w:bottom w:val="single" w:sz="8" w:color="auto"/>
              <w:right w:val="single" w:sz="8" w:color="auto"/>
            </w:tcBorders>
            <w:gridSpan w:val="2"/>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160" w:type="dxa"/>
            <w:vAlign w:val="bottom"/>
            <w:tcBorders>
              <w:bottom w:val="single" w:sz="8" w:color="auto"/>
              <w:right w:val="single" w:sz="8" w:color="auto"/>
            </w:tcBorders>
          </w:tcPr>
          <w:p>
            <w:pPr>
              <w:spacing w:after="0"/>
              <w:rPr>
                <w:sz w:val="3"/>
                <w:szCs w:val="3"/>
                <w:color w:val="auto"/>
              </w:rPr>
            </w:pPr>
          </w:p>
        </w:tc>
      </w:tr>
      <w:tr>
        <w:trPr>
          <w:trHeight w:val="16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a) to adopt and amend the Articles of Association (Articles 651a, 652g, 653g und 653i CO remain</w:t>
            </w:r>
          </w:p>
        </w:tc>
        <w:tc>
          <w:tcPr>
            <w:tcW w:w="240" w:type="dxa"/>
            <w:vAlign w:val="bottom"/>
            <w:tcBorders>
              <w:righ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5160" w:type="dxa"/>
            <w:vAlign w:val="bottom"/>
            <w:tcBorders>
              <w:right w:val="single" w:sz="8" w:color="auto"/>
            </w:tcBorders>
          </w:tcPr>
          <w:p>
            <w:pPr>
              <w:spacing w:after="0"/>
              <w:rPr>
                <w:sz w:val="14"/>
                <w:szCs w:val="14"/>
                <w:color w:val="auto"/>
              </w:rPr>
            </w:pPr>
          </w:p>
        </w:tc>
      </w:tr>
      <w:tr>
        <w:trPr>
          <w:trHeight w:val="145"/>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reserved);</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a) adapter et modifier les statuts (articles 651a, 652g, 653g et 653i CO sont réservés);</w:t>
            </w:r>
          </w:p>
        </w:tc>
      </w:tr>
      <w:tr>
        <w:trPr>
          <w:trHeight w:val="36"/>
        </w:trPr>
        <w:tc>
          <w:tcPr>
            <w:tcW w:w="380" w:type="dxa"/>
            <w:vAlign w:val="bottom"/>
            <w:tcBorders>
              <w:left w:val="single" w:sz="8" w:color="auto"/>
              <w:bottom w:val="single" w:sz="8" w:color="auto"/>
            </w:tcBorders>
          </w:tcPr>
          <w:p>
            <w:pPr>
              <w:spacing w:after="0"/>
              <w:rPr>
                <w:sz w:val="3"/>
                <w:szCs w:val="3"/>
                <w:color w:val="auto"/>
              </w:rPr>
            </w:pPr>
          </w:p>
        </w:tc>
        <w:tc>
          <w:tcPr>
            <w:tcW w:w="516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160" w:type="dxa"/>
            <w:vAlign w:val="bottom"/>
            <w:tcBorders>
              <w:bottom w:val="single" w:sz="8" w:color="auto"/>
              <w:right w:val="single" w:sz="8" w:color="auto"/>
            </w:tcBorders>
          </w:tcPr>
          <w:p>
            <w:pPr>
              <w:spacing w:after="0"/>
              <w:rPr>
                <w:sz w:val="3"/>
                <w:szCs w:val="3"/>
                <w:color w:val="auto"/>
              </w:rPr>
            </w:pPr>
          </w:p>
        </w:tc>
      </w:tr>
      <w:tr>
        <w:trPr>
          <w:trHeight w:val="493"/>
        </w:trPr>
        <w:tc>
          <w:tcPr>
            <w:tcW w:w="38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211" w:right="299" w:bottom="1440" w:gutter="0" w:footer="0" w:header="0"/>
        </w:sectPr>
      </w:pPr>
    </w:p>
    <w:bookmarkStart w:id="56" w:name="page57"/>
    <w:bookmarkEnd w:id="5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45"/>
        </w:trPr>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80" w:type="dxa"/>
            <w:vAlign w:val="bottom"/>
          </w:tcPr>
          <w:p>
            <w:pPr>
              <w:jc w:val="right"/>
              <w:spacing w:after="0"/>
              <w:rPr>
                <w:sz w:val="20"/>
                <w:szCs w:val="20"/>
                <w:color w:val="auto"/>
              </w:rPr>
            </w:pPr>
            <w:r>
              <w:rPr>
                <w:rFonts w:ascii="Arial" w:cs="Arial" w:eastAsia="Arial" w:hAnsi="Arial"/>
                <w:sz w:val="12"/>
                <w:szCs w:val="12"/>
                <w:color w:val="auto"/>
              </w:rPr>
              <w:t>11</w:t>
            </w:r>
          </w:p>
        </w:tc>
      </w:tr>
      <w:tr>
        <w:trPr>
          <w:trHeight w:val="63"/>
        </w:trPr>
        <w:tc>
          <w:tcPr>
            <w:tcW w:w="5540" w:type="dxa"/>
            <w:vAlign w:val="bottom"/>
            <w:tcBorders>
              <w:bottom w:val="single" w:sz="8" w:color="auto"/>
            </w:tcBorders>
            <w:gridSpan w:val="3"/>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5080" w:type="dxa"/>
            <w:vAlign w:val="bottom"/>
            <w:tcBorders>
              <w:bottom w:val="single" w:sz="8" w:color="auto"/>
            </w:tcBorders>
          </w:tcPr>
          <w:p>
            <w:pPr>
              <w:spacing w:after="0"/>
              <w:rPr>
                <w:sz w:val="5"/>
                <w:szCs w:val="5"/>
                <w:color w:val="auto"/>
              </w:rPr>
            </w:pPr>
          </w:p>
        </w:tc>
      </w:tr>
      <w:tr>
        <w:trPr>
          <w:trHeight w:val="168"/>
        </w:trPr>
        <w:tc>
          <w:tcPr>
            <w:tcW w:w="5540" w:type="dxa"/>
            <w:vAlign w:val="bottom"/>
            <w:tcBorders>
              <w:left w:val="single" w:sz="8" w:color="auto"/>
              <w:right w:val="single" w:sz="8" w:color="auto"/>
            </w:tcBorders>
            <w:gridSpan w:val="3"/>
          </w:tcPr>
          <w:p>
            <w:pPr>
              <w:jc w:val="right"/>
              <w:spacing w:after="0"/>
              <w:rPr>
                <w:sz w:val="20"/>
                <w:szCs w:val="20"/>
                <w:color w:val="auto"/>
              </w:rPr>
            </w:pPr>
            <w:r>
              <w:rPr>
                <w:rFonts w:ascii="Arial" w:cs="Arial" w:eastAsia="Arial" w:hAnsi="Arial"/>
                <w:sz w:val="12"/>
                <w:szCs w:val="12"/>
                <w:color w:val="auto"/>
              </w:rPr>
              <w:t>b)   to elect and remove the members of the Board of Directors, the Chairman of the Board of</w:t>
            </w:r>
          </w:p>
        </w:tc>
        <w:tc>
          <w:tcPr>
            <w:tcW w:w="240" w:type="dxa"/>
            <w:vAlign w:val="bottom"/>
            <w:tcBorders>
              <w:right w:val="single" w:sz="8" w:color="auto"/>
            </w:tcBorders>
          </w:tcPr>
          <w:p>
            <w:pPr>
              <w:spacing w:after="0"/>
              <w:rPr>
                <w:sz w:val="14"/>
                <w:szCs w:val="14"/>
                <w:color w:val="auto"/>
              </w:rPr>
            </w:pPr>
          </w:p>
        </w:tc>
        <w:tc>
          <w:tcPr>
            <w:tcW w:w="240" w:type="dxa"/>
            <w:vAlign w:val="bottom"/>
          </w:tcPr>
          <w:p>
            <w:pPr>
              <w:ind w:left="60"/>
              <w:spacing w:after="0"/>
              <w:rPr>
                <w:sz w:val="20"/>
                <w:szCs w:val="20"/>
                <w:color w:val="auto"/>
              </w:rPr>
            </w:pPr>
            <w:r>
              <w:rPr>
                <w:rFonts w:ascii="Arial" w:cs="Arial" w:eastAsia="Arial" w:hAnsi="Arial"/>
                <w:sz w:val="12"/>
                <w:szCs w:val="12"/>
                <w:color w:val="auto"/>
              </w:rPr>
              <w:t>b)</w:t>
            </w:r>
          </w:p>
        </w:tc>
        <w:tc>
          <w:tcPr>
            <w:tcW w:w="200" w:type="dxa"/>
            <w:vAlign w:val="bottom"/>
          </w:tcPr>
          <w:p>
            <w:pPr>
              <w:spacing w:after="0"/>
              <w:rPr>
                <w:sz w:val="14"/>
                <w:szCs w:val="14"/>
                <w:color w:val="auto"/>
              </w:rPr>
            </w:pPr>
          </w:p>
        </w:tc>
        <w:tc>
          <w:tcPr>
            <w:tcW w:w="508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nommer et révoquer les membres du conseil d'administration, le président du conseil</w:t>
            </w:r>
          </w:p>
        </w:tc>
      </w:tr>
      <w:tr>
        <w:trPr>
          <w:trHeight w:val="135"/>
        </w:trPr>
        <w:tc>
          <w:tcPr>
            <w:tcW w:w="200" w:type="dxa"/>
            <w:vAlign w:val="bottom"/>
            <w:tcBorders>
              <w:left w:val="single" w:sz="8" w:color="auto"/>
            </w:tcBorders>
          </w:tcPr>
          <w:p>
            <w:pPr>
              <w:spacing w:after="0"/>
              <w:rPr>
                <w:sz w:val="11"/>
                <w:szCs w:val="11"/>
                <w:color w:val="auto"/>
              </w:rPr>
            </w:pPr>
          </w:p>
        </w:tc>
        <w:tc>
          <w:tcPr>
            <w:tcW w:w="5340" w:type="dxa"/>
            <w:vAlign w:val="bottom"/>
            <w:tcBorders>
              <w:right w:val="single" w:sz="8" w:color="auto"/>
            </w:tcBorders>
            <w:gridSpan w:val="2"/>
          </w:tcPr>
          <w:p>
            <w:pPr>
              <w:ind w:left="60"/>
              <w:spacing w:after="0" w:line="135" w:lineRule="exact"/>
              <w:rPr>
                <w:sz w:val="20"/>
                <w:szCs w:val="20"/>
                <w:color w:val="auto"/>
              </w:rPr>
            </w:pPr>
            <w:r>
              <w:rPr>
                <w:rFonts w:ascii="Arial" w:cs="Arial" w:eastAsia="Arial" w:hAnsi="Arial"/>
                <w:sz w:val="12"/>
                <w:szCs w:val="12"/>
                <w:color w:val="auto"/>
              </w:rPr>
              <w:t>Directors, the members of the Compensation Committee, the Auditors and the Independent Proxy;</w:t>
            </w:r>
          </w:p>
        </w:tc>
        <w:tc>
          <w:tcPr>
            <w:tcW w:w="24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280" w:type="dxa"/>
            <w:vAlign w:val="bottom"/>
            <w:tcBorders>
              <w:right w:val="single" w:sz="8" w:color="auto"/>
            </w:tcBorders>
            <w:gridSpan w:val="2"/>
          </w:tcPr>
          <w:p>
            <w:pPr>
              <w:ind w:left="60"/>
              <w:spacing w:after="0" w:line="135" w:lineRule="exact"/>
              <w:rPr>
                <w:sz w:val="20"/>
                <w:szCs w:val="20"/>
                <w:color w:val="auto"/>
              </w:rPr>
            </w:pPr>
            <w:r>
              <w:rPr>
                <w:rFonts w:ascii="Arial" w:cs="Arial" w:eastAsia="Arial" w:hAnsi="Arial"/>
                <w:sz w:val="12"/>
                <w:szCs w:val="12"/>
                <w:color w:val="auto"/>
              </w:rPr>
              <w:t>d'administration, les membres du comité de rémunération, l'organe de révision et le mandataire</w:t>
            </w:r>
          </w:p>
        </w:tc>
      </w:tr>
      <w:tr>
        <w:trPr>
          <w:trHeight w:val="145"/>
        </w:trPr>
        <w:tc>
          <w:tcPr>
            <w:tcW w:w="200" w:type="dxa"/>
            <w:vAlign w:val="bottom"/>
            <w:tcBorders>
              <w:lef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5080" w:type="dxa"/>
            <w:vAlign w:val="bottom"/>
            <w:tcBorders>
              <w:right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280" w:type="dxa"/>
            <w:vAlign w:val="bottom"/>
            <w:tcBorders>
              <w:right w:val="single" w:sz="8" w:color="auto"/>
            </w:tcBorders>
            <w:gridSpan w:val="2"/>
          </w:tcPr>
          <w:p>
            <w:pPr>
              <w:ind w:left="60"/>
              <w:spacing w:after="0"/>
              <w:rPr>
                <w:sz w:val="20"/>
                <w:szCs w:val="20"/>
                <w:color w:val="auto"/>
              </w:rPr>
            </w:pPr>
            <w:r>
              <w:rPr>
                <w:rFonts w:ascii="Arial" w:cs="Arial" w:eastAsia="Arial" w:hAnsi="Arial"/>
                <w:sz w:val="12"/>
                <w:szCs w:val="12"/>
                <w:color w:val="auto"/>
              </w:rPr>
              <w:t>indépendant;</w:t>
            </w:r>
          </w:p>
        </w:tc>
      </w:tr>
      <w:tr>
        <w:trPr>
          <w:trHeight w:val="36"/>
        </w:trPr>
        <w:tc>
          <w:tcPr>
            <w:tcW w:w="5540" w:type="dxa"/>
            <w:vAlign w:val="bottom"/>
            <w:tcBorders>
              <w:left w:val="single" w:sz="8" w:color="auto"/>
              <w:bottom w:val="single" w:sz="8" w:color="auto"/>
              <w:right w:val="single" w:sz="8" w:color="auto"/>
            </w:tcBorders>
            <w:gridSpan w:val="3"/>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520" w:type="dxa"/>
            <w:vAlign w:val="bottom"/>
            <w:tcBorders>
              <w:bottom w:val="single" w:sz="8" w:color="auto"/>
              <w:right w:val="single" w:sz="8" w:color="auto"/>
            </w:tcBorders>
            <w:gridSpan w:val="3"/>
          </w:tcPr>
          <w:p>
            <w:pPr>
              <w:spacing w:after="0"/>
              <w:rPr>
                <w:sz w:val="3"/>
                <w:szCs w:val="3"/>
                <w:color w:val="auto"/>
              </w:rPr>
            </w:pPr>
          </w:p>
        </w:tc>
      </w:tr>
      <w:tr>
        <w:trPr>
          <w:trHeight w:val="168"/>
        </w:trPr>
        <w:tc>
          <w:tcPr>
            <w:tcW w:w="55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2"/>
                <w:szCs w:val="12"/>
                <w:color w:val="auto"/>
              </w:rPr>
              <w:t>c)   to approve the management report and the annual accounts and to determine the allocation of</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3"/>
          </w:tcPr>
          <w:p>
            <w:pPr>
              <w:ind w:left="20"/>
              <w:spacing w:after="0"/>
              <w:rPr>
                <w:sz w:val="20"/>
                <w:szCs w:val="20"/>
                <w:color w:val="auto"/>
              </w:rPr>
            </w:pPr>
            <w:r>
              <w:rPr>
                <w:rFonts w:ascii="Arial" w:cs="Arial" w:eastAsia="Arial" w:hAnsi="Arial"/>
                <w:sz w:val="12"/>
                <w:szCs w:val="12"/>
                <w:color w:val="auto"/>
              </w:rPr>
              <w:t>c)  approuver le rapport de gestion et les comptes annuels et déterminer la répartition des bénéfices,</w:t>
            </w:r>
          </w:p>
        </w:tc>
      </w:tr>
      <w:tr>
        <w:trPr>
          <w:trHeight w:val="145"/>
        </w:trPr>
        <w:tc>
          <w:tcPr>
            <w:tcW w:w="200" w:type="dxa"/>
            <w:vAlign w:val="bottom"/>
            <w:tcBorders>
              <w:left w:val="single" w:sz="8" w:color="auto"/>
            </w:tcBorders>
          </w:tcPr>
          <w:p>
            <w:pPr>
              <w:spacing w:after="0"/>
              <w:rPr>
                <w:sz w:val="12"/>
                <w:szCs w:val="12"/>
                <w:color w:val="auto"/>
              </w:rPr>
            </w:pPr>
          </w:p>
        </w:tc>
        <w:tc>
          <w:tcPr>
            <w:tcW w:w="5340" w:type="dxa"/>
            <w:vAlign w:val="bottom"/>
            <w:tcBorders>
              <w:right w:val="single" w:sz="8" w:color="auto"/>
            </w:tcBorders>
            <w:gridSpan w:val="2"/>
          </w:tcPr>
          <w:p>
            <w:pPr>
              <w:ind w:left="60"/>
              <w:spacing w:after="0"/>
              <w:rPr>
                <w:sz w:val="20"/>
                <w:szCs w:val="20"/>
                <w:color w:val="auto"/>
              </w:rPr>
            </w:pPr>
            <w:r>
              <w:rPr>
                <w:rFonts w:ascii="Arial" w:cs="Arial" w:eastAsia="Arial" w:hAnsi="Arial"/>
                <w:sz w:val="12"/>
                <w:szCs w:val="12"/>
                <w:color w:val="auto"/>
              </w:rPr>
              <w:t>profits, in particular with regard to dividends and bonus payments;</w:t>
            </w:r>
          </w:p>
        </w:tc>
        <w:tc>
          <w:tcPr>
            <w:tcW w:w="2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280" w:type="dxa"/>
            <w:vAlign w:val="bottom"/>
            <w:tcBorders>
              <w:right w:val="single" w:sz="8" w:color="auto"/>
            </w:tcBorders>
            <w:gridSpan w:val="2"/>
          </w:tcPr>
          <w:p>
            <w:pPr>
              <w:ind w:left="60"/>
              <w:spacing w:after="0"/>
              <w:rPr>
                <w:sz w:val="20"/>
                <w:szCs w:val="20"/>
                <w:color w:val="auto"/>
              </w:rPr>
            </w:pPr>
            <w:r>
              <w:rPr>
                <w:rFonts w:ascii="Arial" w:cs="Arial" w:eastAsia="Arial" w:hAnsi="Arial"/>
                <w:sz w:val="12"/>
                <w:szCs w:val="12"/>
                <w:color w:val="auto"/>
              </w:rPr>
              <w:t>en particulier en ce qui concerne les dividendes et les bonus;</w:t>
            </w:r>
          </w:p>
        </w:tc>
      </w:tr>
      <w:tr>
        <w:trPr>
          <w:trHeight w:val="36"/>
        </w:trPr>
        <w:tc>
          <w:tcPr>
            <w:tcW w:w="5540" w:type="dxa"/>
            <w:vAlign w:val="bottom"/>
            <w:tcBorders>
              <w:left w:val="single" w:sz="8" w:color="auto"/>
              <w:bottom w:val="single" w:sz="8" w:color="auto"/>
              <w:right w:val="single" w:sz="8" w:color="auto"/>
            </w:tcBorders>
            <w:gridSpan w:val="3"/>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520" w:type="dxa"/>
            <w:vAlign w:val="bottom"/>
            <w:tcBorders>
              <w:bottom w:val="single" w:sz="8" w:color="auto"/>
              <w:right w:val="single" w:sz="8" w:color="auto"/>
            </w:tcBorders>
            <w:gridSpan w:val="3"/>
          </w:tcPr>
          <w:p>
            <w:pPr>
              <w:spacing w:after="0"/>
              <w:rPr>
                <w:sz w:val="3"/>
                <w:szCs w:val="3"/>
                <w:color w:val="auto"/>
              </w:rPr>
            </w:pPr>
          </w:p>
        </w:tc>
      </w:tr>
      <w:tr>
        <w:trPr>
          <w:trHeight w:val="178"/>
        </w:trPr>
        <w:tc>
          <w:tcPr>
            <w:tcW w:w="55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2"/>
                <w:szCs w:val="12"/>
                <w:color w:val="auto"/>
              </w:rPr>
              <w:t>d)  to discharge the members of the Board of Directors and of the Executive Committee;</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gridSpan w:val="3"/>
          </w:tcPr>
          <w:p>
            <w:pPr>
              <w:ind w:left="20"/>
              <w:spacing w:after="0"/>
              <w:rPr>
                <w:sz w:val="20"/>
                <w:szCs w:val="20"/>
                <w:color w:val="auto"/>
              </w:rPr>
            </w:pPr>
            <w:r>
              <w:rPr>
                <w:rFonts w:ascii="Arial" w:cs="Arial" w:eastAsia="Arial" w:hAnsi="Arial"/>
                <w:sz w:val="12"/>
                <w:szCs w:val="12"/>
                <w:color w:val="auto"/>
              </w:rPr>
              <w:t>d)  donner décharge aux membres du conseil d'administration et au comité exécutif;</w:t>
            </w:r>
          </w:p>
        </w:tc>
      </w:tr>
      <w:tr>
        <w:trPr>
          <w:trHeight w:val="36"/>
        </w:trPr>
        <w:tc>
          <w:tcPr>
            <w:tcW w:w="5540" w:type="dxa"/>
            <w:vAlign w:val="bottom"/>
            <w:tcBorders>
              <w:left w:val="single" w:sz="8" w:color="auto"/>
              <w:bottom w:val="single" w:sz="8" w:color="auto"/>
              <w:right w:val="single" w:sz="8" w:color="auto"/>
            </w:tcBorders>
            <w:gridSpan w:val="3"/>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280" w:type="dxa"/>
            <w:vAlign w:val="bottom"/>
            <w:tcBorders>
              <w:bottom w:val="single" w:sz="8" w:color="auto"/>
              <w:right w:val="single" w:sz="8" w:color="auto"/>
            </w:tcBorders>
            <w:gridSpan w:val="2"/>
          </w:tcPr>
          <w:p>
            <w:pPr>
              <w:spacing w:after="0"/>
              <w:rPr>
                <w:sz w:val="3"/>
                <w:szCs w:val="3"/>
                <w:color w:val="auto"/>
              </w:rPr>
            </w:pPr>
          </w:p>
        </w:tc>
      </w:tr>
      <w:tr>
        <w:trPr>
          <w:trHeight w:val="168"/>
        </w:trPr>
        <w:tc>
          <w:tcPr>
            <w:tcW w:w="55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2"/>
                <w:szCs w:val="12"/>
                <w:color w:val="auto"/>
              </w:rPr>
              <w:t>e)   to approve the aggregate amounts of compensation of the Board of Directors and the Executive</w:t>
            </w:r>
          </w:p>
        </w:tc>
        <w:tc>
          <w:tcPr>
            <w:tcW w:w="240" w:type="dxa"/>
            <w:vAlign w:val="bottom"/>
            <w:tcBorders>
              <w:right w:val="single" w:sz="8" w:color="auto"/>
            </w:tcBorders>
          </w:tcPr>
          <w:p>
            <w:pPr>
              <w:spacing w:after="0"/>
              <w:rPr>
                <w:sz w:val="14"/>
                <w:szCs w:val="14"/>
                <w:color w:val="auto"/>
              </w:rPr>
            </w:pPr>
          </w:p>
        </w:tc>
        <w:tc>
          <w:tcPr>
            <w:tcW w:w="240" w:type="dxa"/>
            <w:vAlign w:val="bottom"/>
          </w:tcPr>
          <w:p>
            <w:pPr>
              <w:ind w:left="40"/>
              <w:spacing w:after="0"/>
              <w:rPr>
                <w:sz w:val="20"/>
                <w:szCs w:val="20"/>
                <w:color w:val="auto"/>
              </w:rPr>
            </w:pPr>
            <w:r>
              <w:rPr>
                <w:rFonts w:ascii="Arial" w:cs="Arial" w:eastAsia="Arial" w:hAnsi="Arial"/>
                <w:sz w:val="12"/>
                <w:szCs w:val="12"/>
                <w:color w:val="auto"/>
              </w:rPr>
              <w:t>e)</w:t>
            </w:r>
          </w:p>
        </w:tc>
        <w:tc>
          <w:tcPr>
            <w:tcW w:w="5280" w:type="dxa"/>
            <w:vAlign w:val="bottom"/>
            <w:tcBorders>
              <w:right w:val="single" w:sz="8" w:color="auto"/>
            </w:tcBorders>
            <w:gridSpan w:val="2"/>
          </w:tcPr>
          <w:p>
            <w:pPr>
              <w:jc w:val="right"/>
              <w:spacing w:after="0"/>
              <w:rPr>
                <w:sz w:val="20"/>
                <w:szCs w:val="20"/>
                <w:color w:val="auto"/>
              </w:rPr>
            </w:pPr>
            <w:r>
              <w:rPr>
                <w:rFonts w:ascii="Arial" w:cs="Arial" w:eastAsia="Arial" w:hAnsi="Arial"/>
                <w:sz w:val="12"/>
                <w:szCs w:val="12"/>
                <w:color w:val="auto"/>
              </w:rPr>
              <w:t>approuver les montants globaux des rémunérations du conseil d'administration et du comité</w:t>
            </w:r>
          </w:p>
        </w:tc>
      </w:tr>
      <w:tr>
        <w:trPr>
          <w:trHeight w:val="145"/>
        </w:trPr>
        <w:tc>
          <w:tcPr>
            <w:tcW w:w="200" w:type="dxa"/>
            <w:vAlign w:val="bottom"/>
            <w:tcBorders>
              <w:left w:val="single" w:sz="8" w:color="auto"/>
            </w:tcBorders>
          </w:tcPr>
          <w:p>
            <w:pPr>
              <w:spacing w:after="0"/>
              <w:rPr>
                <w:sz w:val="12"/>
                <w:szCs w:val="12"/>
                <w:color w:val="auto"/>
              </w:rPr>
            </w:pPr>
          </w:p>
        </w:tc>
        <w:tc>
          <w:tcPr>
            <w:tcW w:w="5340" w:type="dxa"/>
            <w:vAlign w:val="bottom"/>
            <w:tcBorders>
              <w:right w:val="single" w:sz="8" w:color="auto"/>
            </w:tcBorders>
            <w:gridSpan w:val="2"/>
          </w:tcPr>
          <w:p>
            <w:pPr>
              <w:ind w:left="60"/>
              <w:spacing w:after="0"/>
              <w:rPr>
                <w:sz w:val="20"/>
                <w:szCs w:val="20"/>
                <w:color w:val="auto"/>
              </w:rPr>
            </w:pPr>
            <w:r>
              <w:rPr>
                <w:rFonts w:ascii="Arial" w:cs="Arial" w:eastAsia="Arial" w:hAnsi="Arial"/>
                <w:sz w:val="12"/>
                <w:szCs w:val="12"/>
                <w:color w:val="auto"/>
              </w:rPr>
              <w:t>Committee in accordance with Article 18 of the Articles of Association;</w:t>
            </w:r>
          </w:p>
        </w:tc>
        <w:tc>
          <w:tcPr>
            <w:tcW w:w="2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280" w:type="dxa"/>
            <w:vAlign w:val="bottom"/>
            <w:tcBorders>
              <w:right w:val="single" w:sz="8" w:color="auto"/>
            </w:tcBorders>
            <w:gridSpan w:val="2"/>
          </w:tcPr>
          <w:p>
            <w:pPr>
              <w:ind w:left="60"/>
              <w:spacing w:after="0"/>
              <w:rPr>
                <w:sz w:val="20"/>
                <w:szCs w:val="20"/>
                <w:color w:val="auto"/>
              </w:rPr>
            </w:pPr>
            <w:r>
              <w:rPr>
                <w:rFonts w:ascii="Arial" w:cs="Arial" w:eastAsia="Arial" w:hAnsi="Arial"/>
                <w:sz w:val="12"/>
                <w:szCs w:val="12"/>
                <w:color w:val="auto"/>
              </w:rPr>
              <w:t>exécutif conformément à l'article 18 des statuts;</w:t>
            </w:r>
          </w:p>
        </w:tc>
      </w:tr>
      <w:tr>
        <w:trPr>
          <w:trHeight w:val="36"/>
        </w:trPr>
        <w:tc>
          <w:tcPr>
            <w:tcW w:w="200" w:type="dxa"/>
            <w:vAlign w:val="bottom"/>
            <w:tcBorders>
              <w:left w:val="single" w:sz="8" w:color="auto"/>
              <w:bottom w:val="single" w:sz="8" w:color="auto"/>
            </w:tcBorders>
          </w:tcPr>
          <w:p>
            <w:pPr>
              <w:spacing w:after="0"/>
              <w:rPr>
                <w:sz w:val="3"/>
                <w:szCs w:val="3"/>
                <w:color w:val="auto"/>
              </w:rPr>
            </w:pPr>
          </w:p>
        </w:tc>
        <w:tc>
          <w:tcPr>
            <w:tcW w:w="5340" w:type="dxa"/>
            <w:vAlign w:val="bottom"/>
            <w:tcBorders>
              <w:bottom w:val="single" w:sz="8" w:color="auto"/>
              <w:right w:val="single" w:sz="8" w:color="auto"/>
            </w:tcBorders>
            <w:gridSpan w:val="2"/>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280" w:type="dxa"/>
            <w:vAlign w:val="bottom"/>
            <w:tcBorders>
              <w:bottom w:val="single" w:sz="8" w:color="auto"/>
              <w:right w:val="single" w:sz="8" w:color="auto"/>
            </w:tcBorders>
            <w:gridSpan w:val="2"/>
          </w:tcPr>
          <w:p>
            <w:pPr>
              <w:spacing w:after="0"/>
              <w:rPr>
                <w:sz w:val="3"/>
                <w:szCs w:val="3"/>
                <w:color w:val="auto"/>
              </w:rPr>
            </w:pPr>
          </w:p>
        </w:tc>
      </w:tr>
      <w:tr>
        <w:trPr>
          <w:trHeight w:val="168"/>
        </w:trPr>
        <w:tc>
          <w:tcPr>
            <w:tcW w:w="200" w:type="dxa"/>
            <w:vAlign w:val="bottom"/>
            <w:tcBorders>
              <w:left w:val="single" w:sz="8" w:color="auto"/>
            </w:tcBorders>
          </w:tcPr>
          <w:p>
            <w:pPr>
              <w:ind w:left="60"/>
              <w:spacing w:after="0"/>
              <w:rPr>
                <w:sz w:val="20"/>
                <w:szCs w:val="20"/>
                <w:color w:val="auto"/>
              </w:rPr>
            </w:pPr>
            <w:r>
              <w:rPr>
                <w:rFonts w:ascii="Arial" w:cs="Arial" w:eastAsia="Arial" w:hAnsi="Arial"/>
                <w:sz w:val="12"/>
                <w:szCs w:val="12"/>
                <w:color w:val="auto"/>
              </w:rPr>
              <w:t>f)</w:t>
            </w:r>
          </w:p>
        </w:tc>
        <w:tc>
          <w:tcPr>
            <w:tcW w:w="5340" w:type="dxa"/>
            <w:vAlign w:val="bottom"/>
            <w:tcBorders>
              <w:right w:val="single" w:sz="8" w:color="auto"/>
            </w:tcBorders>
            <w:gridSpan w:val="2"/>
          </w:tcPr>
          <w:p>
            <w:pPr>
              <w:jc w:val="right"/>
              <w:spacing w:after="0"/>
              <w:rPr>
                <w:sz w:val="20"/>
                <w:szCs w:val="20"/>
                <w:color w:val="auto"/>
              </w:rPr>
            </w:pPr>
            <w:r>
              <w:rPr>
                <w:rFonts w:ascii="Arial" w:cs="Arial" w:eastAsia="Arial" w:hAnsi="Arial"/>
                <w:sz w:val="12"/>
                <w:szCs w:val="12"/>
                <w:color w:val="auto"/>
              </w:rPr>
              <w:t>to pass resolutions concerning all matters which are reserved to the authority of the General</w:t>
            </w:r>
          </w:p>
        </w:tc>
        <w:tc>
          <w:tcPr>
            <w:tcW w:w="240" w:type="dxa"/>
            <w:vAlign w:val="bottom"/>
            <w:tcBorders>
              <w:right w:val="single" w:sz="8" w:color="auto"/>
            </w:tcBorders>
          </w:tcPr>
          <w:p>
            <w:pPr>
              <w:spacing w:after="0"/>
              <w:rPr>
                <w:sz w:val="14"/>
                <w:szCs w:val="14"/>
                <w:color w:val="auto"/>
              </w:rPr>
            </w:pPr>
          </w:p>
        </w:tc>
        <w:tc>
          <w:tcPr>
            <w:tcW w:w="240" w:type="dxa"/>
            <w:vAlign w:val="bottom"/>
          </w:tcPr>
          <w:p>
            <w:pPr>
              <w:ind w:left="20"/>
              <w:spacing w:after="0"/>
              <w:rPr>
                <w:sz w:val="20"/>
                <w:szCs w:val="20"/>
                <w:color w:val="auto"/>
              </w:rPr>
            </w:pPr>
            <w:r>
              <w:rPr>
                <w:rFonts w:ascii="Arial" w:cs="Arial" w:eastAsia="Arial" w:hAnsi="Arial"/>
                <w:sz w:val="12"/>
                <w:szCs w:val="12"/>
                <w:color w:val="auto"/>
              </w:rPr>
              <w:t>f)</w:t>
            </w:r>
          </w:p>
        </w:tc>
        <w:tc>
          <w:tcPr>
            <w:tcW w:w="5280" w:type="dxa"/>
            <w:vAlign w:val="bottom"/>
            <w:tcBorders>
              <w:right w:val="single" w:sz="8" w:color="auto"/>
            </w:tcBorders>
            <w:gridSpan w:val="2"/>
          </w:tcPr>
          <w:p>
            <w:pPr>
              <w:ind w:left="60"/>
              <w:spacing w:after="0"/>
              <w:rPr>
                <w:sz w:val="20"/>
                <w:szCs w:val="20"/>
                <w:color w:val="auto"/>
              </w:rPr>
            </w:pPr>
            <w:r>
              <w:rPr>
                <w:rFonts w:ascii="Arial" w:cs="Arial" w:eastAsia="Arial" w:hAnsi="Arial"/>
                <w:sz w:val="12"/>
                <w:szCs w:val="12"/>
                <w:color w:val="auto"/>
              </w:rPr>
              <w:t>prendre les décisions sur toutes les affaires qui sont attribuées à l'assemblée générale par la loi</w:t>
            </w:r>
          </w:p>
        </w:tc>
      </w:tr>
      <w:tr>
        <w:trPr>
          <w:trHeight w:val="145"/>
        </w:trPr>
        <w:tc>
          <w:tcPr>
            <w:tcW w:w="200" w:type="dxa"/>
            <w:vAlign w:val="bottom"/>
            <w:tcBorders>
              <w:left w:val="single" w:sz="8" w:color="auto"/>
            </w:tcBorders>
          </w:tcPr>
          <w:p>
            <w:pPr>
              <w:spacing w:after="0"/>
              <w:rPr>
                <w:sz w:val="12"/>
                <w:szCs w:val="12"/>
                <w:color w:val="auto"/>
              </w:rPr>
            </w:pPr>
          </w:p>
        </w:tc>
        <w:tc>
          <w:tcPr>
            <w:tcW w:w="5340" w:type="dxa"/>
            <w:vAlign w:val="bottom"/>
            <w:tcBorders>
              <w:right w:val="single" w:sz="8" w:color="auto"/>
            </w:tcBorders>
            <w:gridSpan w:val="2"/>
          </w:tcPr>
          <w:p>
            <w:pPr>
              <w:ind w:left="60"/>
              <w:spacing w:after="0"/>
              <w:rPr>
                <w:sz w:val="20"/>
                <w:szCs w:val="20"/>
                <w:color w:val="auto"/>
              </w:rPr>
            </w:pPr>
            <w:r>
              <w:rPr>
                <w:rFonts w:ascii="Arial" w:cs="Arial" w:eastAsia="Arial" w:hAnsi="Arial"/>
                <w:sz w:val="12"/>
                <w:szCs w:val="12"/>
                <w:color w:val="auto"/>
              </w:rPr>
              <w:t>Meeting by law or by the Articles of Association.</w:t>
            </w:r>
          </w:p>
        </w:tc>
        <w:tc>
          <w:tcPr>
            <w:tcW w:w="2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280" w:type="dxa"/>
            <w:vAlign w:val="bottom"/>
            <w:tcBorders>
              <w:right w:val="single" w:sz="8" w:color="auto"/>
            </w:tcBorders>
            <w:gridSpan w:val="2"/>
          </w:tcPr>
          <w:p>
            <w:pPr>
              <w:ind w:left="60"/>
              <w:spacing w:after="0"/>
              <w:rPr>
                <w:sz w:val="20"/>
                <w:szCs w:val="20"/>
                <w:color w:val="auto"/>
              </w:rPr>
            </w:pPr>
            <w:r>
              <w:rPr>
                <w:rFonts w:ascii="Arial" w:cs="Arial" w:eastAsia="Arial" w:hAnsi="Arial"/>
                <w:sz w:val="12"/>
                <w:szCs w:val="12"/>
                <w:color w:val="auto"/>
              </w:rPr>
              <w:t>ou les statuts.</w:t>
            </w:r>
          </w:p>
        </w:tc>
      </w:tr>
      <w:tr>
        <w:trPr>
          <w:trHeight w:val="36"/>
        </w:trPr>
        <w:tc>
          <w:tcPr>
            <w:tcW w:w="460" w:type="dxa"/>
            <w:vAlign w:val="bottom"/>
            <w:tcBorders>
              <w:left w:val="single" w:sz="8" w:color="auto"/>
              <w:bottom w:val="single" w:sz="8" w:color="auto"/>
            </w:tcBorders>
            <w:gridSpan w:val="2"/>
          </w:tcPr>
          <w:p>
            <w:pPr>
              <w:spacing w:after="0"/>
              <w:rPr>
                <w:sz w:val="3"/>
                <w:szCs w:val="3"/>
                <w:color w:val="auto"/>
              </w:rPr>
            </w:pPr>
          </w:p>
        </w:tc>
        <w:tc>
          <w:tcPr>
            <w:tcW w:w="50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440" w:type="dxa"/>
            <w:vAlign w:val="bottom"/>
            <w:tcBorders>
              <w:bottom w:val="single" w:sz="8" w:color="auto"/>
            </w:tcBorders>
            <w:gridSpan w:val="2"/>
          </w:tcPr>
          <w:p>
            <w:pPr>
              <w:spacing w:after="0"/>
              <w:rPr>
                <w:sz w:val="3"/>
                <w:szCs w:val="3"/>
                <w:color w:val="auto"/>
              </w:rPr>
            </w:pPr>
          </w:p>
        </w:tc>
        <w:tc>
          <w:tcPr>
            <w:tcW w:w="5080" w:type="dxa"/>
            <w:vAlign w:val="bottom"/>
            <w:tcBorders>
              <w:bottom w:val="single" w:sz="8" w:color="auto"/>
              <w:right w:val="single" w:sz="8" w:color="auto"/>
            </w:tcBorders>
          </w:tcPr>
          <w:p>
            <w:pPr>
              <w:spacing w:after="0"/>
              <w:rPr>
                <w:sz w:val="3"/>
                <w:szCs w:val="3"/>
                <w:color w:val="auto"/>
              </w:rPr>
            </w:pPr>
          </w:p>
        </w:tc>
      </w:tr>
      <w:tr>
        <w:trPr>
          <w:trHeight w:val="178"/>
        </w:trPr>
        <w:tc>
          <w:tcPr>
            <w:tcW w:w="460" w:type="dxa"/>
            <w:vAlign w:val="bottom"/>
            <w:tcBorders>
              <w:left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Art. 9</w:t>
            </w:r>
          </w:p>
        </w:tc>
        <w:tc>
          <w:tcPr>
            <w:tcW w:w="5080" w:type="dxa"/>
            <w:vAlign w:val="bottom"/>
            <w:tcBorders>
              <w:right w:val="single" w:sz="8" w:color="auto"/>
            </w:tcBorders>
          </w:tcPr>
          <w:p>
            <w:pPr>
              <w:jc w:val="right"/>
              <w:ind w:right="3420"/>
              <w:spacing w:after="0"/>
              <w:rPr>
                <w:sz w:val="20"/>
                <w:szCs w:val="20"/>
                <w:color w:val="auto"/>
              </w:rPr>
            </w:pPr>
            <w:r>
              <w:rPr>
                <w:rFonts w:ascii="Arial" w:cs="Arial" w:eastAsia="Arial" w:hAnsi="Arial"/>
                <w:sz w:val="12"/>
                <w:szCs w:val="12"/>
                <w:b w:val="1"/>
                <w:bCs w:val="1"/>
                <w:color w:val="auto"/>
              </w:rPr>
              <w:t>Ordinary General Meeting</w:t>
            </w:r>
          </w:p>
        </w:tc>
        <w:tc>
          <w:tcPr>
            <w:tcW w:w="240" w:type="dxa"/>
            <w:vAlign w:val="bottom"/>
            <w:tcBorders>
              <w:right w:val="single" w:sz="8" w:color="auto"/>
            </w:tcBorders>
          </w:tcPr>
          <w:p>
            <w:pPr>
              <w:spacing w:after="0"/>
              <w:rPr>
                <w:sz w:val="15"/>
                <w:szCs w:val="15"/>
                <w:color w:val="auto"/>
              </w:rPr>
            </w:pPr>
          </w:p>
        </w:tc>
        <w:tc>
          <w:tcPr>
            <w:tcW w:w="440" w:type="dxa"/>
            <w:vAlign w:val="bottom"/>
            <w:gridSpan w:val="2"/>
          </w:tcPr>
          <w:p>
            <w:pPr>
              <w:ind w:left="40"/>
              <w:spacing w:after="0"/>
              <w:rPr>
                <w:sz w:val="20"/>
                <w:szCs w:val="20"/>
                <w:color w:val="auto"/>
              </w:rPr>
            </w:pPr>
            <w:r>
              <w:rPr>
                <w:rFonts w:ascii="Arial" w:cs="Arial" w:eastAsia="Arial" w:hAnsi="Arial"/>
                <w:sz w:val="12"/>
                <w:szCs w:val="12"/>
                <w:b w:val="1"/>
                <w:bCs w:val="1"/>
                <w:color w:val="auto"/>
              </w:rPr>
              <w:t>Art. 9</w:t>
            </w:r>
          </w:p>
        </w:tc>
        <w:tc>
          <w:tcPr>
            <w:tcW w:w="5080" w:type="dxa"/>
            <w:vAlign w:val="bottom"/>
            <w:tcBorders>
              <w:right w:val="single" w:sz="8" w:color="auto"/>
            </w:tcBorders>
          </w:tcPr>
          <w:p>
            <w:pPr>
              <w:ind w:left="160"/>
              <w:spacing w:after="0"/>
              <w:rPr>
                <w:sz w:val="20"/>
                <w:szCs w:val="20"/>
                <w:color w:val="auto"/>
              </w:rPr>
            </w:pPr>
            <w:r>
              <w:rPr>
                <w:rFonts w:ascii="Arial" w:cs="Arial" w:eastAsia="Arial" w:hAnsi="Arial"/>
                <w:sz w:val="12"/>
                <w:szCs w:val="12"/>
                <w:b w:val="1"/>
                <w:bCs w:val="1"/>
                <w:color w:val="auto"/>
              </w:rPr>
              <w:t>Assemblée générale ordinaire</w:t>
            </w:r>
          </w:p>
        </w:tc>
      </w:tr>
      <w:tr>
        <w:trPr>
          <w:trHeight w:val="260"/>
        </w:trPr>
        <w:tc>
          <w:tcPr>
            <w:tcW w:w="55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2"/>
                <w:szCs w:val="12"/>
                <w:color w:val="auto"/>
              </w:rPr>
              <w:t>The Ordinary General Meeting shall be held annually within six months after the close of the business</w:t>
            </w:r>
          </w:p>
        </w:tc>
        <w:tc>
          <w:tcPr>
            <w:tcW w:w="240" w:type="dxa"/>
            <w:vAlign w:val="bottom"/>
            <w:tcBorders>
              <w:right w:val="single" w:sz="8" w:color="auto"/>
            </w:tcBorders>
          </w:tcPr>
          <w:p>
            <w:pPr>
              <w:spacing w:after="0"/>
              <w:rPr>
                <w:sz w:val="22"/>
                <w:szCs w:val="22"/>
                <w:color w:val="auto"/>
              </w:rPr>
            </w:pPr>
          </w:p>
        </w:tc>
        <w:tc>
          <w:tcPr>
            <w:tcW w:w="5520" w:type="dxa"/>
            <w:vAlign w:val="bottom"/>
            <w:tcBorders>
              <w:right w:val="single" w:sz="8" w:color="auto"/>
            </w:tcBorders>
            <w:gridSpan w:val="3"/>
          </w:tcPr>
          <w:p>
            <w:pPr>
              <w:ind w:left="40"/>
              <w:spacing w:after="0"/>
              <w:rPr>
                <w:sz w:val="20"/>
                <w:szCs w:val="20"/>
                <w:color w:val="auto"/>
              </w:rPr>
            </w:pPr>
            <w:r>
              <w:rPr>
                <w:rFonts w:ascii="Arial" w:cs="Arial" w:eastAsia="Arial" w:hAnsi="Arial"/>
                <w:sz w:val="12"/>
                <w:szCs w:val="12"/>
                <w:color w:val="auto"/>
              </w:rPr>
              <w:t>L'assemblée générale ordinaire aura lieu chaque année dans les six mois qui suivent la clôture de</w:t>
            </w:r>
          </w:p>
        </w:tc>
      </w:tr>
      <w:tr>
        <w:trPr>
          <w:trHeight w:val="135"/>
        </w:trPr>
        <w:tc>
          <w:tcPr>
            <w:tcW w:w="5540" w:type="dxa"/>
            <w:vAlign w:val="bottom"/>
            <w:tcBorders>
              <w:left w:val="single" w:sz="8" w:color="auto"/>
              <w:right w:val="single" w:sz="8" w:color="auto"/>
            </w:tcBorders>
            <w:gridSpan w:val="3"/>
          </w:tcPr>
          <w:p>
            <w:pPr>
              <w:ind w:left="40"/>
              <w:spacing w:after="0" w:line="135" w:lineRule="exact"/>
              <w:rPr>
                <w:sz w:val="20"/>
                <w:szCs w:val="20"/>
                <w:color w:val="auto"/>
              </w:rPr>
            </w:pPr>
            <w:r>
              <w:rPr>
                <w:rFonts w:ascii="Arial" w:cs="Arial" w:eastAsia="Arial" w:hAnsi="Arial"/>
                <w:sz w:val="12"/>
                <w:szCs w:val="12"/>
                <w:color w:val="auto"/>
              </w:rPr>
              <w:t>year at such time and at such location, which may be within or outside Switzerland, as determined by</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3"/>
          </w:tcPr>
          <w:p>
            <w:pPr>
              <w:ind w:left="40"/>
              <w:spacing w:after="0" w:line="135" w:lineRule="exact"/>
              <w:rPr>
                <w:sz w:val="20"/>
                <w:szCs w:val="20"/>
                <w:color w:val="auto"/>
              </w:rPr>
            </w:pPr>
            <w:r>
              <w:rPr>
                <w:rFonts w:ascii="Arial" w:cs="Arial" w:eastAsia="Arial" w:hAnsi="Arial"/>
                <w:sz w:val="12"/>
                <w:szCs w:val="12"/>
                <w:color w:val="auto"/>
              </w:rPr>
              <w:t>l'exercice à la date et à l'endroit, qui peut être en ou hors de la Suisse, tel que déterminé par le conseil</w:t>
            </w:r>
          </w:p>
        </w:tc>
      </w:tr>
      <w:tr>
        <w:trPr>
          <w:trHeight w:val="145"/>
        </w:trPr>
        <w:tc>
          <w:tcPr>
            <w:tcW w:w="55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2"/>
                <w:szCs w:val="12"/>
                <w:color w:val="auto"/>
              </w:rPr>
              <w:t>the Board of Directors.</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3"/>
          </w:tcPr>
          <w:p>
            <w:pPr>
              <w:ind w:left="40"/>
              <w:spacing w:after="0"/>
              <w:rPr>
                <w:sz w:val="20"/>
                <w:szCs w:val="20"/>
                <w:color w:val="auto"/>
              </w:rPr>
            </w:pPr>
            <w:r>
              <w:rPr>
                <w:rFonts w:ascii="Arial" w:cs="Arial" w:eastAsia="Arial" w:hAnsi="Arial"/>
                <w:sz w:val="12"/>
                <w:szCs w:val="12"/>
                <w:color w:val="auto"/>
              </w:rPr>
              <w:t>d'administration.</w:t>
            </w:r>
          </w:p>
        </w:tc>
      </w:tr>
      <w:tr>
        <w:trPr>
          <w:trHeight w:val="36"/>
        </w:trPr>
        <w:tc>
          <w:tcPr>
            <w:tcW w:w="5540" w:type="dxa"/>
            <w:vAlign w:val="bottom"/>
            <w:tcBorders>
              <w:left w:val="single" w:sz="8" w:color="auto"/>
              <w:bottom w:val="single" w:sz="8" w:color="auto"/>
              <w:right w:val="single" w:sz="8" w:color="auto"/>
            </w:tcBorders>
            <w:gridSpan w:val="3"/>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440" w:type="dxa"/>
            <w:vAlign w:val="bottom"/>
            <w:tcBorders>
              <w:bottom w:val="single" w:sz="8" w:color="auto"/>
            </w:tcBorders>
            <w:gridSpan w:val="2"/>
          </w:tcPr>
          <w:p>
            <w:pPr>
              <w:spacing w:after="0"/>
              <w:rPr>
                <w:sz w:val="3"/>
                <w:szCs w:val="3"/>
                <w:color w:val="auto"/>
              </w:rPr>
            </w:pPr>
          </w:p>
        </w:tc>
        <w:tc>
          <w:tcPr>
            <w:tcW w:w="5080" w:type="dxa"/>
            <w:vAlign w:val="bottom"/>
            <w:tcBorders>
              <w:bottom w:val="single" w:sz="8" w:color="auto"/>
              <w:right w:val="single" w:sz="8" w:color="auto"/>
            </w:tcBorders>
          </w:tcPr>
          <w:p>
            <w:pPr>
              <w:spacing w:after="0"/>
              <w:rPr>
                <w:sz w:val="3"/>
                <w:szCs w:val="3"/>
                <w:color w:val="auto"/>
              </w:rPr>
            </w:pPr>
          </w:p>
        </w:tc>
      </w:tr>
      <w:tr>
        <w:trPr>
          <w:trHeight w:val="178"/>
        </w:trPr>
        <w:tc>
          <w:tcPr>
            <w:tcW w:w="55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2"/>
                <w:szCs w:val="12"/>
                <w:b w:val="1"/>
                <w:bCs w:val="1"/>
                <w:color w:val="auto"/>
              </w:rPr>
              <w:t>Art. 10   Extraordinary General Meeting</w:t>
            </w:r>
          </w:p>
        </w:tc>
        <w:tc>
          <w:tcPr>
            <w:tcW w:w="240" w:type="dxa"/>
            <w:vAlign w:val="bottom"/>
            <w:tcBorders>
              <w:right w:val="single" w:sz="8" w:color="auto"/>
            </w:tcBorders>
          </w:tcPr>
          <w:p>
            <w:pPr>
              <w:spacing w:after="0"/>
              <w:rPr>
                <w:sz w:val="15"/>
                <w:szCs w:val="15"/>
                <w:color w:val="auto"/>
              </w:rPr>
            </w:pPr>
          </w:p>
        </w:tc>
        <w:tc>
          <w:tcPr>
            <w:tcW w:w="440" w:type="dxa"/>
            <w:vAlign w:val="bottom"/>
            <w:gridSpan w:val="2"/>
          </w:tcPr>
          <w:p>
            <w:pPr>
              <w:ind w:left="40"/>
              <w:spacing w:after="0"/>
              <w:rPr>
                <w:sz w:val="20"/>
                <w:szCs w:val="20"/>
                <w:color w:val="auto"/>
              </w:rPr>
            </w:pPr>
            <w:r>
              <w:rPr>
                <w:rFonts w:ascii="Arial" w:cs="Arial" w:eastAsia="Arial" w:hAnsi="Arial"/>
                <w:sz w:val="12"/>
                <w:szCs w:val="12"/>
                <w:b w:val="1"/>
                <w:bCs w:val="1"/>
                <w:color w:val="auto"/>
              </w:rPr>
              <w:t>Art. 10</w:t>
            </w:r>
          </w:p>
        </w:tc>
        <w:tc>
          <w:tcPr>
            <w:tcW w:w="5080" w:type="dxa"/>
            <w:vAlign w:val="bottom"/>
            <w:tcBorders>
              <w:right w:val="single" w:sz="8" w:color="auto"/>
            </w:tcBorders>
          </w:tcPr>
          <w:p>
            <w:pPr>
              <w:ind w:left="160"/>
              <w:spacing w:after="0"/>
              <w:rPr>
                <w:sz w:val="20"/>
                <w:szCs w:val="20"/>
                <w:color w:val="auto"/>
              </w:rPr>
            </w:pPr>
            <w:r>
              <w:rPr>
                <w:rFonts w:ascii="Arial" w:cs="Arial" w:eastAsia="Arial" w:hAnsi="Arial"/>
                <w:sz w:val="12"/>
                <w:szCs w:val="12"/>
                <w:b w:val="1"/>
                <w:bCs w:val="1"/>
                <w:color w:val="auto"/>
              </w:rPr>
              <w:t>Assemblée générale extraordinaire</w:t>
            </w:r>
          </w:p>
        </w:tc>
      </w:tr>
      <w:tr>
        <w:trPr>
          <w:trHeight w:val="260"/>
        </w:trPr>
        <w:tc>
          <w:tcPr>
            <w:tcW w:w="200" w:type="dxa"/>
            <w:vAlign w:val="bottom"/>
            <w:tcBorders>
              <w:left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5080" w:type="dxa"/>
            <w:vAlign w:val="bottom"/>
            <w:tcBorders>
              <w:right w:val="single" w:sz="8" w:color="auto"/>
            </w:tcBorders>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5520" w:type="dxa"/>
            <w:vAlign w:val="bottom"/>
            <w:tcBorders>
              <w:right w:val="single" w:sz="8" w:color="auto"/>
            </w:tcBorders>
            <w:gridSpan w:val="3"/>
          </w:tcPr>
          <w:p>
            <w:pPr>
              <w:ind w:left="40"/>
              <w:spacing w:after="0"/>
              <w:rPr>
                <w:sz w:val="20"/>
                <w:szCs w:val="20"/>
                <w:color w:val="auto"/>
              </w:rPr>
            </w:pPr>
            <w:r>
              <w:rPr>
                <w:rFonts w:ascii="Arial" w:cs="Arial" w:eastAsia="Arial" w:hAnsi="Arial"/>
                <w:sz w:val="12"/>
                <w:szCs w:val="12"/>
                <w:color w:val="auto"/>
              </w:rPr>
              <w:t>Les assemblées générales extraordinaires peuvent être convoquées par décision de l'assemblée</w:t>
            </w:r>
          </w:p>
        </w:tc>
      </w:tr>
      <w:tr>
        <w:trPr>
          <w:trHeight w:val="135"/>
        </w:trPr>
        <w:tc>
          <w:tcPr>
            <w:tcW w:w="5540" w:type="dxa"/>
            <w:vAlign w:val="bottom"/>
            <w:tcBorders>
              <w:left w:val="single" w:sz="8" w:color="auto"/>
              <w:right w:val="single" w:sz="8" w:color="auto"/>
            </w:tcBorders>
            <w:gridSpan w:val="3"/>
          </w:tcPr>
          <w:p>
            <w:pPr>
              <w:ind w:left="40"/>
              <w:spacing w:after="0" w:line="135" w:lineRule="exact"/>
              <w:rPr>
                <w:sz w:val="20"/>
                <w:szCs w:val="20"/>
                <w:color w:val="auto"/>
              </w:rPr>
            </w:pPr>
            <w:r>
              <w:rPr>
                <w:rFonts w:ascii="Arial" w:cs="Arial" w:eastAsia="Arial" w:hAnsi="Arial"/>
                <w:sz w:val="12"/>
                <w:szCs w:val="12"/>
                <w:color w:val="auto"/>
              </w:rPr>
              <w:t>Extraordinary General Meetings may be called by resolution of the General Meeting, the Auditors or</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3"/>
          </w:tcPr>
          <w:p>
            <w:pPr>
              <w:ind w:left="40"/>
              <w:spacing w:after="0" w:line="135" w:lineRule="exact"/>
              <w:rPr>
                <w:sz w:val="20"/>
                <w:szCs w:val="20"/>
                <w:color w:val="auto"/>
              </w:rPr>
            </w:pPr>
            <w:r>
              <w:rPr>
                <w:rFonts w:ascii="Arial" w:cs="Arial" w:eastAsia="Arial" w:hAnsi="Arial"/>
                <w:sz w:val="12"/>
                <w:szCs w:val="12"/>
                <w:color w:val="auto"/>
              </w:rPr>
              <w:t>générale, l'organe de révision ou le conseil d'administration, ou par des actionnaires avec droit de</w:t>
            </w:r>
          </w:p>
        </w:tc>
      </w:tr>
      <w:tr>
        <w:trPr>
          <w:trHeight w:val="135"/>
        </w:trPr>
        <w:tc>
          <w:tcPr>
            <w:tcW w:w="5540" w:type="dxa"/>
            <w:vAlign w:val="bottom"/>
            <w:tcBorders>
              <w:left w:val="single" w:sz="8" w:color="auto"/>
              <w:right w:val="single" w:sz="8" w:color="auto"/>
            </w:tcBorders>
            <w:gridSpan w:val="3"/>
          </w:tcPr>
          <w:p>
            <w:pPr>
              <w:ind w:left="40"/>
              <w:spacing w:after="0" w:line="135" w:lineRule="exact"/>
              <w:rPr>
                <w:sz w:val="20"/>
                <w:szCs w:val="20"/>
                <w:color w:val="auto"/>
              </w:rPr>
            </w:pPr>
            <w:r>
              <w:rPr>
                <w:rFonts w:ascii="Arial" w:cs="Arial" w:eastAsia="Arial" w:hAnsi="Arial"/>
                <w:sz w:val="12"/>
                <w:szCs w:val="12"/>
                <w:color w:val="auto"/>
              </w:rPr>
              <w:t>the Board of Directors, or by shareholders with voting powers, provided they represent at least 10% of</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3"/>
          </w:tcPr>
          <w:p>
            <w:pPr>
              <w:ind w:left="40"/>
              <w:spacing w:after="0" w:line="135" w:lineRule="exact"/>
              <w:rPr>
                <w:sz w:val="20"/>
                <w:szCs w:val="20"/>
                <w:color w:val="auto"/>
              </w:rPr>
            </w:pPr>
            <w:r>
              <w:rPr>
                <w:rFonts w:ascii="Arial" w:cs="Arial" w:eastAsia="Arial" w:hAnsi="Arial"/>
                <w:sz w:val="12"/>
                <w:szCs w:val="12"/>
                <w:color w:val="auto"/>
              </w:rPr>
              <w:t>vote, à condition qu'ils représentent au moins 10% du capital-actions et qu'ils soumettent (a) (1) une</w:t>
            </w:r>
          </w:p>
        </w:tc>
      </w:tr>
      <w:tr>
        <w:trPr>
          <w:trHeight w:val="135"/>
        </w:trPr>
        <w:tc>
          <w:tcPr>
            <w:tcW w:w="5540" w:type="dxa"/>
            <w:vAlign w:val="bottom"/>
            <w:tcBorders>
              <w:left w:val="single" w:sz="8" w:color="auto"/>
              <w:right w:val="single" w:sz="8" w:color="auto"/>
            </w:tcBorders>
            <w:gridSpan w:val="3"/>
          </w:tcPr>
          <w:p>
            <w:pPr>
              <w:ind w:left="40"/>
              <w:spacing w:after="0" w:line="135" w:lineRule="exact"/>
              <w:rPr>
                <w:sz w:val="20"/>
                <w:szCs w:val="20"/>
                <w:color w:val="auto"/>
              </w:rPr>
            </w:pPr>
            <w:r>
              <w:rPr>
                <w:rFonts w:ascii="Arial" w:cs="Arial" w:eastAsia="Arial" w:hAnsi="Arial"/>
                <w:sz w:val="12"/>
                <w:szCs w:val="12"/>
                <w:color w:val="auto"/>
              </w:rPr>
              <w:t>the share capital and who submit (a)(1) a request signed by such shareholder(s) that specifies the</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3"/>
          </w:tcPr>
          <w:p>
            <w:pPr>
              <w:ind w:left="40"/>
              <w:spacing w:after="0" w:line="135" w:lineRule="exact"/>
              <w:rPr>
                <w:sz w:val="20"/>
                <w:szCs w:val="20"/>
                <w:color w:val="auto"/>
              </w:rPr>
            </w:pPr>
            <w:r>
              <w:rPr>
                <w:rFonts w:ascii="Arial" w:cs="Arial" w:eastAsia="Arial" w:hAnsi="Arial"/>
                <w:sz w:val="12"/>
                <w:szCs w:val="12"/>
                <w:color w:val="auto"/>
              </w:rPr>
              <w:t>demande signée par le(s)dit(s) actionnaire(s) qui spécifie les objets à faire figurer sur l'ordre du jour,</w:t>
            </w:r>
          </w:p>
        </w:tc>
      </w:tr>
      <w:tr>
        <w:trPr>
          <w:trHeight w:val="135"/>
        </w:trPr>
        <w:tc>
          <w:tcPr>
            <w:tcW w:w="5540" w:type="dxa"/>
            <w:vAlign w:val="bottom"/>
            <w:tcBorders>
              <w:left w:val="single" w:sz="8" w:color="auto"/>
              <w:right w:val="single" w:sz="8" w:color="auto"/>
            </w:tcBorders>
            <w:gridSpan w:val="3"/>
          </w:tcPr>
          <w:p>
            <w:pPr>
              <w:ind w:left="40"/>
              <w:spacing w:after="0" w:line="135" w:lineRule="exact"/>
              <w:rPr>
                <w:sz w:val="20"/>
                <w:szCs w:val="20"/>
                <w:color w:val="auto"/>
              </w:rPr>
            </w:pPr>
            <w:r>
              <w:rPr>
                <w:rFonts w:ascii="Arial" w:cs="Arial" w:eastAsia="Arial" w:hAnsi="Arial"/>
                <w:sz w:val="12"/>
                <w:szCs w:val="12"/>
                <w:color w:val="auto"/>
              </w:rPr>
              <w:t>item(s) to be included on the agenda, (2) the respective proposals of the shareholders and (3)</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3"/>
          </w:tcPr>
          <w:p>
            <w:pPr>
              <w:ind w:left="40"/>
              <w:spacing w:after="0" w:line="135" w:lineRule="exact"/>
              <w:rPr>
                <w:sz w:val="20"/>
                <w:szCs w:val="20"/>
                <w:color w:val="auto"/>
              </w:rPr>
            </w:pPr>
            <w:r>
              <w:rPr>
                <w:rFonts w:ascii="Arial" w:cs="Arial" w:eastAsia="Arial" w:hAnsi="Arial"/>
                <w:sz w:val="12"/>
                <w:szCs w:val="12"/>
                <w:color w:val="auto"/>
              </w:rPr>
              <w:t>(2) les propositions respectives de ces actionnaires et (3) la preuve des participations requises</w:t>
            </w:r>
          </w:p>
        </w:tc>
      </w:tr>
      <w:tr>
        <w:trPr>
          <w:trHeight w:val="135"/>
        </w:trPr>
        <w:tc>
          <w:tcPr>
            <w:tcW w:w="5540" w:type="dxa"/>
            <w:vAlign w:val="bottom"/>
            <w:tcBorders>
              <w:left w:val="single" w:sz="8" w:color="auto"/>
              <w:right w:val="single" w:sz="8" w:color="auto"/>
            </w:tcBorders>
            <w:gridSpan w:val="3"/>
          </w:tcPr>
          <w:p>
            <w:pPr>
              <w:ind w:left="40"/>
              <w:spacing w:after="0" w:line="135" w:lineRule="exact"/>
              <w:rPr>
                <w:sz w:val="20"/>
                <w:szCs w:val="20"/>
                <w:color w:val="auto"/>
              </w:rPr>
            </w:pPr>
            <w:r>
              <w:rPr>
                <w:rFonts w:ascii="Arial" w:cs="Arial" w:eastAsia="Arial" w:hAnsi="Arial"/>
                <w:sz w:val="12"/>
                <w:szCs w:val="12"/>
                <w:color w:val="auto"/>
              </w:rPr>
              <w:t>evidence of the required shareholdings recorded in the share register and (b) such other information</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3"/>
          </w:tcPr>
          <w:p>
            <w:pPr>
              <w:ind w:left="40"/>
              <w:spacing w:after="0" w:line="135" w:lineRule="exact"/>
              <w:rPr>
                <w:sz w:val="20"/>
                <w:szCs w:val="20"/>
                <w:color w:val="auto"/>
              </w:rPr>
            </w:pPr>
            <w:r>
              <w:rPr>
                <w:rFonts w:ascii="Arial" w:cs="Arial" w:eastAsia="Arial" w:hAnsi="Arial"/>
                <w:sz w:val="12"/>
                <w:szCs w:val="12"/>
                <w:color w:val="auto"/>
              </w:rPr>
              <w:t>inscrites dans le registre des actions et (b) les autres informations qui doivent être mentionnées dans</w:t>
            </w:r>
          </w:p>
        </w:tc>
      </w:tr>
      <w:tr>
        <w:trPr>
          <w:trHeight w:val="135"/>
        </w:trPr>
        <w:tc>
          <w:tcPr>
            <w:tcW w:w="5540" w:type="dxa"/>
            <w:vAlign w:val="bottom"/>
            <w:tcBorders>
              <w:left w:val="single" w:sz="8" w:color="auto"/>
              <w:right w:val="single" w:sz="8" w:color="auto"/>
            </w:tcBorders>
            <w:gridSpan w:val="3"/>
          </w:tcPr>
          <w:p>
            <w:pPr>
              <w:ind w:left="40"/>
              <w:spacing w:after="0" w:line="135" w:lineRule="exact"/>
              <w:rPr>
                <w:sz w:val="20"/>
                <w:szCs w:val="20"/>
                <w:color w:val="auto"/>
              </w:rPr>
            </w:pPr>
            <w:r>
              <w:rPr>
                <w:rFonts w:ascii="Arial" w:cs="Arial" w:eastAsia="Arial" w:hAnsi="Arial"/>
                <w:sz w:val="12"/>
                <w:szCs w:val="12"/>
                <w:color w:val="auto"/>
              </w:rPr>
              <w:t>as would be required to be included in a proxy statement pursuant to the rules of the country where</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3"/>
          </w:tcPr>
          <w:p>
            <w:pPr>
              <w:ind w:left="40"/>
              <w:spacing w:after="0" w:line="135" w:lineRule="exact"/>
              <w:rPr>
                <w:sz w:val="20"/>
                <w:szCs w:val="20"/>
                <w:color w:val="auto"/>
              </w:rPr>
            </w:pPr>
            <w:r>
              <w:rPr>
                <w:rFonts w:ascii="Arial" w:cs="Arial" w:eastAsia="Arial" w:hAnsi="Arial"/>
                <w:sz w:val="12"/>
                <w:szCs w:val="12"/>
                <w:color w:val="auto"/>
              </w:rPr>
              <w:t>une déclaration (proxy statement) conformément aux règles du pays où les actions de la société sont</w:t>
            </w:r>
          </w:p>
        </w:tc>
      </w:tr>
      <w:tr>
        <w:trPr>
          <w:trHeight w:val="145"/>
        </w:trPr>
        <w:tc>
          <w:tcPr>
            <w:tcW w:w="55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2"/>
                <w:szCs w:val="12"/>
                <w:color w:val="auto"/>
              </w:rPr>
              <w:t>the Company's shares are primarily listed.</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3"/>
          </w:tcPr>
          <w:p>
            <w:pPr>
              <w:ind w:left="40"/>
              <w:spacing w:after="0"/>
              <w:rPr>
                <w:sz w:val="20"/>
                <w:szCs w:val="20"/>
                <w:color w:val="auto"/>
              </w:rPr>
            </w:pPr>
            <w:r>
              <w:rPr>
                <w:rFonts w:ascii="Arial" w:cs="Arial" w:eastAsia="Arial" w:hAnsi="Arial"/>
                <w:sz w:val="12"/>
                <w:szCs w:val="12"/>
                <w:color w:val="auto"/>
              </w:rPr>
              <w:t>principalement cotées.</w:t>
            </w:r>
          </w:p>
        </w:tc>
      </w:tr>
      <w:tr>
        <w:trPr>
          <w:trHeight w:val="36"/>
        </w:trPr>
        <w:tc>
          <w:tcPr>
            <w:tcW w:w="200" w:type="dxa"/>
            <w:vAlign w:val="bottom"/>
            <w:tcBorders>
              <w:left w:val="single" w:sz="8" w:color="auto"/>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0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080" w:type="dxa"/>
            <w:vAlign w:val="bottom"/>
            <w:tcBorders>
              <w:bottom w:val="single" w:sz="8" w:color="auto"/>
              <w:right w:val="single" w:sz="8" w:color="auto"/>
            </w:tcBorders>
          </w:tcPr>
          <w:p>
            <w:pPr>
              <w:spacing w:after="0"/>
              <w:rPr>
                <w:sz w:val="3"/>
                <w:szCs w:val="3"/>
                <w:color w:val="auto"/>
              </w:rPr>
            </w:pPr>
          </w:p>
        </w:tc>
      </w:tr>
      <w:tr>
        <w:trPr>
          <w:trHeight w:val="493"/>
        </w:trPr>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211" w:right="299" w:bottom="1440" w:gutter="0" w:footer="0" w:header="0"/>
        </w:sectPr>
      </w:pPr>
    </w:p>
    <w:bookmarkStart w:id="57" w:name="page58"/>
    <w:bookmarkEnd w:id="5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45"/>
        </w:trPr>
        <w:tc>
          <w:tcPr>
            <w:tcW w:w="5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20" w:type="dxa"/>
            <w:vAlign w:val="bottom"/>
          </w:tcPr>
          <w:p>
            <w:pPr>
              <w:jc w:val="right"/>
              <w:spacing w:after="0"/>
              <w:rPr>
                <w:sz w:val="20"/>
                <w:szCs w:val="20"/>
                <w:color w:val="auto"/>
              </w:rPr>
            </w:pPr>
            <w:r>
              <w:rPr>
                <w:rFonts w:ascii="Arial" w:cs="Arial" w:eastAsia="Arial" w:hAnsi="Arial"/>
                <w:sz w:val="12"/>
                <w:szCs w:val="12"/>
                <w:color w:val="auto"/>
              </w:rPr>
              <w:t>12</w:t>
            </w:r>
          </w:p>
        </w:tc>
      </w:tr>
      <w:tr>
        <w:trPr>
          <w:trHeight w:val="63"/>
        </w:trPr>
        <w:tc>
          <w:tcPr>
            <w:tcW w:w="55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5020" w:type="dxa"/>
            <w:vAlign w:val="bottom"/>
            <w:tcBorders>
              <w:bottom w:val="single" w:sz="8" w:color="auto"/>
            </w:tcBorders>
          </w:tcPr>
          <w:p>
            <w:pPr>
              <w:spacing w:after="0"/>
              <w:rPr>
                <w:sz w:val="5"/>
                <w:szCs w:val="5"/>
                <w:color w:val="auto"/>
              </w:rPr>
            </w:pPr>
          </w:p>
        </w:tc>
      </w:tr>
      <w:tr>
        <w:trPr>
          <w:trHeight w:val="178"/>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b w:val="1"/>
                <w:bCs w:val="1"/>
                <w:color w:val="auto"/>
              </w:rPr>
              <w:t>Art. 11   Notice and Agenda of Shareholders' Meetings</w:t>
            </w:r>
          </w:p>
        </w:tc>
        <w:tc>
          <w:tcPr>
            <w:tcW w:w="240" w:type="dxa"/>
            <w:vAlign w:val="bottom"/>
            <w:tcBorders>
              <w:right w:val="single" w:sz="8" w:color="auto"/>
            </w:tcBorders>
          </w:tcPr>
          <w:p>
            <w:pPr>
              <w:spacing w:after="0"/>
              <w:rPr>
                <w:sz w:val="15"/>
                <w:szCs w:val="15"/>
                <w:color w:val="auto"/>
              </w:rPr>
            </w:pP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Art. 11</w:t>
            </w:r>
          </w:p>
        </w:tc>
        <w:tc>
          <w:tcPr>
            <w:tcW w:w="5020" w:type="dxa"/>
            <w:vAlign w:val="bottom"/>
            <w:tcBorders>
              <w:right w:val="single" w:sz="8" w:color="auto"/>
            </w:tcBorders>
          </w:tcPr>
          <w:p>
            <w:pPr>
              <w:jc w:val="right"/>
              <w:ind w:right="1520"/>
              <w:spacing w:after="0"/>
              <w:rPr>
                <w:sz w:val="20"/>
                <w:szCs w:val="20"/>
                <w:color w:val="auto"/>
              </w:rPr>
            </w:pPr>
            <w:r>
              <w:rPr>
                <w:rFonts w:ascii="Arial" w:cs="Arial" w:eastAsia="Arial" w:hAnsi="Arial"/>
                <w:sz w:val="12"/>
                <w:szCs w:val="12"/>
                <w:b w:val="1"/>
                <w:bCs w:val="1"/>
                <w:color w:val="auto"/>
              </w:rPr>
              <w:t>Convocations et ordres du jour des assemblées générales</w:t>
            </w:r>
          </w:p>
        </w:tc>
      </w:tr>
      <w:tr>
        <w:trPr>
          <w:trHeight w:val="260"/>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Notice of a General Meeting of Shareholders shall be given by the Board of Directors or, if necessary,</w:t>
            </w:r>
          </w:p>
        </w:tc>
        <w:tc>
          <w:tcPr>
            <w:tcW w:w="240" w:type="dxa"/>
            <w:vAlign w:val="bottom"/>
            <w:tcBorders>
              <w:right w:val="single" w:sz="8" w:color="auto"/>
            </w:tcBorders>
          </w:tcPr>
          <w:p>
            <w:pPr>
              <w:spacing w:after="0"/>
              <w:rPr>
                <w:sz w:val="22"/>
                <w:szCs w:val="22"/>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L'assemblée générale est convoquée par le conseil d'administration ou, si nécessaire, par l'organe de</w:t>
            </w:r>
          </w:p>
        </w:tc>
      </w:tr>
      <w:tr>
        <w:trPr>
          <w:trHeight w:val="135"/>
        </w:trPr>
        <w:tc>
          <w:tcPr>
            <w:tcW w:w="55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by the Auditor, not later than twenty calendar days prior to the date of the General Meeting of</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révision, au moins 20 jours avant la tenue de l'assemblée générale des actionnaires. La convocation à</w:t>
            </w:r>
          </w:p>
        </w:tc>
      </w:tr>
      <w:tr>
        <w:trPr>
          <w:trHeight w:val="135"/>
        </w:trPr>
        <w:tc>
          <w:tcPr>
            <w:tcW w:w="55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Shareholders. Notice of the General Meeting of Shareholders shall be given by way of a one-time</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l'assemblée générale des actionnaires doit être faite au moyen d'une seule publication conformément</w:t>
            </w:r>
          </w:p>
        </w:tc>
      </w:tr>
      <w:tr>
        <w:trPr>
          <w:trHeight w:val="135"/>
        </w:trPr>
        <w:tc>
          <w:tcPr>
            <w:tcW w:w="55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announcement in the official means of publication of the Company pursuant to Article 46 of these</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à l'article 46 de ces statuts. La période de préavis sera réputée avoir été respectée si la convocation à</w:t>
            </w:r>
          </w:p>
        </w:tc>
      </w:tr>
      <w:tr>
        <w:trPr>
          <w:trHeight w:val="135"/>
        </w:trPr>
        <w:tc>
          <w:tcPr>
            <w:tcW w:w="55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Articles of Association. The notice period shall be deemed to have been observed if notice of the</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l'assemblée générale des actionnaires est publiée conformément à l'article 46 de ces statuts, étant</w:t>
            </w:r>
          </w:p>
        </w:tc>
      </w:tr>
      <w:tr>
        <w:trPr>
          <w:trHeight w:val="135"/>
        </w:trPr>
        <w:tc>
          <w:tcPr>
            <w:tcW w:w="55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General Meeting of Shareholders is published in such official means of publication, it being</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entendu que la date de publication ne doit pas être calculée dans la période de préavis. Les</w:t>
            </w:r>
          </w:p>
        </w:tc>
      </w:tr>
      <w:tr>
        <w:trPr>
          <w:trHeight w:val="135"/>
        </w:trPr>
        <w:tc>
          <w:tcPr>
            <w:tcW w:w="55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understood that the date of publication shall not be computed in the notice period. Shareholders of</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actionnaires inscrits peuvent en outre être informés de l'assemblée générale des actionnaires par</w:t>
            </w:r>
          </w:p>
        </w:tc>
      </w:tr>
      <w:tr>
        <w:trPr>
          <w:trHeight w:val="145"/>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record may in addition be informed of the General Meeting of Shareholders by ordinary mail or e-mail.</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courrier ordinaire ou par e-mail.</w:t>
            </w:r>
          </w:p>
        </w:tc>
      </w:tr>
      <w:tr>
        <w:trPr>
          <w:trHeight w:val="36"/>
        </w:trPr>
        <w:tc>
          <w:tcPr>
            <w:tcW w:w="5540" w:type="dxa"/>
            <w:vAlign w:val="bottom"/>
            <w:tcBorders>
              <w:left w:val="single" w:sz="8" w:color="auto"/>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520" w:type="dxa"/>
            <w:vAlign w:val="bottom"/>
            <w:tcBorders>
              <w:bottom w:val="single" w:sz="8" w:color="auto"/>
              <w:right w:val="single" w:sz="8" w:color="auto"/>
            </w:tcBorders>
            <w:gridSpan w:val="2"/>
          </w:tcPr>
          <w:p>
            <w:pPr>
              <w:spacing w:after="0"/>
              <w:rPr>
                <w:sz w:val="3"/>
                <w:szCs w:val="3"/>
                <w:color w:val="auto"/>
              </w:rPr>
            </w:pPr>
          </w:p>
        </w:tc>
      </w:tr>
      <w:tr>
        <w:trPr>
          <w:trHeight w:val="168"/>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The notice of a General Meeting of Shareholders shall specify the items on the agenda and the</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La convocation à l'assemblée générale des actionnaires doit préciser les objets de l'ordre du jour et</w:t>
            </w:r>
          </w:p>
        </w:tc>
      </w:tr>
      <w:tr>
        <w:trPr>
          <w:trHeight w:val="135"/>
        </w:trPr>
        <w:tc>
          <w:tcPr>
            <w:tcW w:w="55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proposals of the Board of Directors and the shareholder(s) who requested that a General Meeting of</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les propositions du conseil d'administration et l'/les actionnaire(s) qui a/ont demandé que l'assemblée</w:t>
            </w:r>
          </w:p>
        </w:tc>
      </w:tr>
      <w:tr>
        <w:trPr>
          <w:trHeight w:val="135"/>
        </w:trPr>
        <w:tc>
          <w:tcPr>
            <w:tcW w:w="55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Shareholders be held or an item be included on the agenda, and, in the event of elections, the</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générale des actionnaires ait lieu ou qu'un objet soit inscrit à l'ordre du jour, et, dans le cas</w:t>
            </w:r>
          </w:p>
        </w:tc>
      </w:tr>
      <w:tr>
        <w:trPr>
          <w:trHeight w:val="145"/>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name(s) of the candidate(s) that has or have been put on the ballot for election.</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d'élections, le/les nom(s) du/des candidat(s) qui a ou ont été mis sur le bulletin de vote pour l'élection.</w:t>
            </w:r>
          </w:p>
        </w:tc>
      </w:tr>
      <w:tr>
        <w:trPr>
          <w:trHeight w:val="36"/>
        </w:trPr>
        <w:tc>
          <w:tcPr>
            <w:tcW w:w="5540" w:type="dxa"/>
            <w:vAlign w:val="bottom"/>
            <w:tcBorders>
              <w:left w:val="single" w:sz="8" w:color="auto"/>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520" w:type="dxa"/>
            <w:vAlign w:val="bottom"/>
            <w:tcBorders>
              <w:bottom w:val="single" w:sz="8" w:color="auto"/>
              <w:right w:val="single" w:sz="8" w:color="auto"/>
            </w:tcBorders>
            <w:gridSpan w:val="2"/>
          </w:tcPr>
          <w:p>
            <w:pPr>
              <w:spacing w:after="0"/>
              <w:rPr>
                <w:sz w:val="3"/>
                <w:szCs w:val="3"/>
                <w:color w:val="auto"/>
              </w:rPr>
            </w:pPr>
          </w:p>
        </w:tc>
      </w:tr>
      <w:tr>
        <w:trPr>
          <w:trHeight w:val="178"/>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The Board of Directors shall state the matters on the agenda.</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Le conseil d'administration doit indiquer les objets de l'ordre du jour.</w:t>
            </w:r>
          </w:p>
        </w:tc>
      </w:tr>
      <w:tr>
        <w:trPr>
          <w:trHeight w:val="36"/>
        </w:trPr>
        <w:tc>
          <w:tcPr>
            <w:tcW w:w="5540" w:type="dxa"/>
            <w:vAlign w:val="bottom"/>
            <w:tcBorders>
              <w:left w:val="single" w:sz="8" w:color="auto"/>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020" w:type="dxa"/>
            <w:vAlign w:val="bottom"/>
            <w:tcBorders>
              <w:bottom w:val="single" w:sz="8" w:color="auto"/>
              <w:right w:val="single" w:sz="8" w:color="auto"/>
            </w:tcBorders>
          </w:tcPr>
          <w:p>
            <w:pPr>
              <w:spacing w:after="0"/>
              <w:rPr>
                <w:sz w:val="3"/>
                <w:szCs w:val="3"/>
                <w:color w:val="auto"/>
              </w:rPr>
            </w:pPr>
          </w:p>
        </w:tc>
      </w:tr>
      <w:tr>
        <w:trPr>
          <w:trHeight w:val="493"/>
        </w:trPr>
        <w:tc>
          <w:tcPr>
            <w:tcW w:w="5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211" w:right="299" w:bottom="1440" w:gutter="0" w:footer="0" w:header="0"/>
        </w:sectPr>
      </w:pPr>
    </w:p>
    <w:bookmarkStart w:id="58" w:name="page59"/>
    <w:bookmarkEnd w:id="5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45"/>
        </w:trPr>
        <w:tc>
          <w:tcPr>
            <w:tcW w:w="5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520" w:type="dxa"/>
            <w:vAlign w:val="bottom"/>
          </w:tcPr>
          <w:p>
            <w:pPr>
              <w:ind w:left="5340"/>
              <w:spacing w:after="0"/>
              <w:rPr>
                <w:sz w:val="20"/>
                <w:szCs w:val="20"/>
                <w:color w:val="auto"/>
              </w:rPr>
            </w:pPr>
            <w:r>
              <w:rPr>
                <w:rFonts w:ascii="Arial" w:cs="Arial" w:eastAsia="Arial" w:hAnsi="Arial"/>
                <w:sz w:val="12"/>
                <w:szCs w:val="12"/>
                <w:color w:val="auto"/>
              </w:rPr>
              <w:t>13</w:t>
            </w:r>
          </w:p>
        </w:tc>
      </w:tr>
      <w:tr>
        <w:trPr>
          <w:trHeight w:val="63"/>
        </w:trPr>
        <w:tc>
          <w:tcPr>
            <w:tcW w:w="55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520" w:type="dxa"/>
            <w:vAlign w:val="bottom"/>
            <w:tcBorders>
              <w:bottom w:val="single" w:sz="8" w:color="auto"/>
            </w:tcBorders>
          </w:tcPr>
          <w:p>
            <w:pPr>
              <w:spacing w:after="0"/>
              <w:rPr>
                <w:sz w:val="5"/>
                <w:szCs w:val="5"/>
                <w:color w:val="auto"/>
              </w:rPr>
            </w:pPr>
          </w:p>
        </w:tc>
      </w:tr>
      <w:tr>
        <w:trPr>
          <w:trHeight w:val="168"/>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Shareholders who represent an aggregate of at least 10 percent of the share capital or together</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Les actionnaires qui représentent un total d'au moins 10 pour cent du capital-actions ou qui</w:t>
            </w:r>
          </w:p>
        </w:tc>
      </w:tr>
      <w:tr>
        <w:trPr>
          <w:trHeight w:val="135"/>
        </w:trPr>
        <w:tc>
          <w:tcPr>
            <w:tcW w:w="55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representing shares with a nominal value of 1 million Swiss francs may demand that an item be placed</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représentent ensemble une valeur nominale de CHF 1 million d'actions peuvent exiger qu'un objet soit</w:t>
            </w:r>
          </w:p>
        </w:tc>
      </w:tr>
      <w:tr>
        <w:trPr>
          <w:trHeight w:val="135"/>
        </w:trPr>
        <w:tc>
          <w:tcPr>
            <w:tcW w:w="55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on the agenda of a General Meeting of Shareholders. A request for inclusion of an item on the agenda</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inscrit à l'ordre du jour d'une assemblée générale des actionnaires. Une demande d'inscription d'un</w:t>
            </w:r>
          </w:p>
        </w:tc>
      </w:tr>
      <w:tr>
        <w:trPr>
          <w:trHeight w:val="135"/>
        </w:trPr>
        <w:tc>
          <w:tcPr>
            <w:tcW w:w="55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must be requested in writing delivered to or mailed and received at the registered office of the</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objet à l'ordre du jour doit être faite par écrit et remise ou envoyée et reçue au siège de la société au</w:t>
            </w:r>
          </w:p>
        </w:tc>
      </w:tr>
      <w:tr>
        <w:trPr>
          <w:trHeight w:val="135"/>
        </w:trPr>
        <w:tc>
          <w:tcPr>
            <w:tcW w:w="55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Company at least 120 calendar days before the first anniversary of the date that the Company's proxy</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moins 120 jours avant le premier anniversaire de la date à laquelle la déclaration (proxy statement) de</w:t>
            </w:r>
          </w:p>
        </w:tc>
      </w:tr>
      <w:tr>
        <w:trPr>
          <w:trHeight w:val="135"/>
        </w:trPr>
        <w:tc>
          <w:tcPr>
            <w:tcW w:w="55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statement was released to shareholders in connection with the previous year's ordinary General</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la  Société  a  été  communiquée  aux  actionnaires  lors  de  l'assemblée  générale  ordinaire  des</w:t>
            </w:r>
          </w:p>
        </w:tc>
      </w:tr>
      <w:tr>
        <w:trPr>
          <w:trHeight w:val="135"/>
        </w:trPr>
        <w:tc>
          <w:tcPr>
            <w:tcW w:w="55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Meeting of Shareholders. However, if no ordinary General Meeting of Shareholders was held in the</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actionnaires  de  l'année  précédente.  Toutefois,  si  aucune  assemblée  générale  ordinaire  des</w:t>
            </w:r>
          </w:p>
        </w:tc>
      </w:tr>
      <w:tr>
        <w:trPr>
          <w:trHeight w:val="135"/>
        </w:trPr>
        <w:tc>
          <w:tcPr>
            <w:tcW w:w="55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previous year or if the date of the ordinary General Meeting of Shareholders has been changed by</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actionnaires n'a eu lieu l'année précédente ou si la date de l'assemblée générale ordinaire des</w:t>
            </w:r>
          </w:p>
        </w:tc>
      </w:tr>
      <w:tr>
        <w:trPr>
          <w:trHeight w:val="135"/>
        </w:trPr>
        <w:tc>
          <w:tcPr>
            <w:tcW w:w="55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more than 30 calendar days from the date contemplated at the time of the previous year's proxy</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actionnaires a été modifiée de plus de 30 jours calendaires à compter de la date prévue au moment</w:t>
            </w:r>
          </w:p>
        </w:tc>
      </w:tr>
      <w:tr>
        <w:trPr>
          <w:trHeight w:val="135"/>
        </w:trPr>
        <w:tc>
          <w:tcPr>
            <w:tcW w:w="55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statement, request for inclusion of an item on the agenda must be requested not fewer than the later</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de la déclaration (proxy statement) de l'année précédente, une demande d'inscription d'un objet à</w:t>
            </w:r>
          </w:p>
        </w:tc>
      </w:tr>
      <w:tr>
        <w:trPr>
          <w:trHeight w:val="135"/>
        </w:trPr>
        <w:tc>
          <w:tcPr>
            <w:tcW w:w="55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of (i) 150 calendar days prior to the date of the contemplated annual General Meeting or (ii) the date</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l'ordre du jour doit être demandée au moins à la date la plus tardive entre (i) 150 jours calendaires</w:t>
            </w:r>
          </w:p>
        </w:tc>
      </w:tr>
      <w:tr>
        <w:trPr>
          <w:trHeight w:val="135"/>
        </w:trPr>
        <w:tc>
          <w:tcPr>
            <w:tcW w:w="55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which is ten calendar days after the date of the first public announcement or other notification to the</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avant la date de l'assemblée générale ordinaire envisagée ou (ii) la date qui est dix jours calendaires</w:t>
            </w:r>
          </w:p>
        </w:tc>
      </w:tr>
      <w:tr>
        <w:trPr>
          <w:trHeight w:val="135"/>
        </w:trPr>
        <w:tc>
          <w:tcPr>
            <w:tcW w:w="55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shareholders  of  the  date  of  the  contemplated  annual  General  Meeting.  To  be  timely  for  an</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plus tard que la date de la première annonce publique ou autre notification aux actionnaires de la date</w:t>
            </w:r>
          </w:p>
        </w:tc>
      </w:tr>
      <w:tr>
        <w:trPr>
          <w:trHeight w:val="135"/>
        </w:trPr>
        <w:tc>
          <w:tcPr>
            <w:tcW w:w="55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extraordinary General Meeting, a shareholder's notice to the Secretary must be delivered to or mailed</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envisagée de l'assemblée générale ordinaire. Pour être dans les délais pour une assemblée générale</w:t>
            </w:r>
          </w:p>
        </w:tc>
      </w:tr>
      <w:tr>
        <w:trPr>
          <w:trHeight w:val="135"/>
        </w:trPr>
        <w:tc>
          <w:tcPr>
            <w:tcW w:w="55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and received at the registered office of the Company not fewer than the later of (i) 120 calendar days</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extraordinaire, l'avis d'un actionnaire au secrétaire doit être livré ou envoyé et reçu au siège de la</w:t>
            </w:r>
          </w:p>
        </w:tc>
      </w:tr>
      <w:tr>
        <w:trPr>
          <w:trHeight w:val="135"/>
        </w:trPr>
        <w:tc>
          <w:tcPr>
            <w:tcW w:w="55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before the date of the extraordinary General Meeting of Shareholders or (ii) the date which is ten</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société au moins à la date la plus tardive entre (i) 120 jours calendaires avant la date de l'assemblée</w:t>
            </w:r>
          </w:p>
        </w:tc>
      </w:tr>
      <w:tr>
        <w:trPr>
          <w:trHeight w:val="135"/>
        </w:trPr>
        <w:tc>
          <w:tcPr>
            <w:tcW w:w="55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calendar days after the date of the first public announcement or other notification to the shareholders</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générale extraordinaire des actionnaires ou (ii) la date qui est dix jours calendaires plus tard que la</w:t>
            </w:r>
          </w:p>
        </w:tc>
      </w:tr>
      <w:tr>
        <w:trPr>
          <w:trHeight w:val="135"/>
        </w:trPr>
        <w:tc>
          <w:tcPr>
            <w:tcW w:w="55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of the date of the contemplated extraordinary General Meeting of Shareholders.</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date de la première annonce publique ou autre notification aux actionnaires de la date envisagée de</w:t>
            </w:r>
          </w:p>
        </w:tc>
      </w:tr>
      <w:tr>
        <w:trPr>
          <w:trHeight w:val="145"/>
        </w:trPr>
        <w:tc>
          <w:tcPr>
            <w:tcW w:w="5540" w:type="dxa"/>
            <w:vAlign w:val="bottom"/>
            <w:tcBorders>
              <w:left w:val="single" w:sz="8" w:color="auto"/>
              <w:right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l'assemblée générale extraordinaire des actionnaires.</w:t>
            </w:r>
          </w:p>
        </w:tc>
      </w:tr>
      <w:tr>
        <w:trPr>
          <w:trHeight w:val="36"/>
        </w:trPr>
        <w:tc>
          <w:tcPr>
            <w:tcW w:w="5540" w:type="dxa"/>
            <w:vAlign w:val="bottom"/>
            <w:tcBorders>
              <w:left w:val="single" w:sz="8" w:color="auto"/>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520" w:type="dxa"/>
            <w:vAlign w:val="bottom"/>
            <w:tcBorders>
              <w:bottom w:val="single" w:sz="8" w:color="auto"/>
              <w:right w:val="single" w:sz="8" w:color="auto"/>
            </w:tcBorders>
          </w:tcPr>
          <w:p>
            <w:pPr>
              <w:spacing w:after="0"/>
              <w:rPr>
                <w:sz w:val="3"/>
                <w:szCs w:val="3"/>
                <w:color w:val="auto"/>
              </w:rPr>
            </w:pPr>
          </w:p>
        </w:tc>
      </w:tr>
      <w:tr>
        <w:trPr>
          <w:trHeight w:val="168"/>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Each request for inclusion of an item on the agenda must include (i) a brief description of the business</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222222"/>
              </w:rPr>
              <w:t>Chaque demande d'inscription d'un objet à l'ordre du jour doit inclure (i) une brève description de</w:t>
            </w:r>
          </w:p>
        </w:tc>
      </w:tr>
      <w:tr>
        <w:trPr>
          <w:trHeight w:val="135"/>
        </w:trPr>
        <w:tc>
          <w:tcPr>
            <w:tcW w:w="55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desired to be brought before the meeting and the reasons for conducting such business at the</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222222"/>
              </w:rPr>
              <w:t>l'affaire qui sera soumise à l'assemblée et les raisons pour lesquelles cette affaire est soumise à</w:t>
            </w:r>
          </w:p>
        </w:tc>
      </w:tr>
      <w:tr>
        <w:trPr>
          <w:trHeight w:val="135"/>
        </w:trPr>
        <w:tc>
          <w:tcPr>
            <w:tcW w:w="55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meeting; (ii) the name and address, as they appear on the Company's register of shareholders, of the</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222222"/>
              </w:rPr>
              <w:t>l'assemblée; (ii) le nom et l'adresse, tels qu'ils apparaissent dans le registre des actionnaires de la</w:t>
            </w:r>
          </w:p>
        </w:tc>
      </w:tr>
      <w:tr>
        <w:trPr>
          <w:trHeight w:val="135"/>
        </w:trPr>
        <w:tc>
          <w:tcPr>
            <w:tcW w:w="55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shareholder proposing such business; (iii) the number of shares of the Company which are beneficially</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222222"/>
              </w:rPr>
              <w:t>société, de l'/des actionnaire(s) proposant un tel objet; (iii) le nombre d'actions de la société</w:t>
            </w:r>
          </w:p>
        </w:tc>
      </w:tr>
      <w:tr>
        <w:trPr>
          <w:trHeight w:val="135"/>
        </w:trPr>
        <w:tc>
          <w:tcPr>
            <w:tcW w:w="55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owned by such shareholder; (iv) the dates upon which the shareholder acquired such shares; (v)</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222222"/>
              </w:rPr>
              <w:t>effectivement détenues par (un) tel(s) actionnaire(s); (iv) les dates auxquelles l'/les actionnaire(s)</w:t>
            </w:r>
          </w:p>
        </w:tc>
      </w:tr>
      <w:tr>
        <w:trPr>
          <w:trHeight w:val="135"/>
        </w:trPr>
        <w:tc>
          <w:tcPr>
            <w:tcW w:w="55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documentary support for any claim of beneficial ownership; (vi) any material interest of such</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222222"/>
              </w:rPr>
              <w:t>a/ont acquis ces actions; (v) l'appui documentaire pour toute revendication de propriété effective; (vi)</w:t>
            </w:r>
          </w:p>
        </w:tc>
      </w:tr>
      <w:tr>
        <w:trPr>
          <w:trHeight w:val="135"/>
        </w:trPr>
        <w:tc>
          <w:tcPr>
            <w:tcW w:w="55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shareholder in such business; and (vii) a statement in support of the matter and, for proposals sought</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222222"/>
              </w:rPr>
              <w:t>un intérêt important de cet/ces actionnaire(s) par rapport à cet objet; et (vii) une déclaration à l'appui</w:t>
            </w:r>
          </w:p>
        </w:tc>
      </w:tr>
      <w:tr>
        <w:trPr>
          <w:trHeight w:val="135"/>
        </w:trPr>
        <w:tc>
          <w:tcPr>
            <w:tcW w:w="55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to be included in the Company's proxy statement, any other information required by Securities and</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222222"/>
              </w:rPr>
              <w:t>de cet objet et, pour les propositions devant être incluses dans la déclaration (proxy statement) de la</w:t>
            </w:r>
          </w:p>
        </w:tc>
      </w:tr>
      <w:tr>
        <w:trPr>
          <w:trHeight w:val="145"/>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Exchange Commission Rule "14a-8".</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222222"/>
              </w:rPr>
              <w:t>société, toute autre information requise par la Securities and Exchange Commission règle "14a-8".</w:t>
            </w:r>
          </w:p>
        </w:tc>
      </w:tr>
      <w:tr>
        <w:trPr>
          <w:trHeight w:val="36"/>
        </w:trPr>
        <w:tc>
          <w:tcPr>
            <w:tcW w:w="5540" w:type="dxa"/>
            <w:vAlign w:val="bottom"/>
            <w:tcBorders>
              <w:left w:val="single" w:sz="8" w:color="auto"/>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520" w:type="dxa"/>
            <w:vAlign w:val="bottom"/>
            <w:tcBorders>
              <w:bottom w:val="single" w:sz="8" w:color="auto"/>
              <w:right w:val="single" w:sz="8" w:color="auto"/>
            </w:tcBorders>
          </w:tcPr>
          <w:p>
            <w:pPr>
              <w:spacing w:after="0"/>
              <w:rPr>
                <w:sz w:val="3"/>
                <w:szCs w:val="3"/>
                <w:color w:val="auto"/>
              </w:rPr>
            </w:pPr>
          </w:p>
        </w:tc>
      </w:tr>
      <w:tr>
        <w:trPr>
          <w:trHeight w:val="493"/>
        </w:trPr>
        <w:tc>
          <w:tcPr>
            <w:tcW w:w="5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211" w:right="299" w:bottom="1440" w:gutter="0" w:footer="0" w:header="0"/>
        </w:sectPr>
      </w:pPr>
    </w:p>
    <w:bookmarkStart w:id="59" w:name="page60"/>
    <w:bookmarkEnd w:id="5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45"/>
        </w:trPr>
        <w:tc>
          <w:tcPr>
            <w:tcW w:w="5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520" w:type="dxa"/>
            <w:vAlign w:val="bottom"/>
          </w:tcPr>
          <w:p>
            <w:pPr>
              <w:ind w:left="5340"/>
              <w:spacing w:after="0"/>
              <w:rPr>
                <w:sz w:val="20"/>
                <w:szCs w:val="20"/>
                <w:color w:val="auto"/>
              </w:rPr>
            </w:pPr>
            <w:r>
              <w:rPr>
                <w:rFonts w:ascii="Arial" w:cs="Arial" w:eastAsia="Arial" w:hAnsi="Arial"/>
                <w:sz w:val="12"/>
                <w:szCs w:val="12"/>
                <w:color w:val="auto"/>
              </w:rPr>
              <w:t>14</w:t>
            </w:r>
          </w:p>
        </w:tc>
      </w:tr>
      <w:tr>
        <w:trPr>
          <w:trHeight w:val="63"/>
        </w:trPr>
        <w:tc>
          <w:tcPr>
            <w:tcW w:w="55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520" w:type="dxa"/>
            <w:vAlign w:val="bottom"/>
            <w:tcBorders>
              <w:bottom w:val="single" w:sz="8" w:color="auto"/>
            </w:tcBorders>
          </w:tcPr>
          <w:p>
            <w:pPr>
              <w:spacing w:after="0"/>
              <w:rPr>
                <w:sz w:val="5"/>
                <w:szCs w:val="5"/>
                <w:color w:val="auto"/>
              </w:rPr>
            </w:pPr>
          </w:p>
        </w:tc>
      </w:tr>
      <w:tr>
        <w:trPr>
          <w:trHeight w:val="168"/>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In addition, if the shareholder intends to solicit proxies from the shareholders of the Company, such</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222222"/>
              </w:rPr>
              <w:t>En outre, si un actionnaire a l'intention de solliciter des procurations des actionnaires de la société, cet</w:t>
            </w:r>
          </w:p>
        </w:tc>
      </w:tr>
      <w:tr>
        <w:trPr>
          <w:trHeight w:val="135"/>
        </w:trPr>
        <w:tc>
          <w:tcPr>
            <w:tcW w:w="55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shareholder shall notify the Company of this intent in accordance with Securities and Exchange</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222222"/>
              </w:rPr>
              <w:t>actionnaire doit en informer la société conformément aux dispositions de la Securities and Exchange</w:t>
            </w:r>
          </w:p>
        </w:tc>
      </w:tr>
      <w:tr>
        <w:trPr>
          <w:trHeight w:val="145"/>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Commission Rule "14a-4" and/or Rule "14a-8".</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222222"/>
              </w:rPr>
              <w:t>Commission règle "14a-4" et "14a-8".</w:t>
            </w:r>
          </w:p>
        </w:tc>
      </w:tr>
      <w:tr>
        <w:trPr>
          <w:trHeight w:val="36"/>
        </w:trPr>
        <w:tc>
          <w:tcPr>
            <w:tcW w:w="5540" w:type="dxa"/>
            <w:vAlign w:val="bottom"/>
            <w:tcBorders>
              <w:left w:val="single" w:sz="8" w:color="auto"/>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520" w:type="dxa"/>
            <w:vAlign w:val="bottom"/>
            <w:tcBorders>
              <w:bottom w:val="single" w:sz="8" w:color="auto"/>
              <w:right w:val="single" w:sz="8" w:color="auto"/>
            </w:tcBorders>
          </w:tcPr>
          <w:p>
            <w:pPr>
              <w:spacing w:after="0"/>
              <w:rPr>
                <w:sz w:val="3"/>
                <w:szCs w:val="3"/>
                <w:color w:val="auto"/>
              </w:rPr>
            </w:pPr>
          </w:p>
        </w:tc>
      </w:tr>
      <w:tr>
        <w:trPr>
          <w:trHeight w:val="168"/>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No resolution may be passed at a General Meeting of Shareholders concerning an item in relation to</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Aucune décision ne peut être adoptée lors d'une assemblée générale des actionnaires si un objet n'a</w:t>
            </w:r>
          </w:p>
        </w:tc>
      </w:tr>
      <w:tr>
        <w:trPr>
          <w:trHeight w:val="135"/>
        </w:trPr>
        <w:tc>
          <w:tcPr>
            <w:tcW w:w="55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which due notice was not given. Proposals made during a General Meeting of Shareholders to (i)</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pas été inscrit à l'ordre du jour dans le délai de préavis. Les propositions faites au cours d'une</w:t>
            </w:r>
          </w:p>
        </w:tc>
      </w:tr>
      <w:tr>
        <w:trPr>
          <w:trHeight w:val="135"/>
        </w:trPr>
        <w:tc>
          <w:tcPr>
            <w:tcW w:w="55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convene a extraordinary General Meeting or (ii) initiate a special investigation in accordance with</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assemblée générale des actionnaires pour (i) convoquer une assemblée générale extraordinaire ou</w:t>
            </w:r>
          </w:p>
        </w:tc>
      </w:tr>
      <w:tr>
        <w:trPr>
          <w:trHeight w:val="135"/>
        </w:trPr>
        <w:tc>
          <w:tcPr>
            <w:tcW w:w="55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article 697a of the Swiss Code of Obligations are not subject to the due notice requirement set forth</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(ii) instituer un contrôle spécial au sens de l'article 697a CO ne sont pas soumises à l'obligation</w:t>
            </w:r>
          </w:p>
        </w:tc>
      </w:tr>
      <w:tr>
        <w:trPr>
          <w:trHeight w:val="145"/>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herein.</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d'inscription prévue dans ces statuts.</w:t>
            </w:r>
          </w:p>
        </w:tc>
      </w:tr>
      <w:tr>
        <w:trPr>
          <w:trHeight w:val="36"/>
        </w:trPr>
        <w:tc>
          <w:tcPr>
            <w:tcW w:w="5540" w:type="dxa"/>
            <w:vAlign w:val="bottom"/>
            <w:tcBorders>
              <w:left w:val="single" w:sz="8" w:color="auto"/>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520" w:type="dxa"/>
            <w:vAlign w:val="bottom"/>
            <w:tcBorders>
              <w:bottom w:val="single" w:sz="8" w:color="auto"/>
              <w:right w:val="single" w:sz="8" w:color="auto"/>
            </w:tcBorders>
          </w:tcPr>
          <w:p>
            <w:pPr>
              <w:spacing w:after="0"/>
              <w:rPr>
                <w:sz w:val="3"/>
                <w:szCs w:val="3"/>
                <w:color w:val="auto"/>
              </w:rPr>
            </w:pPr>
          </w:p>
        </w:tc>
      </w:tr>
      <w:tr>
        <w:trPr>
          <w:trHeight w:val="168"/>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No advance notice is required to propose motions on duly notified agenda items and to debate items</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Aucun préavis n'est nécessaire pour proposer des motions sur les objets inscrits à l'ordre du jour ou</w:t>
            </w:r>
          </w:p>
        </w:tc>
      </w:tr>
      <w:tr>
        <w:trPr>
          <w:trHeight w:val="145"/>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without passing resolutions.</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débattre desdits objets sans prendre de décisions.</w:t>
            </w:r>
          </w:p>
        </w:tc>
      </w:tr>
      <w:tr>
        <w:trPr>
          <w:trHeight w:val="36"/>
        </w:trPr>
        <w:tc>
          <w:tcPr>
            <w:tcW w:w="5540" w:type="dxa"/>
            <w:vAlign w:val="bottom"/>
            <w:tcBorders>
              <w:left w:val="single" w:sz="8" w:color="auto"/>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520" w:type="dxa"/>
            <w:vAlign w:val="bottom"/>
            <w:tcBorders>
              <w:bottom w:val="single" w:sz="8" w:color="auto"/>
              <w:right w:val="single" w:sz="8" w:color="auto"/>
            </w:tcBorders>
          </w:tcPr>
          <w:p>
            <w:pPr>
              <w:spacing w:after="0"/>
              <w:rPr>
                <w:sz w:val="3"/>
                <w:szCs w:val="3"/>
                <w:color w:val="auto"/>
              </w:rPr>
            </w:pPr>
          </w:p>
        </w:tc>
      </w:tr>
      <w:tr>
        <w:trPr>
          <w:trHeight w:val="178"/>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b w:val="1"/>
                <w:bCs w:val="1"/>
                <w:color w:val="auto"/>
              </w:rPr>
              <w:t>Art. 12   Documentation</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tcPr>
          <w:p>
            <w:pPr>
              <w:ind w:left="40"/>
              <w:spacing w:after="0"/>
              <w:rPr>
                <w:sz w:val="20"/>
                <w:szCs w:val="20"/>
                <w:color w:val="auto"/>
              </w:rPr>
            </w:pPr>
            <w:r>
              <w:rPr>
                <w:rFonts w:ascii="Arial" w:cs="Arial" w:eastAsia="Arial" w:hAnsi="Arial"/>
                <w:sz w:val="12"/>
                <w:szCs w:val="12"/>
                <w:b w:val="1"/>
                <w:bCs w:val="1"/>
                <w:color w:val="auto"/>
              </w:rPr>
              <w:t>Art. 12   Documents</w:t>
            </w:r>
          </w:p>
        </w:tc>
      </w:tr>
      <w:tr>
        <w:trPr>
          <w:trHeight w:val="260"/>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The annual business report, the compensation report and the Auditor's report must be submitted for</w:t>
            </w:r>
          </w:p>
        </w:tc>
        <w:tc>
          <w:tcPr>
            <w:tcW w:w="240" w:type="dxa"/>
            <w:vAlign w:val="bottom"/>
            <w:tcBorders>
              <w:right w:val="single" w:sz="8" w:color="auto"/>
            </w:tcBorders>
          </w:tcPr>
          <w:p>
            <w:pPr>
              <w:spacing w:after="0"/>
              <w:rPr>
                <w:sz w:val="22"/>
                <w:szCs w:val="22"/>
                <w:color w:val="auto"/>
              </w:rPr>
            </w:pPr>
          </w:p>
        </w:tc>
        <w:tc>
          <w:tcPr>
            <w:tcW w:w="55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Le rapport de gestion annuel, le rapport de rémunération et le rapport du réviseur doivent être</w:t>
            </w:r>
          </w:p>
        </w:tc>
      </w:tr>
      <w:tr>
        <w:trPr>
          <w:trHeight w:val="135"/>
        </w:trPr>
        <w:tc>
          <w:tcPr>
            <w:tcW w:w="55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examination by the shareholders at the registered office of the Company at least 20 days prior to the</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présentés aux actionnaires pour examen au siège de la société au moins 20 jours avant la date de</w:t>
            </w:r>
          </w:p>
        </w:tc>
      </w:tr>
      <w:tr>
        <w:trPr>
          <w:trHeight w:val="135"/>
        </w:trPr>
        <w:tc>
          <w:tcPr>
            <w:tcW w:w="55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date  of  the  Ordinary  General  Meeting.  Each  shareholder  may  request  that  a  copy  of  this</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l'assemblée générale ordinaire. Chaque actionnaire peut demander une copie de ces documents qui</w:t>
            </w:r>
          </w:p>
        </w:tc>
      </w:tr>
      <w:tr>
        <w:trPr>
          <w:trHeight w:val="135"/>
        </w:trPr>
        <w:tc>
          <w:tcPr>
            <w:tcW w:w="55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documentation be sent to him promptly by e-mail. Such right shall be included in the invitation to the</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doivent lui être envoyés promptement par e-mail. Ce droit doit être mentionné dans l'invitation à</w:t>
            </w:r>
          </w:p>
        </w:tc>
      </w:tr>
      <w:tr>
        <w:trPr>
          <w:trHeight w:val="145"/>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General Meeting.</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l'assemblée générale.</w:t>
            </w:r>
          </w:p>
        </w:tc>
      </w:tr>
      <w:tr>
        <w:trPr>
          <w:trHeight w:val="36"/>
        </w:trPr>
        <w:tc>
          <w:tcPr>
            <w:tcW w:w="5540" w:type="dxa"/>
            <w:vAlign w:val="bottom"/>
            <w:tcBorders>
              <w:left w:val="single" w:sz="8" w:color="auto"/>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520" w:type="dxa"/>
            <w:vAlign w:val="bottom"/>
            <w:tcBorders>
              <w:bottom w:val="single" w:sz="8" w:color="auto"/>
              <w:right w:val="single" w:sz="8" w:color="auto"/>
            </w:tcBorders>
          </w:tcPr>
          <w:p>
            <w:pPr>
              <w:spacing w:after="0"/>
              <w:rPr>
                <w:sz w:val="3"/>
                <w:szCs w:val="3"/>
                <w:color w:val="auto"/>
              </w:rPr>
            </w:pPr>
          </w:p>
        </w:tc>
      </w:tr>
      <w:tr>
        <w:trPr>
          <w:trHeight w:val="493"/>
        </w:trPr>
        <w:tc>
          <w:tcPr>
            <w:tcW w:w="5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211" w:right="299" w:bottom="1440" w:gutter="0" w:footer="0" w:header="0"/>
        </w:sectPr>
      </w:pPr>
    </w:p>
    <w:bookmarkStart w:id="60" w:name="page61"/>
    <w:bookmarkEnd w:id="6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45"/>
        </w:trPr>
        <w:tc>
          <w:tcPr>
            <w:tcW w:w="5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80" w:type="dxa"/>
            <w:vAlign w:val="bottom"/>
          </w:tcPr>
          <w:p>
            <w:pPr>
              <w:ind w:left="4700"/>
              <w:spacing w:after="0"/>
              <w:rPr>
                <w:sz w:val="20"/>
                <w:szCs w:val="20"/>
                <w:color w:val="auto"/>
              </w:rPr>
            </w:pPr>
            <w:r>
              <w:rPr>
                <w:rFonts w:ascii="Arial" w:cs="Arial" w:eastAsia="Arial" w:hAnsi="Arial"/>
                <w:sz w:val="12"/>
                <w:szCs w:val="12"/>
                <w:color w:val="auto"/>
              </w:rPr>
              <w:t>15</w:t>
            </w:r>
          </w:p>
        </w:tc>
      </w:tr>
      <w:tr>
        <w:trPr>
          <w:trHeight w:val="63"/>
        </w:trPr>
        <w:tc>
          <w:tcPr>
            <w:tcW w:w="520" w:type="dxa"/>
            <w:vAlign w:val="bottom"/>
            <w:tcBorders>
              <w:bottom w:val="single" w:sz="8" w:color="auto"/>
            </w:tcBorders>
          </w:tcPr>
          <w:p>
            <w:pPr>
              <w:spacing w:after="0"/>
              <w:rPr>
                <w:sz w:val="5"/>
                <w:szCs w:val="5"/>
                <w:color w:val="auto"/>
              </w:rPr>
            </w:pPr>
          </w:p>
        </w:tc>
        <w:tc>
          <w:tcPr>
            <w:tcW w:w="51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4880" w:type="dxa"/>
            <w:vAlign w:val="bottom"/>
            <w:tcBorders>
              <w:bottom w:val="single" w:sz="8" w:color="auto"/>
            </w:tcBorders>
          </w:tcPr>
          <w:p>
            <w:pPr>
              <w:spacing w:after="0"/>
              <w:rPr>
                <w:sz w:val="5"/>
                <w:szCs w:val="5"/>
                <w:color w:val="auto"/>
              </w:rPr>
            </w:pPr>
          </w:p>
        </w:tc>
      </w:tr>
      <w:tr>
        <w:trPr>
          <w:trHeight w:val="178"/>
        </w:trPr>
        <w:tc>
          <w:tcPr>
            <w:tcW w:w="520" w:type="dxa"/>
            <w:vAlign w:val="bottom"/>
            <w:tcBorders>
              <w:left w:val="single" w:sz="8" w:color="auto"/>
            </w:tcBorders>
          </w:tcPr>
          <w:p>
            <w:pPr>
              <w:ind w:left="40"/>
              <w:spacing w:after="0"/>
              <w:rPr>
                <w:sz w:val="20"/>
                <w:szCs w:val="20"/>
                <w:color w:val="auto"/>
              </w:rPr>
            </w:pPr>
            <w:r>
              <w:rPr>
                <w:rFonts w:ascii="Arial" w:cs="Arial" w:eastAsia="Arial" w:hAnsi="Arial"/>
                <w:sz w:val="12"/>
                <w:szCs w:val="12"/>
                <w:b w:val="1"/>
                <w:bCs w:val="1"/>
                <w:color w:val="auto"/>
              </w:rPr>
              <w:t>Art. 13</w:t>
            </w:r>
          </w:p>
        </w:tc>
        <w:tc>
          <w:tcPr>
            <w:tcW w:w="5140" w:type="dxa"/>
            <w:vAlign w:val="bottom"/>
            <w:tcBorders>
              <w:right w:val="single" w:sz="8" w:color="auto"/>
            </w:tcBorders>
          </w:tcPr>
          <w:p>
            <w:pPr>
              <w:ind w:left="100"/>
              <w:spacing w:after="0"/>
              <w:rPr>
                <w:sz w:val="20"/>
                <w:szCs w:val="20"/>
                <w:color w:val="auto"/>
              </w:rPr>
            </w:pPr>
            <w:r>
              <w:rPr>
                <w:rFonts w:ascii="Arial" w:cs="Arial" w:eastAsia="Arial" w:hAnsi="Arial"/>
                <w:sz w:val="12"/>
                <w:szCs w:val="12"/>
                <w:b w:val="1"/>
                <w:bCs w:val="1"/>
                <w:color w:val="auto"/>
              </w:rPr>
              <w:t>Meeting of All Shareholders</w:t>
            </w:r>
          </w:p>
        </w:tc>
        <w:tc>
          <w:tcPr>
            <w:tcW w:w="220" w:type="dxa"/>
            <w:vAlign w:val="bottom"/>
            <w:tcBorders>
              <w:right w:val="single" w:sz="8" w:color="auto"/>
            </w:tcBorders>
          </w:tcPr>
          <w:p>
            <w:pPr>
              <w:spacing w:after="0"/>
              <w:rPr>
                <w:sz w:val="15"/>
                <w:szCs w:val="15"/>
                <w:color w:val="auto"/>
              </w:rPr>
            </w:pP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Art. 13</w:t>
            </w:r>
          </w:p>
        </w:tc>
        <w:tc>
          <w:tcPr>
            <w:tcW w:w="4880" w:type="dxa"/>
            <w:vAlign w:val="bottom"/>
            <w:tcBorders>
              <w:right w:val="single" w:sz="8" w:color="auto"/>
            </w:tcBorders>
          </w:tcPr>
          <w:p>
            <w:pPr>
              <w:ind w:left="100"/>
              <w:spacing w:after="0"/>
              <w:rPr>
                <w:sz w:val="20"/>
                <w:szCs w:val="20"/>
                <w:color w:val="auto"/>
              </w:rPr>
            </w:pPr>
            <w:r>
              <w:rPr>
                <w:rFonts w:ascii="Arial" w:cs="Arial" w:eastAsia="Arial" w:hAnsi="Arial"/>
                <w:sz w:val="12"/>
                <w:szCs w:val="12"/>
                <w:b w:val="1"/>
                <w:bCs w:val="1"/>
                <w:color w:val="auto"/>
              </w:rPr>
              <w:t>Assemblée universelle</w:t>
            </w:r>
          </w:p>
        </w:tc>
      </w:tr>
      <w:tr>
        <w:trPr>
          <w:trHeight w:val="260"/>
        </w:trPr>
        <w:tc>
          <w:tcPr>
            <w:tcW w:w="566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Shareholders or their proxies representing all shares issued may hold a General Meeting without</w:t>
            </w:r>
          </w:p>
        </w:tc>
        <w:tc>
          <w:tcPr>
            <w:tcW w:w="220" w:type="dxa"/>
            <w:vAlign w:val="bottom"/>
            <w:tcBorders>
              <w:right w:val="single" w:sz="8" w:color="auto"/>
            </w:tcBorders>
          </w:tcPr>
          <w:p>
            <w:pPr>
              <w:spacing w:after="0"/>
              <w:rPr>
                <w:sz w:val="22"/>
                <w:szCs w:val="22"/>
                <w:color w:val="auto"/>
              </w:rPr>
            </w:pPr>
          </w:p>
        </w:tc>
        <w:tc>
          <w:tcPr>
            <w:tcW w:w="54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Les propriétaires ou les représentants de la totalité des actions peuvent, s'il n'y a pas d'opposition,</w:t>
            </w:r>
          </w:p>
        </w:tc>
      </w:tr>
      <w:tr>
        <w:trPr>
          <w:trHeight w:val="135"/>
        </w:trPr>
        <w:tc>
          <w:tcPr>
            <w:tcW w:w="566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observing the formalities required for calling a meeting, unless objection is raised. At such a meeting,</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tenir une assemblée générale sans observer les formes prévues pour sa convocation. Aussi</w:t>
            </w:r>
          </w:p>
        </w:tc>
      </w:tr>
      <w:tr>
        <w:trPr>
          <w:trHeight w:val="135"/>
        </w:trPr>
        <w:tc>
          <w:tcPr>
            <w:tcW w:w="566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discussions may be held and resolutions passed on all matters within the scope of the powers of a</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longtemps que les propriétaires ou les représentants de la totalité des actions sont présents, cette</w:t>
            </w:r>
          </w:p>
        </w:tc>
      </w:tr>
      <w:tr>
        <w:trPr>
          <w:trHeight w:val="135"/>
        </w:trPr>
        <w:tc>
          <w:tcPr>
            <w:tcW w:w="566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General Meeting for so long as the shareholders or proxies representing all shares issued are present.</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assemblée a le droit de délibérer et de statuer valablement sur tous les objets qui sont du ressort de</w:t>
            </w:r>
          </w:p>
        </w:tc>
      </w:tr>
      <w:tr>
        <w:trPr>
          <w:trHeight w:val="145"/>
        </w:trPr>
        <w:tc>
          <w:tcPr>
            <w:tcW w:w="520" w:type="dxa"/>
            <w:vAlign w:val="bottom"/>
            <w:tcBorders>
              <w:left w:val="single" w:sz="8" w:color="auto"/>
            </w:tcBorders>
          </w:tcPr>
          <w:p>
            <w:pPr>
              <w:spacing w:after="0"/>
              <w:rPr>
                <w:sz w:val="12"/>
                <w:szCs w:val="12"/>
                <w:color w:val="auto"/>
              </w:rPr>
            </w:pPr>
          </w:p>
        </w:tc>
        <w:tc>
          <w:tcPr>
            <w:tcW w:w="514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4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l'assemblée générale.</w:t>
            </w:r>
          </w:p>
        </w:tc>
      </w:tr>
      <w:tr>
        <w:trPr>
          <w:trHeight w:val="36"/>
        </w:trPr>
        <w:tc>
          <w:tcPr>
            <w:tcW w:w="520" w:type="dxa"/>
            <w:vAlign w:val="bottom"/>
            <w:tcBorders>
              <w:left w:val="single" w:sz="8" w:color="auto"/>
              <w:bottom w:val="single" w:sz="8" w:color="auto"/>
            </w:tcBorders>
          </w:tcPr>
          <w:p>
            <w:pPr>
              <w:spacing w:after="0"/>
              <w:rPr>
                <w:sz w:val="3"/>
                <w:szCs w:val="3"/>
                <w:color w:val="auto"/>
              </w:rPr>
            </w:pPr>
          </w:p>
        </w:tc>
        <w:tc>
          <w:tcPr>
            <w:tcW w:w="514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880" w:type="dxa"/>
            <w:vAlign w:val="bottom"/>
            <w:tcBorders>
              <w:bottom w:val="single" w:sz="8" w:color="auto"/>
              <w:right w:val="single" w:sz="8" w:color="auto"/>
            </w:tcBorders>
          </w:tcPr>
          <w:p>
            <w:pPr>
              <w:spacing w:after="0"/>
              <w:rPr>
                <w:sz w:val="3"/>
                <w:szCs w:val="3"/>
                <w:color w:val="auto"/>
              </w:rPr>
            </w:pPr>
          </w:p>
        </w:tc>
      </w:tr>
      <w:tr>
        <w:trPr>
          <w:trHeight w:val="178"/>
        </w:trPr>
        <w:tc>
          <w:tcPr>
            <w:tcW w:w="520" w:type="dxa"/>
            <w:vAlign w:val="bottom"/>
            <w:tcBorders>
              <w:left w:val="single" w:sz="8" w:color="auto"/>
            </w:tcBorders>
          </w:tcPr>
          <w:p>
            <w:pPr>
              <w:ind w:left="40"/>
              <w:spacing w:after="0"/>
              <w:rPr>
                <w:sz w:val="20"/>
                <w:szCs w:val="20"/>
                <w:color w:val="auto"/>
              </w:rPr>
            </w:pPr>
            <w:r>
              <w:rPr>
                <w:rFonts w:ascii="Arial" w:cs="Arial" w:eastAsia="Arial" w:hAnsi="Arial"/>
                <w:sz w:val="12"/>
                <w:szCs w:val="12"/>
                <w:b w:val="1"/>
                <w:bCs w:val="1"/>
                <w:color w:val="auto"/>
              </w:rPr>
              <w:t>Art. 14</w:t>
            </w:r>
          </w:p>
        </w:tc>
        <w:tc>
          <w:tcPr>
            <w:tcW w:w="5140" w:type="dxa"/>
            <w:vAlign w:val="bottom"/>
            <w:tcBorders>
              <w:right w:val="single" w:sz="8" w:color="auto"/>
            </w:tcBorders>
          </w:tcPr>
          <w:p>
            <w:pPr>
              <w:ind w:left="100"/>
              <w:spacing w:after="0"/>
              <w:rPr>
                <w:sz w:val="20"/>
                <w:szCs w:val="20"/>
                <w:color w:val="auto"/>
              </w:rPr>
            </w:pPr>
            <w:r>
              <w:rPr>
                <w:rFonts w:ascii="Arial" w:cs="Arial" w:eastAsia="Arial" w:hAnsi="Arial"/>
                <w:sz w:val="12"/>
                <w:szCs w:val="12"/>
                <w:b w:val="1"/>
                <w:bCs w:val="1"/>
                <w:color w:val="auto"/>
              </w:rPr>
              <w:t>Chairman and Scrutineers</w:t>
            </w:r>
          </w:p>
        </w:tc>
        <w:tc>
          <w:tcPr>
            <w:tcW w:w="220" w:type="dxa"/>
            <w:vAlign w:val="bottom"/>
            <w:tcBorders>
              <w:right w:val="single" w:sz="8" w:color="auto"/>
            </w:tcBorders>
          </w:tcPr>
          <w:p>
            <w:pPr>
              <w:spacing w:after="0"/>
              <w:rPr>
                <w:sz w:val="15"/>
                <w:szCs w:val="15"/>
                <w:color w:val="auto"/>
              </w:rPr>
            </w:pP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Art. 14</w:t>
            </w:r>
          </w:p>
        </w:tc>
        <w:tc>
          <w:tcPr>
            <w:tcW w:w="4880" w:type="dxa"/>
            <w:vAlign w:val="bottom"/>
            <w:tcBorders>
              <w:right w:val="single" w:sz="8" w:color="auto"/>
            </w:tcBorders>
          </w:tcPr>
          <w:p>
            <w:pPr>
              <w:ind w:left="100"/>
              <w:spacing w:after="0"/>
              <w:rPr>
                <w:sz w:val="20"/>
                <w:szCs w:val="20"/>
                <w:color w:val="auto"/>
              </w:rPr>
            </w:pPr>
            <w:r>
              <w:rPr>
                <w:rFonts w:ascii="Arial" w:cs="Arial" w:eastAsia="Arial" w:hAnsi="Arial"/>
                <w:sz w:val="12"/>
                <w:szCs w:val="12"/>
                <w:b w:val="1"/>
                <w:bCs w:val="1"/>
                <w:color w:val="auto"/>
              </w:rPr>
              <w:t>Président et scrutateurs</w:t>
            </w:r>
          </w:p>
        </w:tc>
      </w:tr>
      <w:tr>
        <w:trPr>
          <w:trHeight w:val="260"/>
        </w:trPr>
        <w:tc>
          <w:tcPr>
            <w:tcW w:w="566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The Chairman of the Board of Directors shall preside over the General Meeting. In his absence, a</w:t>
            </w:r>
          </w:p>
        </w:tc>
        <w:tc>
          <w:tcPr>
            <w:tcW w:w="220" w:type="dxa"/>
            <w:vAlign w:val="bottom"/>
            <w:tcBorders>
              <w:right w:val="single" w:sz="8" w:color="auto"/>
            </w:tcBorders>
          </w:tcPr>
          <w:p>
            <w:pPr>
              <w:spacing w:after="0"/>
              <w:rPr>
                <w:sz w:val="22"/>
                <w:szCs w:val="22"/>
                <w:color w:val="auto"/>
              </w:rPr>
            </w:pPr>
          </w:p>
        </w:tc>
        <w:tc>
          <w:tcPr>
            <w:tcW w:w="54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L'assemblée  générale  est  présidée  par  le  président  du  conseil  d'administration.  En  cas</w:t>
            </w:r>
          </w:p>
        </w:tc>
      </w:tr>
      <w:tr>
        <w:trPr>
          <w:trHeight w:val="135"/>
        </w:trPr>
        <w:tc>
          <w:tcPr>
            <w:tcW w:w="566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member of the Board of Directors or another Chairman of the Meeting designated by the General</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d'empêchement, un autre membre du conseil d'administration ou un président ad hoc nommé par</w:t>
            </w:r>
          </w:p>
        </w:tc>
      </w:tr>
      <w:tr>
        <w:trPr>
          <w:trHeight w:val="145"/>
        </w:trPr>
        <w:tc>
          <w:tcPr>
            <w:tcW w:w="566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Meeting shall preside.</w:t>
            </w:r>
          </w:p>
        </w:tc>
        <w:tc>
          <w:tcPr>
            <w:tcW w:w="220" w:type="dxa"/>
            <w:vAlign w:val="bottom"/>
            <w:tcBorders>
              <w:right w:val="single" w:sz="8" w:color="auto"/>
            </w:tcBorders>
          </w:tcPr>
          <w:p>
            <w:pPr>
              <w:spacing w:after="0"/>
              <w:rPr>
                <w:sz w:val="12"/>
                <w:szCs w:val="12"/>
                <w:color w:val="auto"/>
              </w:rPr>
            </w:pPr>
          </w:p>
        </w:tc>
        <w:tc>
          <w:tcPr>
            <w:tcW w:w="54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l'assemblée générale préside celle-ci.</w:t>
            </w:r>
          </w:p>
        </w:tc>
      </w:tr>
      <w:tr>
        <w:trPr>
          <w:trHeight w:val="171"/>
        </w:trPr>
        <w:tc>
          <w:tcPr>
            <w:tcW w:w="5660" w:type="dxa"/>
            <w:vAlign w:val="bottom"/>
            <w:tcBorders>
              <w:left w:val="single" w:sz="8" w:color="auto"/>
              <w:bottom w:val="single" w:sz="8" w:color="auto"/>
              <w:right w:val="single" w:sz="8" w:color="auto"/>
            </w:tcBorders>
            <w:gridSpan w:val="2"/>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5420" w:type="dxa"/>
            <w:vAlign w:val="bottom"/>
            <w:tcBorders>
              <w:bottom w:val="single" w:sz="8" w:color="auto"/>
              <w:right w:val="single" w:sz="8" w:color="auto"/>
            </w:tcBorders>
            <w:gridSpan w:val="2"/>
          </w:tcPr>
          <w:p>
            <w:pPr>
              <w:spacing w:after="0"/>
              <w:rPr>
                <w:sz w:val="14"/>
                <w:szCs w:val="14"/>
                <w:color w:val="auto"/>
              </w:rPr>
            </w:pPr>
          </w:p>
        </w:tc>
      </w:tr>
      <w:tr>
        <w:trPr>
          <w:trHeight w:val="168"/>
        </w:trPr>
        <w:tc>
          <w:tcPr>
            <w:tcW w:w="566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The Chairman of the Meeting shall designate a Secretary and the scrutineers who need not be</w:t>
            </w:r>
          </w:p>
        </w:tc>
        <w:tc>
          <w:tcPr>
            <w:tcW w:w="220" w:type="dxa"/>
            <w:vAlign w:val="bottom"/>
            <w:tcBorders>
              <w:right w:val="single" w:sz="8" w:color="auto"/>
            </w:tcBorders>
          </w:tcPr>
          <w:p>
            <w:pPr>
              <w:spacing w:after="0"/>
              <w:rPr>
                <w:sz w:val="14"/>
                <w:szCs w:val="14"/>
                <w:color w:val="auto"/>
              </w:rPr>
            </w:pPr>
          </w:p>
        </w:tc>
        <w:tc>
          <w:tcPr>
            <w:tcW w:w="54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Le président de l'assemblée générale désigne un secrétaire et les scrutateurs qui ne doivent pas</w:t>
            </w:r>
          </w:p>
        </w:tc>
      </w:tr>
      <w:tr>
        <w:trPr>
          <w:trHeight w:val="145"/>
        </w:trPr>
        <w:tc>
          <w:tcPr>
            <w:tcW w:w="566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shareholders.</w:t>
            </w:r>
          </w:p>
        </w:tc>
        <w:tc>
          <w:tcPr>
            <w:tcW w:w="220" w:type="dxa"/>
            <w:vAlign w:val="bottom"/>
            <w:tcBorders>
              <w:right w:val="single" w:sz="8" w:color="auto"/>
            </w:tcBorders>
          </w:tcPr>
          <w:p>
            <w:pPr>
              <w:spacing w:after="0"/>
              <w:rPr>
                <w:sz w:val="12"/>
                <w:szCs w:val="12"/>
                <w:color w:val="auto"/>
              </w:rPr>
            </w:pPr>
          </w:p>
        </w:tc>
        <w:tc>
          <w:tcPr>
            <w:tcW w:w="54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nécessairement être actionnaires.</w:t>
            </w:r>
          </w:p>
        </w:tc>
      </w:tr>
      <w:tr>
        <w:trPr>
          <w:trHeight w:val="36"/>
        </w:trPr>
        <w:tc>
          <w:tcPr>
            <w:tcW w:w="520" w:type="dxa"/>
            <w:vAlign w:val="bottom"/>
            <w:tcBorders>
              <w:left w:val="single" w:sz="8" w:color="auto"/>
              <w:bottom w:val="single" w:sz="8" w:color="auto"/>
            </w:tcBorders>
          </w:tcPr>
          <w:p>
            <w:pPr>
              <w:spacing w:after="0"/>
              <w:rPr>
                <w:sz w:val="3"/>
                <w:szCs w:val="3"/>
                <w:color w:val="auto"/>
              </w:rPr>
            </w:pPr>
          </w:p>
        </w:tc>
        <w:tc>
          <w:tcPr>
            <w:tcW w:w="514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880" w:type="dxa"/>
            <w:vAlign w:val="bottom"/>
            <w:tcBorders>
              <w:bottom w:val="single" w:sz="8" w:color="auto"/>
              <w:right w:val="single" w:sz="8" w:color="auto"/>
            </w:tcBorders>
          </w:tcPr>
          <w:p>
            <w:pPr>
              <w:spacing w:after="0"/>
              <w:rPr>
                <w:sz w:val="3"/>
                <w:szCs w:val="3"/>
                <w:color w:val="auto"/>
              </w:rPr>
            </w:pPr>
          </w:p>
        </w:tc>
      </w:tr>
      <w:tr>
        <w:trPr>
          <w:trHeight w:val="178"/>
        </w:trPr>
        <w:tc>
          <w:tcPr>
            <w:tcW w:w="520" w:type="dxa"/>
            <w:vAlign w:val="bottom"/>
            <w:tcBorders>
              <w:left w:val="single" w:sz="8" w:color="auto"/>
            </w:tcBorders>
          </w:tcPr>
          <w:p>
            <w:pPr>
              <w:ind w:left="40"/>
              <w:spacing w:after="0"/>
              <w:rPr>
                <w:sz w:val="20"/>
                <w:szCs w:val="20"/>
                <w:color w:val="auto"/>
              </w:rPr>
            </w:pPr>
            <w:r>
              <w:rPr>
                <w:rFonts w:ascii="Arial" w:cs="Arial" w:eastAsia="Arial" w:hAnsi="Arial"/>
                <w:sz w:val="12"/>
                <w:szCs w:val="12"/>
                <w:b w:val="1"/>
                <w:bCs w:val="1"/>
                <w:color w:val="auto"/>
              </w:rPr>
              <w:t>Art. 15</w:t>
            </w:r>
          </w:p>
        </w:tc>
        <w:tc>
          <w:tcPr>
            <w:tcW w:w="5140" w:type="dxa"/>
            <w:vAlign w:val="bottom"/>
            <w:tcBorders>
              <w:right w:val="single" w:sz="8" w:color="auto"/>
            </w:tcBorders>
          </w:tcPr>
          <w:p>
            <w:pPr>
              <w:ind w:left="100"/>
              <w:spacing w:after="0"/>
              <w:rPr>
                <w:sz w:val="20"/>
                <w:szCs w:val="20"/>
                <w:color w:val="auto"/>
              </w:rPr>
            </w:pPr>
            <w:r>
              <w:rPr>
                <w:rFonts w:ascii="Arial" w:cs="Arial" w:eastAsia="Arial" w:hAnsi="Arial"/>
                <w:sz w:val="12"/>
                <w:szCs w:val="12"/>
                <w:b w:val="1"/>
                <w:bCs w:val="1"/>
                <w:color w:val="auto"/>
              </w:rPr>
              <w:t>Minutes</w:t>
            </w:r>
          </w:p>
        </w:tc>
        <w:tc>
          <w:tcPr>
            <w:tcW w:w="220" w:type="dxa"/>
            <w:vAlign w:val="bottom"/>
            <w:tcBorders>
              <w:right w:val="single" w:sz="8" w:color="auto"/>
            </w:tcBorders>
          </w:tcPr>
          <w:p>
            <w:pPr>
              <w:spacing w:after="0"/>
              <w:rPr>
                <w:sz w:val="15"/>
                <w:szCs w:val="15"/>
                <w:color w:val="auto"/>
              </w:rPr>
            </w:pP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Art. 15</w:t>
            </w:r>
          </w:p>
        </w:tc>
        <w:tc>
          <w:tcPr>
            <w:tcW w:w="4880" w:type="dxa"/>
            <w:vAlign w:val="bottom"/>
            <w:tcBorders>
              <w:right w:val="single" w:sz="8" w:color="auto"/>
            </w:tcBorders>
          </w:tcPr>
          <w:p>
            <w:pPr>
              <w:ind w:left="100"/>
              <w:spacing w:after="0"/>
              <w:rPr>
                <w:sz w:val="20"/>
                <w:szCs w:val="20"/>
                <w:color w:val="auto"/>
              </w:rPr>
            </w:pPr>
            <w:r>
              <w:rPr>
                <w:rFonts w:ascii="Arial" w:cs="Arial" w:eastAsia="Arial" w:hAnsi="Arial"/>
                <w:sz w:val="12"/>
                <w:szCs w:val="12"/>
                <w:b w:val="1"/>
                <w:bCs w:val="1"/>
                <w:color w:val="auto"/>
              </w:rPr>
              <w:t>Procès-verbal</w:t>
            </w:r>
          </w:p>
        </w:tc>
      </w:tr>
      <w:tr>
        <w:trPr>
          <w:trHeight w:val="260"/>
        </w:trPr>
        <w:tc>
          <w:tcPr>
            <w:tcW w:w="566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The Board of Directors is responsible for the keeping of the minutes of the Meeting, which shall state the</w:t>
            </w:r>
          </w:p>
        </w:tc>
        <w:tc>
          <w:tcPr>
            <w:tcW w:w="220" w:type="dxa"/>
            <w:vAlign w:val="bottom"/>
            <w:tcBorders>
              <w:right w:val="single" w:sz="8" w:color="auto"/>
            </w:tcBorders>
          </w:tcPr>
          <w:p>
            <w:pPr>
              <w:spacing w:after="0"/>
              <w:rPr>
                <w:sz w:val="22"/>
                <w:szCs w:val="22"/>
                <w:color w:val="auto"/>
              </w:rPr>
            </w:pPr>
          </w:p>
        </w:tc>
        <w:tc>
          <w:tcPr>
            <w:tcW w:w="54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Le conseil d'administration est responsable de la tenue du procès-verbal de l'assemblée, qui doit</w:t>
            </w:r>
          </w:p>
        </w:tc>
      </w:tr>
      <w:tr>
        <w:trPr>
          <w:trHeight w:val="135"/>
        </w:trPr>
        <w:tc>
          <w:tcPr>
            <w:tcW w:w="566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number, kind, nominal value of shares represented by the shareholders, by the corporate bodies and by</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indiquer le nombre, le type, la valeur nominale des actions représentées par les actionnaires, par</w:t>
            </w:r>
          </w:p>
        </w:tc>
      </w:tr>
      <w:tr>
        <w:trPr>
          <w:trHeight w:val="135"/>
        </w:trPr>
        <w:tc>
          <w:tcPr>
            <w:tcW w:w="566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the independent proxy and gives information on resolutions passed, elections, requests for information</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les organes sociaux et par le représentant indépendant et donne des informations sur les décisions</w:t>
            </w:r>
          </w:p>
        </w:tc>
      </w:tr>
      <w:tr>
        <w:trPr>
          <w:trHeight w:val="135"/>
        </w:trPr>
        <w:tc>
          <w:tcPr>
            <w:tcW w:w="566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and information as well as declarations given by the shareholders. The minutes shall be signed by the</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adoptées, les élections, les demandes de renseignements et les informations ainsi que les</w:t>
            </w:r>
          </w:p>
        </w:tc>
      </w:tr>
      <w:tr>
        <w:trPr>
          <w:trHeight w:val="145"/>
        </w:trPr>
        <w:tc>
          <w:tcPr>
            <w:tcW w:w="566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Chairman and the Secretary.</w:t>
            </w:r>
          </w:p>
        </w:tc>
        <w:tc>
          <w:tcPr>
            <w:tcW w:w="220" w:type="dxa"/>
            <w:vAlign w:val="bottom"/>
            <w:tcBorders>
              <w:right w:val="single" w:sz="8" w:color="auto"/>
            </w:tcBorders>
          </w:tcPr>
          <w:p>
            <w:pPr>
              <w:spacing w:after="0"/>
              <w:rPr>
                <w:sz w:val="12"/>
                <w:szCs w:val="12"/>
                <w:color w:val="auto"/>
              </w:rPr>
            </w:pPr>
          </w:p>
        </w:tc>
        <w:tc>
          <w:tcPr>
            <w:tcW w:w="54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déclarations faites par les actionnaires. Le procès-verbal est signé par le président et le secrétaire.</w:t>
            </w:r>
          </w:p>
        </w:tc>
      </w:tr>
      <w:tr>
        <w:trPr>
          <w:trHeight w:val="171"/>
        </w:trPr>
        <w:tc>
          <w:tcPr>
            <w:tcW w:w="5660" w:type="dxa"/>
            <w:vAlign w:val="bottom"/>
            <w:tcBorders>
              <w:left w:val="single" w:sz="8" w:color="auto"/>
              <w:bottom w:val="single" w:sz="8" w:color="auto"/>
              <w:right w:val="single" w:sz="8" w:color="auto"/>
            </w:tcBorders>
            <w:gridSpan w:val="2"/>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5420" w:type="dxa"/>
            <w:vAlign w:val="bottom"/>
            <w:tcBorders>
              <w:bottom w:val="single" w:sz="8" w:color="auto"/>
              <w:right w:val="single" w:sz="8" w:color="auto"/>
            </w:tcBorders>
            <w:gridSpan w:val="2"/>
          </w:tcPr>
          <w:p>
            <w:pPr>
              <w:spacing w:after="0"/>
              <w:rPr>
                <w:sz w:val="14"/>
                <w:szCs w:val="14"/>
                <w:color w:val="auto"/>
              </w:rPr>
            </w:pPr>
          </w:p>
        </w:tc>
      </w:tr>
      <w:tr>
        <w:trPr>
          <w:trHeight w:val="178"/>
        </w:trPr>
        <w:tc>
          <w:tcPr>
            <w:tcW w:w="566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The shareholders are entitled to inspect the minutes.</w:t>
            </w:r>
          </w:p>
        </w:tc>
        <w:tc>
          <w:tcPr>
            <w:tcW w:w="220" w:type="dxa"/>
            <w:vAlign w:val="bottom"/>
            <w:tcBorders>
              <w:right w:val="single" w:sz="8" w:color="auto"/>
            </w:tcBorders>
          </w:tcPr>
          <w:p>
            <w:pPr>
              <w:spacing w:after="0"/>
              <w:rPr>
                <w:sz w:val="15"/>
                <w:szCs w:val="15"/>
                <w:color w:val="auto"/>
              </w:rPr>
            </w:pPr>
          </w:p>
        </w:tc>
        <w:tc>
          <w:tcPr>
            <w:tcW w:w="54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Les actionnaires ont le droit d'examiner le procès-verbal.</w:t>
            </w:r>
          </w:p>
        </w:tc>
      </w:tr>
      <w:tr>
        <w:trPr>
          <w:trHeight w:val="36"/>
        </w:trPr>
        <w:tc>
          <w:tcPr>
            <w:tcW w:w="520" w:type="dxa"/>
            <w:vAlign w:val="bottom"/>
            <w:tcBorders>
              <w:left w:val="single" w:sz="8" w:color="auto"/>
              <w:bottom w:val="single" w:sz="8" w:color="auto"/>
            </w:tcBorders>
          </w:tcPr>
          <w:p>
            <w:pPr>
              <w:spacing w:after="0"/>
              <w:rPr>
                <w:sz w:val="3"/>
                <w:szCs w:val="3"/>
                <w:color w:val="auto"/>
              </w:rPr>
            </w:pPr>
          </w:p>
        </w:tc>
        <w:tc>
          <w:tcPr>
            <w:tcW w:w="514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880" w:type="dxa"/>
            <w:vAlign w:val="bottom"/>
            <w:tcBorders>
              <w:bottom w:val="single" w:sz="8" w:color="auto"/>
              <w:right w:val="single" w:sz="8" w:color="auto"/>
            </w:tcBorders>
          </w:tcPr>
          <w:p>
            <w:pPr>
              <w:spacing w:after="0"/>
              <w:rPr>
                <w:sz w:val="3"/>
                <w:szCs w:val="3"/>
                <w:color w:val="auto"/>
              </w:rPr>
            </w:pPr>
          </w:p>
        </w:tc>
      </w:tr>
      <w:tr>
        <w:trPr>
          <w:trHeight w:val="178"/>
        </w:trPr>
        <w:tc>
          <w:tcPr>
            <w:tcW w:w="520" w:type="dxa"/>
            <w:vAlign w:val="bottom"/>
            <w:tcBorders>
              <w:left w:val="single" w:sz="8" w:color="auto"/>
            </w:tcBorders>
          </w:tcPr>
          <w:p>
            <w:pPr>
              <w:ind w:left="40"/>
              <w:spacing w:after="0"/>
              <w:rPr>
                <w:sz w:val="20"/>
                <w:szCs w:val="20"/>
                <w:color w:val="auto"/>
              </w:rPr>
            </w:pPr>
            <w:r>
              <w:rPr>
                <w:rFonts w:ascii="Arial" w:cs="Arial" w:eastAsia="Arial" w:hAnsi="Arial"/>
                <w:sz w:val="12"/>
                <w:szCs w:val="12"/>
                <w:b w:val="1"/>
                <w:bCs w:val="1"/>
                <w:color w:val="auto"/>
              </w:rPr>
              <w:t>Art. 16</w:t>
            </w:r>
          </w:p>
        </w:tc>
        <w:tc>
          <w:tcPr>
            <w:tcW w:w="5140" w:type="dxa"/>
            <w:vAlign w:val="bottom"/>
            <w:tcBorders>
              <w:right w:val="single" w:sz="8" w:color="auto"/>
            </w:tcBorders>
          </w:tcPr>
          <w:p>
            <w:pPr>
              <w:ind w:left="100"/>
              <w:spacing w:after="0"/>
              <w:rPr>
                <w:sz w:val="20"/>
                <w:szCs w:val="20"/>
                <w:color w:val="auto"/>
              </w:rPr>
            </w:pPr>
            <w:r>
              <w:rPr>
                <w:rFonts w:ascii="Arial" w:cs="Arial" w:eastAsia="Arial" w:hAnsi="Arial"/>
                <w:sz w:val="12"/>
                <w:szCs w:val="12"/>
                <w:b w:val="1"/>
                <w:bCs w:val="1"/>
                <w:color w:val="auto"/>
              </w:rPr>
              <w:t>Right to Vote</w:t>
            </w:r>
          </w:p>
        </w:tc>
        <w:tc>
          <w:tcPr>
            <w:tcW w:w="220" w:type="dxa"/>
            <w:vAlign w:val="bottom"/>
            <w:tcBorders>
              <w:right w:val="single" w:sz="8" w:color="auto"/>
            </w:tcBorders>
          </w:tcPr>
          <w:p>
            <w:pPr>
              <w:spacing w:after="0"/>
              <w:rPr>
                <w:sz w:val="15"/>
                <w:szCs w:val="15"/>
                <w:color w:val="auto"/>
              </w:rPr>
            </w:pP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Art. 16</w:t>
            </w:r>
          </w:p>
        </w:tc>
        <w:tc>
          <w:tcPr>
            <w:tcW w:w="4880" w:type="dxa"/>
            <w:vAlign w:val="bottom"/>
            <w:tcBorders>
              <w:right w:val="single" w:sz="8" w:color="auto"/>
            </w:tcBorders>
          </w:tcPr>
          <w:p>
            <w:pPr>
              <w:ind w:left="100"/>
              <w:spacing w:after="0"/>
              <w:rPr>
                <w:sz w:val="20"/>
                <w:szCs w:val="20"/>
                <w:color w:val="auto"/>
              </w:rPr>
            </w:pPr>
            <w:r>
              <w:rPr>
                <w:rFonts w:ascii="Arial" w:cs="Arial" w:eastAsia="Arial" w:hAnsi="Arial"/>
                <w:sz w:val="12"/>
                <w:szCs w:val="12"/>
                <w:b w:val="1"/>
                <w:bCs w:val="1"/>
                <w:color w:val="auto"/>
              </w:rPr>
              <w:t>Droit de vote</w:t>
            </w:r>
          </w:p>
        </w:tc>
      </w:tr>
      <w:tr>
        <w:trPr>
          <w:trHeight w:val="270"/>
        </w:trPr>
        <w:tc>
          <w:tcPr>
            <w:tcW w:w="566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Each share entitles to one vote.</w:t>
            </w:r>
          </w:p>
        </w:tc>
        <w:tc>
          <w:tcPr>
            <w:tcW w:w="220" w:type="dxa"/>
            <w:vAlign w:val="bottom"/>
            <w:tcBorders>
              <w:right w:val="single" w:sz="8" w:color="auto"/>
            </w:tcBorders>
          </w:tcPr>
          <w:p>
            <w:pPr>
              <w:spacing w:after="0"/>
              <w:rPr>
                <w:sz w:val="23"/>
                <w:szCs w:val="23"/>
                <w:color w:val="auto"/>
              </w:rPr>
            </w:pPr>
          </w:p>
        </w:tc>
        <w:tc>
          <w:tcPr>
            <w:tcW w:w="54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Chaque action donne droit à une voix.</w:t>
            </w:r>
          </w:p>
        </w:tc>
      </w:tr>
      <w:tr>
        <w:trPr>
          <w:trHeight w:val="36"/>
        </w:trPr>
        <w:tc>
          <w:tcPr>
            <w:tcW w:w="5660" w:type="dxa"/>
            <w:vAlign w:val="bottom"/>
            <w:tcBorders>
              <w:left w:val="single" w:sz="8" w:color="auto"/>
              <w:bottom w:val="single" w:sz="8" w:color="auto"/>
              <w:right w:val="single" w:sz="8" w:color="auto"/>
            </w:tcBorders>
            <w:gridSpan w:val="2"/>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5420" w:type="dxa"/>
            <w:vAlign w:val="bottom"/>
            <w:tcBorders>
              <w:bottom w:val="single" w:sz="8" w:color="auto"/>
              <w:right w:val="single" w:sz="8" w:color="auto"/>
            </w:tcBorders>
            <w:gridSpan w:val="2"/>
          </w:tcPr>
          <w:p>
            <w:pPr>
              <w:spacing w:after="0"/>
              <w:rPr>
                <w:sz w:val="3"/>
                <w:szCs w:val="3"/>
                <w:color w:val="auto"/>
              </w:rPr>
            </w:pPr>
          </w:p>
        </w:tc>
      </w:tr>
      <w:tr>
        <w:trPr>
          <w:trHeight w:val="168"/>
        </w:trPr>
        <w:tc>
          <w:tcPr>
            <w:tcW w:w="566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Each shareholder may be represented at a General Meeting by any person who is so authorized by a</w:t>
            </w:r>
          </w:p>
        </w:tc>
        <w:tc>
          <w:tcPr>
            <w:tcW w:w="220" w:type="dxa"/>
            <w:vAlign w:val="bottom"/>
            <w:tcBorders>
              <w:right w:val="single" w:sz="8" w:color="auto"/>
            </w:tcBorders>
          </w:tcPr>
          <w:p>
            <w:pPr>
              <w:spacing w:after="0"/>
              <w:rPr>
                <w:sz w:val="14"/>
                <w:szCs w:val="14"/>
                <w:color w:val="auto"/>
              </w:rPr>
            </w:pPr>
          </w:p>
        </w:tc>
        <w:tc>
          <w:tcPr>
            <w:tcW w:w="54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Chaque actionnaire peut se faire représenter à l'assemblée générale par toute personne qui est</w:t>
            </w:r>
          </w:p>
        </w:tc>
      </w:tr>
      <w:tr>
        <w:trPr>
          <w:trHeight w:val="135"/>
        </w:trPr>
        <w:tc>
          <w:tcPr>
            <w:tcW w:w="566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written proxy. A proxy need not be a shareholder.</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autorisée  par  une  procuration  écrite.  Le  représentant  ne  doit  pas  nécessairement  être  un</w:t>
            </w:r>
          </w:p>
        </w:tc>
      </w:tr>
      <w:tr>
        <w:trPr>
          <w:trHeight w:val="145"/>
        </w:trPr>
        <w:tc>
          <w:tcPr>
            <w:tcW w:w="520" w:type="dxa"/>
            <w:vAlign w:val="bottom"/>
            <w:tcBorders>
              <w:left w:val="single" w:sz="8" w:color="auto"/>
            </w:tcBorders>
          </w:tcPr>
          <w:p>
            <w:pPr>
              <w:spacing w:after="0"/>
              <w:rPr>
                <w:sz w:val="12"/>
                <w:szCs w:val="12"/>
                <w:color w:val="auto"/>
              </w:rPr>
            </w:pPr>
          </w:p>
        </w:tc>
        <w:tc>
          <w:tcPr>
            <w:tcW w:w="514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4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actionnaire.</w:t>
            </w:r>
          </w:p>
        </w:tc>
      </w:tr>
      <w:tr>
        <w:trPr>
          <w:trHeight w:val="36"/>
        </w:trPr>
        <w:tc>
          <w:tcPr>
            <w:tcW w:w="520" w:type="dxa"/>
            <w:vAlign w:val="bottom"/>
            <w:tcBorders>
              <w:left w:val="single" w:sz="8" w:color="auto"/>
              <w:bottom w:val="single" w:sz="8" w:color="auto"/>
            </w:tcBorders>
          </w:tcPr>
          <w:p>
            <w:pPr>
              <w:spacing w:after="0"/>
              <w:rPr>
                <w:sz w:val="3"/>
                <w:szCs w:val="3"/>
                <w:color w:val="auto"/>
              </w:rPr>
            </w:pPr>
          </w:p>
        </w:tc>
        <w:tc>
          <w:tcPr>
            <w:tcW w:w="514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880" w:type="dxa"/>
            <w:vAlign w:val="bottom"/>
            <w:tcBorders>
              <w:bottom w:val="single" w:sz="8" w:color="auto"/>
              <w:right w:val="single" w:sz="8" w:color="auto"/>
            </w:tcBorders>
          </w:tcPr>
          <w:p>
            <w:pPr>
              <w:spacing w:after="0"/>
              <w:rPr>
                <w:sz w:val="3"/>
                <w:szCs w:val="3"/>
                <w:color w:val="auto"/>
              </w:rPr>
            </w:pPr>
          </w:p>
        </w:tc>
      </w:tr>
      <w:tr>
        <w:trPr>
          <w:trHeight w:val="493"/>
        </w:trPr>
        <w:tc>
          <w:tcPr>
            <w:tcW w:w="5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211" w:right="299" w:bottom="1440" w:gutter="0" w:footer="0" w:header="0"/>
        </w:sectPr>
      </w:pPr>
    </w:p>
    <w:bookmarkStart w:id="61" w:name="page62"/>
    <w:bookmarkEnd w:id="6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45"/>
        </w:trPr>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60" w:type="dxa"/>
            <w:vAlign w:val="bottom"/>
          </w:tcPr>
          <w:p>
            <w:pPr>
              <w:jc w:val="right"/>
              <w:spacing w:after="0"/>
              <w:rPr>
                <w:sz w:val="20"/>
                <w:szCs w:val="20"/>
                <w:color w:val="auto"/>
              </w:rPr>
            </w:pPr>
            <w:r>
              <w:rPr>
                <w:rFonts w:ascii="Arial" w:cs="Arial" w:eastAsia="Arial" w:hAnsi="Arial"/>
                <w:sz w:val="12"/>
                <w:szCs w:val="12"/>
                <w:color w:val="auto"/>
              </w:rPr>
              <w:t>16</w:t>
            </w:r>
          </w:p>
        </w:tc>
        <w:tc>
          <w:tcPr>
            <w:tcW w:w="0" w:type="dxa"/>
            <w:vAlign w:val="bottom"/>
          </w:tcPr>
          <w:p>
            <w:pPr>
              <w:spacing w:after="0"/>
              <w:rPr>
                <w:sz w:val="1"/>
                <w:szCs w:val="1"/>
                <w:color w:val="auto"/>
              </w:rPr>
            </w:pPr>
          </w:p>
        </w:tc>
      </w:tr>
      <w:tr>
        <w:trPr>
          <w:trHeight w:val="63"/>
        </w:trPr>
        <w:tc>
          <w:tcPr>
            <w:tcW w:w="5660" w:type="dxa"/>
            <w:vAlign w:val="bottom"/>
            <w:tcBorders>
              <w:bottom w:val="single" w:sz="8" w:color="auto"/>
            </w:tcBorders>
            <w:gridSpan w:val="3"/>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420" w:type="dxa"/>
            <w:vAlign w:val="bottom"/>
            <w:tcBorders>
              <w:bottom w:val="single" w:sz="8" w:color="auto"/>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56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2"/>
                <w:szCs w:val="12"/>
                <w:color w:val="auto"/>
              </w:rPr>
              <w:t>Each shareholder may be represented by the Independent Proxy. The requirements regarding proxies</w:t>
            </w:r>
          </w:p>
        </w:tc>
        <w:tc>
          <w:tcPr>
            <w:tcW w:w="220" w:type="dxa"/>
            <w:vAlign w:val="bottom"/>
            <w:tcBorders>
              <w:right w:val="single" w:sz="8" w:color="auto"/>
            </w:tcBorders>
          </w:tcPr>
          <w:p>
            <w:pPr>
              <w:spacing w:after="0"/>
              <w:rPr>
                <w:sz w:val="14"/>
                <w:szCs w:val="14"/>
                <w:color w:val="auto"/>
              </w:rPr>
            </w:pPr>
          </w:p>
        </w:tc>
        <w:tc>
          <w:tcPr>
            <w:tcW w:w="5420" w:type="dxa"/>
            <w:vAlign w:val="bottom"/>
            <w:tcBorders>
              <w:right w:val="single" w:sz="8" w:color="auto"/>
            </w:tcBorders>
            <w:gridSpan w:val="3"/>
          </w:tcPr>
          <w:p>
            <w:pPr>
              <w:ind w:left="40"/>
              <w:spacing w:after="0"/>
              <w:rPr>
                <w:sz w:val="20"/>
                <w:szCs w:val="20"/>
                <w:color w:val="auto"/>
              </w:rPr>
            </w:pPr>
            <w:r>
              <w:rPr>
                <w:rFonts w:ascii="Arial" w:cs="Arial" w:eastAsia="Arial" w:hAnsi="Arial"/>
                <w:sz w:val="12"/>
                <w:szCs w:val="12"/>
                <w:color w:val="auto"/>
              </w:rPr>
              <w:t>Chaque actionnaire peut se faire représenter par le représentant indépendant. Les exigences en</w:t>
            </w:r>
          </w:p>
        </w:tc>
        <w:tc>
          <w:tcPr>
            <w:tcW w:w="0" w:type="dxa"/>
            <w:vAlign w:val="bottom"/>
          </w:tcPr>
          <w:p>
            <w:pPr>
              <w:spacing w:after="0"/>
              <w:rPr>
                <w:sz w:val="1"/>
                <w:szCs w:val="1"/>
                <w:color w:val="auto"/>
              </w:rPr>
            </w:pPr>
          </w:p>
        </w:tc>
      </w:tr>
      <w:tr>
        <w:trPr>
          <w:trHeight w:val="145"/>
        </w:trPr>
        <w:tc>
          <w:tcPr>
            <w:tcW w:w="56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2"/>
                <w:szCs w:val="12"/>
                <w:color w:val="auto"/>
              </w:rPr>
              <w:t>and instructions are determined by the Board of Directors.</w:t>
            </w:r>
          </w:p>
        </w:tc>
        <w:tc>
          <w:tcPr>
            <w:tcW w:w="220" w:type="dxa"/>
            <w:vAlign w:val="bottom"/>
            <w:tcBorders>
              <w:right w:val="single" w:sz="8" w:color="auto"/>
            </w:tcBorders>
          </w:tcPr>
          <w:p>
            <w:pPr>
              <w:spacing w:after="0"/>
              <w:rPr>
                <w:sz w:val="12"/>
                <w:szCs w:val="12"/>
                <w:color w:val="auto"/>
              </w:rPr>
            </w:pPr>
          </w:p>
        </w:tc>
        <w:tc>
          <w:tcPr>
            <w:tcW w:w="5420" w:type="dxa"/>
            <w:vAlign w:val="bottom"/>
            <w:tcBorders>
              <w:right w:val="single" w:sz="8" w:color="auto"/>
            </w:tcBorders>
            <w:gridSpan w:val="3"/>
          </w:tcPr>
          <w:p>
            <w:pPr>
              <w:ind w:left="40"/>
              <w:spacing w:after="0"/>
              <w:rPr>
                <w:sz w:val="20"/>
                <w:szCs w:val="20"/>
                <w:color w:val="auto"/>
              </w:rPr>
            </w:pPr>
            <w:r>
              <w:rPr>
                <w:rFonts w:ascii="Arial" w:cs="Arial" w:eastAsia="Arial" w:hAnsi="Arial"/>
                <w:sz w:val="12"/>
                <w:szCs w:val="12"/>
                <w:color w:val="auto"/>
              </w:rPr>
              <w:t>matière de procurations et les instructions sont déterminées par le conseil d'administration.</w:t>
            </w:r>
          </w:p>
        </w:tc>
        <w:tc>
          <w:tcPr>
            <w:tcW w:w="0" w:type="dxa"/>
            <w:vAlign w:val="bottom"/>
          </w:tcPr>
          <w:p>
            <w:pPr>
              <w:spacing w:after="0"/>
              <w:rPr>
                <w:sz w:val="1"/>
                <w:szCs w:val="1"/>
                <w:color w:val="auto"/>
              </w:rPr>
            </w:pPr>
          </w:p>
        </w:tc>
      </w:tr>
      <w:tr>
        <w:trPr>
          <w:trHeight w:val="36"/>
        </w:trPr>
        <w:tc>
          <w:tcPr>
            <w:tcW w:w="5660" w:type="dxa"/>
            <w:vAlign w:val="bottom"/>
            <w:tcBorders>
              <w:left w:val="single" w:sz="8" w:color="auto"/>
              <w:bottom w:val="single" w:sz="8" w:color="auto"/>
              <w:right w:val="single" w:sz="8" w:color="auto"/>
            </w:tcBorders>
            <w:gridSpan w:val="3"/>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tcBorders>
            <w:gridSpan w:val="2"/>
          </w:tcPr>
          <w:p>
            <w:pPr>
              <w:spacing w:after="0"/>
              <w:rPr>
                <w:sz w:val="3"/>
                <w:szCs w:val="3"/>
                <w:color w:val="auto"/>
              </w:rPr>
            </w:pPr>
          </w:p>
        </w:tc>
        <w:tc>
          <w:tcPr>
            <w:tcW w:w="48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56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2"/>
                <w:szCs w:val="12"/>
                <w:b w:val="1"/>
                <w:bCs w:val="1"/>
                <w:color w:val="auto"/>
              </w:rPr>
              <w:t>Art. 17   Resolutions and Elections</w:t>
            </w:r>
          </w:p>
        </w:tc>
        <w:tc>
          <w:tcPr>
            <w:tcW w:w="220" w:type="dxa"/>
            <w:vAlign w:val="bottom"/>
            <w:tcBorders>
              <w:right w:val="single" w:sz="8" w:color="auto"/>
            </w:tcBorders>
          </w:tcPr>
          <w:p>
            <w:pPr>
              <w:spacing w:after="0"/>
              <w:rPr>
                <w:sz w:val="15"/>
                <w:szCs w:val="15"/>
                <w:color w:val="auto"/>
              </w:rPr>
            </w:pPr>
          </w:p>
        </w:tc>
        <w:tc>
          <w:tcPr>
            <w:tcW w:w="560" w:type="dxa"/>
            <w:vAlign w:val="bottom"/>
            <w:gridSpan w:val="2"/>
          </w:tcPr>
          <w:p>
            <w:pPr>
              <w:ind w:left="40"/>
              <w:spacing w:after="0"/>
              <w:rPr>
                <w:sz w:val="20"/>
                <w:szCs w:val="20"/>
                <w:color w:val="auto"/>
              </w:rPr>
            </w:pPr>
            <w:r>
              <w:rPr>
                <w:rFonts w:ascii="Arial" w:cs="Arial" w:eastAsia="Arial" w:hAnsi="Arial"/>
                <w:sz w:val="12"/>
                <w:szCs w:val="12"/>
                <w:b w:val="1"/>
                <w:bCs w:val="1"/>
                <w:color w:val="auto"/>
              </w:rPr>
              <w:t>Art. 17</w:t>
            </w:r>
          </w:p>
        </w:tc>
        <w:tc>
          <w:tcPr>
            <w:tcW w:w="4860" w:type="dxa"/>
            <w:vAlign w:val="bottom"/>
            <w:tcBorders>
              <w:right w:val="single" w:sz="8" w:color="auto"/>
            </w:tcBorders>
          </w:tcPr>
          <w:p>
            <w:pPr>
              <w:jc w:val="right"/>
              <w:ind w:right="3340"/>
              <w:spacing w:after="0"/>
              <w:rPr>
                <w:sz w:val="20"/>
                <w:szCs w:val="20"/>
                <w:color w:val="auto"/>
              </w:rPr>
            </w:pPr>
            <w:r>
              <w:rPr>
                <w:rFonts w:ascii="Arial" w:cs="Arial" w:eastAsia="Arial" w:hAnsi="Arial"/>
                <w:sz w:val="12"/>
                <w:szCs w:val="12"/>
                <w:b w:val="1"/>
                <w:bCs w:val="1"/>
                <w:color w:val="auto"/>
              </w:rPr>
              <w:t>Décisions and élections</w:t>
            </w:r>
          </w:p>
        </w:tc>
        <w:tc>
          <w:tcPr>
            <w:tcW w:w="0" w:type="dxa"/>
            <w:vAlign w:val="bottom"/>
          </w:tcPr>
          <w:p>
            <w:pPr>
              <w:spacing w:after="0"/>
              <w:rPr>
                <w:sz w:val="1"/>
                <w:szCs w:val="1"/>
                <w:color w:val="auto"/>
              </w:rPr>
            </w:pPr>
          </w:p>
        </w:tc>
      </w:tr>
      <w:tr>
        <w:trPr>
          <w:trHeight w:val="260"/>
        </w:trPr>
        <w:tc>
          <w:tcPr>
            <w:tcW w:w="56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2"/>
                <w:szCs w:val="12"/>
                <w:color w:val="auto"/>
              </w:rPr>
              <w:t>All voting and elections are held openly or electronically. A written voting or election shall be held if</w:t>
            </w:r>
          </w:p>
        </w:tc>
        <w:tc>
          <w:tcPr>
            <w:tcW w:w="220" w:type="dxa"/>
            <w:vAlign w:val="bottom"/>
            <w:tcBorders>
              <w:right w:val="single" w:sz="8" w:color="auto"/>
            </w:tcBorders>
          </w:tcPr>
          <w:p>
            <w:pPr>
              <w:spacing w:after="0"/>
              <w:rPr>
                <w:sz w:val="22"/>
                <w:szCs w:val="22"/>
                <w:color w:val="auto"/>
              </w:rPr>
            </w:pPr>
          </w:p>
        </w:tc>
        <w:tc>
          <w:tcPr>
            <w:tcW w:w="5420" w:type="dxa"/>
            <w:vAlign w:val="bottom"/>
            <w:tcBorders>
              <w:right w:val="single" w:sz="8" w:color="auto"/>
            </w:tcBorders>
            <w:gridSpan w:val="3"/>
          </w:tcPr>
          <w:p>
            <w:pPr>
              <w:ind w:left="40"/>
              <w:spacing w:after="0"/>
              <w:rPr>
                <w:sz w:val="20"/>
                <w:szCs w:val="20"/>
                <w:color w:val="auto"/>
              </w:rPr>
            </w:pPr>
            <w:r>
              <w:rPr>
                <w:rFonts w:ascii="Arial" w:cs="Arial" w:eastAsia="Arial" w:hAnsi="Arial"/>
                <w:sz w:val="12"/>
                <w:szCs w:val="12"/>
                <w:color w:val="auto"/>
              </w:rPr>
              <w:t>Tous votes et élections sont tenus ouvertement ou par voie électronique. Sur instruction du</w:t>
            </w:r>
          </w:p>
        </w:tc>
        <w:tc>
          <w:tcPr>
            <w:tcW w:w="0" w:type="dxa"/>
            <w:vAlign w:val="bottom"/>
          </w:tcPr>
          <w:p>
            <w:pPr>
              <w:spacing w:after="0"/>
              <w:rPr>
                <w:sz w:val="1"/>
                <w:szCs w:val="1"/>
                <w:color w:val="auto"/>
              </w:rPr>
            </w:pPr>
          </w:p>
        </w:tc>
      </w:tr>
      <w:tr>
        <w:trPr>
          <w:trHeight w:val="145"/>
        </w:trPr>
        <w:tc>
          <w:tcPr>
            <w:tcW w:w="56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2"/>
                <w:szCs w:val="12"/>
                <w:color w:val="auto"/>
              </w:rPr>
              <w:t>instructed so by the Chairman or if decided by the General Meeting.</w:t>
            </w:r>
          </w:p>
        </w:tc>
        <w:tc>
          <w:tcPr>
            <w:tcW w:w="220" w:type="dxa"/>
            <w:vAlign w:val="bottom"/>
            <w:tcBorders>
              <w:right w:val="single" w:sz="8" w:color="auto"/>
            </w:tcBorders>
          </w:tcPr>
          <w:p>
            <w:pPr>
              <w:spacing w:after="0"/>
              <w:rPr>
                <w:sz w:val="12"/>
                <w:szCs w:val="12"/>
                <w:color w:val="auto"/>
              </w:rPr>
            </w:pPr>
          </w:p>
        </w:tc>
        <w:tc>
          <w:tcPr>
            <w:tcW w:w="5420" w:type="dxa"/>
            <w:vAlign w:val="bottom"/>
            <w:tcBorders>
              <w:right w:val="single" w:sz="8" w:color="auto"/>
            </w:tcBorders>
            <w:gridSpan w:val="3"/>
          </w:tcPr>
          <w:p>
            <w:pPr>
              <w:ind w:left="40"/>
              <w:spacing w:after="0"/>
              <w:rPr>
                <w:sz w:val="20"/>
                <w:szCs w:val="20"/>
                <w:color w:val="auto"/>
              </w:rPr>
            </w:pPr>
            <w:r>
              <w:rPr>
                <w:rFonts w:ascii="Arial" w:cs="Arial" w:eastAsia="Arial" w:hAnsi="Arial"/>
                <w:sz w:val="12"/>
                <w:szCs w:val="12"/>
                <w:color w:val="auto"/>
              </w:rPr>
              <w:t>président ou de l'assemblée générale, un vote ou une élection doit être tenu par écrit.</w:t>
            </w:r>
          </w:p>
        </w:tc>
        <w:tc>
          <w:tcPr>
            <w:tcW w:w="0" w:type="dxa"/>
            <w:vAlign w:val="bottom"/>
          </w:tcPr>
          <w:p>
            <w:pPr>
              <w:spacing w:after="0"/>
              <w:rPr>
                <w:sz w:val="1"/>
                <w:szCs w:val="1"/>
                <w:color w:val="auto"/>
              </w:rPr>
            </w:pPr>
          </w:p>
        </w:tc>
      </w:tr>
      <w:tr>
        <w:trPr>
          <w:trHeight w:val="171"/>
        </w:trPr>
        <w:tc>
          <w:tcPr>
            <w:tcW w:w="5660" w:type="dxa"/>
            <w:vAlign w:val="bottom"/>
            <w:tcBorders>
              <w:left w:val="single" w:sz="8" w:color="auto"/>
              <w:bottom w:val="single" w:sz="8" w:color="auto"/>
              <w:right w:val="single" w:sz="8" w:color="auto"/>
            </w:tcBorders>
            <w:gridSpan w:val="3"/>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542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2"/>
                <w:szCs w:val="12"/>
                <w:color w:val="auto"/>
              </w:rPr>
              <w:t>The General Meeting shall pass its resolutions and carry out its elections with the simple majority of the</w:t>
            </w:r>
          </w:p>
        </w:tc>
        <w:tc>
          <w:tcPr>
            <w:tcW w:w="220" w:type="dxa"/>
            <w:vAlign w:val="bottom"/>
            <w:tcBorders>
              <w:right w:val="single" w:sz="8" w:color="auto"/>
            </w:tcBorders>
          </w:tcPr>
          <w:p>
            <w:pPr>
              <w:spacing w:after="0"/>
              <w:rPr>
                <w:sz w:val="14"/>
                <w:szCs w:val="14"/>
                <w:color w:val="auto"/>
              </w:rPr>
            </w:pPr>
          </w:p>
        </w:tc>
        <w:tc>
          <w:tcPr>
            <w:tcW w:w="5420" w:type="dxa"/>
            <w:vAlign w:val="bottom"/>
            <w:tcBorders>
              <w:right w:val="single" w:sz="8" w:color="auto"/>
            </w:tcBorders>
            <w:gridSpan w:val="3"/>
          </w:tcPr>
          <w:p>
            <w:pPr>
              <w:ind w:left="40"/>
              <w:spacing w:after="0"/>
              <w:rPr>
                <w:sz w:val="20"/>
                <w:szCs w:val="20"/>
                <w:color w:val="auto"/>
              </w:rPr>
            </w:pPr>
            <w:r>
              <w:rPr>
                <w:rFonts w:ascii="Arial" w:cs="Arial" w:eastAsia="Arial" w:hAnsi="Arial"/>
                <w:sz w:val="12"/>
                <w:szCs w:val="12"/>
                <w:color w:val="auto"/>
              </w:rPr>
              <w:t>Sous réserve des dispositions impératives de la loi ou des statuts, l'assemblée générale prend ses</w:t>
            </w:r>
          </w:p>
        </w:tc>
        <w:tc>
          <w:tcPr>
            <w:tcW w:w="0" w:type="dxa"/>
            <w:vAlign w:val="bottom"/>
          </w:tcPr>
          <w:p>
            <w:pPr>
              <w:spacing w:after="0"/>
              <w:rPr>
                <w:sz w:val="1"/>
                <w:szCs w:val="1"/>
                <w:color w:val="auto"/>
              </w:rPr>
            </w:pPr>
          </w:p>
        </w:tc>
      </w:tr>
      <w:tr>
        <w:trPr>
          <w:trHeight w:val="135"/>
        </w:trPr>
        <w:tc>
          <w:tcPr>
            <w:tcW w:w="5660" w:type="dxa"/>
            <w:vAlign w:val="bottom"/>
            <w:tcBorders>
              <w:left w:val="single" w:sz="8" w:color="auto"/>
              <w:right w:val="single" w:sz="8" w:color="auto"/>
            </w:tcBorders>
            <w:gridSpan w:val="3"/>
          </w:tcPr>
          <w:p>
            <w:pPr>
              <w:ind w:left="40"/>
              <w:spacing w:after="0" w:line="135" w:lineRule="exact"/>
              <w:rPr>
                <w:sz w:val="20"/>
                <w:szCs w:val="20"/>
                <w:color w:val="auto"/>
              </w:rPr>
            </w:pPr>
            <w:r>
              <w:rPr>
                <w:rFonts w:ascii="Arial" w:cs="Arial" w:eastAsia="Arial" w:hAnsi="Arial"/>
                <w:sz w:val="12"/>
                <w:szCs w:val="12"/>
                <w:color w:val="auto"/>
              </w:rPr>
              <w:t>votes cast regardless of abstentions and empty or invalid votes, unless statutory law or articles of</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gridSpan w:val="3"/>
          </w:tcPr>
          <w:p>
            <w:pPr>
              <w:ind w:left="40"/>
              <w:spacing w:after="0" w:line="135" w:lineRule="exact"/>
              <w:rPr>
                <w:sz w:val="20"/>
                <w:szCs w:val="20"/>
                <w:color w:val="auto"/>
              </w:rPr>
            </w:pPr>
            <w:r>
              <w:rPr>
                <w:rFonts w:ascii="Arial" w:cs="Arial" w:eastAsia="Arial" w:hAnsi="Arial"/>
                <w:sz w:val="12"/>
                <w:szCs w:val="12"/>
                <w:color w:val="auto"/>
              </w:rPr>
              <w:t>décisions et procède aux élections à la majorité simple des voix émises. En cas de partage égal des</w:t>
            </w:r>
          </w:p>
        </w:tc>
        <w:tc>
          <w:tcPr>
            <w:tcW w:w="0" w:type="dxa"/>
            <w:vAlign w:val="bottom"/>
          </w:tcPr>
          <w:p>
            <w:pPr>
              <w:spacing w:after="0"/>
              <w:rPr>
                <w:sz w:val="1"/>
                <w:szCs w:val="1"/>
                <w:color w:val="auto"/>
              </w:rPr>
            </w:pPr>
          </w:p>
        </w:tc>
      </w:tr>
      <w:tr>
        <w:trPr>
          <w:trHeight w:val="135"/>
        </w:trPr>
        <w:tc>
          <w:tcPr>
            <w:tcW w:w="5660" w:type="dxa"/>
            <w:vAlign w:val="bottom"/>
            <w:tcBorders>
              <w:left w:val="single" w:sz="8" w:color="auto"/>
              <w:right w:val="single" w:sz="8" w:color="auto"/>
            </w:tcBorders>
            <w:gridSpan w:val="3"/>
          </w:tcPr>
          <w:p>
            <w:pPr>
              <w:ind w:left="40"/>
              <w:spacing w:after="0" w:line="135" w:lineRule="exact"/>
              <w:rPr>
                <w:sz w:val="20"/>
                <w:szCs w:val="20"/>
                <w:color w:val="auto"/>
              </w:rPr>
            </w:pPr>
            <w:r>
              <w:rPr>
                <w:rFonts w:ascii="Arial" w:cs="Arial" w:eastAsia="Arial" w:hAnsi="Arial"/>
                <w:sz w:val="12"/>
                <w:szCs w:val="12"/>
                <w:color w:val="auto"/>
              </w:rPr>
              <w:t>association state otherwise. In the event of tie votes, the request shall be refused. The Chairman shall</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gridSpan w:val="3"/>
          </w:tcPr>
          <w:p>
            <w:pPr>
              <w:ind w:left="40"/>
              <w:spacing w:after="0" w:line="135" w:lineRule="exact"/>
              <w:rPr>
                <w:sz w:val="20"/>
                <w:szCs w:val="20"/>
                <w:color w:val="auto"/>
              </w:rPr>
            </w:pPr>
            <w:r>
              <w:rPr>
                <w:rFonts w:ascii="Arial" w:cs="Arial" w:eastAsia="Arial" w:hAnsi="Arial"/>
                <w:sz w:val="12"/>
                <w:szCs w:val="12"/>
                <w:color w:val="auto"/>
              </w:rPr>
              <w:t>voix, la requête sera refusée. Le président n'a pas voix prépondérante.</w:t>
            </w:r>
          </w:p>
        </w:tc>
        <w:tc>
          <w:tcPr>
            <w:tcW w:w="0" w:type="dxa"/>
            <w:vAlign w:val="bottom"/>
          </w:tcPr>
          <w:p>
            <w:pPr>
              <w:spacing w:after="0"/>
              <w:rPr>
                <w:sz w:val="1"/>
                <w:szCs w:val="1"/>
                <w:color w:val="auto"/>
              </w:rPr>
            </w:pPr>
          </w:p>
        </w:tc>
      </w:tr>
      <w:tr>
        <w:trPr>
          <w:trHeight w:val="145"/>
        </w:trPr>
        <w:tc>
          <w:tcPr>
            <w:tcW w:w="56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2"/>
                <w:szCs w:val="12"/>
                <w:color w:val="auto"/>
              </w:rPr>
              <w:t>not have a casting vote.</w:t>
            </w:r>
          </w:p>
        </w:tc>
        <w:tc>
          <w:tcPr>
            <w:tcW w:w="22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5660" w:type="dxa"/>
            <w:vAlign w:val="bottom"/>
            <w:tcBorders>
              <w:left w:val="single" w:sz="8" w:color="auto"/>
              <w:bottom w:val="single" w:sz="8" w:color="auto"/>
              <w:right w:val="single" w:sz="8" w:color="auto"/>
            </w:tcBorders>
            <w:gridSpan w:val="3"/>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5420" w:type="dxa"/>
            <w:vAlign w:val="bottom"/>
            <w:tcBorders>
              <w:bottom w:val="single" w:sz="8" w:color="auto"/>
              <w:right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56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2"/>
                <w:szCs w:val="12"/>
                <w:color w:val="auto"/>
              </w:rPr>
              <w:t>A resolution of the General Meeting passed by at least two thirds of the represented share votes and the</w:t>
            </w:r>
          </w:p>
        </w:tc>
        <w:tc>
          <w:tcPr>
            <w:tcW w:w="220" w:type="dxa"/>
            <w:vAlign w:val="bottom"/>
            <w:tcBorders>
              <w:right w:val="single" w:sz="8" w:color="auto"/>
            </w:tcBorders>
          </w:tcPr>
          <w:p>
            <w:pPr>
              <w:spacing w:after="0"/>
              <w:rPr>
                <w:sz w:val="14"/>
                <w:szCs w:val="14"/>
                <w:color w:val="auto"/>
              </w:rPr>
            </w:pPr>
          </w:p>
        </w:tc>
        <w:tc>
          <w:tcPr>
            <w:tcW w:w="5420" w:type="dxa"/>
            <w:vAlign w:val="bottom"/>
            <w:tcBorders>
              <w:right w:val="single" w:sz="8" w:color="auto"/>
            </w:tcBorders>
            <w:gridSpan w:val="3"/>
          </w:tcPr>
          <w:p>
            <w:pPr>
              <w:ind w:left="40"/>
              <w:spacing w:after="0"/>
              <w:rPr>
                <w:sz w:val="20"/>
                <w:szCs w:val="20"/>
                <w:color w:val="auto"/>
              </w:rPr>
            </w:pPr>
            <w:r>
              <w:rPr>
                <w:rFonts w:ascii="Arial" w:cs="Arial" w:eastAsia="Arial" w:hAnsi="Arial"/>
                <w:sz w:val="12"/>
                <w:szCs w:val="12"/>
                <w:color w:val="auto"/>
              </w:rPr>
              <w:t>Une décision de l'assemblée générale recueillant au moins les deux tiers des voix attribuées aux</w:t>
            </w:r>
          </w:p>
        </w:tc>
        <w:tc>
          <w:tcPr>
            <w:tcW w:w="0" w:type="dxa"/>
            <w:vAlign w:val="bottom"/>
          </w:tcPr>
          <w:p>
            <w:pPr>
              <w:spacing w:after="0"/>
              <w:rPr>
                <w:sz w:val="1"/>
                <w:szCs w:val="1"/>
                <w:color w:val="auto"/>
              </w:rPr>
            </w:pPr>
          </w:p>
        </w:tc>
      </w:tr>
      <w:tr>
        <w:trPr>
          <w:trHeight w:val="135"/>
        </w:trPr>
        <w:tc>
          <w:tcPr>
            <w:tcW w:w="5660" w:type="dxa"/>
            <w:vAlign w:val="bottom"/>
            <w:tcBorders>
              <w:left w:val="single" w:sz="8" w:color="auto"/>
              <w:right w:val="single" w:sz="8" w:color="auto"/>
            </w:tcBorders>
            <w:gridSpan w:val="3"/>
          </w:tcPr>
          <w:p>
            <w:pPr>
              <w:ind w:left="40"/>
              <w:spacing w:after="0" w:line="135" w:lineRule="exact"/>
              <w:rPr>
                <w:sz w:val="20"/>
                <w:szCs w:val="20"/>
                <w:color w:val="auto"/>
              </w:rPr>
            </w:pPr>
            <w:r>
              <w:rPr>
                <w:rFonts w:ascii="Arial" w:cs="Arial" w:eastAsia="Arial" w:hAnsi="Arial"/>
                <w:sz w:val="12"/>
                <w:szCs w:val="12"/>
                <w:color w:val="auto"/>
              </w:rPr>
              <w:t>absolute majority of the represented shares par value is required for:</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gridSpan w:val="3"/>
          </w:tcPr>
          <w:p>
            <w:pPr>
              <w:ind w:left="40"/>
              <w:spacing w:after="0" w:line="135" w:lineRule="exact"/>
              <w:rPr>
                <w:sz w:val="20"/>
                <w:szCs w:val="20"/>
                <w:color w:val="auto"/>
              </w:rPr>
            </w:pPr>
            <w:r>
              <w:rPr>
                <w:rFonts w:ascii="Arial" w:cs="Arial" w:eastAsia="Arial" w:hAnsi="Arial"/>
                <w:sz w:val="12"/>
                <w:szCs w:val="12"/>
                <w:color w:val="auto"/>
              </w:rPr>
              <w:t>actions représentées et la majorité absolue des valeurs nominales représentées est nécessaire</w:t>
            </w:r>
          </w:p>
        </w:tc>
        <w:tc>
          <w:tcPr>
            <w:tcW w:w="0" w:type="dxa"/>
            <w:vAlign w:val="bottom"/>
          </w:tcPr>
          <w:p>
            <w:pPr>
              <w:spacing w:after="0"/>
              <w:rPr>
                <w:sz w:val="1"/>
                <w:szCs w:val="1"/>
                <w:color w:val="auto"/>
              </w:rPr>
            </w:pPr>
          </w:p>
        </w:tc>
      </w:tr>
      <w:tr>
        <w:trPr>
          <w:trHeight w:val="145"/>
        </w:trPr>
        <w:tc>
          <w:tcPr>
            <w:tcW w:w="220" w:type="dxa"/>
            <w:vAlign w:val="bottom"/>
            <w:tcBorders>
              <w:lef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512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320" w:type="dxa"/>
            <w:vAlign w:val="bottom"/>
          </w:tcPr>
          <w:p>
            <w:pPr>
              <w:ind w:left="40"/>
              <w:spacing w:after="0"/>
              <w:rPr>
                <w:sz w:val="20"/>
                <w:szCs w:val="20"/>
                <w:color w:val="auto"/>
              </w:rPr>
            </w:pPr>
            <w:r>
              <w:rPr>
                <w:rFonts w:ascii="Arial" w:cs="Arial" w:eastAsia="Arial" w:hAnsi="Arial"/>
                <w:sz w:val="12"/>
                <w:szCs w:val="12"/>
                <w:color w:val="auto"/>
                <w:w w:val="94"/>
              </w:rPr>
              <w:t>pour:</w:t>
            </w:r>
          </w:p>
        </w:tc>
        <w:tc>
          <w:tcPr>
            <w:tcW w:w="240" w:type="dxa"/>
            <w:vAlign w:val="bottom"/>
          </w:tcPr>
          <w:p>
            <w:pPr>
              <w:spacing w:after="0"/>
              <w:rPr>
                <w:sz w:val="12"/>
                <w:szCs w:val="12"/>
                <w:color w:val="auto"/>
              </w:rPr>
            </w:pPr>
          </w:p>
        </w:tc>
        <w:tc>
          <w:tcPr>
            <w:tcW w:w="4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56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2"/>
                <w:szCs w:val="12"/>
                <w:color w:val="auto"/>
              </w:rPr>
              <w:t>a)  The cases listed in art. 704 para. 1 CO, i.e.:</w:t>
            </w:r>
          </w:p>
        </w:tc>
        <w:tc>
          <w:tcPr>
            <w:tcW w:w="220" w:type="dxa"/>
            <w:vAlign w:val="bottom"/>
            <w:tcBorders>
              <w:right w:val="single" w:sz="8" w:color="auto"/>
            </w:tcBorders>
          </w:tcPr>
          <w:p>
            <w:pPr>
              <w:spacing w:after="0"/>
              <w:rPr>
                <w:sz w:val="23"/>
                <w:szCs w:val="23"/>
                <w:color w:val="auto"/>
              </w:rPr>
            </w:pPr>
          </w:p>
        </w:tc>
        <w:tc>
          <w:tcPr>
            <w:tcW w:w="5420" w:type="dxa"/>
            <w:vAlign w:val="bottom"/>
            <w:tcBorders>
              <w:right w:val="single" w:sz="8" w:color="auto"/>
            </w:tcBorders>
            <w:gridSpan w:val="3"/>
          </w:tcPr>
          <w:p>
            <w:pPr>
              <w:ind w:left="40"/>
              <w:spacing w:after="0"/>
              <w:rPr>
                <w:sz w:val="20"/>
                <w:szCs w:val="20"/>
                <w:color w:val="auto"/>
              </w:rPr>
            </w:pPr>
            <w:r>
              <w:rPr>
                <w:rFonts w:ascii="Arial" w:cs="Arial" w:eastAsia="Arial" w:hAnsi="Arial"/>
                <w:sz w:val="12"/>
                <w:szCs w:val="12"/>
                <w:color w:val="auto"/>
              </w:rPr>
              <w:t>a)   les cas énumérés dans l'art. 704 al. 1 CO, i.e.:</w:t>
            </w:r>
          </w:p>
        </w:tc>
        <w:tc>
          <w:tcPr>
            <w:tcW w:w="0" w:type="dxa"/>
            <w:vAlign w:val="bottom"/>
          </w:tcPr>
          <w:p>
            <w:pPr>
              <w:spacing w:after="0"/>
              <w:rPr>
                <w:sz w:val="1"/>
                <w:szCs w:val="1"/>
                <w:color w:val="auto"/>
              </w:rPr>
            </w:pPr>
          </w:p>
        </w:tc>
      </w:tr>
      <w:tr>
        <w:trPr>
          <w:trHeight w:val="270"/>
        </w:trPr>
        <w:tc>
          <w:tcPr>
            <w:tcW w:w="220" w:type="dxa"/>
            <w:vAlign w:val="bottom"/>
            <w:tcBorders>
              <w:left w:val="single" w:sz="8" w:color="auto"/>
            </w:tcBorders>
          </w:tcPr>
          <w:p>
            <w:pPr>
              <w:spacing w:after="0"/>
              <w:rPr>
                <w:sz w:val="23"/>
                <w:szCs w:val="23"/>
                <w:color w:val="auto"/>
              </w:rPr>
            </w:pPr>
          </w:p>
        </w:tc>
        <w:tc>
          <w:tcPr>
            <w:tcW w:w="5440" w:type="dxa"/>
            <w:vAlign w:val="bottom"/>
            <w:tcBorders>
              <w:right w:val="single" w:sz="8" w:color="auto"/>
            </w:tcBorders>
            <w:gridSpan w:val="2"/>
          </w:tcPr>
          <w:p>
            <w:pPr>
              <w:ind w:left="80"/>
              <w:spacing w:after="0"/>
              <w:rPr>
                <w:sz w:val="20"/>
                <w:szCs w:val="20"/>
                <w:color w:val="auto"/>
              </w:rPr>
            </w:pPr>
            <w:r>
              <w:rPr>
                <w:rFonts w:ascii="Arial" w:cs="Arial" w:eastAsia="Arial" w:hAnsi="Arial"/>
                <w:sz w:val="12"/>
                <w:szCs w:val="12"/>
                <w:color w:val="auto"/>
              </w:rPr>
              <w:t>(i)   the change of the company purpose;</w:t>
            </w:r>
          </w:p>
        </w:tc>
        <w:tc>
          <w:tcPr>
            <w:tcW w:w="220" w:type="dxa"/>
            <w:vAlign w:val="bottom"/>
            <w:tcBorders>
              <w:right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5100" w:type="dxa"/>
            <w:vAlign w:val="bottom"/>
            <w:tcBorders>
              <w:right w:val="single" w:sz="8" w:color="auto"/>
            </w:tcBorders>
            <w:gridSpan w:val="2"/>
          </w:tcPr>
          <w:p>
            <w:pPr>
              <w:ind w:left="20"/>
              <w:spacing w:after="0"/>
              <w:rPr>
                <w:sz w:val="20"/>
                <w:szCs w:val="20"/>
                <w:color w:val="auto"/>
              </w:rPr>
            </w:pPr>
            <w:r>
              <w:rPr>
                <w:rFonts w:ascii="Arial" w:cs="Arial" w:eastAsia="Arial" w:hAnsi="Arial"/>
                <w:sz w:val="12"/>
                <w:szCs w:val="12"/>
                <w:color w:val="auto"/>
              </w:rPr>
              <w:t>(i)   la modification du but social;</w:t>
            </w:r>
          </w:p>
        </w:tc>
        <w:tc>
          <w:tcPr>
            <w:tcW w:w="0" w:type="dxa"/>
            <w:vAlign w:val="bottom"/>
          </w:tcPr>
          <w:p>
            <w:pPr>
              <w:spacing w:after="0"/>
              <w:rPr>
                <w:sz w:val="1"/>
                <w:szCs w:val="1"/>
                <w:color w:val="auto"/>
              </w:rPr>
            </w:pPr>
          </w:p>
        </w:tc>
      </w:tr>
      <w:tr>
        <w:trPr>
          <w:trHeight w:val="270"/>
        </w:trPr>
        <w:tc>
          <w:tcPr>
            <w:tcW w:w="220" w:type="dxa"/>
            <w:vAlign w:val="bottom"/>
            <w:tcBorders>
              <w:left w:val="single" w:sz="8" w:color="auto"/>
            </w:tcBorders>
          </w:tcPr>
          <w:p>
            <w:pPr>
              <w:spacing w:after="0"/>
              <w:rPr>
                <w:sz w:val="23"/>
                <w:szCs w:val="23"/>
                <w:color w:val="auto"/>
              </w:rPr>
            </w:pPr>
          </w:p>
        </w:tc>
        <w:tc>
          <w:tcPr>
            <w:tcW w:w="5440" w:type="dxa"/>
            <w:vAlign w:val="bottom"/>
            <w:tcBorders>
              <w:right w:val="single" w:sz="8" w:color="auto"/>
            </w:tcBorders>
            <w:gridSpan w:val="2"/>
          </w:tcPr>
          <w:p>
            <w:pPr>
              <w:ind w:left="80"/>
              <w:spacing w:after="0"/>
              <w:rPr>
                <w:sz w:val="20"/>
                <w:szCs w:val="20"/>
                <w:color w:val="auto"/>
              </w:rPr>
            </w:pPr>
            <w:r>
              <w:rPr>
                <w:rFonts w:ascii="Arial" w:cs="Arial" w:eastAsia="Arial" w:hAnsi="Arial"/>
                <w:sz w:val="12"/>
                <w:szCs w:val="12"/>
                <w:color w:val="auto"/>
              </w:rPr>
              <w:t>(ii)  the creation of shares with privileged voting rights;</w:t>
            </w:r>
          </w:p>
        </w:tc>
        <w:tc>
          <w:tcPr>
            <w:tcW w:w="220" w:type="dxa"/>
            <w:vAlign w:val="bottom"/>
            <w:tcBorders>
              <w:right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5100" w:type="dxa"/>
            <w:vAlign w:val="bottom"/>
            <w:tcBorders>
              <w:right w:val="single" w:sz="8" w:color="auto"/>
            </w:tcBorders>
            <w:gridSpan w:val="2"/>
          </w:tcPr>
          <w:p>
            <w:pPr>
              <w:ind w:left="20"/>
              <w:spacing w:after="0"/>
              <w:rPr>
                <w:sz w:val="20"/>
                <w:szCs w:val="20"/>
                <w:color w:val="auto"/>
              </w:rPr>
            </w:pPr>
            <w:r>
              <w:rPr>
                <w:rFonts w:ascii="Arial" w:cs="Arial" w:eastAsia="Arial" w:hAnsi="Arial"/>
                <w:sz w:val="12"/>
                <w:szCs w:val="12"/>
                <w:color w:val="auto"/>
              </w:rPr>
              <w:t>(ii)  l'introduction d'actions à droit de vote privilégié;</w:t>
            </w:r>
          </w:p>
        </w:tc>
        <w:tc>
          <w:tcPr>
            <w:tcW w:w="0" w:type="dxa"/>
            <w:vAlign w:val="bottom"/>
          </w:tcPr>
          <w:p>
            <w:pPr>
              <w:spacing w:after="0"/>
              <w:rPr>
                <w:sz w:val="1"/>
                <w:szCs w:val="1"/>
                <w:color w:val="auto"/>
              </w:rPr>
            </w:pPr>
          </w:p>
        </w:tc>
      </w:tr>
      <w:tr>
        <w:trPr>
          <w:trHeight w:val="270"/>
        </w:trPr>
        <w:tc>
          <w:tcPr>
            <w:tcW w:w="220" w:type="dxa"/>
            <w:vAlign w:val="bottom"/>
            <w:tcBorders>
              <w:left w:val="single" w:sz="8" w:color="auto"/>
            </w:tcBorders>
          </w:tcPr>
          <w:p>
            <w:pPr>
              <w:spacing w:after="0"/>
              <w:rPr>
                <w:sz w:val="23"/>
                <w:szCs w:val="23"/>
                <w:color w:val="auto"/>
              </w:rPr>
            </w:pPr>
          </w:p>
        </w:tc>
        <w:tc>
          <w:tcPr>
            <w:tcW w:w="5440" w:type="dxa"/>
            <w:vAlign w:val="bottom"/>
            <w:tcBorders>
              <w:right w:val="single" w:sz="8" w:color="auto"/>
            </w:tcBorders>
            <w:gridSpan w:val="2"/>
          </w:tcPr>
          <w:p>
            <w:pPr>
              <w:ind w:left="80"/>
              <w:spacing w:after="0"/>
              <w:rPr>
                <w:sz w:val="20"/>
                <w:szCs w:val="20"/>
                <w:color w:val="auto"/>
              </w:rPr>
            </w:pPr>
            <w:r>
              <w:rPr>
                <w:rFonts w:ascii="Arial" w:cs="Arial" w:eastAsia="Arial" w:hAnsi="Arial"/>
                <w:sz w:val="12"/>
                <w:szCs w:val="12"/>
                <w:color w:val="auto"/>
              </w:rPr>
              <w:t>(iii)  the restriction of the transferability of registered shares;</w:t>
            </w:r>
          </w:p>
        </w:tc>
        <w:tc>
          <w:tcPr>
            <w:tcW w:w="220" w:type="dxa"/>
            <w:vAlign w:val="bottom"/>
            <w:tcBorders>
              <w:right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5100" w:type="dxa"/>
            <w:vAlign w:val="bottom"/>
            <w:tcBorders>
              <w:right w:val="single" w:sz="8" w:color="auto"/>
            </w:tcBorders>
            <w:gridSpan w:val="2"/>
          </w:tcPr>
          <w:p>
            <w:pPr>
              <w:ind w:left="20"/>
              <w:spacing w:after="0"/>
              <w:rPr>
                <w:sz w:val="20"/>
                <w:szCs w:val="20"/>
                <w:color w:val="auto"/>
              </w:rPr>
            </w:pPr>
            <w:r>
              <w:rPr>
                <w:rFonts w:ascii="Arial" w:cs="Arial" w:eastAsia="Arial" w:hAnsi="Arial"/>
                <w:sz w:val="12"/>
                <w:szCs w:val="12"/>
                <w:color w:val="auto"/>
              </w:rPr>
              <w:t>(iii)  la restriction de la transmissibilité des actions nominatives;</w:t>
            </w:r>
          </w:p>
        </w:tc>
        <w:tc>
          <w:tcPr>
            <w:tcW w:w="0" w:type="dxa"/>
            <w:vAlign w:val="bottom"/>
          </w:tcPr>
          <w:p>
            <w:pPr>
              <w:spacing w:after="0"/>
              <w:rPr>
                <w:sz w:val="1"/>
                <w:szCs w:val="1"/>
                <w:color w:val="auto"/>
              </w:rPr>
            </w:pPr>
          </w:p>
        </w:tc>
      </w:tr>
      <w:tr>
        <w:trPr>
          <w:trHeight w:val="270"/>
        </w:trPr>
        <w:tc>
          <w:tcPr>
            <w:tcW w:w="220" w:type="dxa"/>
            <w:vAlign w:val="bottom"/>
            <w:tcBorders>
              <w:left w:val="single" w:sz="8" w:color="auto"/>
            </w:tcBorders>
          </w:tcPr>
          <w:p>
            <w:pPr>
              <w:spacing w:after="0"/>
              <w:rPr>
                <w:sz w:val="23"/>
                <w:szCs w:val="23"/>
                <w:color w:val="auto"/>
              </w:rPr>
            </w:pPr>
          </w:p>
        </w:tc>
        <w:tc>
          <w:tcPr>
            <w:tcW w:w="5440" w:type="dxa"/>
            <w:vAlign w:val="bottom"/>
            <w:tcBorders>
              <w:right w:val="single" w:sz="8" w:color="auto"/>
            </w:tcBorders>
            <w:gridSpan w:val="2"/>
          </w:tcPr>
          <w:p>
            <w:pPr>
              <w:ind w:left="80"/>
              <w:spacing w:after="0"/>
              <w:rPr>
                <w:sz w:val="20"/>
                <w:szCs w:val="20"/>
                <w:color w:val="auto"/>
              </w:rPr>
            </w:pPr>
            <w:r>
              <w:rPr>
                <w:rFonts w:ascii="Arial" w:cs="Arial" w:eastAsia="Arial" w:hAnsi="Arial"/>
                <w:sz w:val="12"/>
                <w:szCs w:val="12"/>
                <w:color w:val="auto"/>
              </w:rPr>
              <w:t>(iv)  an increase of capital, authorized or subject to a condition;</w:t>
            </w:r>
          </w:p>
        </w:tc>
        <w:tc>
          <w:tcPr>
            <w:tcW w:w="220" w:type="dxa"/>
            <w:vAlign w:val="bottom"/>
            <w:tcBorders>
              <w:right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5100" w:type="dxa"/>
            <w:vAlign w:val="bottom"/>
            <w:tcBorders>
              <w:right w:val="single" w:sz="8" w:color="auto"/>
            </w:tcBorders>
            <w:gridSpan w:val="2"/>
          </w:tcPr>
          <w:p>
            <w:pPr>
              <w:ind w:left="20"/>
              <w:spacing w:after="0"/>
              <w:rPr>
                <w:sz w:val="20"/>
                <w:szCs w:val="20"/>
                <w:color w:val="auto"/>
              </w:rPr>
            </w:pPr>
            <w:r>
              <w:rPr>
                <w:rFonts w:ascii="Arial" w:cs="Arial" w:eastAsia="Arial" w:hAnsi="Arial"/>
                <w:sz w:val="12"/>
                <w:szCs w:val="12"/>
                <w:color w:val="auto"/>
              </w:rPr>
              <w:t>(iv)  l'augmentation autorisée ou conditionnelle du capital-actions;</w:t>
            </w:r>
          </w:p>
        </w:tc>
        <w:tc>
          <w:tcPr>
            <w:tcW w:w="0" w:type="dxa"/>
            <w:vAlign w:val="bottom"/>
          </w:tcPr>
          <w:p>
            <w:pPr>
              <w:spacing w:after="0"/>
              <w:rPr>
                <w:sz w:val="1"/>
                <w:szCs w:val="1"/>
                <w:color w:val="auto"/>
              </w:rPr>
            </w:pPr>
          </w:p>
        </w:tc>
      </w:tr>
      <w:tr>
        <w:trPr>
          <w:trHeight w:val="260"/>
        </w:trPr>
        <w:tc>
          <w:tcPr>
            <w:tcW w:w="220" w:type="dxa"/>
            <w:vAlign w:val="bottom"/>
            <w:tcBorders>
              <w:left w:val="single" w:sz="8" w:color="auto"/>
            </w:tcBorders>
          </w:tcPr>
          <w:p>
            <w:pPr>
              <w:spacing w:after="0"/>
              <w:rPr>
                <w:sz w:val="22"/>
                <w:szCs w:val="22"/>
                <w:color w:val="auto"/>
              </w:rPr>
            </w:pPr>
          </w:p>
        </w:tc>
        <w:tc>
          <w:tcPr>
            <w:tcW w:w="320" w:type="dxa"/>
            <w:vAlign w:val="bottom"/>
          </w:tcPr>
          <w:p>
            <w:pPr>
              <w:ind w:left="80"/>
              <w:spacing w:after="0"/>
              <w:rPr>
                <w:sz w:val="20"/>
                <w:szCs w:val="20"/>
                <w:color w:val="auto"/>
              </w:rPr>
            </w:pPr>
            <w:r>
              <w:rPr>
                <w:rFonts w:ascii="Arial" w:cs="Arial" w:eastAsia="Arial" w:hAnsi="Arial"/>
                <w:sz w:val="12"/>
                <w:szCs w:val="12"/>
                <w:color w:val="auto"/>
              </w:rPr>
              <w:t>(v)</w:t>
            </w:r>
          </w:p>
        </w:tc>
        <w:tc>
          <w:tcPr>
            <w:tcW w:w="5120" w:type="dxa"/>
            <w:vAlign w:val="bottom"/>
            <w:tcBorders>
              <w:right w:val="single" w:sz="8" w:color="auto"/>
            </w:tcBorders>
          </w:tcPr>
          <w:p>
            <w:pPr>
              <w:ind w:left="140"/>
              <w:spacing w:after="0"/>
              <w:rPr>
                <w:sz w:val="20"/>
                <w:szCs w:val="20"/>
                <w:color w:val="auto"/>
              </w:rPr>
            </w:pPr>
            <w:r>
              <w:rPr>
                <w:rFonts w:ascii="Arial" w:cs="Arial" w:eastAsia="Arial" w:hAnsi="Arial"/>
                <w:sz w:val="12"/>
                <w:szCs w:val="12"/>
                <w:color w:val="auto"/>
              </w:rPr>
              <w:t>an increase of capital out of equity, against contribution in kind, or for the purpose of</w:t>
            </w:r>
          </w:p>
        </w:tc>
        <w:tc>
          <w:tcPr>
            <w:tcW w:w="220" w:type="dxa"/>
            <w:vAlign w:val="bottom"/>
            <w:tcBorders>
              <w:righ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5100" w:type="dxa"/>
            <w:vAlign w:val="bottom"/>
            <w:tcBorders>
              <w:right w:val="single" w:sz="8" w:color="auto"/>
            </w:tcBorders>
            <w:gridSpan w:val="2"/>
          </w:tcPr>
          <w:p>
            <w:pPr>
              <w:ind w:left="20"/>
              <w:spacing w:after="0"/>
              <w:rPr>
                <w:sz w:val="20"/>
                <w:szCs w:val="20"/>
                <w:color w:val="auto"/>
              </w:rPr>
            </w:pPr>
            <w:r>
              <w:rPr>
                <w:rFonts w:ascii="Arial" w:cs="Arial" w:eastAsia="Arial" w:hAnsi="Arial"/>
                <w:sz w:val="12"/>
                <w:szCs w:val="12"/>
                <w:color w:val="auto"/>
              </w:rPr>
              <w:t>(v)   l'augmentation du capital-actions au moyen des fonds propres, contre apport en nature</w:t>
            </w:r>
          </w:p>
        </w:tc>
        <w:tc>
          <w:tcPr>
            <w:tcW w:w="0" w:type="dxa"/>
            <w:vAlign w:val="bottom"/>
          </w:tcPr>
          <w:p>
            <w:pPr>
              <w:spacing w:after="0"/>
              <w:rPr>
                <w:sz w:val="1"/>
                <w:szCs w:val="1"/>
                <w:color w:val="auto"/>
              </w:rPr>
            </w:pPr>
          </w:p>
        </w:tc>
      </w:tr>
      <w:tr>
        <w:trPr>
          <w:trHeight w:val="145"/>
        </w:trPr>
        <w:tc>
          <w:tcPr>
            <w:tcW w:w="220" w:type="dxa"/>
            <w:vAlign w:val="bottom"/>
            <w:tcBorders>
              <w:lef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acquisition of assets and the granting of special benefits;</w:t>
            </w:r>
          </w:p>
        </w:tc>
        <w:tc>
          <w:tcPr>
            <w:tcW w:w="22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6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ou en vue d'une reprise de biens et l'octroi d'avantages particuliers;</w:t>
            </w:r>
          </w:p>
        </w:tc>
        <w:tc>
          <w:tcPr>
            <w:tcW w:w="0" w:type="dxa"/>
            <w:vAlign w:val="bottom"/>
          </w:tcPr>
          <w:p>
            <w:pPr>
              <w:spacing w:after="0"/>
              <w:rPr>
                <w:sz w:val="1"/>
                <w:szCs w:val="1"/>
                <w:color w:val="auto"/>
              </w:rPr>
            </w:pPr>
          </w:p>
        </w:tc>
      </w:tr>
      <w:tr>
        <w:trPr>
          <w:trHeight w:val="270"/>
        </w:trPr>
        <w:tc>
          <w:tcPr>
            <w:tcW w:w="220" w:type="dxa"/>
            <w:vAlign w:val="bottom"/>
            <w:tcBorders>
              <w:left w:val="single" w:sz="8" w:color="auto"/>
            </w:tcBorders>
          </w:tcPr>
          <w:p>
            <w:pPr>
              <w:spacing w:after="0"/>
              <w:rPr>
                <w:sz w:val="23"/>
                <w:szCs w:val="23"/>
                <w:color w:val="auto"/>
              </w:rPr>
            </w:pPr>
          </w:p>
        </w:tc>
        <w:tc>
          <w:tcPr>
            <w:tcW w:w="5440" w:type="dxa"/>
            <w:vAlign w:val="bottom"/>
            <w:tcBorders>
              <w:right w:val="single" w:sz="8" w:color="auto"/>
            </w:tcBorders>
            <w:gridSpan w:val="2"/>
          </w:tcPr>
          <w:p>
            <w:pPr>
              <w:ind w:left="80"/>
              <w:spacing w:after="0"/>
              <w:rPr>
                <w:sz w:val="20"/>
                <w:szCs w:val="20"/>
                <w:color w:val="auto"/>
              </w:rPr>
            </w:pPr>
            <w:r>
              <w:rPr>
                <w:rFonts w:ascii="Arial" w:cs="Arial" w:eastAsia="Arial" w:hAnsi="Arial"/>
                <w:sz w:val="12"/>
                <w:szCs w:val="12"/>
                <w:color w:val="auto"/>
              </w:rPr>
              <w:t>(vi)  the limitation or withdrawal of subscription rights;</w:t>
            </w:r>
          </w:p>
        </w:tc>
        <w:tc>
          <w:tcPr>
            <w:tcW w:w="220" w:type="dxa"/>
            <w:vAlign w:val="bottom"/>
            <w:tcBorders>
              <w:right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5100" w:type="dxa"/>
            <w:vAlign w:val="bottom"/>
            <w:tcBorders>
              <w:right w:val="single" w:sz="8" w:color="auto"/>
            </w:tcBorders>
            <w:gridSpan w:val="2"/>
          </w:tcPr>
          <w:p>
            <w:pPr>
              <w:ind w:left="20"/>
              <w:spacing w:after="0"/>
              <w:rPr>
                <w:sz w:val="20"/>
                <w:szCs w:val="20"/>
                <w:color w:val="auto"/>
              </w:rPr>
            </w:pPr>
            <w:r>
              <w:rPr>
                <w:rFonts w:ascii="Arial" w:cs="Arial" w:eastAsia="Arial" w:hAnsi="Arial"/>
                <w:sz w:val="12"/>
                <w:szCs w:val="12"/>
                <w:color w:val="auto"/>
              </w:rPr>
              <w:t>(vi)  la limitation ou la suppression du droit de souscription préférentiel;</w:t>
            </w:r>
          </w:p>
        </w:tc>
        <w:tc>
          <w:tcPr>
            <w:tcW w:w="0" w:type="dxa"/>
            <w:vAlign w:val="bottom"/>
          </w:tcPr>
          <w:p>
            <w:pPr>
              <w:spacing w:after="0"/>
              <w:rPr>
                <w:sz w:val="1"/>
                <w:szCs w:val="1"/>
                <w:color w:val="auto"/>
              </w:rPr>
            </w:pPr>
          </w:p>
        </w:tc>
      </w:tr>
      <w:tr>
        <w:trPr>
          <w:trHeight w:val="270"/>
        </w:trPr>
        <w:tc>
          <w:tcPr>
            <w:tcW w:w="220" w:type="dxa"/>
            <w:vAlign w:val="bottom"/>
            <w:tcBorders>
              <w:left w:val="single" w:sz="8" w:color="auto"/>
            </w:tcBorders>
          </w:tcPr>
          <w:p>
            <w:pPr>
              <w:spacing w:after="0"/>
              <w:rPr>
                <w:sz w:val="23"/>
                <w:szCs w:val="23"/>
                <w:color w:val="auto"/>
              </w:rPr>
            </w:pPr>
          </w:p>
        </w:tc>
        <w:tc>
          <w:tcPr>
            <w:tcW w:w="320" w:type="dxa"/>
            <w:vAlign w:val="bottom"/>
          </w:tcPr>
          <w:p>
            <w:pPr>
              <w:ind w:left="80"/>
              <w:spacing w:after="0"/>
              <w:rPr>
                <w:sz w:val="20"/>
                <w:szCs w:val="20"/>
                <w:color w:val="auto"/>
              </w:rPr>
            </w:pPr>
            <w:r>
              <w:rPr>
                <w:rFonts w:ascii="Arial" w:cs="Arial" w:eastAsia="Arial" w:hAnsi="Arial"/>
                <w:sz w:val="12"/>
                <w:szCs w:val="12"/>
                <w:color w:val="auto"/>
              </w:rPr>
              <w:t>(vii)</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the change of the domicile of the Company; and</w:t>
            </w:r>
          </w:p>
        </w:tc>
        <w:tc>
          <w:tcPr>
            <w:tcW w:w="220" w:type="dxa"/>
            <w:vAlign w:val="bottom"/>
            <w:tcBorders>
              <w:right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240" w:type="dxa"/>
            <w:vAlign w:val="bottom"/>
          </w:tcPr>
          <w:p>
            <w:pPr>
              <w:ind w:left="20"/>
              <w:spacing w:after="0"/>
              <w:rPr>
                <w:sz w:val="20"/>
                <w:szCs w:val="20"/>
                <w:color w:val="auto"/>
              </w:rPr>
            </w:pPr>
            <w:r>
              <w:rPr>
                <w:rFonts w:ascii="Arial" w:cs="Arial" w:eastAsia="Arial" w:hAnsi="Arial"/>
                <w:sz w:val="12"/>
                <w:szCs w:val="12"/>
                <w:color w:val="auto"/>
              </w:rPr>
              <w:t>(vii)</w:t>
            </w:r>
          </w:p>
        </w:tc>
        <w:tc>
          <w:tcPr>
            <w:tcW w:w="486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le transfert du siège de la société; et</w:t>
            </w:r>
          </w:p>
        </w:tc>
        <w:tc>
          <w:tcPr>
            <w:tcW w:w="0" w:type="dxa"/>
            <w:vAlign w:val="bottom"/>
          </w:tcPr>
          <w:p>
            <w:pPr>
              <w:spacing w:after="0"/>
              <w:rPr>
                <w:sz w:val="1"/>
                <w:szCs w:val="1"/>
                <w:color w:val="auto"/>
              </w:rPr>
            </w:pPr>
          </w:p>
        </w:tc>
      </w:tr>
      <w:tr>
        <w:trPr>
          <w:trHeight w:val="270"/>
        </w:trPr>
        <w:tc>
          <w:tcPr>
            <w:tcW w:w="220" w:type="dxa"/>
            <w:vAlign w:val="bottom"/>
            <w:tcBorders>
              <w:left w:val="single" w:sz="8" w:color="auto"/>
            </w:tcBorders>
          </w:tcPr>
          <w:p>
            <w:pPr>
              <w:spacing w:after="0"/>
              <w:rPr>
                <w:sz w:val="23"/>
                <w:szCs w:val="23"/>
                <w:color w:val="auto"/>
              </w:rPr>
            </w:pPr>
          </w:p>
        </w:tc>
        <w:tc>
          <w:tcPr>
            <w:tcW w:w="320" w:type="dxa"/>
            <w:vAlign w:val="bottom"/>
          </w:tcPr>
          <w:p>
            <w:pPr>
              <w:ind w:left="80"/>
              <w:spacing w:after="0"/>
              <w:rPr>
                <w:sz w:val="20"/>
                <w:szCs w:val="20"/>
                <w:color w:val="auto"/>
              </w:rPr>
            </w:pPr>
            <w:r>
              <w:rPr>
                <w:rFonts w:ascii="Arial" w:cs="Arial" w:eastAsia="Arial" w:hAnsi="Arial"/>
                <w:sz w:val="12"/>
                <w:szCs w:val="12"/>
                <w:color w:val="auto"/>
                <w:w w:val="99"/>
              </w:rPr>
              <w:t>(viii)</w:t>
            </w:r>
          </w:p>
        </w:tc>
        <w:tc>
          <w:tcPr>
            <w:tcW w:w="51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the liquidation of the Company;</w:t>
            </w:r>
          </w:p>
        </w:tc>
        <w:tc>
          <w:tcPr>
            <w:tcW w:w="220" w:type="dxa"/>
            <w:vAlign w:val="bottom"/>
            <w:tcBorders>
              <w:right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5100" w:type="dxa"/>
            <w:vAlign w:val="bottom"/>
            <w:tcBorders>
              <w:right w:val="single" w:sz="8" w:color="auto"/>
            </w:tcBorders>
            <w:gridSpan w:val="2"/>
          </w:tcPr>
          <w:p>
            <w:pPr>
              <w:ind w:left="20"/>
              <w:spacing w:after="0"/>
              <w:rPr>
                <w:sz w:val="20"/>
                <w:szCs w:val="20"/>
                <w:color w:val="auto"/>
              </w:rPr>
            </w:pPr>
            <w:r>
              <w:rPr>
                <w:rFonts w:ascii="Arial" w:cs="Arial" w:eastAsia="Arial" w:hAnsi="Arial"/>
                <w:sz w:val="12"/>
                <w:szCs w:val="12"/>
                <w:color w:val="auto"/>
              </w:rPr>
              <w:t>(viii) la dissolution de la société;</w:t>
            </w:r>
          </w:p>
        </w:tc>
        <w:tc>
          <w:tcPr>
            <w:tcW w:w="0" w:type="dxa"/>
            <w:vAlign w:val="bottom"/>
          </w:tcPr>
          <w:p>
            <w:pPr>
              <w:spacing w:after="0"/>
              <w:rPr>
                <w:sz w:val="1"/>
                <w:szCs w:val="1"/>
                <w:color w:val="auto"/>
              </w:rPr>
            </w:pPr>
          </w:p>
        </w:tc>
      </w:tr>
      <w:tr>
        <w:trPr>
          <w:trHeight w:val="270"/>
        </w:trPr>
        <w:tc>
          <w:tcPr>
            <w:tcW w:w="220" w:type="dxa"/>
            <w:vAlign w:val="bottom"/>
            <w:tcBorders>
              <w:left w:val="single" w:sz="8" w:color="auto"/>
            </w:tcBorders>
          </w:tcPr>
          <w:p>
            <w:pPr>
              <w:ind w:left="40"/>
              <w:spacing w:after="0"/>
              <w:rPr>
                <w:sz w:val="20"/>
                <w:szCs w:val="20"/>
                <w:color w:val="auto"/>
              </w:rPr>
            </w:pPr>
            <w:r>
              <w:rPr>
                <w:rFonts w:ascii="Arial" w:cs="Arial" w:eastAsia="Arial" w:hAnsi="Arial"/>
                <w:sz w:val="12"/>
                <w:szCs w:val="12"/>
                <w:color w:val="auto"/>
              </w:rPr>
              <w:t>b)</w:t>
            </w:r>
          </w:p>
        </w:tc>
        <w:tc>
          <w:tcPr>
            <w:tcW w:w="5440" w:type="dxa"/>
            <w:vAlign w:val="bottom"/>
            <w:tcBorders>
              <w:right w:val="single" w:sz="8" w:color="auto"/>
            </w:tcBorders>
            <w:gridSpan w:val="2"/>
          </w:tcPr>
          <w:p>
            <w:pPr>
              <w:ind w:left="160"/>
              <w:spacing w:after="0"/>
              <w:rPr>
                <w:sz w:val="20"/>
                <w:szCs w:val="20"/>
                <w:color w:val="auto"/>
              </w:rPr>
            </w:pPr>
            <w:r>
              <w:rPr>
                <w:rFonts w:ascii="Arial" w:cs="Arial" w:eastAsia="Arial" w:hAnsi="Arial"/>
                <w:sz w:val="12"/>
                <w:szCs w:val="12"/>
                <w:color w:val="auto"/>
              </w:rPr>
              <w:t>the merger, de-merger or conversion of the Company (subject to mandatory law);</w:t>
            </w:r>
          </w:p>
        </w:tc>
        <w:tc>
          <w:tcPr>
            <w:tcW w:w="220" w:type="dxa"/>
            <w:vAlign w:val="bottom"/>
            <w:tcBorders>
              <w:right w:val="single" w:sz="8" w:color="auto"/>
            </w:tcBorders>
          </w:tcPr>
          <w:p>
            <w:pPr>
              <w:spacing w:after="0"/>
              <w:rPr>
                <w:sz w:val="23"/>
                <w:szCs w:val="23"/>
                <w:color w:val="auto"/>
              </w:rPr>
            </w:pPr>
          </w:p>
        </w:tc>
        <w:tc>
          <w:tcPr>
            <w:tcW w:w="320" w:type="dxa"/>
            <w:vAlign w:val="bottom"/>
            <w:vMerge w:val="restart"/>
          </w:tcPr>
          <w:p>
            <w:pPr>
              <w:ind w:left="40"/>
              <w:spacing w:after="0"/>
              <w:rPr>
                <w:sz w:val="20"/>
                <w:szCs w:val="20"/>
                <w:color w:val="auto"/>
              </w:rPr>
            </w:pPr>
            <w:r>
              <w:rPr>
                <w:rFonts w:ascii="Arial" w:cs="Arial" w:eastAsia="Arial" w:hAnsi="Arial"/>
                <w:sz w:val="12"/>
                <w:szCs w:val="12"/>
                <w:color w:val="auto"/>
              </w:rPr>
              <w:t>b)</w:t>
            </w:r>
          </w:p>
        </w:tc>
        <w:tc>
          <w:tcPr>
            <w:tcW w:w="240" w:type="dxa"/>
            <w:vAlign w:val="bottom"/>
          </w:tcPr>
          <w:p>
            <w:pPr>
              <w:spacing w:after="0"/>
              <w:rPr>
                <w:sz w:val="23"/>
                <w:szCs w:val="23"/>
                <w:color w:val="auto"/>
              </w:rPr>
            </w:pPr>
          </w:p>
        </w:tc>
        <w:tc>
          <w:tcPr>
            <w:tcW w:w="48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2"/>
                <w:szCs w:val="12"/>
                <w:color w:val="auto"/>
              </w:rPr>
              <w:t>la fusion, la scission ou la conversion de la société (sous réserve des dispositions</w:t>
            </w:r>
          </w:p>
        </w:tc>
        <w:tc>
          <w:tcPr>
            <w:tcW w:w="0" w:type="dxa"/>
            <w:vAlign w:val="bottom"/>
          </w:tcPr>
          <w:p>
            <w:pPr>
              <w:spacing w:after="0"/>
              <w:rPr>
                <w:sz w:val="1"/>
                <w:szCs w:val="1"/>
                <w:color w:val="auto"/>
              </w:rPr>
            </w:pPr>
          </w:p>
        </w:tc>
      </w:tr>
      <w:tr>
        <w:trPr>
          <w:trHeight w:val="125"/>
        </w:trPr>
        <w:tc>
          <w:tcPr>
            <w:tcW w:w="220" w:type="dxa"/>
            <w:vAlign w:val="bottom"/>
            <w:tcBorders>
              <w:lef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5120" w:type="dxa"/>
            <w:vAlign w:val="bottom"/>
            <w:tcBorders>
              <w:right w:val="single" w:sz="8" w:color="auto"/>
            </w:tcBorders>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3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48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56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2"/>
                <w:szCs w:val="12"/>
                <w:color w:val="auto"/>
              </w:rPr>
              <w:t>c)  the alleviating or withdrawal of restrictions upon the transfer of registered shares;</w:t>
            </w:r>
          </w:p>
        </w:tc>
        <w:tc>
          <w:tcPr>
            <w:tcW w:w="22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5100" w:type="dxa"/>
            <w:vAlign w:val="bottom"/>
            <w:tcBorders>
              <w:right w:val="single" w:sz="8" w:color="auto"/>
            </w:tcBorders>
            <w:gridSpan w:val="2"/>
          </w:tcPr>
          <w:p>
            <w:pPr>
              <w:ind w:left="20"/>
              <w:spacing w:after="0"/>
              <w:rPr>
                <w:sz w:val="20"/>
                <w:szCs w:val="20"/>
                <w:color w:val="auto"/>
              </w:rPr>
            </w:pPr>
            <w:r>
              <w:rPr>
                <w:rFonts w:ascii="Arial" w:cs="Arial" w:eastAsia="Arial" w:hAnsi="Arial"/>
                <w:sz w:val="12"/>
                <w:szCs w:val="12"/>
                <w:color w:val="auto"/>
              </w:rPr>
              <w:t>impératives);</w:t>
            </w:r>
          </w:p>
        </w:tc>
        <w:tc>
          <w:tcPr>
            <w:tcW w:w="0" w:type="dxa"/>
            <w:vAlign w:val="bottom"/>
          </w:tcPr>
          <w:p>
            <w:pPr>
              <w:spacing w:after="0"/>
              <w:rPr>
                <w:sz w:val="1"/>
                <w:szCs w:val="1"/>
                <w:color w:val="auto"/>
              </w:rPr>
            </w:pPr>
          </w:p>
        </w:tc>
      </w:tr>
      <w:tr>
        <w:trPr>
          <w:trHeight w:val="270"/>
        </w:trPr>
        <w:tc>
          <w:tcPr>
            <w:tcW w:w="56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2"/>
                <w:szCs w:val="12"/>
                <w:color w:val="auto"/>
              </w:rPr>
              <w:t>d)   the conversion of registered shares into bearer shares and vice versa; and</w:t>
            </w:r>
          </w:p>
        </w:tc>
        <w:tc>
          <w:tcPr>
            <w:tcW w:w="220" w:type="dxa"/>
            <w:vAlign w:val="bottom"/>
            <w:tcBorders>
              <w:right w:val="single" w:sz="8" w:color="auto"/>
            </w:tcBorders>
          </w:tcPr>
          <w:p>
            <w:pPr>
              <w:spacing w:after="0"/>
              <w:rPr>
                <w:sz w:val="23"/>
                <w:szCs w:val="23"/>
                <w:color w:val="auto"/>
              </w:rPr>
            </w:pPr>
          </w:p>
        </w:tc>
        <w:tc>
          <w:tcPr>
            <w:tcW w:w="320" w:type="dxa"/>
            <w:vAlign w:val="bottom"/>
          </w:tcPr>
          <w:p>
            <w:pPr>
              <w:ind w:left="40"/>
              <w:spacing w:after="0"/>
              <w:rPr>
                <w:sz w:val="20"/>
                <w:szCs w:val="20"/>
                <w:color w:val="auto"/>
              </w:rPr>
            </w:pPr>
            <w:r>
              <w:rPr>
                <w:rFonts w:ascii="Arial" w:cs="Arial" w:eastAsia="Arial" w:hAnsi="Arial"/>
                <w:sz w:val="12"/>
                <w:szCs w:val="12"/>
                <w:color w:val="auto"/>
              </w:rPr>
              <w:t>c)</w:t>
            </w:r>
          </w:p>
        </w:tc>
        <w:tc>
          <w:tcPr>
            <w:tcW w:w="5100" w:type="dxa"/>
            <w:vAlign w:val="bottom"/>
            <w:tcBorders>
              <w:right w:val="single" w:sz="8" w:color="auto"/>
            </w:tcBorders>
            <w:gridSpan w:val="2"/>
          </w:tcPr>
          <w:p>
            <w:pPr>
              <w:ind w:left="20"/>
              <w:spacing w:after="0"/>
              <w:rPr>
                <w:sz w:val="20"/>
                <w:szCs w:val="20"/>
                <w:color w:val="auto"/>
              </w:rPr>
            </w:pPr>
            <w:r>
              <w:rPr>
                <w:rFonts w:ascii="Arial" w:cs="Arial" w:eastAsia="Arial" w:hAnsi="Arial"/>
                <w:sz w:val="12"/>
                <w:szCs w:val="12"/>
                <w:color w:val="auto"/>
              </w:rPr>
              <w:t>l'atténuation ou la suppression des restrictions sur le transfert des actions nominatives;</w:t>
            </w:r>
          </w:p>
        </w:tc>
        <w:tc>
          <w:tcPr>
            <w:tcW w:w="0" w:type="dxa"/>
            <w:vAlign w:val="bottom"/>
          </w:tcPr>
          <w:p>
            <w:pPr>
              <w:spacing w:after="0"/>
              <w:rPr>
                <w:sz w:val="1"/>
                <w:szCs w:val="1"/>
                <w:color w:val="auto"/>
              </w:rPr>
            </w:pPr>
          </w:p>
        </w:tc>
      </w:tr>
      <w:tr>
        <w:trPr>
          <w:trHeight w:val="260"/>
        </w:trPr>
        <w:tc>
          <w:tcPr>
            <w:tcW w:w="56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2"/>
                <w:szCs w:val="12"/>
                <w:color w:val="auto"/>
              </w:rPr>
              <w:t>e)   the amendment or elimination of the provisions of Article 4 and 29 of the Articles of Association as</w:t>
            </w:r>
          </w:p>
        </w:tc>
        <w:tc>
          <w:tcPr>
            <w:tcW w:w="220" w:type="dxa"/>
            <w:vAlign w:val="bottom"/>
            <w:tcBorders>
              <w:right w:val="single" w:sz="8" w:color="auto"/>
            </w:tcBorders>
          </w:tcPr>
          <w:p>
            <w:pPr>
              <w:spacing w:after="0"/>
              <w:rPr>
                <w:sz w:val="22"/>
                <w:szCs w:val="22"/>
                <w:color w:val="auto"/>
              </w:rPr>
            </w:pPr>
          </w:p>
        </w:tc>
        <w:tc>
          <w:tcPr>
            <w:tcW w:w="320" w:type="dxa"/>
            <w:vAlign w:val="bottom"/>
          </w:tcPr>
          <w:p>
            <w:pPr>
              <w:ind w:left="40"/>
              <w:spacing w:after="0"/>
              <w:rPr>
                <w:sz w:val="20"/>
                <w:szCs w:val="20"/>
                <w:color w:val="auto"/>
              </w:rPr>
            </w:pPr>
            <w:r>
              <w:rPr>
                <w:rFonts w:ascii="Arial" w:cs="Arial" w:eastAsia="Arial" w:hAnsi="Arial"/>
                <w:sz w:val="12"/>
                <w:szCs w:val="12"/>
                <w:color w:val="auto"/>
              </w:rPr>
              <w:t>d)</w:t>
            </w:r>
          </w:p>
        </w:tc>
        <w:tc>
          <w:tcPr>
            <w:tcW w:w="5100" w:type="dxa"/>
            <w:vAlign w:val="bottom"/>
            <w:tcBorders>
              <w:right w:val="single" w:sz="8" w:color="auto"/>
            </w:tcBorders>
            <w:gridSpan w:val="2"/>
          </w:tcPr>
          <w:p>
            <w:pPr>
              <w:ind w:left="20"/>
              <w:spacing w:after="0"/>
              <w:rPr>
                <w:sz w:val="20"/>
                <w:szCs w:val="20"/>
                <w:color w:val="auto"/>
              </w:rPr>
            </w:pPr>
            <w:r>
              <w:rPr>
                <w:rFonts w:ascii="Arial" w:cs="Arial" w:eastAsia="Arial" w:hAnsi="Arial"/>
                <w:sz w:val="12"/>
                <w:szCs w:val="12"/>
                <w:color w:val="auto"/>
              </w:rPr>
              <w:t>la conversion d'actions nominatives en actions au porteur et vice versa; et</w:t>
            </w:r>
          </w:p>
        </w:tc>
        <w:tc>
          <w:tcPr>
            <w:tcW w:w="0" w:type="dxa"/>
            <w:vAlign w:val="bottom"/>
          </w:tcPr>
          <w:p>
            <w:pPr>
              <w:spacing w:after="0"/>
              <w:rPr>
                <w:sz w:val="1"/>
                <w:szCs w:val="1"/>
                <w:color w:val="auto"/>
              </w:rPr>
            </w:pPr>
          </w:p>
        </w:tc>
      </w:tr>
      <w:tr>
        <w:trPr>
          <w:trHeight w:val="145"/>
        </w:trPr>
        <w:tc>
          <w:tcPr>
            <w:tcW w:w="220" w:type="dxa"/>
            <w:vAlign w:val="bottom"/>
            <w:tcBorders>
              <w:left w:val="single" w:sz="8" w:color="auto"/>
            </w:tcBorders>
          </w:tcPr>
          <w:p>
            <w:pPr>
              <w:spacing w:after="0"/>
              <w:rPr>
                <w:sz w:val="12"/>
                <w:szCs w:val="12"/>
                <w:color w:val="auto"/>
              </w:rPr>
            </w:pPr>
          </w:p>
        </w:tc>
        <w:tc>
          <w:tcPr>
            <w:tcW w:w="5440" w:type="dxa"/>
            <w:vAlign w:val="bottom"/>
            <w:tcBorders>
              <w:right w:val="single" w:sz="8" w:color="auto"/>
            </w:tcBorders>
            <w:gridSpan w:val="2"/>
          </w:tcPr>
          <w:p>
            <w:pPr>
              <w:ind w:left="80"/>
              <w:spacing w:after="0"/>
              <w:rPr>
                <w:sz w:val="20"/>
                <w:szCs w:val="20"/>
                <w:color w:val="auto"/>
              </w:rPr>
            </w:pPr>
            <w:r>
              <w:rPr>
                <w:rFonts w:ascii="Arial" w:cs="Arial" w:eastAsia="Arial" w:hAnsi="Arial"/>
                <w:sz w:val="12"/>
                <w:szCs w:val="12"/>
                <w:color w:val="auto"/>
              </w:rPr>
              <w:t>well as those contained in this Article 17.</w:t>
            </w:r>
          </w:p>
        </w:tc>
        <w:tc>
          <w:tcPr>
            <w:tcW w:w="220" w:type="dxa"/>
            <w:vAlign w:val="bottom"/>
            <w:tcBorders>
              <w:right w:val="single" w:sz="8" w:color="auto"/>
            </w:tcBorders>
          </w:tcPr>
          <w:p>
            <w:pPr>
              <w:spacing w:after="0"/>
              <w:rPr>
                <w:sz w:val="12"/>
                <w:szCs w:val="12"/>
                <w:color w:val="auto"/>
              </w:rPr>
            </w:pPr>
          </w:p>
        </w:tc>
        <w:tc>
          <w:tcPr>
            <w:tcW w:w="320" w:type="dxa"/>
            <w:vAlign w:val="bottom"/>
            <w:vMerge w:val="restart"/>
          </w:tcPr>
          <w:p>
            <w:pPr>
              <w:ind w:left="40"/>
              <w:spacing w:after="0"/>
              <w:rPr>
                <w:sz w:val="20"/>
                <w:szCs w:val="20"/>
                <w:color w:val="auto"/>
              </w:rPr>
            </w:pPr>
            <w:r>
              <w:rPr>
                <w:rFonts w:ascii="Arial" w:cs="Arial" w:eastAsia="Arial" w:hAnsi="Arial"/>
                <w:sz w:val="12"/>
                <w:szCs w:val="12"/>
                <w:color w:val="auto"/>
              </w:rPr>
              <w:t>e)</w:t>
            </w:r>
          </w:p>
        </w:tc>
        <w:tc>
          <w:tcPr>
            <w:tcW w:w="5100" w:type="dxa"/>
            <w:vAlign w:val="bottom"/>
            <w:tcBorders>
              <w:right w:val="single" w:sz="8" w:color="auto"/>
            </w:tcBorders>
            <w:gridSpan w:val="2"/>
            <w:vMerge w:val="restart"/>
          </w:tcPr>
          <w:p>
            <w:pPr>
              <w:jc w:val="right"/>
              <w:spacing w:after="0"/>
              <w:rPr>
                <w:sz w:val="20"/>
                <w:szCs w:val="20"/>
                <w:color w:val="auto"/>
              </w:rPr>
            </w:pPr>
            <w:r>
              <w:rPr>
                <w:rFonts w:ascii="Arial" w:cs="Arial" w:eastAsia="Arial" w:hAnsi="Arial"/>
                <w:sz w:val="12"/>
                <w:szCs w:val="12"/>
                <w:color w:val="auto"/>
              </w:rPr>
              <w:t>la modification ou la suppression des dispositions des articles 4 et 29 des statuts ainsi que</w:t>
            </w:r>
          </w:p>
        </w:tc>
        <w:tc>
          <w:tcPr>
            <w:tcW w:w="0" w:type="dxa"/>
            <w:vAlign w:val="bottom"/>
          </w:tcPr>
          <w:p>
            <w:pPr>
              <w:spacing w:after="0"/>
              <w:rPr>
                <w:sz w:val="1"/>
                <w:szCs w:val="1"/>
                <w:color w:val="auto"/>
              </w:rPr>
            </w:pPr>
          </w:p>
        </w:tc>
      </w:tr>
      <w:tr>
        <w:trPr>
          <w:trHeight w:val="125"/>
        </w:trPr>
        <w:tc>
          <w:tcPr>
            <w:tcW w:w="220" w:type="dxa"/>
            <w:vAlign w:val="bottom"/>
            <w:tcBorders>
              <w:lef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5120" w:type="dxa"/>
            <w:vAlign w:val="bottom"/>
            <w:tcBorders>
              <w:right w:val="single" w:sz="8" w:color="auto"/>
            </w:tcBorders>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320" w:type="dxa"/>
            <w:vAlign w:val="bottom"/>
            <w:vMerge w:val="continue"/>
          </w:tcPr>
          <w:p>
            <w:pPr>
              <w:spacing w:after="0"/>
              <w:rPr>
                <w:sz w:val="10"/>
                <w:szCs w:val="10"/>
                <w:color w:val="auto"/>
              </w:rPr>
            </w:pPr>
          </w:p>
        </w:tc>
        <w:tc>
          <w:tcPr>
            <w:tcW w:w="510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20" w:type="dxa"/>
            <w:vAlign w:val="bottom"/>
            <w:tcBorders>
              <w:lef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512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5100" w:type="dxa"/>
            <w:vAlign w:val="bottom"/>
            <w:tcBorders>
              <w:right w:val="single" w:sz="8" w:color="auto"/>
            </w:tcBorders>
            <w:gridSpan w:val="2"/>
          </w:tcPr>
          <w:p>
            <w:pPr>
              <w:ind w:left="20"/>
              <w:spacing w:after="0"/>
              <w:rPr>
                <w:sz w:val="20"/>
                <w:szCs w:val="20"/>
                <w:color w:val="auto"/>
              </w:rPr>
            </w:pPr>
            <w:r>
              <w:rPr>
                <w:rFonts w:ascii="Arial" w:cs="Arial" w:eastAsia="Arial" w:hAnsi="Arial"/>
                <w:sz w:val="12"/>
                <w:szCs w:val="12"/>
                <w:color w:val="auto"/>
              </w:rPr>
              <w:t>ceux contenues dans le présent article 17.</w:t>
            </w:r>
          </w:p>
        </w:tc>
        <w:tc>
          <w:tcPr>
            <w:tcW w:w="0" w:type="dxa"/>
            <w:vAlign w:val="bottom"/>
          </w:tcPr>
          <w:p>
            <w:pPr>
              <w:spacing w:after="0"/>
              <w:rPr>
                <w:sz w:val="1"/>
                <w:szCs w:val="1"/>
                <w:color w:val="auto"/>
              </w:rPr>
            </w:pPr>
          </w:p>
        </w:tc>
      </w:tr>
      <w:tr>
        <w:trPr>
          <w:trHeight w:val="36"/>
        </w:trPr>
        <w:tc>
          <w:tcPr>
            <w:tcW w:w="220" w:type="dxa"/>
            <w:vAlign w:val="bottom"/>
            <w:tcBorders>
              <w:left w:val="single" w:sz="8" w:color="auto"/>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8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93"/>
        </w:trPr>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211" w:right="299" w:bottom="1440" w:gutter="0" w:footer="0" w:header="0"/>
        </w:sectPr>
      </w:pPr>
    </w:p>
    <w:bookmarkStart w:id="62" w:name="page63"/>
    <w:bookmarkEnd w:id="6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45"/>
        </w:trPr>
        <w:tc>
          <w:tcPr>
            <w:tcW w:w="58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40" w:type="dxa"/>
            <w:vAlign w:val="bottom"/>
          </w:tcPr>
          <w:p>
            <w:pPr>
              <w:jc w:val="right"/>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63"/>
        </w:trPr>
        <w:tc>
          <w:tcPr>
            <w:tcW w:w="580" w:type="dxa"/>
            <w:vAlign w:val="bottom"/>
            <w:tcBorders>
              <w:bottom w:val="single" w:sz="8" w:color="auto"/>
            </w:tcBorders>
          </w:tcPr>
          <w:p>
            <w:pPr>
              <w:spacing w:after="0"/>
              <w:rPr>
                <w:sz w:val="5"/>
                <w:szCs w:val="5"/>
                <w:color w:val="auto"/>
              </w:rPr>
            </w:pPr>
          </w:p>
        </w:tc>
        <w:tc>
          <w:tcPr>
            <w:tcW w:w="50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4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580" w:type="dxa"/>
            <w:vAlign w:val="bottom"/>
            <w:tcBorders>
              <w:left w:val="single" w:sz="8" w:color="auto"/>
            </w:tcBorders>
          </w:tcPr>
          <w:p>
            <w:pPr>
              <w:ind w:left="40"/>
              <w:spacing w:after="0"/>
              <w:rPr>
                <w:sz w:val="20"/>
                <w:szCs w:val="20"/>
                <w:color w:val="auto"/>
              </w:rPr>
            </w:pPr>
            <w:r>
              <w:rPr>
                <w:rFonts w:ascii="Arial" w:cs="Arial" w:eastAsia="Arial" w:hAnsi="Arial"/>
                <w:sz w:val="12"/>
                <w:szCs w:val="12"/>
                <w:b w:val="1"/>
                <w:bCs w:val="1"/>
                <w:color w:val="auto"/>
              </w:rPr>
              <w:t>Art.18</w:t>
            </w:r>
          </w:p>
        </w:tc>
        <w:tc>
          <w:tcPr>
            <w:tcW w:w="5080" w:type="dxa"/>
            <w:vAlign w:val="bottom"/>
            <w:tcBorders>
              <w:right w:val="single" w:sz="8" w:color="auto"/>
            </w:tcBorders>
          </w:tcPr>
          <w:p>
            <w:pPr>
              <w:spacing w:after="0"/>
              <w:rPr>
                <w:sz w:val="20"/>
                <w:szCs w:val="20"/>
                <w:color w:val="auto"/>
              </w:rPr>
            </w:pPr>
            <w:r>
              <w:rPr>
                <w:rFonts w:ascii="Arial" w:cs="Arial" w:eastAsia="Arial" w:hAnsi="Arial"/>
                <w:sz w:val="12"/>
                <w:szCs w:val="12"/>
                <w:b w:val="1"/>
                <w:bCs w:val="1"/>
                <w:color w:val="auto"/>
              </w:rPr>
              <w:t>Votes on Compensation</w:t>
            </w:r>
          </w:p>
        </w:tc>
        <w:tc>
          <w:tcPr>
            <w:tcW w:w="220" w:type="dxa"/>
            <w:vAlign w:val="bottom"/>
            <w:tcBorders>
              <w:right w:val="single" w:sz="8" w:color="auto"/>
            </w:tcBorders>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Art. 18</w:t>
            </w:r>
          </w:p>
        </w:tc>
        <w:tc>
          <w:tcPr>
            <w:tcW w:w="4840" w:type="dxa"/>
            <w:vAlign w:val="bottom"/>
            <w:tcBorders>
              <w:right w:val="single" w:sz="8" w:color="auto"/>
            </w:tcBorders>
          </w:tcPr>
          <w:p>
            <w:pPr>
              <w:jc w:val="right"/>
              <w:ind w:right="3280"/>
              <w:spacing w:after="0"/>
              <w:rPr>
                <w:sz w:val="20"/>
                <w:szCs w:val="20"/>
                <w:color w:val="auto"/>
              </w:rPr>
            </w:pPr>
            <w:r>
              <w:rPr>
                <w:rFonts w:ascii="Arial" w:cs="Arial" w:eastAsia="Arial" w:hAnsi="Arial"/>
                <w:sz w:val="12"/>
                <w:szCs w:val="12"/>
                <w:b w:val="1"/>
                <w:bCs w:val="1"/>
                <w:color w:val="auto"/>
                <w:w w:val="99"/>
              </w:rPr>
              <w:t>Votes sur la rémunération</w:t>
            </w:r>
          </w:p>
        </w:tc>
        <w:tc>
          <w:tcPr>
            <w:tcW w:w="0" w:type="dxa"/>
            <w:vAlign w:val="bottom"/>
          </w:tcPr>
          <w:p>
            <w:pPr>
              <w:spacing w:after="0"/>
              <w:rPr>
                <w:sz w:val="1"/>
                <w:szCs w:val="1"/>
                <w:color w:val="auto"/>
              </w:rPr>
            </w:pPr>
          </w:p>
        </w:tc>
      </w:tr>
      <w:tr>
        <w:trPr>
          <w:trHeight w:val="260"/>
        </w:trPr>
        <w:tc>
          <w:tcPr>
            <w:tcW w:w="566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The General Meeting shall approve annually and separately the proposals of the Board of Directors in</w:t>
            </w:r>
          </w:p>
        </w:tc>
        <w:tc>
          <w:tcPr>
            <w:tcW w:w="220" w:type="dxa"/>
            <w:vAlign w:val="bottom"/>
            <w:tcBorders>
              <w:right w:val="single" w:sz="8" w:color="auto"/>
            </w:tcBorders>
          </w:tcPr>
          <w:p>
            <w:pPr>
              <w:spacing w:after="0"/>
              <w:rPr>
                <w:sz w:val="22"/>
                <w:szCs w:val="22"/>
                <w:color w:val="auto"/>
              </w:rPr>
            </w:pPr>
          </w:p>
        </w:tc>
        <w:tc>
          <w:tcPr>
            <w:tcW w:w="54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L'assemblée  générale  approuve  annuellement  et  séparément  les  propositions  du  conseil</w:t>
            </w:r>
          </w:p>
        </w:tc>
        <w:tc>
          <w:tcPr>
            <w:tcW w:w="0" w:type="dxa"/>
            <w:vAlign w:val="bottom"/>
          </w:tcPr>
          <w:p>
            <w:pPr>
              <w:spacing w:after="0"/>
              <w:rPr>
                <w:sz w:val="1"/>
                <w:szCs w:val="1"/>
                <w:color w:val="auto"/>
              </w:rPr>
            </w:pPr>
          </w:p>
        </w:tc>
      </w:tr>
      <w:tr>
        <w:trPr>
          <w:trHeight w:val="145"/>
        </w:trPr>
        <w:tc>
          <w:tcPr>
            <w:tcW w:w="566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relation to the maximum aggregate amount of:</w:t>
            </w:r>
          </w:p>
        </w:tc>
        <w:tc>
          <w:tcPr>
            <w:tcW w:w="220" w:type="dxa"/>
            <w:vAlign w:val="bottom"/>
            <w:tcBorders>
              <w:right w:val="single" w:sz="8" w:color="auto"/>
            </w:tcBorders>
          </w:tcPr>
          <w:p>
            <w:pPr>
              <w:spacing w:after="0"/>
              <w:rPr>
                <w:sz w:val="12"/>
                <w:szCs w:val="12"/>
                <w:color w:val="auto"/>
              </w:rPr>
            </w:pPr>
          </w:p>
        </w:tc>
        <w:tc>
          <w:tcPr>
            <w:tcW w:w="54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d’administration relatives au montant global maximal de:</w:t>
            </w:r>
          </w:p>
        </w:tc>
        <w:tc>
          <w:tcPr>
            <w:tcW w:w="0" w:type="dxa"/>
            <w:vAlign w:val="bottom"/>
          </w:tcPr>
          <w:p>
            <w:pPr>
              <w:spacing w:after="0"/>
              <w:rPr>
                <w:sz w:val="1"/>
                <w:szCs w:val="1"/>
                <w:color w:val="auto"/>
              </w:rPr>
            </w:pPr>
          </w:p>
        </w:tc>
      </w:tr>
      <w:tr>
        <w:trPr>
          <w:trHeight w:val="260"/>
        </w:trPr>
        <w:tc>
          <w:tcPr>
            <w:tcW w:w="566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a)  compensation of the Board of Directors for the period until the next Ordinary General Meeting;</w:t>
            </w:r>
          </w:p>
        </w:tc>
        <w:tc>
          <w:tcPr>
            <w:tcW w:w="220" w:type="dxa"/>
            <w:vAlign w:val="bottom"/>
            <w:tcBorders>
              <w:right w:val="single" w:sz="8" w:color="auto"/>
            </w:tcBorders>
          </w:tcPr>
          <w:p>
            <w:pPr>
              <w:spacing w:after="0"/>
              <w:rPr>
                <w:sz w:val="22"/>
                <w:szCs w:val="22"/>
                <w:color w:val="auto"/>
              </w:rPr>
            </w:pPr>
          </w:p>
        </w:tc>
        <w:tc>
          <w:tcPr>
            <w:tcW w:w="54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a)  la rémunération du conseil d'administration pour la période allant jusqu'à l'assemblée générale</w:t>
            </w:r>
          </w:p>
        </w:tc>
        <w:tc>
          <w:tcPr>
            <w:tcW w:w="0" w:type="dxa"/>
            <w:vAlign w:val="bottom"/>
          </w:tcPr>
          <w:p>
            <w:pPr>
              <w:spacing w:after="0"/>
              <w:rPr>
                <w:sz w:val="1"/>
                <w:szCs w:val="1"/>
                <w:color w:val="auto"/>
              </w:rPr>
            </w:pPr>
          </w:p>
        </w:tc>
      </w:tr>
      <w:tr>
        <w:trPr>
          <w:trHeight w:val="145"/>
        </w:trPr>
        <w:tc>
          <w:tcPr>
            <w:tcW w:w="5660" w:type="dxa"/>
            <w:vAlign w:val="bottom"/>
            <w:tcBorders>
              <w:left w:val="single" w:sz="8" w:color="auto"/>
              <w:right w:val="single" w:sz="8" w:color="auto"/>
            </w:tcBorders>
            <w:gridSpan w:val="2"/>
            <w:vMerge w:val="restart"/>
          </w:tcPr>
          <w:p>
            <w:pPr>
              <w:ind w:left="40"/>
              <w:spacing w:after="0"/>
              <w:rPr>
                <w:sz w:val="20"/>
                <w:szCs w:val="20"/>
                <w:color w:val="auto"/>
              </w:rPr>
            </w:pPr>
            <w:r>
              <w:rPr>
                <w:rFonts w:ascii="Arial" w:cs="Arial" w:eastAsia="Arial" w:hAnsi="Arial"/>
                <w:sz w:val="12"/>
                <w:szCs w:val="12"/>
                <w:color w:val="auto"/>
              </w:rPr>
              <w:t>b)  compensation of the Executive Committee for the following financial year.</w:t>
            </w:r>
          </w:p>
        </w:tc>
        <w:tc>
          <w:tcPr>
            <w:tcW w:w="220" w:type="dxa"/>
            <w:vAlign w:val="bottom"/>
            <w:tcBorders>
              <w:right w:val="single" w:sz="8" w:color="auto"/>
            </w:tcBorders>
          </w:tcPr>
          <w:p>
            <w:pPr>
              <w:spacing w:after="0"/>
              <w:rPr>
                <w:sz w:val="12"/>
                <w:szCs w:val="12"/>
                <w:color w:val="auto"/>
              </w:rPr>
            </w:pPr>
          </w:p>
        </w:tc>
        <w:tc>
          <w:tcPr>
            <w:tcW w:w="5420" w:type="dxa"/>
            <w:vAlign w:val="bottom"/>
            <w:tcBorders>
              <w:right w:val="single" w:sz="8" w:color="auto"/>
            </w:tcBorders>
            <w:gridSpan w:val="2"/>
          </w:tcPr>
          <w:p>
            <w:pPr>
              <w:ind w:left="260"/>
              <w:spacing w:after="0"/>
              <w:rPr>
                <w:sz w:val="20"/>
                <w:szCs w:val="20"/>
                <w:color w:val="auto"/>
              </w:rPr>
            </w:pPr>
            <w:r>
              <w:rPr>
                <w:rFonts w:ascii="Arial" w:cs="Arial" w:eastAsia="Arial" w:hAnsi="Arial"/>
                <w:sz w:val="12"/>
                <w:szCs w:val="12"/>
                <w:color w:val="auto"/>
              </w:rPr>
              <w:t>ordinaire suivante;</w:t>
            </w:r>
          </w:p>
        </w:tc>
        <w:tc>
          <w:tcPr>
            <w:tcW w:w="0" w:type="dxa"/>
            <w:vAlign w:val="bottom"/>
          </w:tcPr>
          <w:p>
            <w:pPr>
              <w:spacing w:after="0"/>
              <w:rPr>
                <w:sz w:val="1"/>
                <w:szCs w:val="1"/>
                <w:color w:val="auto"/>
              </w:rPr>
            </w:pPr>
          </w:p>
        </w:tc>
      </w:tr>
      <w:tr>
        <w:trPr>
          <w:trHeight w:val="135"/>
        </w:trPr>
        <w:tc>
          <w:tcPr>
            <w:tcW w:w="5660" w:type="dxa"/>
            <w:vAlign w:val="bottom"/>
            <w:tcBorders>
              <w:left w:val="single" w:sz="8" w:color="auto"/>
              <w:right w:val="single" w:sz="8" w:color="auto"/>
            </w:tcBorders>
            <w:gridSpan w:val="2"/>
            <w:vMerge w:val="continue"/>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2"/>
                <w:szCs w:val="12"/>
                <w:color w:val="auto"/>
              </w:rPr>
              <w:t>b)  la rémunération du comité exécutif pour l’exercice annuel suivant.</w:t>
            </w:r>
          </w:p>
        </w:tc>
        <w:tc>
          <w:tcPr>
            <w:tcW w:w="0" w:type="dxa"/>
            <w:vAlign w:val="bottom"/>
          </w:tcPr>
          <w:p>
            <w:pPr>
              <w:spacing w:after="0"/>
              <w:rPr>
                <w:sz w:val="1"/>
                <w:szCs w:val="1"/>
                <w:color w:val="auto"/>
              </w:rPr>
            </w:pPr>
          </w:p>
        </w:tc>
      </w:tr>
      <w:tr>
        <w:trPr>
          <w:trHeight w:val="135"/>
        </w:trPr>
        <w:tc>
          <w:tcPr>
            <w:tcW w:w="580" w:type="dxa"/>
            <w:vAlign w:val="bottom"/>
            <w:tcBorders>
              <w:left w:val="single" w:sz="8" w:color="auto"/>
            </w:tcBorders>
          </w:tcPr>
          <w:p>
            <w:pPr>
              <w:spacing w:after="0"/>
              <w:rPr>
                <w:sz w:val="11"/>
                <w:szCs w:val="11"/>
                <w:color w:val="auto"/>
              </w:rPr>
            </w:pPr>
          </w:p>
        </w:tc>
        <w:tc>
          <w:tcPr>
            <w:tcW w:w="5080" w:type="dxa"/>
            <w:vAlign w:val="bottom"/>
            <w:tcBorders>
              <w:right w:val="single" w:sz="8" w:color="auto"/>
            </w:tcBorders>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5660" w:type="dxa"/>
            <w:vAlign w:val="bottom"/>
            <w:tcBorders>
              <w:left w:val="single" w:sz="8" w:color="auto"/>
              <w:bottom w:val="single" w:sz="8" w:color="auto"/>
              <w:right w:val="single" w:sz="8" w:color="auto"/>
            </w:tcBorders>
            <w:gridSpan w:val="2"/>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54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566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The  respective  total  compensation  amounts  include  social  security  and  occupational  pension</w:t>
            </w:r>
          </w:p>
        </w:tc>
        <w:tc>
          <w:tcPr>
            <w:tcW w:w="220" w:type="dxa"/>
            <w:vAlign w:val="bottom"/>
            <w:tcBorders>
              <w:right w:val="single" w:sz="8" w:color="auto"/>
            </w:tcBorders>
          </w:tcPr>
          <w:p>
            <w:pPr>
              <w:spacing w:after="0"/>
              <w:rPr>
                <w:sz w:val="14"/>
                <w:szCs w:val="14"/>
                <w:color w:val="auto"/>
              </w:rPr>
            </w:pPr>
          </w:p>
        </w:tc>
        <w:tc>
          <w:tcPr>
            <w:tcW w:w="54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Les montants totaux de rémunération respectifs comprennent la sécurité sociale et les cotisations</w:t>
            </w:r>
          </w:p>
        </w:tc>
        <w:tc>
          <w:tcPr>
            <w:tcW w:w="0" w:type="dxa"/>
            <w:vAlign w:val="bottom"/>
          </w:tcPr>
          <w:p>
            <w:pPr>
              <w:spacing w:after="0"/>
              <w:rPr>
                <w:sz w:val="1"/>
                <w:szCs w:val="1"/>
                <w:color w:val="auto"/>
              </w:rPr>
            </w:pPr>
          </w:p>
        </w:tc>
      </w:tr>
      <w:tr>
        <w:trPr>
          <w:trHeight w:val="135"/>
        </w:trPr>
        <w:tc>
          <w:tcPr>
            <w:tcW w:w="566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contributions for the benefit of the members of the Board of Directors, the Executive Committee and the</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de retraite professionnelle au profit des membres du conseil d'administration, du comité exécutif et</w:t>
            </w:r>
          </w:p>
        </w:tc>
        <w:tc>
          <w:tcPr>
            <w:tcW w:w="0" w:type="dxa"/>
            <w:vAlign w:val="bottom"/>
          </w:tcPr>
          <w:p>
            <w:pPr>
              <w:spacing w:after="0"/>
              <w:rPr>
                <w:sz w:val="1"/>
                <w:szCs w:val="1"/>
                <w:color w:val="auto"/>
              </w:rPr>
            </w:pPr>
          </w:p>
        </w:tc>
      </w:tr>
      <w:tr>
        <w:trPr>
          <w:trHeight w:val="145"/>
        </w:trPr>
        <w:tc>
          <w:tcPr>
            <w:tcW w:w="580" w:type="dxa"/>
            <w:vAlign w:val="bottom"/>
            <w:tcBorders>
              <w:left w:val="single" w:sz="8" w:color="auto"/>
            </w:tcBorders>
          </w:tcPr>
          <w:p>
            <w:pPr>
              <w:ind w:left="40"/>
              <w:spacing w:after="0"/>
              <w:rPr>
                <w:sz w:val="20"/>
                <w:szCs w:val="20"/>
                <w:color w:val="auto"/>
              </w:rPr>
            </w:pPr>
            <w:r>
              <w:rPr>
                <w:rFonts w:ascii="Arial" w:cs="Arial" w:eastAsia="Arial" w:hAnsi="Arial"/>
                <w:sz w:val="12"/>
                <w:szCs w:val="12"/>
                <w:color w:val="auto"/>
                <w:w w:val="95"/>
              </w:rPr>
              <w:t>Company.</w:t>
            </w:r>
          </w:p>
        </w:tc>
        <w:tc>
          <w:tcPr>
            <w:tcW w:w="508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4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de la société.</w:t>
            </w:r>
          </w:p>
        </w:tc>
        <w:tc>
          <w:tcPr>
            <w:tcW w:w="0" w:type="dxa"/>
            <w:vAlign w:val="bottom"/>
          </w:tcPr>
          <w:p>
            <w:pPr>
              <w:spacing w:after="0"/>
              <w:rPr>
                <w:sz w:val="1"/>
                <w:szCs w:val="1"/>
                <w:color w:val="auto"/>
              </w:rPr>
            </w:pPr>
          </w:p>
        </w:tc>
      </w:tr>
      <w:tr>
        <w:trPr>
          <w:trHeight w:val="36"/>
        </w:trPr>
        <w:tc>
          <w:tcPr>
            <w:tcW w:w="5660" w:type="dxa"/>
            <w:vAlign w:val="bottom"/>
            <w:tcBorders>
              <w:left w:val="single" w:sz="8" w:color="auto"/>
              <w:bottom w:val="single" w:sz="8" w:color="auto"/>
              <w:right w:val="single" w:sz="8" w:color="auto"/>
            </w:tcBorders>
            <w:gridSpan w:val="2"/>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54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566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If the General Meeting refuses to approve a respective motion by the Board of Directors, the Board of</w:t>
            </w:r>
          </w:p>
        </w:tc>
        <w:tc>
          <w:tcPr>
            <w:tcW w:w="220" w:type="dxa"/>
            <w:vAlign w:val="bottom"/>
            <w:tcBorders>
              <w:right w:val="single" w:sz="8" w:color="auto"/>
            </w:tcBorders>
          </w:tcPr>
          <w:p>
            <w:pPr>
              <w:spacing w:after="0"/>
              <w:rPr>
                <w:sz w:val="14"/>
                <w:szCs w:val="14"/>
                <w:color w:val="auto"/>
              </w:rPr>
            </w:pPr>
          </w:p>
        </w:tc>
        <w:tc>
          <w:tcPr>
            <w:tcW w:w="54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Si l'assemblée générale refuse d'approuver une motion soumise par le conseil d'administration, le</w:t>
            </w:r>
          </w:p>
        </w:tc>
        <w:tc>
          <w:tcPr>
            <w:tcW w:w="0" w:type="dxa"/>
            <w:vAlign w:val="bottom"/>
          </w:tcPr>
          <w:p>
            <w:pPr>
              <w:spacing w:after="0"/>
              <w:rPr>
                <w:sz w:val="1"/>
                <w:szCs w:val="1"/>
                <w:color w:val="auto"/>
              </w:rPr>
            </w:pPr>
          </w:p>
        </w:tc>
      </w:tr>
      <w:tr>
        <w:trPr>
          <w:trHeight w:val="135"/>
        </w:trPr>
        <w:tc>
          <w:tcPr>
            <w:tcW w:w="566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Directors may either submit a new motion at the same meeting or determine a maximum total</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conseil d'administration peut, soit présenter une nouvelle motion à la même séance ou déterminer</w:t>
            </w:r>
          </w:p>
        </w:tc>
        <w:tc>
          <w:tcPr>
            <w:tcW w:w="0" w:type="dxa"/>
            <w:vAlign w:val="bottom"/>
          </w:tcPr>
          <w:p>
            <w:pPr>
              <w:spacing w:after="0"/>
              <w:rPr>
                <w:sz w:val="1"/>
                <w:szCs w:val="1"/>
                <w:color w:val="auto"/>
              </w:rPr>
            </w:pPr>
          </w:p>
        </w:tc>
      </w:tr>
      <w:tr>
        <w:trPr>
          <w:trHeight w:val="135"/>
        </w:trPr>
        <w:tc>
          <w:tcPr>
            <w:tcW w:w="566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remuneration or several maximum partial remunerations, subject to the relevant principles of the</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une rémunération maximale totale ou plusieurs rémunérations maximales partielles, sous réserve</w:t>
            </w:r>
          </w:p>
        </w:tc>
        <w:tc>
          <w:tcPr>
            <w:tcW w:w="0" w:type="dxa"/>
            <w:vAlign w:val="bottom"/>
          </w:tcPr>
          <w:p>
            <w:pPr>
              <w:spacing w:after="0"/>
              <w:rPr>
                <w:sz w:val="1"/>
                <w:szCs w:val="1"/>
                <w:color w:val="auto"/>
              </w:rPr>
            </w:pPr>
          </w:p>
        </w:tc>
      </w:tr>
      <w:tr>
        <w:trPr>
          <w:trHeight w:val="135"/>
        </w:trPr>
        <w:tc>
          <w:tcPr>
            <w:tcW w:w="566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compensation, or submit a new motion to the next General Meeting for approval. The Company may pay</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des principes concernant la rémunération, soit soumettre une nouvelle motion à la prochaine</w:t>
            </w:r>
          </w:p>
        </w:tc>
        <w:tc>
          <w:tcPr>
            <w:tcW w:w="0" w:type="dxa"/>
            <w:vAlign w:val="bottom"/>
          </w:tcPr>
          <w:p>
            <w:pPr>
              <w:spacing w:after="0"/>
              <w:rPr>
                <w:sz w:val="1"/>
                <w:szCs w:val="1"/>
                <w:color w:val="auto"/>
              </w:rPr>
            </w:pPr>
          </w:p>
        </w:tc>
      </w:tr>
      <w:tr>
        <w:trPr>
          <w:trHeight w:val="135"/>
        </w:trPr>
        <w:tc>
          <w:tcPr>
            <w:tcW w:w="566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remunerations within the framework of the maximum total or partial remuneration and subject to the</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assemblée générale pour approbation. La société peut verser des rémunérations dans le cadre de</w:t>
            </w:r>
          </w:p>
        </w:tc>
        <w:tc>
          <w:tcPr>
            <w:tcW w:w="0" w:type="dxa"/>
            <w:vAlign w:val="bottom"/>
          </w:tcPr>
          <w:p>
            <w:pPr>
              <w:spacing w:after="0"/>
              <w:rPr>
                <w:sz w:val="1"/>
                <w:szCs w:val="1"/>
                <w:color w:val="auto"/>
              </w:rPr>
            </w:pPr>
          </w:p>
        </w:tc>
      </w:tr>
      <w:tr>
        <w:trPr>
          <w:trHeight w:val="135"/>
        </w:trPr>
        <w:tc>
          <w:tcPr>
            <w:tcW w:w="566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approval by the General Meeting.</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la rémunération maximale totale ou partielle et sous réserve de l'approbation par l'assemblée</w:t>
            </w:r>
          </w:p>
        </w:tc>
        <w:tc>
          <w:tcPr>
            <w:tcW w:w="0" w:type="dxa"/>
            <w:vAlign w:val="bottom"/>
          </w:tcPr>
          <w:p>
            <w:pPr>
              <w:spacing w:after="0"/>
              <w:rPr>
                <w:sz w:val="1"/>
                <w:szCs w:val="1"/>
                <w:color w:val="auto"/>
              </w:rPr>
            </w:pPr>
          </w:p>
        </w:tc>
      </w:tr>
      <w:tr>
        <w:trPr>
          <w:trHeight w:val="145"/>
        </w:trPr>
        <w:tc>
          <w:tcPr>
            <w:tcW w:w="580" w:type="dxa"/>
            <w:vAlign w:val="bottom"/>
            <w:tcBorders>
              <w:left w:val="single" w:sz="8" w:color="auto"/>
            </w:tcBorders>
          </w:tcPr>
          <w:p>
            <w:pPr>
              <w:spacing w:after="0"/>
              <w:rPr>
                <w:sz w:val="12"/>
                <w:szCs w:val="12"/>
                <w:color w:val="auto"/>
              </w:rPr>
            </w:pPr>
          </w:p>
        </w:tc>
        <w:tc>
          <w:tcPr>
            <w:tcW w:w="508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générale.</w:t>
            </w:r>
          </w:p>
        </w:tc>
        <w:tc>
          <w:tcPr>
            <w:tcW w:w="4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580" w:type="dxa"/>
            <w:vAlign w:val="bottom"/>
            <w:tcBorders>
              <w:left w:val="single" w:sz="8" w:color="auto"/>
              <w:bottom w:val="single" w:sz="8" w:color="auto"/>
            </w:tcBorders>
          </w:tcPr>
          <w:p>
            <w:pPr>
              <w:spacing w:after="0"/>
              <w:rPr>
                <w:sz w:val="3"/>
                <w:szCs w:val="3"/>
                <w:color w:val="auto"/>
              </w:rPr>
            </w:pPr>
          </w:p>
        </w:tc>
        <w:tc>
          <w:tcPr>
            <w:tcW w:w="508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93"/>
        </w:trPr>
        <w:tc>
          <w:tcPr>
            <w:tcW w:w="5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211" w:right="299" w:bottom="1440" w:gutter="0" w:footer="0" w:header="0"/>
        </w:sectPr>
      </w:pPr>
    </w:p>
    <w:bookmarkStart w:id="63" w:name="page64"/>
    <w:bookmarkEnd w:id="63"/>
    <w:p>
      <w:pPr>
        <w:ind w:left="11120"/>
        <w:spacing w:after="0"/>
        <w:rPr>
          <w:sz w:val="20"/>
          <w:szCs w:val="20"/>
          <w:color w:val="auto"/>
        </w:rPr>
      </w:pPr>
      <w:r>
        <w:rPr>
          <w:rFonts w:ascii="Arial" w:cs="Arial" w:eastAsia="Arial" w:hAnsi="Arial"/>
          <w:sz w:val="12"/>
          <w:szCs w:val="12"/>
          <w:color w:val="auto"/>
        </w:rPr>
        <w:t>18</w:t>
      </w:r>
    </w:p>
    <w:p>
      <w:pPr>
        <w:spacing w:after="0" w:line="50"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280" w:type="dxa"/>
            <w:vAlign w:val="bottom"/>
            <w:tcBorders>
              <w:top w:val="single" w:sz="8" w:color="auto"/>
              <w:left w:val="single" w:sz="8" w:color="auto"/>
            </w:tcBorders>
          </w:tcPr>
          <w:p>
            <w:pPr>
              <w:spacing w:after="0"/>
              <w:rPr>
                <w:sz w:val="16"/>
                <w:szCs w:val="16"/>
                <w:color w:val="auto"/>
              </w:rPr>
            </w:pPr>
          </w:p>
        </w:tc>
        <w:tc>
          <w:tcPr>
            <w:tcW w:w="5380" w:type="dxa"/>
            <w:vAlign w:val="bottom"/>
            <w:tcBorders>
              <w:top w:val="single" w:sz="8" w:color="auto"/>
              <w:right w:val="single" w:sz="8" w:color="auto"/>
            </w:tcBorders>
          </w:tcPr>
          <w:p>
            <w:pPr>
              <w:spacing w:after="0"/>
              <w:rPr>
                <w:sz w:val="16"/>
                <w:szCs w:val="16"/>
                <w:color w:val="auto"/>
              </w:rPr>
            </w:pPr>
          </w:p>
        </w:tc>
        <w:tc>
          <w:tcPr>
            <w:tcW w:w="220" w:type="dxa"/>
            <w:vAlign w:val="bottom"/>
            <w:tcBorders>
              <w:top w:val="single" w:sz="8" w:color="auto"/>
              <w:right w:val="single" w:sz="8" w:color="auto"/>
            </w:tcBorders>
          </w:tcPr>
          <w:p>
            <w:pPr>
              <w:spacing w:after="0"/>
              <w:rPr>
                <w:sz w:val="16"/>
                <w:szCs w:val="16"/>
                <w:color w:val="auto"/>
              </w:rPr>
            </w:pPr>
          </w:p>
        </w:tc>
        <w:tc>
          <w:tcPr>
            <w:tcW w:w="5420" w:type="dxa"/>
            <w:vAlign w:val="bottom"/>
            <w:tcBorders>
              <w:top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Le conseil d'administration soumet le rapport de rémunération à un vote consultatif de l'assemblée</w:t>
            </w:r>
          </w:p>
        </w:tc>
        <w:tc>
          <w:tcPr>
            <w:tcW w:w="0" w:type="dxa"/>
            <w:vAlign w:val="bottom"/>
          </w:tcPr>
          <w:p>
            <w:pPr>
              <w:spacing w:after="0"/>
              <w:rPr>
                <w:sz w:val="1"/>
                <w:szCs w:val="1"/>
                <w:color w:val="auto"/>
              </w:rPr>
            </w:pPr>
          </w:p>
        </w:tc>
      </w:tr>
      <w:tr>
        <w:trPr>
          <w:trHeight w:val="145"/>
        </w:trPr>
        <w:tc>
          <w:tcPr>
            <w:tcW w:w="566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The Board of Directors shall submit the compensation report to an advisory vote of the General Meeting.</w:t>
            </w:r>
          </w:p>
        </w:tc>
        <w:tc>
          <w:tcPr>
            <w:tcW w:w="220" w:type="dxa"/>
            <w:vAlign w:val="bottom"/>
            <w:tcBorders>
              <w:right w:val="single" w:sz="8" w:color="auto"/>
            </w:tcBorders>
          </w:tcPr>
          <w:p>
            <w:pPr>
              <w:spacing w:after="0"/>
              <w:rPr>
                <w:sz w:val="12"/>
                <w:szCs w:val="12"/>
                <w:color w:val="auto"/>
              </w:rPr>
            </w:pPr>
          </w:p>
        </w:tc>
        <w:tc>
          <w:tcPr>
            <w:tcW w:w="54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générale.</w:t>
            </w:r>
          </w:p>
        </w:tc>
        <w:tc>
          <w:tcPr>
            <w:tcW w:w="0" w:type="dxa"/>
            <w:vAlign w:val="bottom"/>
          </w:tcPr>
          <w:p>
            <w:pPr>
              <w:spacing w:after="0"/>
              <w:rPr>
                <w:sz w:val="1"/>
                <w:szCs w:val="1"/>
                <w:color w:val="auto"/>
              </w:rPr>
            </w:pPr>
          </w:p>
        </w:tc>
      </w:tr>
      <w:tr>
        <w:trPr>
          <w:trHeight w:val="36"/>
        </w:trPr>
        <w:tc>
          <w:tcPr>
            <w:tcW w:w="280" w:type="dxa"/>
            <w:vAlign w:val="bottom"/>
            <w:tcBorders>
              <w:left w:val="single" w:sz="8" w:color="auto"/>
              <w:bottom w:val="single" w:sz="8" w:color="auto"/>
            </w:tcBorders>
          </w:tcPr>
          <w:p>
            <w:pPr>
              <w:spacing w:after="0"/>
              <w:rPr>
                <w:sz w:val="3"/>
                <w:szCs w:val="3"/>
                <w:color w:val="auto"/>
              </w:rPr>
            </w:pPr>
          </w:p>
        </w:tc>
        <w:tc>
          <w:tcPr>
            <w:tcW w:w="538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54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5660" w:type="dxa"/>
            <w:vAlign w:val="bottom"/>
            <w:tcBorders>
              <w:left w:val="single" w:sz="8" w:color="auto"/>
              <w:right w:val="single" w:sz="8" w:color="auto"/>
            </w:tcBorders>
            <w:gridSpan w:val="2"/>
            <w:vMerge w:val="restart"/>
          </w:tcPr>
          <w:p>
            <w:pPr>
              <w:ind w:left="40"/>
              <w:spacing w:after="0"/>
              <w:rPr>
                <w:sz w:val="20"/>
                <w:szCs w:val="20"/>
                <w:color w:val="auto"/>
              </w:rPr>
            </w:pPr>
            <w:r>
              <w:rPr>
                <w:rFonts w:ascii="Arial" w:cs="Arial" w:eastAsia="Arial" w:hAnsi="Arial"/>
                <w:sz w:val="12"/>
                <w:szCs w:val="12"/>
                <w:b w:val="1"/>
                <w:bCs w:val="1"/>
                <w:color w:val="auto"/>
              </w:rPr>
              <w:t>Art. 19 Independent Proxy</w:t>
            </w:r>
          </w:p>
        </w:tc>
        <w:tc>
          <w:tcPr>
            <w:tcW w:w="220" w:type="dxa"/>
            <w:vAlign w:val="bottom"/>
            <w:tcBorders>
              <w:right w:val="single" w:sz="8" w:color="auto"/>
            </w:tcBorders>
          </w:tcPr>
          <w:p>
            <w:pPr>
              <w:spacing w:after="0"/>
              <w:rPr>
                <w:sz w:val="15"/>
                <w:szCs w:val="15"/>
                <w:color w:val="auto"/>
              </w:rPr>
            </w:pPr>
          </w:p>
        </w:tc>
        <w:tc>
          <w:tcPr>
            <w:tcW w:w="54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Art. 19 Représentant indépendant</w:t>
            </w:r>
          </w:p>
        </w:tc>
        <w:tc>
          <w:tcPr>
            <w:tcW w:w="0" w:type="dxa"/>
            <w:vAlign w:val="bottom"/>
          </w:tcPr>
          <w:p>
            <w:pPr>
              <w:spacing w:after="0"/>
              <w:rPr>
                <w:sz w:val="1"/>
                <w:szCs w:val="1"/>
                <w:color w:val="auto"/>
              </w:rPr>
            </w:pPr>
          </w:p>
        </w:tc>
      </w:tr>
      <w:tr>
        <w:trPr>
          <w:trHeight w:val="135"/>
        </w:trPr>
        <w:tc>
          <w:tcPr>
            <w:tcW w:w="5660" w:type="dxa"/>
            <w:vAlign w:val="bottom"/>
            <w:tcBorders>
              <w:left w:val="single" w:sz="8" w:color="auto"/>
              <w:right w:val="single" w:sz="8" w:color="auto"/>
            </w:tcBorders>
            <w:gridSpan w:val="2"/>
            <w:vMerge w:val="continue"/>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2"/>
                <w:szCs w:val="12"/>
                <w:color w:val="auto"/>
              </w:rPr>
              <w:t>Le représentant indépendant est élu par l'assemblée générale ordinaire pour une durée d'un an</w:t>
            </w:r>
          </w:p>
        </w:tc>
        <w:tc>
          <w:tcPr>
            <w:tcW w:w="0" w:type="dxa"/>
            <w:vAlign w:val="bottom"/>
          </w:tcPr>
          <w:p>
            <w:pPr>
              <w:spacing w:after="0"/>
              <w:rPr>
                <w:sz w:val="1"/>
                <w:szCs w:val="1"/>
                <w:color w:val="auto"/>
              </w:rPr>
            </w:pPr>
          </w:p>
        </w:tc>
      </w:tr>
      <w:tr>
        <w:trPr>
          <w:trHeight w:val="125"/>
        </w:trPr>
        <w:tc>
          <w:tcPr>
            <w:tcW w:w="280" w:type="dxa"/>
            <w:vAlign w:val="bottom"/>
            <w:tcBorders>
              <w:left w:val="single" w:sz="8" w:color="auto"/>
            </w:tcBorders>
          </w:tcPr>
          <w:p>
            <w:pPr>
              <w:spacing w:after="0"/>
              <w:rPr>
                <w:sz w:val="10"/>
                <w:szCs w:val="10"/>
                <w:color w:val="auto"/>
              </w:rPr>
            </w:pPr>
          </w:p>
        </w:tc>
        <w:tc>
          <w:tcPr>
            <w:tcW w:w="5380" w:type="dxa"/>
            <w:vAlign w:val="bottom"/>
            <w:tcBorders>
              <w:right w:val="single" w:sz="8" w:color="auto"/>
            </w:tcBorders>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542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66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The Independent Proxy shall be elected by the Ordinary General Meeting for a term of one year until the</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jusqu'à la fin de la prochaine assemblée générale ordinaire. Une réélection est possible. Le</w:t>
            </w:r>
          </w:p>
        </w:tc>
        <w:tc>
          <w:tcPr>
            <w:tcW w:w="0" w:type="dxa"/>
            <w:vAlign w:val="bottom"/>
          </w:tcPr>
          <w:p>
            <w:pPr>
              <w:spacing w:after="0"/>
              <w:rPr>
                <w:sz w:val="1"/>
                <w:szCs w:val="1"/>
                <w:color w:val="auto"/>
              </w:rPr>
            </w:pPr>
          </w:p>
        </w:tc>
      </w:tr>
      <w:tr>
        <w:trPr>
          <w:trHeight w:val="135"/>
        </w:trPr>
        <w:tc>
          <w:tcPr>
            <w:tcW w:w="566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end of the next Ordinary General Meeting. Re-election is permitted. The Independent Proxy informs the</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représentant indépendant informe la société sur le nombre, le type, la valeur nominale et la</w:t>
            </w:r>
          </w:p>
        </w:tc>
        <w:tc>
          <w:tcPr>
            <w:tcW w:w="0" w:type="dxa"/>
            <w:vAlign w:val="bottom"/>
          </w:tcPr>
          <w:p>
            <w:pPr>
              <w:spacing w:after="0"/>
              <w:rPr>
                <w:sz w:val="1"/>
                <w:szCs w:val="1"/>
                <w:color w:val="auto"/>
              </w:rPr>
            </w:pPr>
          </w:p>
        </w:tc>
      </w:tr>
      <w:tr>
        <w:trPr>
          <w:trHeight w:val="135"/>
        </w:trPr>
        <w:tc>
          <w:tcPr>
            <w:tcW w:w="566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Company about number, type, par value and category of the represented shares. The Chairman of the</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catégorie des actions représentées. Le président du conseil d'administration communique ces</w:t>
            </w:r>
          </w:p>
        </w:tc>
        <w:tc>
          <w:tcPr>
            <w:tcW w:w="0" w:type="dxa"/>
            <w:vAlign w:val="bottom"/>
          </w:tcPr>
          <w:p>
            <w:pPr>
              <w:spacing w:after="0"/>
              <w:rPr>
                <w:sz w:val="1"/>
                <w:szCs w:val="1"/>
                <w:color w:val="auto"/>
              </w:rPr>
            </w:pPr>
          </w:p>
        </w:tc>
      </w:tr>
      <w:tr>
        <w:trPr>
          <w:trHeight w:val="135"/>
        </w:trPr>
        <w:tc>
          <w:tcPr>
            <w:tcW w:w="566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Board discloses the information to the General Meeting. The other duties of the Independent Proxy are</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informations à l'assemblée générale. Les autres fonctions du représentant indépendant sont</w:t>
            </w:r>
          </w:p>
        </w:tc>
        <w:tc>
          <w:tcPr>
            <w:tcW w:w="0" w:type="dxa"/>
            <w:vAlign w:val="bottom"/>
          </w:tcPr>
          <w:p>
            <w:pPr>
              <w:spacing w:after="0"/>
              <w:rPr>
                <w:sz w:val="1"/>
                <w:szCs w:val="1"/>
                <w:color w:val="auto"/>
              </w:rPr>
            </w:pPr>
          </w:p>
        </w:tc>
      </w:tr>
      <w:tr>
        <w:trPr>
          <w:trHeight w:val="145"/>
        </w:trPr>
        <w:tc>
          <w:tcPr>
            <w:tcW w:w="566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determined by the applicable statutory provisions.</w:t>
            </w:r>
          </w:p>
        </w:tc>
        <w:tc>
          <w:tcPr>
            <w:tcW w:w="220" w:type="dxa"/>
            <w:vAlign w:val="bottom"/>
            <w:tcBorders>
              <w:right w:val="single" w:sz="8" w:color="auto"/>
            </w:tcBorders>
          </w:tcPr>
          <w:p>
            <w:pPr>
              <w:spacing w:after="0"/>
              <w:rPr>
                <w:sz w:val="12"/>
                <w:szCs w:val="12"/>
                <w:color w:val="auto"/>
              </w:rPr>
            </w:pPr>
          </w:p>
        </w:tc>
        <w:tc>
          <w:tcPr>
            <w:tcW w:w="54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déterminées par les dispositions statutaires applicables.</w:t>
            </w:r>
          </w:p>
        </w:tc>
        <w:tc>
          <w:tcPr>
            <w:tcW w:w="0" w:type="dxa"/>
            <w:vAlign w:val="bottom"/>
          </w:tcPr>
          <w:p>
            <w:pPr>
              <w:spacing w:after="0"/>
              <w:rPr>
                <w:sz w:val="1"/>
                <w:szCs w:val="1"/>
                <w:color w:val="auto"/>
              </w:rPr>
            </w:pPr>
          </w:p>
        </w:tc>
      </w:tr>
      <w:tr>
        <w:trPr>
          <w:trHeight w:val="36"/>
        </w:trPr>
        <w:tc>
          <w:tcPr>
            <w:tcW w:w="280" w:type="dxa"/>
            <w:vAlign w:val="bottom"/>
            <w:tcBorders>
              <w:left w:val="single" w:sz="8" w:color="auto"/>
              <w:bottom w:val="single" w:sz="8" w:color="auto"/>
            </w:tcBorders>
          </w:tcPr>
          <w:p>
            <w:pPr>
              <w:spacing w:after="0"/>
              <w:rPr>
                <w:sz w:val="3"/>
                <w:szCs w:val="3"/>
                <w:color w:val="auto"/>
              </w:rPr>
            </w:pPr>
          </w:p>
        </w:tc>
        <w:tc>
          <w:tcPr>
            <w:tcW w:w="538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2"/>
                <w:szCs w:val="12"/>
                <w:b w:val="1"/>
                <w:bCs w:val="1"/>
                <w:color w:val="auto"/>
              </w:rPr>
              <w:t>V.</w:t>
            </w:r>
          </w:p>
        </w:tc>
        <w:tc>
          <w:tcPr>
            <w:tcW w:w="5380" w:type="dxa"/>
            <w:vAlign w:val="bottom"/>
            <w:tcBorders>
              <w:right w:val="single" w:sz="8" w:color="auto"/>
            </w:tcBorders>
          </w:tcPr>
          <w:p>
            <w:pPr>
              <w:ind w:left="160"/>
              <w:spacing w:after="0"/>
              <w:rPr>
                <w:sz w:val="20"/>
                <w:szCs w:val="20"/>
                <w:color w:val="auto"/>
              </w:rPr>
            </w:pPr>
            <w:r>
              <w:rPr>
                <w:rFonts w:ascii="Arial" w:cs="Arial" w:eastAsia="Arial" w:hAnsi="Arial"/>
                <w:sz w:val="12"/>
                <w:szCs w:val="12"/>
                <w:b w:val="1"/>
                <w:bCs w:val="1"/>
                <w:color w:val="auto"/>
              </w:rPr>
              <w:t>BOARD OF DIRECTORS</w:t>
            </w:r>
          </w:p>
        </w:tc>
        <w:tc>
          <w:tcPr>
            <w:tcW w:w="220" w:type="dxa"/>
            <w:vAlign w:val="bottom"/>
            <w:tcBorders>
              <w:right w:val="single" w:sz="8" w:color="auto"/>
            </w:tcBorders>
          </w:tcPr>
          <w:p>
            <w:pPr>
              <w:spacing w:after="0"/>
              <w:rPr>
                <w:sz w:val="15"/>
                <w:szCs w:val="15"/>
                <w:color w:val="auto"/>
              </w:rPr>
            </w:pP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5140" w:type="dxa"/>
            <w:vAlign w:val="bottom"/>
            <w:tcBorders>
              <w:right w:val="single" w:sz="8" w:color="auto"/>
            </w:tcBorders>
          </w:tcPr>
          <w:p>
            <w:pPr>
              <w:ind w:left="160"/>
              <w:spacing w:after="0"/>
              <w:rPr>
                <w:sz w:val="20"/>
                <w:szCs w:val="20"/>
                <w:color w:val="auto"/>
              </w:rPr>
            </w:pPr>
            <w:r>
              <w:rPr>
                <w:rFonts w:ascii="Arial" w:cs="Arial" w:eastAsia="Arial" w:hAnsi="Arial"/>
                <w:sz w:val="12"/>
                <w:szCs w:val="12"/>
                <w:b w:val="1"/>
                <w:bCs w:val="1"/>
                <w:color w:val="auto"/>
              </w:rPr>
              <w:t>CONSEIL D'ADMINISTRATION</w:t>
            </w:r>
          </w:p>
        </w:tc>
        <w:tc>
          <w:tcPr>
            <w:tcW w:w="0" w:type="dxa"/>
            <w:vAlign w:val="bottom"/>
          </w:tcPr>
          <w:p>
            <w:pPr>
              <w:spacing w:after="0"/>
              <w:rPr>
                <w:sz w:val="1"/>
                <w:szCs w:val="1"/>
                <w:color w:val="auto"/>
              </w:rPr>
            </w:pPr>
          </w:p>
        </w:tc>
      </w:tr>
      <w:tr>
        <w:trPr>
          <w:trHeight w:val="36"/>
        </w:trPr>
        <w:tc>
          <w:tcPr>
            <w:tcW w:w="280" w:type="dxa"/>
            <w:vAlign w:val="bottom"/>
            <w:tcBorders>
              <w:left w:val="single" w:sz="8" w:color="auto"/>
              <w:bottom w:val="single" w:sz="8" w:color="auto"/>
            </w:tcBorders>
          </w:tcPr>
          <w:p>
            <w:pPr>
              <w:spacing w:after="0"/>
              <w:rPr>
                <w:sz w:val="3"/>
                <w:szCs w:val="3"/>
                <w:color w:val="auto"/>
              </w:rPr>
            </w:pPr>
          </w:p>
        </w:tc>
        <w:tc>
          <w:tcPr>
            <w:tcW w:w="538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54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5660" w:type="dxa"/>
            <w:vAlign w:val="bottom"/>
            <w:tcBorders>
              <w:left w:val="single" w:sz="8" w:color="auto"/>
              <w:right w:val="single" w:sz="8" w:color="auto"/>
            </w:tcBorders>
            <w:gridSpan w:val="2"/>
            <w:vMerge w:val="restart"/>
          </w:tcPr>
          <w:p>
            <w:pPr>
              <w:ind w:left="40"/>
              <w:spacing w:after="0"/>
              <w:rPr>
                <w:sz w:val="20"/>
                <w:szCs w:val="20"/>
                <w:color w:val="auto"/>
              </w:rPr>
            </w:pPr>
            <w:r>
              <w:rPr>
                <w:rFonts w:ascii="Arial" w:cs="Arial" w:eastAsia="Arial" w:hAnsi="Arial"/>
                <w:sz w:val="12"/>
                <w:szCs w:val="12"/>
                <w:b w:val="1"/>
                <w:bCs w:val="1"/>
                <w:color w:val="auto"/>
              </w:rPr>
              <w:t>Art. 20 Number of Members, Term of Office</w:t>
            </w:r>
          </w:p>
        </w:tc>
        <w:tc>
          <w:tcPr>
            <w:tcW w:w="220" w:type="dxa"/>
            <w:vAlign w:val="bottom"/>
            <w:tcBorders>
              <w:right w:val="single" w:sz="8" w:color="auto"/>
            </w:tcBorders>
          </w:tcPr>
          <w:p>
            <w:pPr>
              <w:spacing w:after="0"/>
              <w:rPr>
                <w:sz w:val="15"/>
                <w:szCs w:val="15"/>
                <w:color w:val="auto"/>
              </w:rPr>
            </w:pPr>
          </w:p>
        </w:tc>
        <w:tc>
          <w:tcPr>
            <w:tcW w:w="54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Art. 20 Nombre de membres, durée de la fonction</w:t>
            </w:r>
          </w:p>
        </w:tc>
        <w:tc>
          <w:tcPr>
            <w:tcW w:w="0" w:type="dxa"/>
            <w:vAlign w:val="bottom"/>
          </w:tcPr>
          <w:p>
            <w:pPr>
              <w:spacing w:after="0"/>
              <w:rPr>
                <w:sz w:val="1"/>
                <w:szCs w:val="1"/>
                <w:color w:val="auto"/>
              </w:rPr>
            </w:pPr>
          </w:p>
        </w:tc>
      </w:tr>
      <w:tr>
        <w:trPr>
          <w:trHeight w:val="135"/>
        </w:trPr>
        <w:tc>
          <w:tcPr>
            <w:tcW w:w="5660" w:type="dxa"/>
            <w:vAlign w:val="bottom"/>
            <w:tcBorders>
              <w:left w:val="single" w:sz="8" w:color="auto"/>
              <w:right w:val="single" w:sz="8" w:color="auto"/>
            </w:tcBorders>
            <w:gridSpan w:val="2"/>
            <w:vMerge w:val="continue"/>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2"/>
                <w:szCs w:val="12"/>
                <w:color w:val="auto"/>
              </w:rPr>
              <w:t>Le conseil d'administration se compose d'au minimum 3 et au maximum 9 membres. Ce nombre</w:t>
            </w:r>
          </w:p>
        </w:tc>
        <w:tc>
          <w:tcPr>
            <w:tcW w:w="0" w:type="dxa"/>
            <w:vAlign w:val="bottom"/>
          </w:tcPr>
          <w:p>
            <w:pPr>
              <w:spacing w:after="0"/>
              <w:rPr>
                <w:sz w:val="1"/>
                <w:szCs w:val="1"/>
                <w:color w:val="auto"/>
              </w:rPr>
            </w:pPr>
          </w:p>
        </w:tc>
      </w:tr>
      <w:tr>
        <w:trPr>
          <w:trHeight w:val="125"/>
        </w:trPr>
        <w:tc>
          <w:tcPr>
            <w:tcW w:w="280" w:type="dxa"/>
            <w:vAlign w:val="bottom"/>
            <w:tcBorders>
              <w:left w:val="single" w:sz="8" w:color="auto"/>
            </w:tcBorders>
          </w:tcPr>
          <w:p>
            <w:pPr>
              <w:spacing w:after="0"/>
              <w:rPr>
                <w:sz w:val="10"/>
                <w:szCs w:val="10"/>
                <w:color w:val="auto"/>
              </w:rPr>
            </w:pPr>
          </w:p>
        </w:tc>
        <w:tc>
          <w:tcPr>
            <w:tcW w:w="5380" w:type="dxa"/>
            <w:vAlign w:val="bottom"/>
            <w:tcBorders>
              <w:right w:val="single" w:sz="8" w:color="auto"/>
            </w:tcBorders>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542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66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The Board of Directors shall consist of at least 3 and not more than 9 members. This maximum number</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maximum pourra être dépassé s’il est nécessaire de satisfaire à des conditions de nationalités, de</w:t>
            </w:r>
          </w:p>
        </w:tc>
        <w:tc>
          <w:tcPr>
            <w:tcW w:w="0" w:type="dxa"/>
            <w:vAlign w:val="bottom"/>
          </w:tcPr>
          <w:p>
            <w:pPr>
              <w:spacing w:after="0"/>
              <w:rPr>
                <w:sz w:val="1"/>
                <w:szCs w:val="1"/>
                <w:color w:val="auto"/>
              </w:rPr>
            </w:pPr>
          </w:p>
        </w:tc>
      </w:tr>
      <w:tr>
        <w:trPr>
          <w:trHeight w:val="135"/>
        </w:trPr>
        <w:tc>
          <w:tcPr>
            <w:tcW w:w="566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may be exceeded if it is necessary to satisfy nationality, residency and / or gender requirements under</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résidences ou de genres selon le droit suisse ou étranger. Le président et les membres du conseil</w:t>
            </w:r>
          </w:p>
        </w:tc>
        <w:tc>
          <w:tcPr>
            <w:tcW w:w="0" w:type="dxa"/>
            <w:vAlign w:val="bottom"/>
          </w:tcPr>
          <w:p>
            <w:pPr>
              <w:spacing w:after="0"/>
              <w:rPr>
                <w:sz w:val="1"/>
                <w:szCs w:val="1"/>
                <w:color w:val="auto"/>
              </w:rPr>
            </w:pPr>
          </w:p>
        </w:tc>
      </w:tr>
      <w:tr>
        <w:trPr>
          <w:trHeight w:val="135"/>
        </w:trPr>
        <w:tc>
          <w:tcPr>
            <w:tcW w:w="566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Swiss or foreign laws. The chairman and the members of the Board of Directors are individually elected</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d'administration sont élus individuellement par l'assemblée générale pour un mandat d'un an</w:t>
            </w:r>
          </w:p>
        </w:tc>
        <w:tc>
          <w:tcPr>
            <w:tcW w:w="0" w:type="dxa"/>
            <w:vAlign w:val="bottom"/>
          </w:tcPr>
          <w:p>
            <w:pPr>
              <w:spacing w:after="0"/>
              <w:rPr>
                <w:sz w:val="1"/>
                <w:szCs w:val="1"/>
                <w:color w:val="auto"/>
              </w:rPr>
            </w:pPr>
          </w:p>
        </w:tc>
      </w:tr>
      <w:tr>
        <w:trPr>
          <w:trHeight w:val="135"/>
        </w:trPr>
        <w:tc>
          <w:tcPr>
            <w:tcW w:w="566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by the General Meeting for a term of one year until the end of the next Ordinary General Meeting,</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jusqu'à la fin de la prochaine assemblée générale ordinaire, à condition qu'il/elle ne démissionne</w:t>
            </w:r>
          </w:p>
        </w:tc>
        <w:tc>
          <w:tcPr>
            <w:tcW w:w="0" w:type="dxa"/>
            <w:vAlign w:val="bottom"/>
          </w:tcPr>
          <w:p>
            <w:pPr>
              <w:spacing w:after="0"/>
              <w:rPr>
                <w:sz w:val="1"/>
                <w:szCs w:val="1"/>
                <w:color w:val="auto"/>
              </w:rPr>
            </w:pPr>
          </w:p>
        </w:tc>
      </w:tr>
      <w:tr>
        <w:trPr>
          <w:trHeight w:val="145"/>
        </w:trPr>
        <w:tc>
          <w:tcPr>
            <w:tcW w:w="566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provided that he/she does not resign or is not replaced during his/her term.</w:t>
            </w:r>
          </w:p>
        </w:tc>
        <w:tc>
          <w:tcPr>
            <w:tcW w:w="220" w:type="dxa"/>
            <w:vAlign w:val="bottom"/>
            <w:tcBorders>
              <w:right w:val="single" w:sz="8" w:color="auto"/>
            </w:tcBorders>
          </w:tcPr>
          <w:p>
            <w:pPr>
              <w:spacing w:after="0"/>
              <w:rPr>
                <w:sz w:val="12"/>
                <w:szCs w:val="12"/>
                <w:color w:val="auto"/>
              </w:rPr>
            </w:pPr>
          </w:p>
        </w:tc>
        <w:tc>
          <w:tcPr>
            <w:tcW w:w="54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pas ou ne soit pas remplacé(e) durant son mandat.</w:t>
            </w:r>
          </w:p>
        </w:tc>
        <w:tc>
          <w:tcPr>
            <w:tcW w:w="0" w:type="dxa"/>
            <w:vAlign w:val="bottom"/>
          </w:tcPr>
          <w:p>
            <w:pPr>
              <w:spacing w:after="0"/>
              <w:rPr>
                <w:sz w:val="1"/>
                <w:szCs w:val="1"/>
                <w:color w:val="auto"/>
              </w:rPr>
            </w:pPr>
          </w:p>
        </w:tc>
      </w:tr>
      <w:tr>
        <w:trPr>
          <w:trHeight w:val="36"/>
        </w:trPr>
        <w:tc>
          <w:tcPr>
            <w:tcW w:w="280" w:type="dxa"/>
            <w:vAlign w:val="bottom"/>
            <w:tcBorders>
              <w:left w:val="single" w:sz="8" w:color="auto"/>
              <w:bottom w:val="single" w:sz="8" w:color="auto"/>
            </w:tcBorders>
          </w:tcPr>
          <w:p>
            <w:pPr>
              <w:spacing w:after="0"/>
              <w:rPr>
                <w:sz w:val="3"/>
                <w:szCs w:val="3"/>
                <w:color w:val="auto"/>
              </w:rPr>
            </w:pPr>
          </w:p>
        </w:tc>
        <w:tc>
          <w:tcPr>
            <w:tcW w:w="538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54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80" w:type="dxa"/>
            <w:vAlign w:val="bottom"/>
            <w:tcBorders>
              <w:left w:val="single" w:sz="8" w:color="auto"/>
            </w:tcBorders>
          </w:tcPr>
          <w:p>
            <w:pPr>
              <w:spacing w:after="0"/>
              <w:rPr>
                <w:sz w:val="14"/>
                <w:szCs w:val="14"/>
                <w:color w:val="auto"/>
              </w:rPr>
            </w:pPr>
          </w:p>
        </w:tc>
        <w:tc>
          <w:tcPr>
            <w:tcW w:w="5380" w:type="dxa"/>
            <w:vAlign w:val="bottom"/>
            <w:tcBorders>
              <w:right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54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Les membres du conseil d'administration peuvent être réélus sans limitation. La limite d’âge des</w:t>
            </w:r>
          </w:p>
        </w:tc>
        <w:tc>
          <w:tcPr>
            <w:tcW w:w="0" w:type="dxa"/>
            <w:vAlign w:val="bottom"/>
          </w:tcPr>
          <w:p>
            <w:pPr>
              <w:spacing w:after="0"/>
              <w:rPr>
                <w:sz w:val="1"/>
                <w:szCs w:val="1"/>
                <w:color w:val="auto"/>
              </w:rPr>
            </w:pPr>
          </w:p>
        </w:tc>
      </w:tr>
      <w:tr>
        <w:trPr>
          <w:trHeight w:val="135"/>
        </w:trPr>
        <w:tc>
          <w:tcPr>
            <w:tcW w:w="566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The members of the Board of Directors may be re-elected without limitation. The maximum age limit of</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membres  du  conseil  d'administration  est  fixée  à  75  ans.  Lorsqu'un  membre  du  conseil</w:t>
            </w:r>
          </w:p>
        </w:tc>
        <w:tc>
          <w:tcPr>
            <w:tcW w:w="0" w:type="dxa"/>
            <w:vAlign w:val="bottom"/>
          </w:tcPr>
          <w:p>
            <w:pPr>
              <w:spacing w:after="0"/>
              <w:rPr>
                <w:sz w:val="1"/>
                <w:szCs w:val="1"/>
                <w:color w:val="auto"/>
              </w:rPr>
            </w:pPr>
          </w:p>
        </w:tc>
      </w:tr>
      <w:tr>
        <w:trPr>
          <w:trHeight w:val="135"/>
        </w:trPr>
        <w:tc>
          <w:tcPr>
            <w:tcW w:w="566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members of the Board shall be 75 years. When a member of the Board of Directors reaches this age</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d'administration atteint cette limite d'âge durant son mandat, ledit mandat sera automatiquement</w:t>
            </w:r>
          </w:p>
        </w:tc>
        <w:tc>
          <w:tcPr>
            <w:tcW w:w="0" w:type="dxa"/>
            <w:vAlign w:val="bottom"/>
          </w:tcPr>
          <w:p>
            <w:pPr>
              <w:spacing w:after="0"/>
              <w:rPr>
                <w:sz w:val="1"/>
                <w:szCs w:val="1"/>
                <w:color w:val="auto"/>
              </w:rPr>
            </w:pPr>
          </w:p>
        </w:tc>
      </w:tr>
      <w:tr>
        <w:trPr>
          <w:trHeight w:val="135"/>
        </w:trPr>
        <w:tc>
          <w:tcPr>
            <w:tcW w:w="566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limit during his term of office, such term shall automatically extend to the next ordinary shareholders'</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prolongé  jusqu'à  la  prochaine  assemblée  générale  ordinaire.  L'assemblée  générale  des</w:t>
            </w:r>
          </w:p>
        </w:tc>
        <w:tc>
          <w:tcPr>
            <w:tcW w:w="0" w:type="dxa"/>
            <w:vAlign w:val="bottom"/>
          </w:tcPr>
          <w:p>
            <w:pPr>
              <w:spacing w:after="0"/>
              <w:rPr>
                <w:sz w:val="1"/>
                <w:szCs w:val="1"/>
                <w:color w:val="auto"/>
              </w:rPr>
            </w:pPr>
          </w:p>
        </w:tc>
      </w:tr>
      <w:tr>
        <w:trPr>
          <w:trHeight w:val="145"/>
        </w:trPr>
        <w:tc>
          <w:tcPr>
            <w:tcW w:w="566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meeting. The shareholders' meeting may resolve to grant an exception to the age limit.</w:t>
            </w:r>
          </w:p>
        </w:tc>
        <w:tc>
          <w:tcPr>
            <w:tcW w:w="220" w:type="dxa"/>
            <w:vAlign w:val="bottom"/>
            <w:tcBorders>
              <w:right w:val="single" w:sz="8" w:color="auto"/>
            </w:tcBorders>
          </w:tcPr>
          <w:p>
            <w:pPr>
              <w:spacing w:after="0"/>
              <w:rPr>
                <w:sz w:val="12"/>
                <w:szCs w:val="12"/>
                <w:color w:val="auto"/>
              </w:rPr>
            </w:pPr>
          </w:p>
        </w:tc>
        <w:tc>
          <w:tcPr>
            <w:tcW w:w="54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actionnaires peut décider d'accorder une dérogation à la limite d'âge.</w:t>
            </w:r>
          </w:p>
        </w:tc>
        <w:tc>
          <w:tcPr>
            <w:tcW w:w="0" w:type="dxa"/>
            <w:vAlign w:val="bottom"/>
          </w:tcPr>
          <w:p>
            <w:pPr>
              <w:spacing w:after="0"/>
              <w:rPr>
                <w:sz w:val="1"/>
                <w:szCs w:val="1"/>
                <w:color w:val="auto"/>
              </w:rPr>
            </w:pPr>
          </w:p>
        </w:tc>
      </w:tr>
      <w:tr>
        <w:trPr>
          <w:trHeight w:val="36"/>
        </w:trPr>
        <w:tc>
          <w:tcPr>
            <w:tcW w:w="280" w:type="dxa"/>
            <w:vAlign w:val="bottom"/>
            <w:tcBorders>
              <w:left w:val="single" w:sz="8" w:color="auto"/>
              <w:bottom w:val="single" w:sz="8" w:color="auto"/>
            </w:tcBorders>
          </w:tcPr>
          <w:p>
            <w:pPr>
              <w:spacing w:after="0"/>
              <w:rPr>
                <w:sz w:val="3"/>
                <w:szCs w:val="3"/>
                <w:color w:val="auto"/>
              </w:rPr>
            </w:pPr>
          </w:p>
        </w:tc>
        <w:tc>
          <w:tcPr>
            <w:tcW w:w="538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93"/>
        </w:trPr>
        <w:tc>
          <w:tcPr>
            <w:tcW w:w="28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211" w:right="299" w:bottom="1440" w:gutter="0" w:footer="0" w:header="0"/>
        </w:sectPr>
      </w:pPr>
    </w:p>
    <w:bookmarkStart w:id="64" w:name="page65"/>
    <w:bookmarkEnd w:id="6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45"/>
        </w:trPr>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940" w:type="dxa"/>
            <w:vAlign w:val="bottom"/>
          </w:tcPr>
          <w:p>
            <w:pPr>
              <w:jc w:val="right"/>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63"/>
        </w:trPr>
        <w:tc>
          <w:tcPr>
            <w:tcW w:w="480" w:type="dxa"/>
            <w:vAlign w:val="bottom"/>
            <w:tcBorders>
              <w:bottom w:val="single" w:sz="8" w:color="auto"/>
            </w:tcBorders>
            <w:gridSpan w:val="2"/>
          </w:tcPr>
          <w:p>
            <w:pPr>
              <w:spacing w:after="0"/>
              <w:rPr>
                <w:sz w:val="5"/>
                <w:szCs w:val="5"/>
                <w:color w:val="auto"/>
              </w:rPr>
            </w:pPr>
          </w:p>
        </w:tc>
        <w:tc>
          <w:tcPr>
            <w:tcW w:w="51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gridSpan w:val="3"/>
          </w:tcPr>
          <w:p>
            <w:pPr>
              <w:spacing w:after="0"/>
              <w:rPr>
                <w:sz w:val="5"/>
                <w:szCs w:val="5"/>
                <w:color w:val="auto"/>
              </w:rPr>
            </w:pPr>
          </w:p>
        </w:tc>
        <w:tc>
          <w:tcPr>
            <w:tcW w:w="4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480" w:type="dxa"/>
            <w:vAlign w:val="bottom"/>
            <w:tcBorders>
              <w:left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Art. 21</w:t>
            </w:r>
          </w:p>
        </w:tc>
        <w:tc>
          <w:tcPr>
            <w:tcW w:w="5180" w:type="dxa"/>
            <w:vAlign w:val="bottom"/>
            <w:tcBorders>
              <w:right w:val="single" w:sz="8" w:color="auto"/>
            </w:tcBorders>
          </w:tcPr>
          <w:p>
            <w:pPr>
              <w:ind w:left="80"/>
              <w:spacing w:after="0"/>
              <w:rPr>
                <w:sz w:val="20"/>
                <w:szCs w:val="20"/>
                <w:color w:val="auto"/>
              </w:rPr>
            </w:pPr>
            <w:r>
              <w:rPr>
                <w:rFonts w:ascii="Arial" w:cs="Arial" w:eastAsia="Arial" w:hAnsi="Arial"/>
                <w:sz w:val="12"/>
                <w:szCs w:val="12"/>
                <w:b w:val="1"/>
                <w:bCs w:val="1"/>
                <w:color w:val="auto"/>
              </w:rPr>
              <w:t>Constitution</w:t>
            </w:r>
          </w:p>
        </w:tc>
        <w:tc>
          <w:tcPr>
            <w:tcW w:w="220" w:type="dxa"/>
            <w:vAlign w:val="bottom"/>
            <w:tcBorders>
              <w:right w:val="single" w:sz="8" w:color="auto"/>
            </w:tcBorders>
          </w:tcPr>
          <w:p>
            <w:pPr>
              <w:spacing w:after="0"/>
              <w:rPr>
                <w:sz w:val="15"/>
                <w:szCs w:val="15"/>
                <w:color w:val="auto"/>
              </w:rPr>
            </w:pPr>
          </w:p>
        </w:tc>
        <w:tc>
          <w:tcPr>
            <w:tcW w:w="480" w:type="dxa"/>
            <w:vAlign w:val="bottom"/>
            <w:gridSpan w:val="3"/>
          </w:tcPr>
          <w:p>
            <w:pPr>
              <w:ind w:left="40"/>
              <w:spacing w:after="0"/>
              <w:rPr>
                <w:sz w:val="20"/>
                <w:szCs w:val="20"/>
                <w:color w:val="auto"/>
              </w:rPr>
            </w:pPr>
            <w:r>
              <w:rPr>
                <w:rFonts w:ascii="Arial" w:cs="Arial" w:eastAsia="Arial" w:hAnsi="Arial"/>
                <w:sz w:val="12"/>
                <w:szCs w:val="12"/>
                <w:b w:val="1"/>
                <w:bCs w:val="1"/>
                <w:color w:val="auto"/>
              </w:rPr>
              <w:t>Art. 21</w:t>
            </w:r>
          </w:p>
        </w:tc>
        <w:tc>
          <w:tcPr>
            <w:tcW w:w="4940" w:type="dxa"/>
            <w:vAlign w:val="bottom"/>
            <w:tcBorders>
              <w:right w:val="single" w:sz="8" w:color="auto"/>
            </w:tcBorders>
          </w:tcPr>
          <w:p>
            <w:pPr>
              <w:ind w:left="60"/>
              <w:spacing w:after="0"/>
              <w:rPr>
                <w:sz w:val="20"/>
                <w:szCs w:val="20"/>
                <w:color w:val="auto"/>
              </w:rPr>
            </w:pPr>
            <w:r>
              <w:rPr>
                <w:rFonts w:ascii="Arial" w:cs="Arial" w:eastAsia="Arial" w:hAnsi="Arial"/>
                <w:sz w:val="12"/>
                <w:szCs w:val="12"/>
                <w:b w:val="1"/>
                <w:bCs w:val="1"/>
                <w:color w:val="auto"/>
              </w:rPr>
              <w:t>Constitution</w:t>
            </w:r>
          </w:p>
        </w:tc>
        <w:tc>
          <w:tcPr>
            <w:tcW w:w="0" w:type="dxa"/>
            <w:vAlign w:val="bottom"/>
          </w:tcPr>
          <w:p>
            <w:pPr>
              <w:spacing w:after="0"/>
              <w:rPr>
                <w:sz w:val="1"/>
                <w:szCs w:val="1"/>
                <w:color w:val="auto"/>
              </w:rPr>
            </w:pPr>
          </w:p>
        </w:tc>
      </w:tr>
      <w:tr>
        <w:trPr>
          <w:trHeight w:val="260"/>
        </w:trPr>
        <w:tc>
          <w:tcPr>
            <w:tcW w:w="56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2"/>
                <w:szCs w:val="12"/>
                <w:color w:val="auto"/>
              </w:rPr>
              <w:t>Subject to the powers of the General Meeting, the Board of Directors determines its own organization. It</w:t>
            </w:r>
          </w:p>
        </w:tc>
        <w:tc>
          <w:tcPr>
            <w:tcW w:w="220" w:type="dxa"/>
            <w:vAlign w:val="bottom"/>
            <w:tcBorders>
              <w:right w:val="single" w:sz="8" w:color="auto"/>
            </w:tcBorders>
          </w:tcPr>
          <w:p>
            <w:pPr>
              <w:spacing w:after="0"/>
              <w:rPr>
                <w:sz w:val="22"/>
                <w:szCs w:val="22"/>
                <w:color w:val="auto"/>
              </w:rPr>
            </w:pPr>
          </w:p>
        </w:tc>
        <w:tc>
          <w:tcPr>
            <w:tcW w:w="5420" w:type="dxa"/>
            <w:vAlign w:val="bottom"/>
            <w:tcBorders>
              <w:right w:val="single" w:sz="8" w:color="auto"/>
            </w:tcBorders>
            <w:gridSpan w:val="4"/>
          </w:tcPr>
          <w:p>
            <w:pPr>
              <w:ind w:left="40"/>
              <w:spacing w:after="0"/>
              <w:rPr>
                <w:sz w:val="20"/>
                <w:szCs w:val="20"/>
                <w:color w:val="auto"/>
              </w:rPr>
            </w:pPr>
            <w:r>
              <w:rPr>
                <w:rFonts w:ascii="Arial" w:cs="Arial" w:eastAsia="Arial" w:hAnsi="Arial"/>
                <w:sz w:val="12"/>
                <w:szCs w:val="12"/>
                <w:color w:val="auto"/>
              </w:rPr>
              <w:t>Sous réserve des pouvoirs de l'assemblée générale, le conseil d'administration détermine sa propre</w:t>
            </w:r>
          </w:p>
        </w:tc>
        <w:tc>
          <w:tcPr>
            <w:tcW w:w="0" w:type="dxa"/>
            <w:vAlign w:val="bottom"/>
          </w:tcPr>
          <w:p>
            <w:pPr>
              <w:spacing w:after="0"/>
              <w:rPr>
                <w:sz w:val="1"/>
                <w:szCs w:val="1"/>
                <w:color w:val="auto"/>
              </w:rPr>
            </w:pPr>
          </w:p>
        </w:tc>
      </w:tr>
      <w:tr>
        <w:trPr>
          <w:trHeight w:val="135"/>
        </w:trPr>
        <w:tc>
          <w:tcPr>
            <w:tcW w:w="5660" w:type="dxa"/>
            <w:vAlign w:val="bottom"/>
            <w:tcBorders>
              <w:left w:val="single" w:sz="8" w:color="auto"/>
              <w:right w:val="single" w:sz="8" w:color="auto"/>
            </w:tcBorders>
            <w:gridSpan w:val="3"/>
          </w:tcPr>
          <w:p>
            <w:pPr>
              <w:ind w:left="40"/>
              <w:spacing w:after="0" w:line="135" w:lineRule="exact"/>
              <w:rPr>
                <w:sz w:val="20"/>
                <w:szCs w:val="20"/>
                <w:color w:val="auto"/>
              </w:rPr>
            </w:pPr>
            <w:r>
              <w:rPr>
                <w:rFonts w:ascii="Arial" w:cs="Arial" w:eastAsia="Arial" w:hAnsi="Arial"/>
                <w:sz w:val="12"/>
                <w:szCs w:val="12"/>
                <w:color w:val="auto"/>
              </w:rPr>
              <w:t>appoints a Secretary who needs not be a member of the Board of Directors.</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gridSpan w:val="4"/>
          </w:tcPr>
          <w:p>
            <w:pPr>
              <w:ind w:left="40"/>
              <w:spacing w:after="0" w:line="135" w:lineRule="exact"/>
              <w:rPr>
                <w:sz w:val="20"/>
                <w:szCs w:val="20"/>
                <w:color w:val="auto"/>
              </w:rPr>
            </w:pPr>
            <w:r>
              <w:rPr>
                <w:rFonts w:ascii="Arial" w:cs="Arial" w:eastAsia="Arial" w:hAnsi="Arial"/>
                <w:sz w:val="12"/>
                <w:szCs w:val="12"/>
                <w:color w:val="auto"/>
              </w:rPr>
              <w:t>organisation. Il nomme un secrétaire qui ne doit pas nécessairement être un membre du conseil</w:t>
            </w:r>
          </w:p>
        </w:tc>
        <w:tc>
          <w:tcPr>
            <w:tcW w:w="0" w:type="dxa"/>
            <w:vAlign w:val="bottom"/>
          </w:tcPr>
          <w:p>
            <w:pPr>
              <w:spacing w:after="0"/>
              <w:rPr>
                <w:sz w:val="1"/>
                <w:szCs w:val="1"/>
                <w:color w:val="auto"/>
              </w:rPr>
            </w:pPr>
          </w:p>
        </w:tc>
      </w:tr>
      <w:tr>
        <w:trPr>
          <w:trHeight w:val="145"/>
        </w:trPr>
        <w:tc>
          <w:tcPr>
            <w:tcW w:w="220" w:type="dxa"/>
            <w:vAlign w:val="bottom"/>
            <w:tcBorders>
              <w:lef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518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420" w:type="dxa"/>
            <w:vAlign w:val="bottom"/>
            <w:tcBorders>
              <w:right w:val="single" w:sz="8" w:color="auto"/>
            </w:tcBorders>
            <w:gridSpan w:val="4"/>
          </w:tcPr>
          <w:p>
            <w:pPr>
              <w:ind w:left="40"/>
              <w:spacing w:after="0"/>
              <w:rPr>
                <w:sz w:val="20"/>
                <w:szCs w:val="20"/>
                <w:color w:val="auto"/>
              </w:rPr>
            </w:pPr>
            <w:r>
              <w:rPr>
                <w:rFonts w:ascii="Arial" w:cs="Arial" w:eastAsia="Arial" w:hAnsi="Arial"/>
                <w:sz w:val="12"/>
                <w:szCs w:val="12"/>
                <w:color w:val="auto"/>
              </w:rPr>
              <w:t>d'administration.</w:t>
            </w:r>
          </w:p>
        </w:tc>
        <w:tc>
          <w:tcPr>
            <w:tcW w:w="0" w:type="dxa"/>
            <w:vAlign w:val="bottom"/>
          </w:tcPr>
          <w:p>
            <w:pPr>
              <w:spacing w:after="0"/>
              <w:rPr>
                <w:sz w:val="1"/>
                <w:szCs w:val="1"/>
                <w:color w:val="auto"/>
              </w:rPr>
            </w:pPr>
          </w:p>
        </w:tc>
      </w:tr>
      <w:tr>
        <w:trPr>
          <w:trHeight w:val="36"/>
        </w:trPr>
        <w:tc>
          <w:tcPr>
            <w:tcW w:w="480" w:type="dxa"/>
            <w:vAlign w:val="bottom"/>
            <w:tcBorders>
              <w:left w:val="single" w:sz="8" w:color="auto"/>
              <w:bottom w:val="single" w:sz="8" w:color="auto"/>
            </w:tcBorders>
            <w:gridSpan w:val="2"/>
          </w:tcPr>
          <w:p>
            <w:pPr>
              <w:spacing w:after="0"/>
              <w:rPr>
                <w:sz w:val="3"/>
                <w:szCs w:val="3"/>
                <w:color w:val="auto"/>
              </w:rPr>
            </w:pPr>
          </w:p>
        </w:tc>
        <w:tc>
          <w:tcPr>
            <w:tcW w:w="518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gridSpan w:val="3"/>
          </w:tcPr>
          <w:p>
            <w:pPr>
              <w:spacing w:after="0"/>
              <w:rPr>
                <w:sz w:val="3"/>
                <w:szCs w:val="3"/>
                <w:color w:val="auto"/>
              </w:rPr>
            </w:pPr>
          </w:p>
        </w:tc>
        <w:tc>
          <w:tcPr>
            <w:tcW w:w="49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480" w:type="dxa"/>
            <w:vAlign w:val="bottom"/>
            <w:tcBorders>
              <w:left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Art. 22</w:t>
            </w:r>
          </w:p>
        </w:tc>
        <w:tc>
          <w:tcPr>
            <w:tcW w:w="5180" w:type="dxa"/>
            <w:vAlign w:val="bottom"/>
            <w:tcBorders>
              <w:right w:val="single" w:sz="8" w:color="auto"/>
            </w:tcBorders>
          </w:tcPr>
          <w:p>
            <w:pPr>
              <w:ind w:left="80"/>
              <w:spacing w:after="0"/>
              <w:rPr>
                <w:sz w:val="20"/>
                <w:szCs w:val="20"/>
                <w:color w:val="auto"/>
              </w:rPr>
            </w:pPr>
            <w:r>
              <w:rPr>
                <w:rFonts w:ascii="Arial" w:cs="Arial" w:eastAsia="Arial" w:hAnsi="Arial"/>
                <w:sz w:val="12"/>
                <w:szCs w:val="12"/>
                <w:b w:val="1"/>
                <w:bCs w:val="1"/>
                <w:color w:val="auto"/>
              </w:rPr>
              <w:t>Function, Organization</w:t>
            </w:r>
          </w:p>
        </w:tc>
        <w:tc>
          <w:tcPr>
            <w:tcW w:w="220" w:type="dxa"/>
            <w:vAlign w:val="bottom"/>
            <w:tcBorders>
              <w:right w:val="single" w:sz="8" w:color="auto"/>
            </w:tcBorders>
          </w:tcPr>
          <w:p>
            <w:pPr>
              <w:spacing w:after="0"/>
              <w:rPr>
                <w:sz w:val="15"/>
                <w:szCs w:val="15"/>
                <w:color w:val="auto"/>
              </w:rPr>
            </w:pPr>
          </w:p>
        </w:tc>
        <w:tc>
          <w:tcPr>
            <w:tcW w:w="480" w:type="dxa"/>
            <w:vAlign w:val="bottom"/>
            <w:gridSpan w:val="3"/>
          </w:tcPr>
          <w:p>
            <w:pPr>
              <w:ind w:left="40"/>
              <w:spacing w:after="0"/>
              <w:rPr>
                <w:sz w:val="20"/>
                <w:szCs w:val="20"/>
                <w:color w:val="auto"/>
              </w:rPr>
            </w:pPr>
            <w:r>
              <w:rPr>
                <w:rFonts w:ascii="Arial" w:cs="Arial" w:eastAsia="Arial" w:hAnsi="Arial"/>
                <w:sz w:val="12"/>
                <w:szCs w:val="12"/>
                <w:b w:val="1"/>
                <w:bCs w:val="1"/>
                <w:color w:val="auto"/>
              </w:rPr>
              <w:t>Art. 22</w:t>
            </w:r>
          </w:p>
        </w:tc>
        <w:tc>
          <w:tcPr>
            <w:tcW w:w="4940" w:type="dxa"/>
            <w:vAlign w:val="bottom"/>
            <w:tcBorders>
              <w:right w:val="single" w:sz="8" w:color="auto"/>
            </w:tcBorders>
          </w:tcPr>
          <w:p>
            <w:pPr>
              <w:ind w:left="60"/>
              <w:spacing w:after="0"/>
              <w:rPr>
                <w:sz w:val="20"/>
                <w:szCs w:val="20"/>
                <w:color w:val="auto"/>
              </w:rPr>
            </w:pPr>
            <w:r>
              <w:rPr>
                <w:rFonts w:ascii="Arial" w:cs="Arial" w:eastAsia="Arial" w:hAnsi="Arial"/>
                <w:sz w:val="12"/>
                <w:szCs w:val="12"/>
                <w:b w:val="1"/>
                <w:bCs w:val="1"/>
                <w:color w:val="auto"/>
              </w:rPr>
              <w:t>Fonction, organisation</w:t>
            </w:r>
          </w:p>
        </w:tc>
        <w:tc>
          <w:tcPr>
            <w:tcW w:w="0" w:type="dxa"/>
            <w:vAlign w:val="bottom"/>
          </w:tcPr>
          <w:p>
            <w:pPr>
              <w:spacing w:after="0"/>
              <w:rPr>
                <w:sz w:val="1"/>
                <w:szCs w:val="1"/>
                <w:color w:val="auto"/>
              </w:rPr>
            </w:pPr>
          </w:p>
        </w:tc>
      </w:tr>
      <w:tr>
        <w:trPr>
          <w:trHeight w:val="260"/>
        </w:trPr>
        <w:tc>
          <w:tcPr>
            <w:tcW w:w="56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2"/>
                <w:szCs w:val="12"/>
                <w:color w:val="auto"/>
              </w:rPr>
              <w:t>It is the Board of Director's duty to lead the Company and to supervise the management. The Board of</w:t>
            </w:r>
          </w:p>
        </w:tc>
        <w:tc>
          <w:tcPr>
            <w:tcW w:w="220" w:type="dxa"/>
            <w:vAlign w:val="bottom"/>
            <w:tcBorders>
              <w:right w:val="single" w:sz="8" w:color="auto"/>
            </w:tcBorders>
          </w:tcPr>
          <w:p>
            <w:pPr>
              <w:spacing w:after="0"/>
              <w:rPr>
                <w:sz w:val="22"/>
                <w:szCs w:val="22"/>
                <w:color w:val="auto"/>
              </w:rPr>
            </w:pPr>
          </w:p>
        </w:tc>
        <w:tc>
          <w:tcPr>
            <w:tcW w:w="5420" w:type="dxa"/>
            <w:vAlign w:val="bottom"/>
            <w:tcBorders>
              <w:right w:val="single" w:sz="8" w:color="auto"/>
            </w:tcBorders>
            <w:gridSpan w:val="4"/>
          </w:tcPr>
          <w:p>
            <w:pPr>
              <w:ind w:left="40"/>
              <w:spacing w:after="0"/>
              <w:rPr>
                <w:sz w:val="20"/>
                <w:szCs w:val="20"/>
                <w:color w:val="auto"/>
              </w:rPr>
            </w:pPr>
            <w:r>
              <w:rPr>
                <w:rFonts w:ascii="Arial" w:cs="Arial" w:eastAsia="Arial" w:hAnsi="Arial"/>
                <w:sz w:val="12"/>
                <w:szCs w:val="12"/>
                <w:color w:val="auto"/>
              </w:rPr>
              <w:t>Le conseil d'administration exerce la direction de la société et en supervise la gestion. Le conseil</w:t>
            </w:r>
          </w:p>
        </w:tc>
        <w:tc>
          <w:tcPr>
            <w:tcW w:w="0" w:type="dxa"/>
            <w:vAlign w:val="bottom"/>
          </w:tcPr>
          <w:p>
            <w:pPr>
              <w:spacing w:after="0"/>
              <w:rPr>
                <w:sz w:val="1"/>
                <w:szCs w:val="1"/>
                <w:color w:val="auto"/>
              </w:rPr>
            </w:pPr>
          </w:p>
        </w:tc>
      </w:tr>
      <w:tr>
        <w:trPr>
          <w:trHeight w:val="135"/>
        </w:trPr>
        <w:tc>
          <w:tcPr>
            <w:tcW w:w="5660" w:type="dxa"/>
            <w:vAlign w:val="bottom"/>
            <w:tcBorders>
              <w:left w:val="single" w:sz="8" w:color="auto"/>
              <w:right w:val="single" w:sz="8" w:color="auto"/>
            </w:tcBorders>
            <w:gridSpan w:val="3"/>
          </w:tcPr>
          <w:p>
            <w:pPr>
              <w:ind w:left="40"/>
              <w:spacing w:after="0" w:line="135" w:lineRule="exact"/>
              <w:rPr>
                <w:sz w:val="20"/>
                <w:szCs w:val="20"/>
                <w:color w:val="auto"/>
              </w:rPr>
            </w:pPr>
            <w:r>
              <w:rPr>
                <w:rFonts w:ascii="Arial" w:cs="Arial" w:eastAsia="Arial" w:hAnsi="Arial"/>
                <w:sz w:val="12"/>
                <w:szCs w:val="12"/>
                <w:color w:val="auto"/>
              </w:rPr>
              <w:t>Director represents the Company and may take decisions on all affairs which are not assigned to any</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gridSpan w:val="4"/>
          </w:tcPr>
          <w:p>
            <w:pPr>
              <w:ind w:left="40"/>
              <w:spacing w:after="0" w:line="135" w:lineRule="exact"/>
              <w:rPr>
                <w:sz w:val="20"/>
                <w:szCs w:val="20"/>
                <w:color w:val="auto"/>
              </w:rPr>
            </w:pPr>
            <w:r>
              <w:rPr>
                <w:rFonts w:ascii="Arial" w:cs="Arial" w:eastAsia="Arial" w:hAnsi="Arial"/>
                <w:sz w:val="12"/>
                <w:szCs w:val="12"/>
                <w:color w:val="auto"/>
              </w:rPr>
              <w:t>d'administration représente la société et peut prendre les décisions sur toutes les affaires qui ne</w:t>
            </w:r>
          </w:p>
        </w:tc>
        <w:tc>
          <w:tcPr>
            <w:tcW w:w="0" w:type="dxa"/>
            <w:vAlign w:val="bottom"/>
          </w:tcPr>
          <w:p>
            <w:pPr>
              <w:spacing w:after="0"/>
              <w:rPr>
                <w:sz w:val="1"/>
                <w:szCs w:val="1"/>
                <w:color w:val="auto"/>
              </w:rPr>
            </w:pPr>
          </w:p>
        </w:tc>
      </w:tr>
      <w:tr>
        <w:trPr>
          <w:trHeight w:val="135"/>
        </w:trPr>
        <w:tc>
          <w:tcPr>
            <w:tcW w:w="5660" w:type="dxa"/>
            <w:vAlign w:val="bottom"/>
            <w:tcBorders>
              <w:left w:val="single" w:sz="8" w:color="auto"/>
              <w:right w:val="single" w:sz="8" w:color="auto"/>
            </w:tcBorders>
            <w:gridSpan w:val="3"/>
          </w:tcPr>
          <w:p>
            <w:pPr>
              <w:ind w:left="40"/>
              <w:spacing w:after="0" w:line="135" w:lineRule="exact"/>
              <w:rPr>
                <w:sz w:val="20"/>
                <w:szCs w:val="20"/>
                <w:color w:val="auto"/>
              </w:rPr>
            </w:pPr>
            <w:r>
              <w:rPr>
                <w:rFonts w:ascii="Arial" w:cs="Arial" w:eastAsia="Arial" w:hAnsi="Arial"/>
                <w:sz w:val="12"/>
                <w:szCs w:val="12"/>
                <w:color w:val="auto"/>
              </w:rPr>
              <w:t>other body of the Company by law, the Articles of Association or the organizational regulations.</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gridSpan w:val="4"/>
          </w:tcPr>
          <w:p>
            <w:pPr>
              <w:ind w:left="40"/>
              <w:spacing w:after="0" w:line="135" w:lineRule="exact"/>
              <w:rPr>
                <w:sz w:val="20"/>
                <w:szCs w:val="20"/>
                <w:color w:val="auto"/>
              </w:rPr>
            </w:pPr>
            <w:r>
              <w:rPr>
                <w:rFonts w:ascii="Arial" w:cs="Arial" w:eastAsia="Arial" w:hAnsi="Arial"/>
                <w:sz w:val="12"/>
                <w:szCs w:val="12"/>
                <w:color w:val="auto"/>
              </w:rPr>
              <w:t>sont pas attribuées à un autre organe de la société par la loi, les statuts ou le règlement</w:t>
            </w:r>
          </w:p>
        </w:tc>
        <w:tc>
          <w:tcPr>
            <w:tcW w:w="0" w:type="dxa"/>
            <w:vAlign w:val="bottom"/>
          </w:tcPr>
          <w:p>
            <w:pPr>
              <w:spacing w:after="0"/>
              <w:rPr>
                <w:sz w:val="1"/>
                <w:szCs w:val="1"/>
                <w:color w:val="auto"/>
              </w:rPr>
            </w:pPr>
          </w:p>
        </w:tc>
      </w:tr>
      <w:tr>
        <w:trPr>
          <w:trHeight w:val="145"/>
        </w:trPr>
        <w:tc>
          <w:tcPr>
            <w:tcW w:w="220" w:type="dxa"/>
            <w:vAlign w:val="bottom"/>
            <w:tcBorders>
              <w:lef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518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420" w:type="dxa"/>
            <w:vAlign w:val="bottom"/>
            <w:tcBorders>
              <w:right w:val="single" w:sz="8" w:color="auto"/>
            </w:tcBorders>
            <w:gridSpan w:val="4"/>
          </w:tcPr>
          <w:p>
            <w:pPr>
              <w:ind w:left="40"/>
              <w:spacing w:after="0"/>
              <w:rPr>
                <w:sz w:val="20"/>
                <w:szCs w:val="20"/>
                <w:color w:val="auto"/>
              </w:rPr>
            </w:pPr>
            <w:r>
              <w:rPr>
                <w:rFonts w:ascii="Arial" w:cs="Arial" w:eastAsia="Arial" w:hAnsi="Arial"/>
                <w:sz w:val="12"/>
                <w:szCs w:val="12"/>
                <w:color w:val="auto"/>
              </w:rPr>
              <w:t>d'organisation.</w:t>
            </w:r>
          </w:p>
        </w:tc>
        <w:tc>
          <w:tcPr>
            <w:tcW w:w="0" w:type="dxa"/>
            <w:vAlign w:val="bottom"/>
          </w:tcPr>
          <w:p>
            <w:pPr>
              <w:spacing w:after="0"/>
              <w:rPr>
                <w:sz w:val="1"/>
                <w:szCs w:val="1"/>
                <w:color w:val="auto"/>
              </w:rPr>
            </w:pPr>
          </w:p>
        </w:tc>
      </w:tr>
      <w:tr>
        <w:trPr>
          <w:trHeight w:val="36"/>
        </w:trPr>
        <w:tc>
          <w:tcPr>
            <w:tcW w:w="5660" w:type="dxa"/>
            <w:vAlign w:val="bottom"/>
            <w:tcBorders>
              <w:left w:val="single" w:sz="8" w:color="auto"/>
              <w:bottom w:val="single" w:sz="8" w:color="auto"/>
              <w:right w:val="single" w:sz="8" w:color="auto"/>
            </w:tcBorders>
            <w:gridSpan w:val="3"/>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5420" w:type="dxa"/>
            <w:vAlign w:val="bottom"/>
            <w:tcBorders>
              <w:bottom w:val="single" w:sz="8" w:color="auto"/>
              <w:right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56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2"/>
                <w:szCs w:val="12"/>
                <w:color w:val="auto"/>
              </w:rPr>
              <w:t>The Board of Directors shall enact the organizational regulations and arrange for the appropriate</w:t>
            </w:r>
          </w:p>
        </w:tc>
        <w:tc>
          <w:tcPr>
            <w:tcW w:w="220" w:type="dxa"/>
            <w:vAlign w:val="bottom"/>
            <w:tcBorders>
              <w:right w:val="single" w:sz="8" w:color="auto"/>
            </w:tcBorders>
          </w:tcPr>
          <w:p>
            <w:pPr>
              <w:spacing w:after="0"/>
              <w:rPr>
                <w:sz w:val="14"/>
                <w:szCs w:val="14"/>
                <w:color w:val="auto"/>
              </w:rPr>
            </w:pPr>
          </w:p>
        </w:tc>
        <w:tc>
          <w:tcPr>
            <w:tcW w:w="5420" w:type="dxa"/>
            <w:vAlign w:val="bottom"/>
            <w:tcBorders>
              <w:right w:val="single" w:sz="8" w:color="auto"/>
            </w:tcBorders>
            <w:gridSpan w:val="4"/>
          </w:tcPr>
          <w:p>
            <w:pPr>
              <w:ind w:left="40"/>
              <w:spacing w:after="0"/>
              <w:rPr>
                <w:sz w:val="20"/>
                <w:szCs w:val="20"/>
                <w:color w:val="auto"/>
              </w:rPr>
            </w:pPr>
            <w:r>
              <w:rPr>
                <w:rFonts w:ascii="Arial" w:cs="Arial" w:eastAsia="Arial" w:hAnsi="Arial"/>
                <w:sz w:val="12"/>
                <w:szCs w:val="12"/>
                <w:color w:val="auto"/>
              </w:rPr>
              <w:t>Le  conseil  d'administration  édicte  le  règlement  d'organisation  et  s'occupe  des  relations</w:t>
            </w:r>
          </w:p>
        </w:tc>
        <w:tc>
          <w:tcPr>
            <w:tcW w:w="0" w:type="dxa"/>
            <w:vAlign w:val="bottom"/>
          </w:tcPr>
          <w:p>
            <w:pPr>
              <w:spacing w:after="0"/>
              <w:rPr>
                <w:sz w:val="1"/>
                <w:szCs w:val="1"/>
                <w:color w:val="auto"/>
              </w:rPr>
            </w:pPr>
          </w:p>
        </w:tc>
      </w:tr>
      <w:tr>
        <w:trPr>
          <w:trHeight w:val="145"/>
        </w:trPr>
        <w:tc>
          <w:tcPr>
            <w:tcW w:w="56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2"/>
                <w:szCs w:val="12"/>
                <w:color w:val="auto"/>
              </w:rPr>
              <w:t>contractual relationships.</w:t>
            </w:r>
          </w:p>
        </w:tc>
        <w:tc>
          <w:tcPr>
            <w:tcW w:w="220" w:type="dxa"/>
            <w:vAlign w:val="bottom"/>
            <w:tcBorders>
              <w:right w:val="single" w:sz="8" w:color="auto"/>
            </w:tcBorders>
          </w:tcPr>
          <w:p>
            <w:pPr>
              <w:spacing w:after="0"/>
              <w:rPr>
                <w:sz w:val="12"/>
                <w:szCs w:val="12"/>
                <w:color w:val="auto"/>
              </w:rPr>
            </w:pPr>
          </w:p>
        </w:tc>
        <w:tc>
          <w:tcPr>
            <w:tcW w:w="5420" w:type="dxa"/>
            <w:vAlign w:val="bottom"/>
            <w:tcBorders>
              <w:right w:val="single" w:sz="8" w:color="auto"/>
            </w:tcBorders>
            <w:gridSpan w:val="4"/>
          </w:tcPr>
          <w:p>
            <w:pPr>
              <w:ind w:left="40"/>
              <w:spacing w:after="0"/>
              <w:rPr>
                <w:sz w:val="20"/>
                <w:szCs w:val="20"/>
                <w:color w:val="auto"/>
              </w:rPr>
            </w:pPr>
            <w:r>
              <w:rPr>
                <w:rFonts w:ascii="Arial" w:cs="Arial" w:eastAsia="Arial" w:hAnsi="Arial"/>
                <w:sz w:val="12"/>
                <w:szCs w:val="12"/>
                <w:color w:val="auto"/>
              </w:rPr>
              <w:t>contractuelles appropriées.</w:t>
            </w:r>
          </w:p>
        </w:tc>
        <w:tc>
          <w:tcPr>
            <w:tcW w:w="0" w:type="dxa"/>
            <w:vAlign w:val="bottom"/>
          </w:tcPr>
          <w:p>
            <w:pPr>
              <w:spacing w:after="0"/>
              <w:rPr>
                <w:sz w:val="1"/>
                <w:szCs w:val="1"/>
                <w:color w:val="auto"/>
              </w:rPr>
            </w:pPr>
          </w:p>
        </w:tc>
      </w:tr>
      <w:tr>
        <w:trPr>
          <w:trHeight w:val="36"/>
        </w:trPr>
        <w:tc>
          <w:tcPr>
            <w:tcW w:w="480" w:type="dxa"/>
            <w:vAlign w:val="bottom"/>
            <w:tcBorders>
              <w:left w:val="single" w:sz="8" w:color="auto"/>
              <w:bottom w:val="single" w:sz="8" w:color="auto"/>
            </w:tcBorders>
            <w:gridSpan w:val="2"/>
          </w:tcPr>
          <w:p>
            <w:pPr>
              <w:spacing w:after="0"/>
              <w:rPr>
                <w:sz w:val="3"/>
                <w:szCs w:val="3"/>
                <w:color w:val="auto"/>
              </w:rPr>
            </w:pPr>
          </w:p>
        </w:tc>
        <w:tc>
          <w:tcPr>
            <w:tcW w:w="518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gridSpan w:val="3"/>
          </w:tcPr>
          <w:p>
            <w:pPr>
              <w:spacing w:after="0"/>
              <w:rPr>
                <w:sz w:val="3"/>
                <w:szCs w:val="3"/>
                <w:color w:val="auto"/>
              </w:rPr>
            </w:pPr>
          </w:p>
        </w:tc>
        <w:tc>
          <w:tcPr>
            <w:tcW w:w="49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480" w:type="dxa"/>
            <w:vAlign w:val="bottom"/>
            <w:tcBorders>
              <w:left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Art. 23</w:t>
            </w:r>
          </w:p>
        </w:tc>
        <w:tc>
          <w:tcPr>
            <w:tcW w:w="5180" w:type="dxa"/>
            <w:vAlign w:val="bottom"/>
            <w:tcBorders>
              <w:right w:val="single" w:sz="8" w:color="auto"/>
            </w:tcBorders>
          </w:tcPr>
          <w:p>
            <w:pPr>
              <w:ind w:left="80"/>
              <w:spacing w:after="0"/>
              <w:rPr>
                <w:sz w:val="20"/>
                <w:szCs w:val="20"/>
                <w:color w:val="auto"/>
              </w:rPr>
            </w:pPr>
            <w:r>
              <w:rPr>
                <w:rFonts w:ascii="Arial" w:cs="Arial" w:eastAsia="Arial" w:hAnsi="Arial"/>
                <w:sz w:val="12"/>
                <w:szCs w:val="12"/>
                <w:b w:val="1"/>
                <w:bCs w:val="1"/>
                <w:color w:val="auto"/>
              </w:rPr>
              <w:t>Powers</w:t>
            </w:r>
          </w:p>
        </w:tc>
        <w:tc>
          <w:tcPr>
            <w:tcW w:w="220" w:type="dxa"/>
            <w:vAlign w:val="bottom"/>
            <w:tcBorders>
              <w:right w:val="single" w:sz="8" w:color="auto"/>
            </w:tcBorders>
          </w:tcPr>
          <w:p>
            <w:pPr>
              <w:spacing w:after="0"/>
              <w:rPr>
                <w:sz w:val="15"/>
                <w:szCs w:val="15"/>
                <w:color w:val="auto"/>
              </w:rPr>
            </w:pPr>
          </w:p>
        </w:tc>
        <w:tc>
          <w:tcPr>
            <w:tcW w:w="480" w:type="dxa"/>
            <w:vAlign w:val="bottom"/>
            <w:gridSpan w:val="3"/>
          </w:tcPr>
          <w:p>
            <w:pPr>
              <w:ind w:left="40"/>
              <w:spacing w:after="0"/>
              <w:rPr>
                <w:sz w:val="20"/>
                <w:szCs w:val="20"/>
                <w:color w:val="auto"/>
              </w:rPr>
            </w:pPr>
            <w:r>
              <w:rPr>
                <w:rFonts w:ascii="Arial" w:cs="Arial" w:eastAsia="Arial" w:hAnsi="Arial"/>
                <w:sz w:val="12"/>
                <w:szCs w:val="12"/>
                <w:b w:val="1"/>
                <w:bCs w:val="1"/>
                <w:color w:val="auto"/>
              </w:rPr>
              <w:t>Art. 23</w:t>
            </w:r>
          </w:p>
        </w:tc>
        <w:tc>
          <w:tcPr>
            <w:tcW w:w="4940" w:type="dxa"/>
            <w:vAlign w:val="bottom"/>
            <w:tcBorders>
              <w:right w:val="single" w:sz="8" w:color="auto"/>
            </w:tcBorders>
          </w:tcPr>
          <w:p>
            <w:pPr>
              <w:ind w:left="60"/>
              <w:spacing w:after="0"/>
              <w:rPr>
                <w:sz w:val="20"/>
                <w:szCs w:val="20"/>
                <w:color w:val="auto"/>
              </w:rPr>
            </w:pPr>
            <w:r>
              <w:rPr>
                <w:rFonts w:ascii="Arial" w:cs="Arial" w:eastAsia="Arial" w:hAnsi="Arial"/>
                <w:sz w:val="12"/>
                <w:szCs w:val="12"/>
                <w:b w:val="1"/>
                <w:bCs w:val="1"/>
                <w:color w:val="auto"/>
              </w:rPr>
              <w:t>Pouvoirs</w:t>
            </w:r>
          </w:p>
        </w:tc>
        <w:tc>
          <w:tcPr>
            <w:tcW w:w="0" w:type="dxa"/>
            <w:vAlign w:val="bottom"/>
          </w:tcPr>
          <w:p>
            <w:pPr>
              <w:spacing w:after="0"/>
              <w:rPr>
                <w:sz w:val="1"/>
                <w:szCs w:val="1"/>
                <w:color w:val="auto"/>
              </w:rPr>
            </w:pPr>
          </w:p>
        </w:tc>
      </w:tr>
      <w:tr>
        <w:trPr>
          <w:trHeight w:val="270"/>
        </w:trPr>
        <w:tc>
          <w:tcPr>
            <w:tcW w:w="56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2"/>
                <w:szCs w:val="12"/>
                <w:color w:val="auto"/>
              </w:rPr>
              <w:t>The Board of Directors has the following non-delegable and inalienable duties:</w:t>
            </w:r>
          </w:p>
        </w:tc>
        <w:tc>
          <w:tcPr>
            <w:tcW w:w="220" w:type="dxa"/>
            <w:vAlign w:val="bottom"/>
            <w:tcBorders>
              <w:right w:val="single" w:sz="8" w:color="auto"/>
            </w:tcBorders>
          </w:tcPr>
          <w:p>
            <w:pPr>
              <w:spacing w:after="0"/>
              <w:rPr>
                <w:sz w:val="23"/>
                <w:szCs w:val="23"/>
                <w:color w:val="auto"/>
              </w:rPr>
            </w:pPr>
          </w:p>
        </w:tc>
        <w:tc>
          <w:tcPr>
            <w:tcW w:w="5420" w:type="dxa"/>
            <w:vAlign w:val="bottom"/>
            <w:tcBorders>
              <w:right w:val="single" w:sz="8" w:color="auto"/>
            </w:tcBorders>
            <w:gridSpan w:val="4"/>
          </w:tcPr>
          <w:p>
            <w:pPr>
              <w:ind w:left="40"/>
              <w:spacing w:after="0"/>
              <w:rPr>
                <w:sz w:val="20"/>
                <w:szCs w:val="20"/>
                <w:color w:val="auto"/>
              </w:rPr>
            </w:pPr>
            <w:r>
              <w:rPr>
                <w:rFonts w:ascii="Arial" w:cs="Arial" w:eastAsia="Arial" w:hAnsi="Arial"/>
                <w:sz w:val="12"/>
                <w:szCs w:val="12"/>
                <w:color w:val="auto"/>
              </w:rPr>
              <w:t>Le conseil d'administration a les attributions intransmissibles et inaliénables suivantes:</w:t>
            </w:r>
          </w:p>
        </w:tc>
        <w:tc>
          <w:tcPr>
            <w:tcW w:w="0" w:type="dxa"/>
            <w:vAlign w:val="bottom"/>
          </w:tcPr>
          <w:p>
            <w:pPr>
              <w:spacing w:after="0"/>
              <w:rPr>
                <w:sz w:val="1"/>
                <w:szCs w:val="1"/>
                <w:color w:val="auto"/>
              </w:rPr>
            </w:pPr>
          </w:p>
        </w:tc>
      </w:tr>
      <w:tr>
        <w:trPr>
          <w:trHeight w:val="270"/>
        </w:trPr>
        <w:tc>
          <w:tcPr>
            <w:tcW w:w="56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2"/>
                <w:szCs w:val="12"/>
                <w:color w:val="auto"/>
              </w:rPr>
              <w:t>a)  the overall management of the company and the issuing of all necessary directives;</w:t>
            </w:r>
          </w:p>
        </w:tc>
        <w:tc>
          <w:tcPr>
            <w:tcW w:w="220" w:type="dxa"/>
            <w:vAlign w:val="bottom"/>
            <w:tcBorders>
              <w:right w:val="single" w:sz="8" w:color="auto"/>
            </w:tcBorders>
          </w:tcPr>
          <w:p>
            <w:pPr>
              <w:spacing w:after="0"/>
              <w:rPr>
                <w:sz w:val="23"/>
                <w:szCs w:val="23"/>
                <w:color w:val="auto"/>
              </w:rPr>
            </w:pPr>
          </w:p>
        </w:tc>
        <w:tc>
          <w:tcPr>
            <w:tcW w:w="5420" w:type="dxa"/>
            <w:vAlign w:val="bottom"/>
            <w:tcBorders>
              <w:right w:val="single" w:sz="8" w:color="auto"/>
            </w:tcBorders>
            <w:gridSpan w:val="4"/>
          </w:tcPr>
          <w:p>
            <w:pPr>
              <w:ind w:left="40"/>
              <w:spacing w:after="0"/>
              <w:rPr>
                <w:sz w:val="20"/>
                <w:szCs w:val="20"/>
                <w:color w:val="auto"/>
              </w:rPr>
            </w:pPr>
            <w:r>
              <w:rPr>
                <w:rFonts w:ascii="Arial" w:cs="Arial" w:eastAsia="Arial" w:hAnsi="Arial"/>
                <w:sz w:val="12"/>
                <w:szCs w:val="12"/>
                <w:color w:val="auto"/>
              </w:rPr>
              <w:t>a)  exercer la haute direction de la société et établir les instructions nécessaires;</w:t>
            </w:r>
          </w:p>
        </w:tc>
        <w:tc>
          <w:tcPr>
            <w:tcW w:w="0" w:type="dxa"/>
            <w:vAlign w:val="bottom"/>
          </w:tcPr>
          <w:p>
            <w:pPr>
              <w:spacing w:after="0"/>
              <w:rPr>
                <w:sz w:val="1"/>
                <w:szCs w:val="1"/>
                <w:color w:val="auto"/>
              </w:rPr>
            </w:pPr>
          </w:p>
        </w:tc>
      </w:tr>
      <w:tr>
        <w:trPr>
          <w:trHeight w:val="270"/>
        </w:trPr>
        <w:tc>
          <w:tcPr>
            <w:tcW w:w="56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2"/>
                <w:szCs w:val="12"/>
                <w:color w:val="auto"/>
              </w:rPr>
              <w:t>b)  determination of the company's organisation;</w:t>
            </w:r>
          </w:p>
        </w:tc>
        <w:tc>
          <w:tcPr>
            <w:tcW w:w="220" w:type="dxa"/>
            <w:vAlign w:val="bottom"/>
            <w:tcBorders>
              <w:right w:val="single" w:sz="8" w:color="auto"/>
            </w:tcBorders>
          </w:tcPr>
          <w:p>
            <w:pPr>
              <w:spacing w:after="0"/>
              <w:rPr>
                <w:sz w:val="23"/>
                <w:szCs w:val="23"/>
                <w:color w:val="auto"/>
              </w:rPr>
            </w:pPr>
          </w:p>
        </w:tc>
        <w:tc>
          <w:tcPr>
            <w:tcW w:w="200" w:type="dxa"/>
            <w:vAlign w:val="bottom"/>
            <w:vMerge w:val="restart"/>
          </w:tcPr>
          <w:p>
            <w:pPr>
              <w:ind w:left="40"/>
              <w:spacing w:after="0"/>
              <w:rPr>
                <w:sz w:val="20"/>
                <w:szCs w:val="20"/>
                <w:color w:val="auto"/>
              </w:rPr>
            </w:pPr>
            <w:r>
              <w:rPr>
                <w:rFonts w:ascii="Arial" w:cs="Arial" w:eastAsia="Arial" w:hAnsi="Arial"/>
                <w:sz w:val="12"/>
                <w:szCs w:val="12"/>
                <w:color w:val="auto"/>
              </w:rPr>
              <w:t>b)</w:t>
            </w:r>
          </w:p>
        </w:tc>
        <w:tc>
          <w:tcPr>
            <w:tcW w:w="522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2"/>
                <w:szCs w:val="12"/>
                <w:color w:val="auto"/>
              </w:rPr>
              <w:t>fixer l'organisation;</w:t>
            </w:r>
          </w:p>
        </w:tc>
        <w:tc>
          <w:tcPr>
            <w:tcW w:w="0" w:type="dxa"/>
            <w:vAlign w:val="bottom"/>
          </w:tcPr>
          <w:p>
            <w:pPr>
              <w:spacing w:after="0"/>
              <w:rPr>
                <w:sz w:val="1"/>
                <w:szCs w:val="1"/>
                <w:color w:val="auto"/>
              </w:rPr>
            </w:pPr>
          </w:p>
        </w:tc>
      </w:tr>
      <w:tr>
        <w:trPr>
          <w:trHeight w:val="135"/>
        </w:trPr>
        <w:tc>
          <w:tcPr>
            <w:tcW w:w="5660" w:type="dxa"/>
            <w:vAlign w:val="bottom"/>
            <w:tcBorders>
              <w:left w:val="single" w:sz="8" w:color="auto"/>
              <w:right w:val="single" w:sz="8" w:color="auto"/>
            </w:tcBorders>
            <w:gridSpan w:val="3"/>
            <w:vMerge w:val="restart"/>
          </w:tcPr>
          <w:p>
            <w:pPr>
              <w:ind w:left="40"/>
              <w:spacing w:after="0"/>
              <w:rPr>
                <w:sz w:val="20"/>
                <w:szCs w:val="20"/>
                <w:color w:val="auto"/>
              </w:rPr>
            </w:pPr>
            <w:r>
              <w:rPr>
                <w:rFonts w:ascii="Arial" w:cs="Arial" w:eastAsia="Arial" w:hAnsi="Arial"/>
                <w:sz w:val="12"/>
                <w:szCs w:val="12"/>
                <w:color w:val="auto"/>
              </w:rPr>
              <w:t>c)   the organisation of the accounting, financial control and financial planning systems as required for</w:t>
            </w:r>
          </w:p>
        </w:tc>
        <w:tc>
          <w:tcPr>
            <w:tcW w:w="220" w:type="dxa"/>
            <w:vAlign w:val="bottom"/>
            <w:tcBorders>
              <w:right w:val="single" w:sz="8" w:color="auto"/>
            </w:tcBorders>
          </w:tcPr>
          <w:p>
            <w:pPr>
              <w:spacing w:after="0"/>
              <w:rPr>
                <w:sz w:val="11"/>
                <w:szCs w:val="11"/>
                <w:color w:val="auto"/>
              </w:rPr>
            </w:pPr>
          </w:p>
        </w:tc>
        <w:tc>
          <w:tcPr>
            <w:tcW w:w="200" w:type="dxa"/>
            <w:vAlign w:val="bottom"/>
            <w:vMerge w:val="continue"/>
          </w:tcPr>
          <w:p>
            <w:pPr>
              <w:spacing w:after="0"/>
              <w:rPr>
                <w:sz w:val="11"/>
                <w:szCs w:val="11"/>
                <w:color w:val="auto"/>
              </w:rPr>
            </w:pPr>
          </w:p>
        </w:tc>
        <w:tc>
          <w:tcPr>
            <w:tcW w:w="5220" w:type="dxa"/>
            <w:vAlign w:val="bottom"/>
            <w:tcBorders>
              <w:right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5660" w:type="dxa"/>
            <w:vAlign w:val="bottom"/>
            <w:tcBorders>
              <w:left w:val="single" w:sz="8" w:color="auto"/>
              <w:right w:val="single" w:sz="8" w:color="auto"/>
            </w:tcBorders>
            <w:gridSpan w:val="3"/>
            <w:vMerge w:val="continue"/>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20" w:type="dxa"/>
            <w:vAlign w:val="bottom"/>
            <w:tcBorders>
              <w:left w:val="single" w:sz="8" w:color="auto"/>
            </w:tcBorders>
          </w:tcPr>
          <w:p>
            <w:pPr>
              <w:spacing w:after="0"/>
              <w:rPr>
                <w:sz w:val="12"/>
                <w:szCs w:val="12"/>
                <w:color w:val="auto"/>
              </w:rPr>
            </w:pPr>
          </w:p>
        </w:tc>
        <w:tc>
          <w:tcPr>
            <w:tcW w:w="5440" w:type="dxa"/>
            <w:vAlign w:val="bottom"/>
            <w:tcBorders>
              <w:right w:val="single" w:sz="8" w:color="auto"/>
            </w:tcBorders>
            <w:gridSpan w:val="2"/>
          </w:tcPr>
          <w:p>
            <w:pPr>
              <w:ind w:left="80"/>
              <w:spacing w:after="0"/>
              <w:rPr>
                <w:sz w:val="20"/>
                <w:szCs w:val="20"/>
                <w:color w:val="auto"/>
              </w:rPr>
            </w:pPr>
            <w:r>
              <w:rPr>
                <w:rFonts w:ascii="Arial" w:cs="Arial" w:eastAsia="Arial" w:hAnsi="Arial"/>
                <w:sz w:val="12"/>
                <w:szCs w:val="12"/>
                <w:color w:val="auto"/>
              </w:rPr>
              <w:t>management of the company;</w:t>
            </w:r>
          </w:p>
        </w:tc>
        <w:tc>
          <w:tcPr>
            <w:tcW w:w="220" w:type="dxa"/>
            <w:vAlign w:val="bottom"/>
            <w:tcBorders>
              <w:right w:val="single" w:sz="8" w:color="auto"/>
            </w:tcBorders>
          </w:tcPr>
          <w:p>
            <w:pPr>
              <w:spacing w:after="0"/>
              <w:rPr>
                <w:sz w:val="12"/>
                <w:szCs w:val="12"/>
                <w:color w:val="auto"/>
              </w:rPr>
            </w:pPr>
          </w:p>
        </w:tc>
        <w:tc>
          <w:tcPr>
            <w:tcW w:w="220" w:type="dxa"/>
            <w:vAlign w:val="bottom"/>
            <w:gridSpan w:val="2"/>
            <w:vMerge w:val="restart"/>
          </w:tcPr>
          <w:p>
            <w:pPr>
              <w:ind w:left="40"/>
              <w:spacing w:after="0"/>
              <w:rPr>
                <w:sz w:val="20"/>
                <w:szCs w:val="20"/>
                <w:color w:val="auto"/>
              </w:rPr>
            </w:pPr>
            <w:r>
              <w:rPr>
                <w:rFonts w:ascii="Arial" w:cs="Arial" w:eastAsia="Arial" w:hAnsi="Arial"/>
                <w:sz w:val="12"/>
                <w:szCs w:val="12"/>
                <w:color w:val="auto"/>
              </w:rPr>
              <w:t>c)</w:t>
            </w:r>
          </w:p>
        </w:tc>
        <w:tc>
          <w:tcPr>
            <w:tcW w:w="5200" w:type="dxa"/>
            <w:vAlign w:val="bottom"/>
            <w:tcBorders>
              <w:right w:val="single" w:sz="8" w:color="auto"/>
            </w:tcBorders>
            <w:gridSpan w:val="2"/>
            <w:vMerge w:val="restart"/>
          </w:tcPr>
          <w:p>
            <w:pPr>
              <w:jc w:val="right"/>
              <w:spacing w:after="0"/>
              <w:rPr>
                <w:sz w:val="20"/>
                <w:szCs w:val="20"/>
                <w:color w:val="auto"/>
              </w:rPr>
            </w:pPr>
            <w:r>
              <w:rPr>
                <w:rFonts w:ascii="Arial" w:cs="Arial" w:eastAsia="Arial" w:hAnsi="Arial"/>
                <w:sz w:val="12"/>
                <w:szCs w:val="12"/>
                <w:color w:val="auto"/>
              </w:rPr>
              <w:t>fixer les principes de la comptabilité et du contrôle financier ainsi que le plan financier pour</w:t>
            </w:r>
          </w:p>
        </w:tc>
        <w:tc>
          <w:tcPr>
            <w:tcW w:w="0" w:type="dxa"/>
            <w:vAlign w:val="bottom"/>
          </w:tcPr>
          <w:p>
            <w:pPr>
              <w:spacing w:after="0"/>
              <w:rPr>
                <w:sz w:val="1"/>
                <w:szCs w:val="1"/>
                <w:color w:val="auto"/>
              </w:rPr>
            </w:pPr>
          </w:p>
        </w:tc>
      </w:tr>
      <w:tr>
        <w:trPr>
          <w:trHeight w:val="125"/>
        </w:trPr>
        <w:tc>
          <w:tcPr>
            <w:tcW w:w="220" w:type="dxa"/>
            <w:vAlign w:val="bottom"/>
            <w:tcBorders>
              <w:lef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5180" w:type="dxa"/>
            <w:vAlign w:val="bottom"/>
            <w:tcBorders>
              <w:right w:val="single" w:sz="8" w:color="auto"/>
            </w:tcBorders>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220" w:type="dxa"/>
            <w:vAlign w:val="bottom"/>
            <w:gridSpan w:val="2"/>
            <w:vMerge w:val="continue"/>
          </w:tcPr>
          <w:p>
            <w:pPr>
              <w:spacing w:after="0"/>
              <w:rPr>
                <w:sz w:val="10"/>
                <w:szCs w:val="10"/>
                <w:color w:val="auto"/>
              </w:rPr>
            </w:pPr>
          </w:p>
        </w:tc>
        <w:tc>
          <w:tcPr>
            <w:tcW w:w="520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56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2"/>
                <w:szCs w:val="12"/>
                <w:color w:val="auto"/>
              </w:rPr>
              <w:t>d)  the appointment and dismissal of persons entrusted with managing and representing the company;</w:t>
            </w:r>
          </w:p>
        </w:tc>
        <w:tc>
          <w:tcPr>
            <w:tcW w:w="2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220" w:type="dxa"/>
            <w:vAlign w:val="bottom"/>
            <w:tcBorders>
              <w:right w:val="single" w:sz="8" w:color="auto"/>
            </w:tcBorders>
            <w:gridSpan w:val="3"/>
          </w:tcPr>
          <w:p>
            <w:pPr>
              <w:ind w:left="60"/>
              <w:spacing w:after="0"/>
              <w:rPr>
                <w:sz w:val="20"/>
                <w:szCs w:val="20"/>
                <w:color w:val="auto"/>
              </w:rPr>
            </w:pPr>
            <w:r>
              <w:rPr>
                <w:rFonts w:ascii="Arial" w:cs="Arial" w:eastAsia="Arial" w:hAnsi="Arial"/>
                <w:sz w:val="12"/>
                <w:szCs w:val="12"/>
                <w:color w:val="auto"/>
              </w:rPr>
              <w:t>autant que celui-ci soit nécessaire à la gestion de la société;</w:t>
            </w:r>
          </w:p>
        </w:tc>
        <w:tc>
          <w:tcPr>
            <w:tcW w:w="0" w:type="dxa"/>
            <w:vAlign w:val="bottom"/>
          </w:tcPr>
          <w:p>
            <w:pPr>
              <w:spacing w:after="0"/>
              <w:rPr>
                <w:sz w:val="1"/>
                <w:szCs w:val="1"/>
                <w:color w:val="auto"/>
              </w:rPr>
            </w:pPr>
          </w:p>
        </w:tc>
      </w:tr>
      <w:tr>
        <w:trPr>
          <w:trHeight w:val="260"/>
        </w:trPr>
        <w:tc>
          <w:tcPr>
            <w:tcW w:w="56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2"/>
                <w:szCs w:val="12"/>
                <w:color w:val="auto"/>
              </w:rPr>
              <w:t>e)  overall supervision of the persons entrusted with managing the company, in particular with regard to</w:t>
            </w:r>
          </w:p>
        </w:tc>
        <w:tc>
          <w:tcPr>
            <w:tcW w:w="220" w:type="dxa"/>
            <w:vAlign w:val="bottom"/>
            <w:tcBorders>
              <w:right w:val="single" w:sz="8" w:color="auto"/>
            </w:tcBorders>
          </w:tcPr>
          <w:p>
            <w:pPr>
              <w:spacing w:after="0"/>
              <w:rPr>
                <w:sz w:val="22"/>
                <w:szCs w:val="22"/>
                <w:color w:val="auto"/>
              </w:rPr>
            </w:pPr>
          </w:p>
        </w:tc>
        <w:tc>
          <w:tcPr>
            <w:tcW w:w="5420" w:type="dxa"/>
            <w:vAlign w:val="bottom"/>
            <w:tcBorders>
              <w:right w:val="single" w:sz="8" w:color="auto"/>
            </w:tcBorders>
            <w:gridSpan w:val="4"/>
          </w:tcPr>
          <w:p>
            <w:pPr>
              <w:ind w:left="40"/>
              <w:spacing w:after="0"/>
              <w:rPr>
                <w:sz w:val="20"/>
                <w:szCs w:val="20"/>
                <w:color w:val="auto"/>
              </w:rPr>
            </w:pPr>
            <w:r>
              <w:rPr>
                <w:rFonts w:ascii="Arial" w:cs="Arial" w:eastAsia="Arial" w:hAnsi="Arial"/>
                <w:sz w:val="12"/>
                <w:szCs w:val="12"/>
                <w:color w:val="auto"/>
              </w:rPr>
              <w:t>d)  nommer et révoquer les personnes chargées de la gestion et de la représentation;</w:t>
            </w:r>
          </w:p>
        </w:tc>
        <w:tc>
          <w:tcPr>
            <w:tcW w:w="0" w:type="dxa"/>
            <w:vAlign w:val="bottom"/>
          </w:tcPr>
          <w:p>
            <w:pPr>
              <w:spacing w:after="0"/>
              <w:rPr>
                <w:sz w:val="1"/>
                <w:szCs w:val="1"/>
                <w:color w:val="auto"/>
              </w:rPr>
            </w:pPr>
          </w:p>
        </w:tc>
      </w:tr>
      <w:tr>
        <w:trPr>
          <w:trHeight w:val="145"/>
        </w:trPr>
        <w:tc>
          <w:tcPr>
            <w:tcW w:w="220" w:type="dxa"/>
            <w:vAlign w:val="bottom"/>
            <w:tcBorders>
              <w:left w:val="single" w:sz="8" w:color="auto"/>
            </w:tcBorders>
          </w:tcPr>
          <w:p>
            <w:pPr>
              <w:spacing w:after="0"/>
              <w:rPr>
                <w:sz w:val="12"/>
                <w:szCs w:val="12"/>
                <w:color w:val="auto"/>
              </w:rPr>
            </w:pPr>
          </w:p>
        </w:tc>
        <w:tc>
          <w:tcPr>
            <w:tcW w:w="5440" w:type="dxa"/>
            <w:vAlign w:val="bottom"/>
            <w:tcBorders>
              <w:right w:val="single" w:sz="8" w:color="auto"/>
            </w:tcBorders>
            <w:gridSpan w:val="2"/>
          </w:tcPr>
          <w:p>
            <w:pPr>
              <w:ind w:left="80"/>
              <w:spacing w:after="0"/>
              <w:rPr>
                <w:sz w:val="20"/>
                <w:szCs w:val="20"/>
                <w:color w:val="auto"/>
              </w:rPr>
            </w:pPr>
            <w:r>
              <w:rPr>
                <w:rFonts w:ascii="Arial" w:cs="Arial" w:eastAsia="Arial" w:hAnsi="Arial"/>
                <w:sz w:val="12"/>
                <w:szCs w:val="12"/>
                <w:color w:val="auto"/>
              </w:rPr>
              <w:t>compliance with the law, articles of association, operational regulations and directives;</w:t>
            </w:r>
          </w:p>
        </w:tc>
        <w:tc>
          <w:tcPr>
            <w:tcW w:w="220" w:type="dxa"/>
            <w:vAlign w:val="bottom"/>
            <w:tcBorders>
              <w:right w:val="single" w:sz="8" w:color="auto"/>
            </w:tcBorders>
          </w:tcPr>
          <w:p>
            <w:pPr>
              <w:spacing w:after="0"/>
              <w:rPr>
                <w:sz w:val="12"/>
                <w:szCs w:val="12"/>
                <w:color w:val="auto"/>
              </w:rPr>
            </w:pPr>
          </w:p>
        </w:tc>
        <w:tc>
          <w:tcPr>
            <w:tcW w:w="200" w:type="dxa"/>
            <w:vAlign w:val="bottom"/>
            <w:vMerge w:val="restart"/>
          </w:tcPr>
          <w:p>
            <w:pPr>
              <w:ind w:left="40"/>
              <w:spacing w:after="0"/>
              <w:rPr>
                <w:sz w:val="20"/>
                <w:szCs w:val="20"/>
                <w:color w:val="auto"/>
              </w:rPr>
            </w:pPr>
            <w:r>
              <w:rPr>
                <w:rFonts w:ascii="Arial" w:cs="Arial" w:eastAsia="Arial" w:hAnsi="Arial"/>
                <w:sz w:val="12"/>
                <w:szCs w:val="12"/>
                <w:color w:val="auto"/>
              </w:rPr>
              <w:t>e)</w:t>
            </w:r>
          </w:p>
        </w:tc>
        <w:tc>
          <w:tcPr>
            <w:tcW w:w="20" w:type="dxa"/>
            <w:vAlign w:val="bottom"/>
          </w:tcPr>
          <w:p>
            <w:pPr>
              <w:spacing w:after="0"/>
              <w:rPr>
                <w:sz w:val="12"/>
                <w:szCs w:val="12"/>
                <w:color w:val="auto"/>
              </w:rPr>
            </w:pPr>
          </w:p>
        </w:tc>
        <w:tc>
          <w:tcPr>
            <w:tcW w:w="5200" w:type="dxa"/>
            <w:vAlign w:val="bottom"/>
            <w:tcBorders>
              <w:right w:val="single" w:sz="8" w:color="auto"/>
            </w:tcBorders>
            <w:gridSpan w:val="2"/>
            <w:vMerge w:val="restart"/>
          </w:tcPr>
          <w:p>
            <w:pPr>
              <w:jc w:val="right"/>
              <w:spacing w:after="0"/>
              <w:rPr>
                <w:sz w:val="20"/>
                <w:szCs w:val="20"/>
                <w:color w:val="auto"/>
              </w:rPr>
            </w:pPr>
            <w:r>
              <w:rPr>
                <w:rFonts w:ascii="Arial" w:cs="Arial" w:eastAsia="Arial" w:hAnsi="Arial"/>
                <w:sz w:val="12"/>
                <w:szCs w:val="12"/>
                <w:color w:val="auto"/>
              </w:rPr>
              <w:t>exercer la haute surveillance sur les personnes chargées de la gestion pour s'assurer</w:t>
            </w:r>
          </w:p>
        </w:tc>
        <w:tc>
          <w:tcPr>
            <w:tcW w:w="0" w:type="dxa"/>
            <w:vAlign w:val="bottom"/>
          </w:tcPr>
          <w:p>
            <w:pPr>
              <w:spacing w:after="0"/>
              <w:rPr>
                <w:sz w:val="1"/>
                <w:szCs w:val="1"/>
                <w:color w:val="auto"/>
              </w:rPr>
            </w:pPr>
          </w:p>
        </w:tc>
      </w:tr>
      <w:tr>
        <w:trPr>
          <w:trHeight w:val="125"/>
        </w:trPr>
        <w:tc>
          <w:tcPr>
            <w:tcW w:w="220" w:type="dxa"/>
            <w:vAlign w:val="bottom"/>
            <w:tcBorders>
              <w:lef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5180" w:type="dxa"/>
            <w:vAlign w:val="bottom"/>
            <w:tcBorders>
              <w:right w:val="single" w:sz="8" w:color="auto"/>
            </w:tcBorders>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2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520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0" w:type="dxa"/>
            <w:vAlign w:val="bottom"/>
            <w:tcBorders>
              <w:left w:val="single" w:sz="8" w:color="auto"/>
            </w:tcBorders>
          </w:tcPr>
          <w:p>
            <w:pPr>
              <w:ind w:left="40"/>
              <w:spacing w:after="0" w:line="135" w:lineRule="exact"/>
              <w:rPr>
                <w:sz w:val="20"/>
                <w:szCs w:val="20"/>
                <w:color w:val="auto"/>
              </w:rPr>
            </w:pPr>
            <w:r>
              <w:rPr>
                <w:rFonts w:ascii="Arial" w:cs="Arial" w:eastAsia="Arial" w:hAnsi="Arial"/>
                <w:sz w:val="12"/>
                <w:szCs w:val="12"/>
                <w:color w:val="auto"/>
              </w:rPr>
              <w:t>f)</w:t>
            </w:r>
          </w:p>
        </w:tc>
        <w:tc>
          <w:tcPr>
            <w:tcW w:w="5440" w:type="dxa"/>
            <w:vAlign w:val="bottom"/>
            <w:tcBorders>
              <w:right w:val="single" w:sz="8" w:color="auto"/>
            </w:tcBorders>
            <w:gridSpan w:val="2"/>
          </w:tcPr>
          <w:p>
            <w:pPr>
              <w:jc w:val="right"/>
              <w:spacing w:after="0" w:line="135" w:lineRule="exact"/>
              <w:rPr>
                <w:sz w:val="20"/>
                <w:szCs w:val="20"/>
                <w:color w:val="auto"/>
              </w:rPr>
            </w:pPr>
            <w:r>
              <w:rPr>
                <w:rFonts w:ascii="Arial" w:cs="Arial" w:eastAsia="Arial" w:hAnsi="Arial"/>
                <w:sz w:val="12"/>
                <w:szCs w:val="12"/>
                <w:color w:val="auto"/>
              </w:rPr>
              <w:t>compilation of the annual report, preparation for the general meeting and implementation of its</w:t>
            </w:r>
          </w:p>
        </w:tc>
        <w:tc>
          <w:tcPr>
            <w:tcW w:w="22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220" w:type="dxa"/>
            <w:vAlign w:val="bottom"/>
            <w:tcBorders>
              <w:right w:val="single" w:sz="8" w:color="auto"/>
            </w:tcBorders>
            <w:gridSpan w:val="3"/>
          </w:tcPr>
          <w:p>
            <w:pPr>
              <w:ind w:left="60"/>
              <w:spacing w:after="0" w:line="135" w:lineRule="exact"/>
              <w:rPr>
                <w:sz w:val="20"/>
                <w:szCs w:val="20"/>
                <w:color w:val="auto"/>
              </w:rPr>
            </w:pPr>
            <w:r>
              <w:rPr>
                <w:rFonts w:ascii="Arial" w:cs="Arial" w:eastAsia="Arial" w:hAnsi="Arial"/>
                <w:sz w:val="12"/>
                <w:szCs w:val="12"/>
                <w:color w:val="auto"/>
              </w:rPr>
              <w:t>notamment qu'elles observent la loi, les statuts, les règlements et les instructions données;</w:t>
            </w:r>
          </w:p>
        </w:tc>
        <w:tc>
          <w:tcPr>
            <w:tcW w:w="0" w:type="dxa"/>
            <w:vAlign w:val="bottom"/>
          </w:tcPr>
          <w:p>
            <w:pPr>
              <w:spacing w:after="0"/>
              <w:rPr>
                <w:sz w:val="1"/>
                <w:szCs w:val="1"/>
                <w:color w:val="auto"/>
              </w:rPr>
            </w:pPr>
          </w:p>
        </w:tc>
      </w:tr>
      <w:tr>
        <w:trPr>
          <w:trHeight w:val="145"/>
        </w:trPr>
        <w:tc>
          <w:tcPr>
            <w:tcW w:w="220" w:type="dxa"/>
            <w:vAlign w:val="bottom"/>
            <w:tcBorders>
              <w:left w:val="single" w:sz="8" w:color="auto"/>
            </w:tcBorders>
          </w:tcPr>
          <w:p>
            <w:pPr>
              <w:spacing w:after="0"/>
              <w:rPr>
                <w:sz w:val="12"/>
                <w:szCs w:val="12"/>
                <w:color w:val="auto"/>
              </w:rPr>
            </w:pPr>
          </w:p>
        </w:tc>
        <w:tc>
          <w:tcPr>
            <w:tcW w:w="5440" w:type="dxa"/>
            <w:vAlign w:val="bottom"/>
            <w:tcBorders>
              <w:right w:val="single" w:sz="8" w:color="auto"/>
            </w:tcBorders>
            <w:gridSpan w:val="2"/>
          </w:tcPr>
          <w:p>
            <w:pPr>
              <w:ind w:left="80"/>
              <w:spacing w:after="0"/>
              <w:rPr>
                <w:sz w:val="20"/>
                <w:szCs w:val="20"/>
                <w:color w:val="auto"/>
              </w:rPr>
            </w:pPr>
            <w:r>
              <w:rPr>
                <w:rFonts w:ascii="Arial" w:cs="Arial" w:eastAsia="Arial" w:hAnsi="Arial"/>
                <w:sz w:val="12"/>
                <w:szCs w:val="12"/>
                <w:color w:val="auto"/>
              </w:rPr>
              <w:t>resolutions;</w:t>
            </w:r>
          </w:p>
        </w:tc>
        <w:tc>
          <w:tcPr>
            <w:tcW w:w="220" w:type="dxa"/>
            <w:vAlign w:val="bottom"/>
            <w:tcBorders>
              <w:right w:val="single" w:sz="8" w:color="auto"/>
            </w:tcBorders>
          </w:tcPr>
          <w:p>
            <w:pPr>
              <w:spacing w:after="0"/>
              <w:rPr>
                <w:sz w:val="12"/>
                <w:szCs w:val="12"/>
                <w:color w:val="auto"/>
              </w:rPr>
            </w:pPr>
          </w:p>
        </w:tc>
        <w:tc>
          <w:tcPr>
            <w:tcW w:w="5420" w:type="dxa"/>
            <w:vAlign w:val="bottom"/>
            <w:tcBorders>
              <w:right w:val="single" w:sz="8" w:color="auto"/>
            </w:tcBorders>
            <w:gridSpan w:val="4"/>
            <w:vMerge w:val="restart"/>
          </w:tcPr>
          <w:p>
            <w:pPr>
              <w:ind w:left="40"/>
              <w:spacing w:after="0"/>
              <w:rPr>
                <w:sz w:val="20"/>
                <w:szCs w:val="20"/>
                <w:color w:val="auto"/>
              </w:rPr>
            </w:pPr>
            <w:r>
              <w:rPr>
                <w:rFonts w:ascii="Arial" w:cs="Arial" w:eastAsia="Arial" w:hAnsi="Arial"/>
                <w:sz w:val="12"/>
                <w:szCs w:val="12"/>
                <w:color w:val="auto"/>
              </w:rPr>
              <w:t>f)  établir le rapport de gestion, préparer l'assemblée générale et exécuter ses décisions;</w:t>
            </w:r>
          </w:p>
        </w:tc>
        <w:tc>
          <w:tcPr>
            <w:tcW w:w="0" w:type="dxa"/>
            <w:vAlign w:val="bottom"/>
          </w:tcPr>
          <w:p>
            <w:pPr>
              <w:spacing w:after="0"/>
              <w:rPr>
                <w:sz w:val="1"/>
                <w:szCs w:val="1"/>
                <w:color w:val="auto"/>
              </w:rPr>
            </w:pPr>
          </w:p>
        </w:tc>
      </w:tr>
      <w:tr>
        <w:trPr>
          <w:trHeight w:val="135"/>
        </w:trPr>
        <w:tc>
          <w:tcPr>
            <w:tcW w:w="220" w:type="dxa"/>
            <w:vAlign w:val="bottom"/>
            <w:tcBorders>
              <w:left w:val="single" w:sz="8" w:color="auto"/>
            </w:tcBorders>
            <w:vMerge w:val="restart"/>
          </w:tcPr>
          <w:p>
            <w:pPr>
              <w:ind w:left="40"/>
              <w:spacing w:after="0"/>
              <w:rPr>
                <w:sz w:val="20"/>
                <w:szCs w:val="20"/>
                <w:color w:val="auto"/>
              </w:rPr>
            </w:pPr>
            <w:r>
              <w:rPr>
                <w:rFonts w:ascii="Arial" w:cs="Arial" w:eastAsia="Arial" w:hAnsi="Arial"/>
                <w:sz w:val="12"/>
                <w:szCs w:val="12"/>
                <w:color w:val="auto"/>
              </w:rPr>
              <w:t>g)</w:t>
            </w:r>
          </w:p>
        </w:tc>
        <w:tc>
          <w:tcPr>
            <w:tcW w:w="5440" w:type="dxa"/>
            <w:vAlign w:val="bottom"/>
            <w:tcBorders>
              <w:right w:val="single" w:sz="8" w:color="auto"/>
            </w:tcBorders>
            <w:gridSpan w:val="2"/>
            <w:vMerge w:val="restart"/>
          </w:tcPr>
          <w:p>
            <w:pPr>
              <w:jc w:val="right"/>
              <w:spacing w:after="0"/>
              <w:rPr>
                <w:sz w:val="20"/>
                <w:szCs w:val="20"/>
                <w:color w:val="auto"/>
              </w:rPr>
            </w:pPr>
            <w:r>
              <w:rPr>
                <w:rFonts w:ascii="Arial" w:cs="Arial" w:eastAsia="Arial" w:hAnsi="Arial"/>
                <w:sz w:val="12"/>
                <w:szCs w:val="12"/>
                <w:color w:val="auto"/>
              </w:rPr>
              <w:t>the preparation of the compensation report and to request approval by the General Meeting</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20" w:type="dxa"/>
            <w:vAlign w:val="bottom"/>
            <w:tcBorders>
              <w:left w:val="single" w:sz="8" w:color="auto"/>
            </w:tcBorders>
            <w:vMerge w:val="continue"/>
          </w:tcPr>
          <w:p>
            <w:pPr>
              <w:spacing w:after="0"/>
              <w:rPr>
                <w:sz w:val="10"/>
                <w:szCs w:val="10"/>
                <w:color w:val="auto"/>
              </w:rPr>
            </w:pPr>
          </w:p>
        </w:tc>
        <w:tc>
          <w:tcPr>
            <w:tcW w:w="5440" w:type="dxa"/>
            <w:vAlign w:val="bottom"/>
            <w:tcBorders>
              <w:right w:val="single" w:sz="8" w:color="auto"/>
            </w:tcBorders>
            <w:gridSpan w:val="2"/>
            <w:vMerge w:val="continue"/>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0" w:type="dxa"/>
            <w:vAlign w:val="bottom"/>
            <w:tcBorders>
              <w:left w:val="single" w:sz="8" w:color="auto"/>
            </w:tcBorders>
          </w:tcPr>
          <w:p>
            <w:pPr>
              <w:spacing w:after="0"/>
              <w:rPr>
                <w:sz w:val="11"/>
                <w:szCs w:val="11"/>
                <w:color w:val="auto"/>
              </w:rPr>
            </w:pPr>
          </w:p>
        </w:tc>
        <w:tc>
          <w:tcPr>
            <w:tcW w:w="5440" w:type="dxa"/>
            <w:vAlign w:val="bottom"/>
            <w:tcBorders>
              <w:right w:val="single" w:sz="8" w:color="auto"/>
            </w:tcBorders>
            <w:gridSpan w:val="2"/>
          </w:tcPr>
          <w:p>
            <w:pPr>
              <w:ind w:left="80"/>
              <w:spacing w:after="0" w:line="135" w:lineRule="exact"/>
              <w:rPr>
                <w:sz w:val="20"/>
                <w:szCs w:val="20"/>
                <w:color w:val="auto"/>
              </w:rPr>
            </w:pPr>
            <w:r>
              <w:rPr>
                <w:rFonts w:ascii="Arial" w:cs="Arial" w:eastAsia="Arial" w:hAnsi="Arial"/>
                <w:sz w:val="12"/>
                <w:szCs w:val="12"/>
                <w:color w:val="auto"/>
              </w:rPr>
              <w:t>regarding compensation of the Board of Directors and the Executive Committee; and</w:t>
            </w:r>
          </w:p>
        </w:tc>
        <w:tc>
          <w:tcPr>
            <w:tcW w:w="220" w:type="dxa"/>
            <w:vAlign w:val="bottom"/>
            <w:tcBorders>
              <w:right w:val="single" w:sz="8" w:color="auto"/>
            </w:tcBorders>
          </w:tcPr>
          <w:p>
            <w:pPr>
              <w:spacing w:after="0"/>
              <w:rPr>
                <w:sz w:val="11"/>
                <w:szCs w:val="11"/>
                <w:color w:val="auto"/>
              </w:rPr>
            </w:pPr>
          </w:p>
        </w:tc>
        <w:tc>
          <w:tcPr>
            <w:tcW w:w="220" w:type="dxa"/>
            <w:vAlign w:val="bottom"/>
            <w:gridSpan w:val="2"/>
          </w:tcPr>
          <w:p>
            <w:pPr>
              <w:ind w:left="40"/>
              <w:spacing w:after="0" w:line="135" w:lineRule="exact"/>
              <w:rPr>
                <w:sz w:val="20"/>
                <w:szCs w:val="20"/>
                <w:color w:val="auto"/>
              </w:rPr>
            </w:pPr>
            <w:r>
              <w:rPr>
                <w:rFonts w:ascii="Arial" w:cs="Arial" w:eastAsia="Arial" w:hAnsi="Arial"/>
                <w:sz w:val="12"/>
                <w:szCs w:val="12"/>
                <w:color w:val="auto"/>
              </w:rPr>
              <w:t>g)</w:t>
            </w:r>
          </w:p>
        </w:tc>
        <w:tc>
          <w:tcPr>
            <w:tcW w:w="5200" w:type="dxa"/>
            <w:vAlign w:val="bottom"/>
            <w:tcBorders>
              <w:right w:val="single" w:sz="8" w:color="auto"/>
            </w:tcBorders>
            <w:gridSpan w:val="2"/>
          </w:tcPr>
          <w:p>
            <w:pPr>
              <w:jc w:val="right"/>
              <w:spacing w:after="0" w:line="135" w:lineRule="exact"/>
              <w:rPr>
                <w:sz w:val="20"/>
                <w:szCs w:val="20"/>
                <w:color w:val="auto"/>
              </w:rPr>
            </w:pPr>
            <w:r>
              <w:rPr>
                <w:rFonts w:ascii="Arial" w:cs="Arial" w:eastAsia="Arial" w:hAnsi="Arial"/>
                <w:sz w:val="12"/>
                <w:szCs w:val="12"/>
                <w:color w:val="auto"/>
              </w:rPr>
              <w:t>la préparation du rapport de rémunération et de demander l'approbation par l'assemblée</w:t>
            </w:r>
          </w:p>
        </w:tc>
        <w:tc>
          <w:tcPr>
            <w:tcW w:w="0" w:type="dxa"/>
            <w:vAlign w:val="bottom"/>
          </w:tcPr>
          <w:p>
            <w:pPr>
              <w:spacing w:after="0"/>
              <w:rPr>
                <w:sz w:val="1"/>
                <w:szCs w:val="1"/>
                <w:color w:val="auto"/>
              </w:rPr>
            </w:pPr>
          </w:p>
        </w:tc>
      </w:tr>
      <w:tr>
        <w:trPr>
          <w:trHeight w:val="135"/>
        </w:trPr>
        <w:tc>
          <w:tcPr>
            <w:tcW w:w="220" w:type="dxa"/>
            <w:vAlign w:val="bottom"/>
            <w:tcBorders>
              <w:lef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5180" w:type="dxa"/>
            <w:vAlign w:val="bottom"/>
            <w:tcBorders>
              <w:right w:val="single" w:sz="8" w:color="auto"/>
            </w:tcBorders>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220" w:type="dxa"/>
            <w:vAlign w:val="bottom"/>
            <w:tcBorders>
              <w:right w:val="single" w:sz="8" w:color="auto"/>
            </w:tcBorders>
            <w:gridSpan w:val="3"/>
          </w:tcPr>
          <w:p>
            <w:pPr>
              <w:ind w:left="60"/>
              <w:spacing w:after="0" w:line="135" w:lineRule="exact"/>
              <w:rPr>
                <w:sz w:val="20"/>
                <w:szCs w:val="20"/>
                <w:color w:val="auto"/>
              </w:rPr>
            </w:pPr>
            <w:r>
              <w:rPr>
                <w:rFonts w:ascii="Arial" w:cs="Arial" w:eastAsia="Arial" w:hAnsi="Arial"/>
                <w:sz w:val="12"/>
                <w:szCs w:val="12"/>
                <w:color w:val="auto"/>
              </w:rPr>
              <w:t>générale en ce qui concerne la rémunération du conseil d'administration et du comité exécutif;</w:t>
            </w:r>
          </w:p>
        </w:tc>
        <w:tc>
          <w:tcPr>
            <w:tcW w:w="0" w:type="dxa"/>
            <w:vAlign w:val="bottom"/>
          </w:tcPr>
          <w:p>
            <w:pPr>
              <w:spacing w:after="0"/>
              <w:rPr>
                <w:sz w:val="1"/>
                <w:szCs w:val="1"/>
                <w:color w:val="auto"/>
              </w:rPr>
            </w:pPr>
          </w:p>
        </w:tc>
      </w:tr>
      <w:tr>
        <w:trPr>
          <w:trHeight w:val="145"/>
        </w:trPr>
        <w:tc>
          <w:tcPr>
            <w:tcW w:w="56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2"/>
                <w:szCs w:val="12"/>
                <w:color w:val="auto"/>
              </w:rPr>
              <w:t>h)  notification of the court in the event that the company is overindebted.</w:t>
            </w:r>
          </w:p>
        </w:tc>
        <w:tc>
          <w:tcPr>
            <w:tcW w:w="2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gridSpan w:val="2"/>
          </w:tcPr>
          <w:p>
            <w:pPr>
              <w:ind w:left="60"/>
              <w:spacing w:after="0"/>
              <w:rPr>
                <w:sz w:val="20"/>
                <w:szCs w:val="20"/>
                <w:color w:val="auto"/>
              </w:rPr>
            </w:pPr>
            <w:r>
              <w:rPr>
                <w:rFonts w:ascii="Arial" w:cs="Arial" w:eastAsia="Arial" w:hAnsi="Arial"/>
                <w:sz w:val="12"/>
                <w:szCs w:val="12"/>
                <w:color w:val="auto"/>
              </w:rPr>
              <w:t>et</w:t>
            </w:r>
          </w:p>
        </w:tc>
        <w:tc>
          <w:tcPr>
            <w:tcW w:w="4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220" w:type="dxa"/>
            <w:vAlign w:val="bottom"/>
            <w:tcBorders>
              <w:left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5180" w:type="dxa"/>
            <w:vAlign w:val="bottom"/>
            <w:tcBorders>
              <w:right w:val="single" w:sz="8" w:color="auto"/>
            </w:tcBorders>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5420" w:type="dxa"/>
            <w:vAlign w:val="bottom"/>
            <w:tcBorders>
              <w:right w:val="single" w:sz="8" w:color="auto"/>
            </w:tcBorders>
            <w:gridSpan w:val="4"/>
          </w:tcPr>
          <w:p>
            <w:pPr>
              <w:ind w:left="40"/>
              <w:spacing w:after="0"/>
              <w:rPr>
                <w:sz w:val="20"/>
                <w:szCs w:val="20"/>
                <w:color w:val="auto"/>
              </w:rPr>
            </w:pPr>
            <w:r>
              <w:rPr>
                <w:rFonts w:ascii="Arial" w:cs="Arial" w:eastAsia="Arial" w:hAnsi="Arial"/>
                <w:sz w:val="12"/>
                <w:szCs w:val="12"/>
                <w:color w:val="auto"/>
              </w:rPr>
              <w:t>h)  informer le juge en cas de surendettement.</w:t>
            </w:r>
          </w:p>
        </w:tc>
        <w:tc>
          <w:tcPr>
            <w:tcW w:w="0" w:type="dxa"/>
            <w:vAlign w:val="bottom"/>
          </w:tcPr>
          <w:p>
            <w:pPr>
              <w:spacing w:after="0"/>
              <w:rPr>
                <w:sz w:val="1"/>
                <w:szCs w:val="1"/>
                <w:color w:val="auto"/>
              </w:rPr>
            </w:pPr>
          </w:p>
        </w:tc>
      </w:tr>
      <w:tr>
        <w:trPr>
          <w:trHeight w:val="36"/>
        </w:trPr>
        <w:tc>
          <w:tcPr>
            <w:tcW w:w="5660" w:type="dxa"/>
            <w:vAlign w:val="bottom"/>
            <w:tcBorders>
              <w:left w:val="single" w:sz="8" w:color="auto"/>
              <w:bottom w:val="single" w:sz="8" w:color="auto"/>
              <w:right w:val="single" w:sz="8" w:color="auto"/>
            </w:tcBorders>
            <w:gridSpan w:val="3"/>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5420" w:type="dxa"/>
            <w:vAlign w:val="bottom"/>
            <w:tcBorders>
              <w:bottom w:val="single" w:sz="8" w:color="auto"/>
              <w:right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56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2"/>
                <w:szCs w:val="12"/>
                <w:color w:val="auto"/>
              </w:rPr>
              <w:t>The board of directors may assign responsibility for preparing and implementing its resolutions or</w:t>
            </w:r>
          </w:p>
        </w:tc>
        <w:tc>
          <w:tcPr>
            <w:tcW w:w="220" w:type="dxa"/>
            <w:vAlign w:val="bottom"/>
            <w:tcBorders>
              <w:right w:val="single" w:sz="8" w:color="auto"/>
            </w:tcBorders>
          </w:tcPr>
          <w:p>
            <w:pPr>
              <w:spacing w:after="0"/>
              <w:rPr>
                <w:sz w:val="14"/>
                <w:szCs w:val="14"/>
                <w:color w:val="auto"/>
              </w:rPr>
            </w:pPr>
          </w:p>
        </w:tc>
        <w:tc>
          <w:tcPr>
            <w:tcW w:w="5420" w:type="dxa"/>
            <w:vAlign w:val="bottom"/>
            <w:tcBorders>
              <w:right w:val="single" w:sz="8" w:color="auto"/>
            </w:tcBorders>
            <w:gridSpan w:val="4"/>
          </w:tcPr>
          <w:p>
            <w:pPr>
              <w:ind w:left="40"/>
              <w:spacing w:after="0"/>
              <w:rPr>
                <w:sz w:val="20"/>
                <w:szCs w:val="20"/>
                <w:color w:val="auto"/>
              </w:rPr>
            </w:pPr>
            <w:r>
              <w:rPr>
                <w:rFonts w:ascii="Arial" w:cs="Arial" w:eastAsia="Arial" w:hAnsi="Arial"/>
                <w:sz w:val="12"/>
                <w:szCs w:val="12"/>
                <w:color w:val="auto"/>
              </w:rPr>
              <w:t>Le conseil d'administration peut déléguer à un ou plusieurs membres, regroupés en comités, la</w:t>
            </w:r>
          </w:p>
        </w:tc>
        <w:tc>
          <w:tcPr>
            <w:tcW w:w="0" w:type="dxa"/>
            <w:vAlign w:val="bottom"/>
          </w:tcPr>
          <w:p>
            <w:pPr>
              <w:spacing w:after="0"/>
              <w:rPr>
                <w:sz w:val="1"/>
                <w:szCs w:val="1"/>
                <w:color w:val="auto"/>
              </w:rPr>
            </w:pPr>
          </w:p>
        </w:tc>
      </w:tr>
      <w:tr>
        <w:trPr>
          <w:trHeight w:val="135"/>
        </w:trPr>
        <w:tc>
          <w:tcPr>
            <w:tcW w:w="5660" w:type="dxa"/>
            <w:vAlign w:val="bottom"/>
            <w:tcBorders>
              <w:left w:val="single" w:sz="8" w:color="auto"/>
              <w:right w:val="single" w:sz="8" w:color="auto"/>
            </w:tcBorders>
            <w:gridSpan w:val="3"/>
          </w:tcPr>
          <w:p>
            <w:pPr>
              <w:ind w:left="40"/>
              <w:spacing w:after="0" w:line="135" w:lineRule="exact"/>
              <w:rPr>
                <w:sz w:val="20"/>
                <w:szCs w:val="20"/>
                <w:color w:val="auto"/>
              </w:rPr>
            </w:pPr>
            <w:r>
              <w:rPr>
                <w:rFonts w:ascii="Arial" w:cs="Arial" w:eastAsia="Arial" w:hAnsi="Arial"/>
                <w:sz w:val="12"/>
                <w:szCs w:val="12"/>
                <w:color w:val="auto"/>
              </w:rPr>
              <w:t>monitoring transactions to committees or individual members. It must ensure appropriate reporting to its</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gridSpan w:val="4"/>
          </w:tcPr>
          <w:p>
            <w:pPr>
              <w:ind w:left="40"/>
              <w:spacing w:after="0" w:line="135" w:lineRule="exact"/>
              <w:rPr>
                <w:sz w:val="20"/>
                <w:szCs w:val="20"/>
                <w:color w:val="auto"/>
              </w:rPr>
            </w:pPr>
            <w:r>
              <w:rPr>
                <w:rFonts w:ascii="Arial" w:cs="Arial" w:eastAsia="Arial" w:hAnsi="Arial"/>
                <w:sz w:val="12"/>
                <w:szCs w:val="12"/>
                <w:color w:val="auto"/>
              </w:rPr>
              <w:t>charge de préparer et d'exécuter ses décisions ou de surveiller certaines affaires. Il veille à ce que</w:t>
            </w:r>
          </w:p>
        </w:tc>
        <w:tc>
          <w:tcPr>
            <w:tcW w:w="0" w:type="dxa"/>
            <w:vAlign w:val="bottom"/>
          </w:tcPr>
          <w:p>
            <w:pPr>
              <w:spacing w:after="0"/>
              <w:rPr>
                <w:sz w:val="1"/>
                <w:szCs w:val="1"/>
                <w:color w:val="auto"/>
              </w:rPr>
            </w:pPr>
          </w:p>
        </w:tc>
      </w:tr>
      <w:tr>
        <w:trPr>
          <w:trHeight w:val="145"/>
        </w:trPr>
        <w:tc>
          <w:tcPr>
            <w:tcW w:w="56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2"/>
                <w:szCs w:val="12"/>
                <w:color w:val="auto"/>
              </w:rPr>
              <w:t>members.</w:t>
            </w:r>
          </w:p>
        </w:tc>
        <w:tc>
          <w:tcPr>
            <w:tcW w:w="220" w:type="dxa"/>
            <w:vAlign w:val="bottom"/>
            <w:tcBorders>
              <w:right w:val="single" w:sz="8" w:color="auto"/>
            </w:tcBorders>
          </w:tcPr>
          <w:p>
            <w:pPr>
              <w:spacing w:after="0"/>
              <w:rPr>
                <w:sz w:val="12"/>
                <w:szCs w:val="12"/>
                <w:color w:val="auto"/>
              </w:rPr>
            </w:pPr>
          </w:p>
        </w:tc>
        <w:tc>
          <w:tcPr>
            <w:tcW w:w="5420" w:type="dxa"/>
            <w:vAlign w:val="bottom"/>
            <w:tcBorders>
              <w:right w:val="single" w:sz="8" w:color="auto"/>
            </w:tcBorders>
            <w:gridSpan w:val="4"/>
          </w:tcPr>
          <w:p>
            <w:pPr>
              <w:ind w:left="40"/>
              <w:spacing w:after="0"/>
              <w:rPr>
                <w:sz w:val="20"/>
                <w:szCs w:val="20"/>
                <w:color w:val="auto"/>
              </w:rPr>
            </w:pPr>
            <w:r>
              <w:rPr>
                <w:rFonts w:ascii="Arial" w:cs="Arial" w:eastAsia="Arial" w:hAnsi="Arial"/>
                <w:sz w:val="12"/>
                <w:szCs w:val="12"/>
                <w:color w:val="auto"/>
              </w:rPr>
              <w:t>ses membres soient convenablement informés.</w:t>
            </w:r>
          </w:p>
        </w:tc>
        <w:tc>
          <w:tcPr>
            <w:tcW w:w="0" w:type="dxa"/>
            <w:vAlign w:val="bottom"/>
          </w:tcPr>
          <w:p>
            <w:pPr>
              <w:spacing w:after="0"/>
              <w:rPr>
                <w:sz w:val="1"/>
                <w:szCs w:val="1"/>
                <w:color w:val="auto"/>
              </w:rPr>
            </w:pPr>
          </w:p>
        </w:tc>
      </w:tr>
      <w:tr>
        <w:trPr>
          <w:trHeight w:val="36"/>
        </w:trPr>
        <w:tc>
          <w:tcPr>
            <w:tcW w:w="5660" w:type="dxa"/>
            <w:vAlign w:val="bottom"/>
            <w:tcBorders>
              <w:left w:val="single" w:sz="8" w:color="auto"/>
              <w:bottom w:val="single" w:sz="8" w:color="auto"/>
              <w:right w:val="single" w:sz="8" w:color="auto"/>
            </w:tcBorders>
            <w:gridSpan w:val="3"/>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5420" w:type="dxa"/>
            <w:vAlign w:val="bottom"/>
            <w:tcBorders>
              <w:bottom w:val="single" w:sz="8" w:color="auto"/>
              <w:right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56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2"/>
                <w:szCs w:val="12"/>
                <w:b w:val="1"/>
                <w:bCs w:val="1"/>
                <w:color w:val="auto"/>
              </w:rPr>
              <w:t>Art. 24  Representation of the Company</w:t>
            </w:r>
          </w:p>
        </w:tc>
        <w:tc>
          <w:tcPr>
            <w:tcW w:w="220" w:type="dxa"/>
            <w:vAlign w:val="bottom"/>
            <w:tcBorders>
              <w:right w:val="single" w:sz="8" w:color="auto"/>
            </w:tcBorders>
          </w:tcPr>
          <w:p>
            <w:pPr>
              <w:spacing w:after="0"/>
              <w:rPr>
                <w:sz w:val="15"/>
                <w:szCs w:val="15"/>
                <w:color w:val="auto"/>
              </w:rPr>
            </w:pPr>
          </w:p>
        </w:tc>
        <w:tc>
          <w:tcPr>
            <w:tcW w:w="5420" w:type="dxa"/>
            <w:vAlign w:val="bottom"/>
            <w:tcBorders>
              <w:right w:val="single" w:sz="8" w:color="auto"/>
            </w:tcBorders>
            <w:gridSpan w:val="4"/>
          </w:tcPr>
          <w:p>
            <w:pPr>
              <w:ind w:left="40"/>
              <w:spacing w:after="0"/>
              <w:rPr>
                <w:sz w:val="20"/>
                <w:szCs w:val="20"/>
                <w:color w:val="auto"/>
              </w:rPr>
            </w:pPr>
            <w:r>
              <w:rPr>
                <w:rFonts w:ascii="Arial" w:cs="Arial" w:eastAsia="Arial" w:hAnsi="Arial"/>
                <w:sz w:val="12"/>
                <w:szCs w:val="12"/>
                <w:b w:val="1"/>
                <w:bCs w:val="1"/>
                <w:color w:val="auto"/>
              </w:rPr>
              <w:t>Art. 24  Représentation de la société</w:t>
            </w:r>
          </w:p>
        </w:tc>
        <w:tc>
          <w:tcPr>
            <w:tcW w:w="0" w:type="dxa"/>
            <w:vAlign w:val="bottom"/>
          </w:tcPr>
          <w:p>
            <w:pPr>
              <w:spacing w:after="0"/>
              <w:rPr>
                <w:sz w:val="1"/>
                <w:szCs w:val="1"/>
                <w:color w:val="auto"/>
              </w:rPr>
            </w:pPr>
          </w:p>
        </w:tc>
      </w:tr>
      <w:tr>
        <w:trPr>
          <w:trHeight w:val="260"/>
        </w:trPr>
        <w:tc>
          <w:tcPr>
            <w:tcW w:w="56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2"/>
                <w:szCs w:val="12"/>
                <w:color w:val="auto"/>
              </w:rPr>
              <w:t>The Board of Directors shall assign the persons with signatory power for the company and the kind of</w:t>
            </w:r>
          </w:p>
        </w:tc>
        <w:tc>
          <w:tcPr>
            <w:tcW w:w="220" w:type="dxa"/>
            <w:vAlign w:val="bottom"/>
            <w:tcBorders>
              <w:right w:val="single" w:sz="8" w:color="auto"/>
            </w:tcBorders>
          </w:tcPr>
          <w:p>
            <w:pPr>
              <w:spacing w:after="0"/>
              <w:rPr>
                <w:sz w:val="22"/>
                <w:szCs w:val="22"/>
                <w:color w:val="auto"/>
              </w:rPr>
            </w:pPr>
          </w:p>
        </w:tc>
        <w:tc>
          <w:tcPr>
            <w:tcW w:w="5420" w:type="dxa"/>
            <w:vAlign w:val="bottom"/>
            <w:tcBorders>
              <w:right w:val="single" w:sz="8" w:color="auto"/>
            </w:tcBorders>
            <w:gridSpan w:val="4"/>
          </w:tcPr>
          <w:p>
            <w:pPr>
              <w:ind w:left="40"/>
              <w:spacing w:after="0"/>
              <w:rPr>
                <w:sz w:val="20"/>
                <w:szCs w:val="20"/>
                <w:color w:val="auto"/>
              </w:rPr>
            </w:pPr>
            <w:r>
              <w:rPr>
                <w:rFonts w:ascii="Arial" w:cs="Arial" w:eastAsia="Arial" w:hAnsi="Arial"/>
                <w:sz w:val="12"/>
                <w:szCs w:val="12"/>
                <w:color w:val="auto"/>
              </w:rPr>
              <w:t>Le conseil d'administration nomme les personnes pouvant représenter la société ainsi que le mode</w:t>
            </w:r>
          </w:p>
        </w:tc>
        <w:tc>
          <w:tcPr>
            <w:tcW w:w="0" w:type="dxa"/>
            <w:vAlign w:val="bottom"/>
          </w:tcPr>
          <w:p>
            <w:pPr>
              <w:spacing w:after="0"/>
              <w:rPr>
                <w:sz w:val="1"/>
                <w:szCs w:val="1"/>
                <w:color w:val="auto"/>
              </w:rPr>
            </w:pPr>
          </w:p>
        </w:tc>
      </w:tr>
      <w:tr>
        <w:trPr>
          <w:trHeight w:val="145"/>
        </w:trPr>
        <w:tc>
          <w:tcPr>
            <w:tcW w:w="56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2"/>
                <w:szCs w:val="12"/>
                <w:color w:val="auto"/>
              </w:rPr>
              <w:t>signatory power.</w:t>
            </w:r>
          </w:p>
        </w:tc>
        <w:tc>
          <w:tcPr>
            <w:tcW w:w="220" w:type="dxa"/>
            <w:vAlign w:val="bottom"/>
            <w:tcBorders>
              <w:right w:val="single" w:sz="8" w:color="auto"/>
            </w:tcBorders>
          </w:tcPr>
          <w:p>
            <w:pPr>
              <w:spacing w:after="0"/>
              <w:rPr>
                <w:sz w:val="12"/>
                <w:szCs w:val="12"/>
                <w:color w:val="auto"/>
              </w:rPr>
            </w:pPr>
          </w:p>
        </w:tc>
        <w:tc>
          <w:tcPr>
            <w:tcW w:w="5420" w:type="dxa"/>
            <w:vAlign w:val="bottom"/>
            <w:tcBorders>
              <w:right w:val="single" w:sz="8" w:color="auto"/>
            </w:tcBorders>
            <w:gridSpan w:val="4"/>
          </w:tcPr>
          <w:p>
            <w:pPr>
              <w:ind w:left="40"/>
              <w:spacing w:after="0"/>
              <w:rPr>
                <w:sz w:val="20"/>
                <w:szCs w:val="20"/>
                <w:color w:val="auto"/>
              </w:rPr>
            </w:pPr>
            <w:r>
              <w:rPr>
                <w:rFonts w:ascii="Arial" w:cs="Arial" w:eastAsia="Arial" w:hAnsi="Arial"/>
                <w:sz w:val="12"/>
                <w:szCs w:val="12"/>
                <w:color w:val="auto"/>
              </w:rPr>
              <w:t>de signature.</w:t>
            </w:r>
          </w:p>
        </w:tc>
        <w:tc>
          <w:tcPr>
            <w:tcW w:w="0" w:type="dxa"/>
            <w:vAlign w:val="bottom"/>
          </w:tcPr>
          <w:p>
            <w:pPr>
              <w:spacing w:after="0"/>
              <w:rPr>
                <w:sz w:val="1"/>
                <w:szCs w:val="1"/>
                <w:color w:val="auto"/>
              </w:rPr>
            </w:pPr>
          </w:p>
        </w:tc>
      </w:tr>
      <w:tr>
        <w:trPr>
          <w:trHeight w:val="36"/>
        </w:trPr>
        <w:tc>
          <w:tcPr>
            <w:tcW w:w="220" w:type="dxa"/>
            <w:vAlign w:val="bottom"/>
            <w:tcBorders>
              <w:left w:val="single" w:sz="8" w:color="auto"/>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18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9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93"/>
        </w:trPr>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211" w:right="299" w:bottom="1440" w:gutter="0" w:footer="0" w:header="0"/>
        </w:sectPr>
      </w:pPr>
    </w:p>
    <w:bookmarkStart w:id="65" w:name="page66"/>
    <w:bookmarkEnd w:id="6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45"/>
        </w:trPr>
        <w:tc>
          <w:tcPr>
            <w:tcW w:w="5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20" w:type="dxa"/>
            <w:vAlign w:val="bottom"/>
          </w:tcPr>
          <w:p>
            <w:pPr>
              <w:ind w:left="5240"/>
              <w:spacing w:after="0"/>
              <w:rPr>
                <w:sz w:val="20"/>
                <w:szCs w:val="20"/>
                <w:color w:val="auto"/>
              </w:rPr>
            </w:pPr>
            <w:r>
              <w:rPr>
                <w:rFonts w:ascii="Arial" w:cs="Arial" w:eastAsia="Arial" w:hAnsi="Arial"/>
                <w:sz w:val="12"/>
                <w:szCs w:val="12"/>
                <w:color w:val="auto"/>
              </w:rPr>
              <w:t>20</w:t>
            </w:r>
          </w:p>
        </w:tc>
      </w:tr>
      <w:tr>
        <w:trPr>
          <w:trHeight w:val="63"/>
        </w:trPr>
        <w:tc>
          <w:tcPr>
            <w:tcW w:w="56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420" w:type="dxa"/>
            <w:vAlign w:val="bottom"/>
            <w:tcBorders>
              <w:bottom w:val="single" w:sz="8" w:color="auto"/>
            </w:tcBorders>
          </w:tcPr>
          <w:p>
            <w:pPr>
              <w:spacing w:after="0"/>
              <w:rPr>
                <w:sz w:val="5"/>
                <w:szCs w:val="5"/>
                <w:color w:val="auto"/>
              </w:rPr>
            </w:pPr>
          </w:p>
        </w:tc>
      </w:tr>
      <w:tr>
        <w:trPr>
          <w:trHeight w:val="178"/>
        </w:trPr>
        <w:tc>
          <w:tcPr>
            <w:tcW w:w="5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b w:val="1"/>
                <w:bCs w:val="1"/>
                <w:color w:val="auto"/>
              </w:rPr>
              <w:t>Art. 25  Delegation</w:t>
            </w:r>
          </w:p>
        </w:tc>
        <w:tc>
          <w:tcPr>
            <w:tcW w:w="220" w:type="dxa"/>
            <w:vAlign w:val="bottom"/>
            <w:tcBorders>
              <w:right w:val="single" w:sz="8" w:color="auto"/>
            </w:tcBorders>
          </w:tcPr>
          <w:p>
            <w:pPr>
              <w:spacing w:after="0"/>
              <w:rPr>
                <w:sz w:val="15"/>
                <w:szCs w:val="15"/>
                <w:color w:val="auto"/>
              </w:rPr>
            </w:pPr>
          </w:p>
        </w:tc>
        <w:tc>
          <w:tcPr>
            <w:tcW w:w="5420" w:type="dxa"/>
            <w:vAlign w:val="bottom"/>
            <w:tcBorders>
              <w:right w:val="single" w:sz="8" w:color="auto"/>
            </w:tcBorders>
          </w:tcPr>
          <w:p>
            <w:pPr>
              <w:ind w:left="40"/>
              <w:spacing w:after="0"/>
              <w:rPr>
                <w:sz w:val="20"/>
                <w:szCs w:val="20"/>
                <w:color w:val="auto"/>
              </w:rPr>
            </w:pPr>
            <w:r>
              <w:rPr>
                <w:rFonts w:ascii="Arial" w:cs="Arial" w:eastAsia="Arial" w:hAnsi="Arial"/>
                <w:sz w:val="12"/>
                <w:szCs w:val="12"/>
                <w:b w:val="1"/>
                <w:bCs w:val="1"/>
                <w:color w:val="auto"/>
              </w:rPr>
              <w:t>Art. 25  Délégation</w:t>
            </w:r>
          </w:p>
        </w:tc>
      </w:tr>
      <w:tr>
        <w:trPr>
          <w:trHeight w:val="260"/>
        </w:trPr>
        <w:tc>
          <w:tcPr>
            <w:tcW w:w="5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Moreover, the Board of Directors is authorized to delegate, in part or entirely, the management and the</w:t>
            </w:r>
          </w:p>
        </w:tc>
        <w:tc>
          <w:tcPr>
            <w:tcW w:w="220" w:type="dxa"/>
            <w:vAlign w:val="bottom"/>
            <w:tcBorders>
              <w:right w:val="single" w:sz="8" w:color="auto"/>
            </w:tcBorders>
          </w:tcPr>
          <w:p>
            <w:pPr>
              <w:spacing w:after="0"/>
              <w:rPr>
                <w:sz w:val="22"/>
                <w:szCs w:val="22"/>
                <w:color w:val="auto"/>
              </w:rPr>
            </w:pPr>
          </w:p>
        </w:tc>
        <w:tc>
          <w:tcPr>
            <w:tcW w:w="54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En outre, le conseil d'administration peut, dans les limites de la loi, déléguer, en partie ou</w:t>
            </w:r>
          </w:p>
        </w:tc>
      </w:tr>
      <w:tr>
        <w:trPr>
          <w:trHeight w:val="135"/>
        </w:trPr>
        <w:tc>
          <w:tcPr>
            <w:tcW w:w="566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representation of the Company, within the limits of the law, to one or more individual directors</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entièrement, la gestion et la représentation de la société à un ou plusieurs administrateurs</w:t>
            </w:r>
          </w:p>
        </w:tc>
      </w:tr>
      <w:tr>
        <w:trPr>
          <w:trHeight w:val="145"/>
        </w:trPr>
        <w:tc>
          <w:tcPr>
            <w:tcW w:w="5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(Delegates) or to third parties pursuant to organizational regulations.</w:t>
            </w:r>
          </w:p>
        </w:tc>
        <w:tc>
          <w:tcPr>
            <w:tcW w:w="220" w:type="dxa"/>
            <w:vAlign w:val="bottom"/>
            <w:tcBorders>
              <w:right w:val="single" w:sz="8" w:color="auto"/>
            </w:tcBorders>
          </w:tcPr>
          <w:p>
            <w:pPr>
              <w:spacing w:after="0"/>
              <w:rPr>
                <w:sz w:val="12"/>
                <w:szCs w:val="12"/>
                <w:color w:val="auto"/>
              </w:rPr>
            </w:pPr>
          </w:p>
        </w:tc>
        <w:tc>
          <w:tcPr>
            <w:tcW w:w="54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(délégués) ou à des tiers conformément au règlement d'organisation.</w:t>
            </w:r>
          </w:p>
        </w:tc>
      </w:tr>
      <w:tr>
        <w:trPr>
          <w:trHeight w:val="36"/>
        </w:trPr>
        <w:tc>
          <w:tcPr>
            <w:tcW w:w="5660" w:type="dxa"/>
            <w:vAlign w:val="bottom"/>
            <w:tcBorders>
              <w:left w:val="single" w:sz="8" w:color="auto"/>
              <w:bottom w:val="single" w:sz="8" w:color="auto"/>
              <w:right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5420" w:type="dxa"/>
            <w:vAlign w:val="bottom"/>
            <w:tcBorders>
              <w:bottom w:val="single" w:sz="8" w:color="auto"/>
              <w:right w:val="single" w:sz="8" w:color="auto"/>
            </w:tcBorders>
          </w:tcPr>
          <w:p>
            <w:pPr>
              <w:spacing w:after="0"/>
              <w:rPr>
                <w:sz w:val="3"/>
                <w:szCs w:val="3"/>
                <w:color w:val="auto"/>
              </w:rPr>
            </w:pPr>
          </w:p>
        </w:tc>
      </w:tr>
      <w:tr>
        <w:trPr>
          <w:trHeight w:val="178"/>
        </w:trPr>
        <w:tc>
          <w:tcPr>
            <w:tcW w:w="5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b w:val="1"/>
                <w:bCs w:val="1"/>
                <w:color w:val="auto"/>
              </w:rPr>
              <w:t>Art. 26  Meetings, Resolutions and Minutes</w:t>
            </w:r>
          </w:p>
        </w:tc>
        <w:tc>
          <w:tcPr>
            <w:tcW w:w="220" w:type="dxa"/>
            <w:vAlign w:val="bottom"/>
            <w:tcBorders>
              <w:right w:val="single" w:sz="8" w:color="auto"/>
            </w:tcBorders>
          </w:tcPr>
          <w:p>
            <w:pPr>
              <w:spacing w:after="0"/>
              <w:rPr>
                <w:sz w:val="15"/>
                <w:szCs w:val="15"/>
                <w:color w:val="auto"/>
              </w:rPr>
            </w:pPr>
          </w:p>
        </w:tc>
        <w:tc>
          <w:tcPr>
            <w:tcW w:w="5420" w:type="dxa"/>
            <w:vAlign w:val="bottom"/>
            <w:tcBorders>
              <w:right w:val="single" w:sz="8" w:color="auto"/>
            </w:tcBorders>
          </w:tcPr>
          <w:p>
            <w:pPr>
              <w:ind w:left="40"/>
              <w:spacing w:after="0"/>
              <w:rPr>
                <w:sz w:val="20"/>
                <w:szCs w:val="20"/>
                <w:color w:val="auto"/>
              </w:rPr>
            </w:pPr>
            <w:r>
              <w:rPr>
                <w:rFonts w:ascii="Arial" w:cs="Arial" w:eastAsia="Arial" w:hAnsi="Arial"/>
                <w:sz w:val="12"/>
                <w:szCs w:val="12"/>
                <w:b w:val="1"/>
                <w:bCs w:val="1"/>
                <w:color w:val="auto"/>
              </w:rPr>
              <w:t>Art. 26  Réunions, décisions et procès-verbal</w:t>
            </w:r>
          </w:p>
        </w:tc>
      </w:tr>
      <w:tr>
        <w:trPr>
          <w:trHeight w:val="260"/>
        </w:trPr>
        <w:tc>
          <w:tcPr>
            <w:tcW w:w="5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The organization of the meetings, the presence quorum and the passing of resolutions of the Board of</w:t>
            </w:r>
          </w:p>
        </w:tc>
        <w:tc>
          <w:tcPr>
            <w:tcW w:w="220" w:type="dxa"/>
            <w:vAlign w:val="bottom"/>
            <w:tcBorders>
              <w:right w:val="single" w:sz="8" w:color="auto"/>
            </w:tcBorders>
          </w:tcPr>
          <w:p>
            <w:pPr>
              <w:spacing w:after="0"/>
              <w:rPr>
                <w:sz w:val="22"/>
                <w:szCs w:val="22"/>
                <w:color w:val="auto"/>
              </w:rPr>
            </w:pPr>
          </w:p>
        </w:tc>
        <w:tc>
          <w:tcPr>
            <w:tcW w:w="54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L'organisation  des  réunions,  le  quorum  de  présence  et  l'adoption  de  décisions  du  conseil</w:t>
            </w:r>
          </w:p>
        </w:tc>
      </w:tr>
      <w:tr>
        <w:trPr>
          <w:trHeight w:val="135"/>
        </w:trPr>
        <w:tc>
          <w:tcPr>
            <w:tcW w:w="566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Directors is determined by the organizational regulations. No presence quorum is required for the</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d'administration sont prévus dans le règlement d'organisation. Aucun quorum de présence n'est</w:t>
            </w:r>
          </w:p>
        </w:tc>
      </w:tr>
      <w:tr>
        <w:trPr>
          <w:trHeight w:val="145"/>
        </w:trPr>
        <w:tc>
          <w:tcPr>
            <w:tcW w:w="5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approval of the capital increase.</w:t>
            </w:r>
          </w:p>
        </w:tc>
        <w:tc>
          <w:tcPr>
            <w:tcW w:w="220" w:type="dxa"/>
            <w:vAlign w:val="bottom"/>
            <w:tcBorders>
              <w:right w:val="single" w:sz="8" w:color="auto"/>
            </w:tcBorders>
          </w:tcPr>
          <w:p>
            <w:pPr>
              <w:spacing w:after="0"/>
              <w:rPr>
                <w:sz w:val="12"/>
                <w:szCs w:val="12"/>
                <w:color w:val="auto"/>
              </w:rPr>
            </w:pPr>
          </w:p>
        </w:tc>
        <w:tc>
          <w:tcPr>
            <w:tcW w:w="54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nécessaire pour l'approbation d'un rapport d'augmentation de capital.</w:t>
            </w:r>
          </w:p>
        </w:tc>
      </w:tr>
      <w:tr>
        <w:trPr>
          <w:trHeight w:val="36"/>
        </w:trPr>
        <w:tc>
          <w:tcPr>
            <w:tcW w:w="5660" w:type="dxa"/>
            <w:vAlign w:val="bottom"/>
            <w:tcBorders>
              <w:left w:val="single" w:sz="8" w:color="auto"/>
              <w:bottom w:val="single" w:sz="8" w:color="auto"/>
              <w:right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5420" w:type="dxa"/>
            <w:vAlign w:val="bottom"/>
            <w:tcBorders>
              <w:bottom w:val="single" w:sz="8" w:color="auto"/>
              <w:right w:val="single" w:sz="8" w:color="auto"/>
            </w:tcBorders>
          </w:tcPr>
          <w:p>
            <w:pPr>
              <w:spacing w:after="0"/>
              <w:rPr>
                <w:sz w:val="3"/>
                <w:szCs w:val="3"/>
                <w:color w:val="auto"/>
              </w:rPr>
            </w:pPr>
          </w:p>
        </w:tc>
      </w:tr>
      <w:tr>
        <w:trPr>
          <w:trHeight w:val="168"/>
        </w:trPr>
        <w:tc>
          <w:tcPr>
            <w:tcW w:w="5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Resolutions may be passed via telephone or videoconference. Resolutions may also be passed by way</w:t>
            </w:r>
          </w:p>
        </w:tc>
        <w:tc>
          <w:tcPr>
            <w:tcW w:w="220" w:type="dxa"/>
            <w:vAlign w:val="bottom"/>
            <w:tcBorders>
              <w:right w:val="single" w:sz="8" w:color="auto"/>
            </w:tcBorders>
          </w:tcPr>
          <w:p>
            <w:pPr>
              <w:spacing w:after="0"/>
              <w:rPr>
                <w:sz w:val="14"/>
                <w:szCs w:val="14"/>
                <w:color w:val="auto"/>
              </w:rPr>
            </w:pPr>
          </w:p>
        </w:tc>
        <w:tc>
          <w:tcPr>
            <w:tcW w:w="54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222222"/>
              </w:rPr>
              <w:t>Les décisions peuvent être prises par téléphone ou par vidéoconférence. Les décisions peuvent</w:t>
            </w:r>
          </w:p>
        </w:tc>
      </w:tr>
      <w:tr>
        <w:trPr>
          <w:trHeight w:val="135"/>
        </w:trPr>
        <w:tc>
          <w:tcPr>
            <w:tcW w:w="566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of circulation, provided that no member requests oral deliberation.</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222222"/>
              </w:rPr>
              <w:t>également être prises par voie de circulation, à condition qu'aucun membre ne demande une</w:t>
            </w:r>
          </w:p>
        </w:tc>
      </w:tr>
      <w:tr>
        <w:trPr>
          <w:trHeight w:val="145"/>
        </w:trPr>
        <w:tc>
          <w:tcPr>
            <w:tcW w:w="5660" w:type="dxa"/>
            <w:vAlign w:val="bottom"/>
            <w:tcBorders>
              <w:left w:val="single" w:sz="8" w:color="auto"/>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4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222222"/>
              </w:rPr>
              <w:t>délibération orale.</w:t>
            </w:r>
          </w:p>
        </w:tc>
      </w:tr>
      <w:tr>
        <w:trPr>
          <w:trHeight w:val="36"/>
        </w:trPr>
        <w:tc>
          <w:tcPr>
            <w:tcW w:w="5660" w:type="dxa"/>
            <w:vAlign w:val="bottom"/>
            <w:tcBorders>
              <w:left w:val="single" w:sz="8" w:color="auto"/>
              <w:bottom w:val="single" w:sz="8" w:color="auto"/>
              <w:right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5420" w:type="dxa"/>
            <w:vAlign w:val="bottom"/>
            <w:tcBorders>
              <w:bottom w:val="single" w:sz="8" w:color="auto"/>
              <w:right w:val="single" w:sz="8" w:color="auto"/>
            </w:tcBorders>
          </w:tcPr>
          <w:p>
            <w:pPr>
              <w:spacing w:after="0"/>
              <w:rPr>
                <w:sz w:val="3"/>
                <w:szCs w:val="3"/>
                <w:color w:val="auto"/>
              </w:rPr>
            </w:pPr>
          </w:p>
        </w:tc>
      </w:tr>
      <w:tr>
        <w:trPr>
          <w:trHeight w:val="168"/>
        </w:trPr>
        <w:tc>
          <w:tcPr>
            <w:tcW w:w="5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Minutes are kept of the board's discussions and resolutions and signed by the chairman and the minute-</w:t>
            </w:r>
          </w:p>
        </w:tc>
        <w:tc>
          <w:tcPr>
            <w:tcW w:w="220" w:type="dxa"/>
            <w:vAlign w:val="bottom"/>
            <w:tcBorders>
              <w:right w:val="single" w:sz="8" w:color="auto"/>
            </w:tcBorders>
          </w:tcPr>
          <w:p>
            <w:pPr>
              <w:spacing w:after="0"/>
              <w:rPr>
                <w:sz w:val="14"/>
                <w:szCs w:val="14"/>
                <w:color w:val="auto"/>
              </w:rPr>
            </w:pPr>
          </w:p>
        </w:tc>
        <w:tc>
          <w:tcPr>
            <w:tcW w:w="54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Les délibérations et les décisions du conseil d'administration sont consignées dans un procès-</w:t>
            </w:r>
          </w:p>
        </w:tc>
      </w:tr>
      <w:tr>
        <w:trPr>
          <w:trHeight w:val="145"/>
        </w:trPr>
        <w:tc>
          <w:tcPr>
            <w:tcW w:w="5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taker.</w:t>
            </w:r>
          </w:p>
        </w:tc>
        <w:tc>
          <w:tcPr>
            <w:tcW w:w="220" w:type="dxa"/>
            <w:vAlign w:val="bottom"/>
            <w:tcBorders>
              <w:right w:val="single" w:sz="8" w:color="auto"/>
            </w:tcBorders>
          </w:tcPr>
          <w:p>
            <w:pPr>
              <w:spacing w:after="0"/>
              <w:rPr>
                <w:sz w:val="12"/>
                <w:szCs w:val="12"/>
                <w:color w:val="auto"/>
              </w:rPr>
            </w:pPr>
          </w:p>
        </w:tc>
        <w:tc>
          <w:tcPr>
            <w:tcW w:w="54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verbal signé par le président et le rédacteur du procès-verbal.</w:t>
            </w:r>
          </w:p>
        </w:tc>
      </w:tr>
      <w:tr>
        <w:trPr>
          <w:trHeight w:val="36"/>
        </w:trPr>
        <w:tc>
          <w:tcPr>
            <w:tcW w:w="5660" w:type="dxa"/>
            <w:vAlign w:val="bottom"/>
            <w:tcBorders>
              <w:left w:val="single" w:sz="8" w:color="auto"/>
              <w:bottom w:val="single" w:sz="8" w:color="auto"/>
              <w:right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5420" w:type="dxa"/>
            <w:vAlign w:val="bottom"/>
            <w:tcBorders>
              <w:bottom w:val="single" w:sz="8" w:color="auto"/>
              <w:right w:val="single" w:sz="8" w:color="auto"/>
            </w:tcBorders>
          </w:tcPr>
          <w:p>
            <w:pPr>
              <w:spacing w:after="0"/>
              <w:rPr>
                <w:sz w:val="3"/>
                <w:szCs w:val="3"/>
                <w:color w:val="auto"/>
              </w:rPr>
            </w:pPr>
          </w:p>
        </w:tc>
      </w:tr>
      <w:tr>
        <w:trPr>
          <w:trHeight w:val="178"/>
        </w:trPr>
        <w:tc>
          <w:tcPr>
            <w:tcW w:w="5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b w:val="1"/>
                <w:bCs w:val="1"/>
                <w:color w:val="auto"/>
              </w:rPr>
              <w:t>Art. 27  Right to information and inspection</w:t>
            </w:r>
          </w:p>
        </w:tc>
        <w:tc>
          <w:tcPr>
            <w:tcW w:w="220" w:type="dxa"/>
            <w:vAlign w:val="bottom"/>
            <w:tcBorders>
              <w:right w:val="single" w:sz="8" w:color="auto"/>
            </w:tcBorders>
          </w:tcPr>
          <w:p>
            <w:pPr>
              <w:spacing w:after="0"/>
              <w:rPr>
                <w:sz w:val="15"/>
                <w:szCs w:val="15"/>
                <w:color w:val="auto"/>
              </w:rPr>
            </w:pPr>
          </w:p>
        </w:tc>
        <w:tc>
          <w:tcPr>
            <w:tcW w:w="5420" w:type="dxa"/>
            <w:vAlign w:val="bottom"/>
            <w:tcBorders>
              <w:right w:val="single" w:sz="8" w:color="auto"/>
            </w:tcBorders>
          </w:tcPr>
          <w:p>
            <w:pPr>
              <w:ind w:left="40"/>
              <w:spacing w:after="0"/>
              <w:rPr>
                <w:sz w:val="20"/>
                <w:szCs w:val="20"/>
                <w:color w:val="auto"/>
              </w:rPr>
            </w:pPr>
            <w:r>
              <w:rPr>
                <w:rFonts w:ascii="Arial" w:cs="Arial" w:eastAsia="Arial" w:hAnsi="Arial"/>
                <w:sz w:val="12"/>
                <w:szCs w:val="12"/>
                <w:b w:val="1"/>
                <w:bCs w:val="1"/>
                <w:color w:val="auto"/>
              </w:rPr>
              <w:t>Art. 27  Droit aux renseignements et à la consultation</w:t>
            </w:r>
          </w:p>
        </w:tc>
      </w:tr>
      <w:tr>
        <w:trPr>
          <w:trHeight w:val="260"/>
        </w:trPr>
        <w:tc>
          <w:tcPr>
            <w:tcW w:w="5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Any member of the board of directors may request information on any company business.</w:t>
            </w:r>
          </w:p>
        </w:tc>
        <w:tc>
          <w:tcPr>
            <w:tcW w:w="220" w:type="dxa"/>
            <w:vAlign w:val="bottom"/>
            <w:tcBorders>
              <w:right w:val="single" w:sz="8" w:color="auto"/>
            </w:tcBorders>
          </w:tcPr>
          <w:p>
            <w:pPr>
              <w:spacing w:after="0"/>
              <w:rPr>
                <w:sz w:val="22"/>
                <w:szCs w:val="22"/>
                <w:color w:val="auto"/>
              </w:rPr>
            </w:pPr>
          </w:p>
        </w:tc>
        <w:tc>
          <w:tcPr>
            <w:tcW w:w="54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Chaque membre du conseil d'administration a le droit d'obtenir des renseignements sur toutes les</w:t>
            </w:r>
          </w:p>
        </w:tc>
      </w:tr>
      <w:tr>
        <w:trPr>
          <w:trHeight w:val="145"/>
        </w:trPr>
        <w:tc>
          <w:tcPr>
            <w:tcW w:w="5660" w:type="dxa"/>
            <w:vAlign w:val="bottom"/>
            <w:tcBorders>
              <w:left w:val="single" w:sz="8" w:color="auto"/>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4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affaires de la société.</w:t>
            </w:r>
          </w:p>
        </w:tc>
      </w:tr>
      <w:tr>
        <w:trPr>
          <w:trHeight w:val="36"/>
        </w:trPr>
        <w:tc>
          <w:tcPr>
            <w:tcW w:w="5660" w:type="dxa"/>
            <w:vAlign w:val="bottom"/>
            <w:tcBorders>
              <w:left w:val="single" w:sz="8" w:color="auto"/>
              <w:bottom w:val="single" w:sz="8" w:color="auto"/>
              <w:right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5420" w:type="dxa"/>
            <w:vAlign w:val="bottom"/>
            <w:tcBorders>
              <w:bottom w:val="single" w:sz="8" w:color="auto"/>
              <w:right w:val="single" w:sz="8" w:color="auto"/>
            </w:tcBorders>
          </w:tcPr>
          <w:p>
            <w:pPr>
              <w:spacing w:after="0"/>
              <w:rPr>
                <w:sz w:val="3"/>
                <w:szCs w:val="3"/>
                <w:color w:val="auto"/>
              </w:rPr>
            </w:pPr>
          </w:p>
        </w:tc>
      </w:tr>
      <w:tr>
        <w:trPr>
          <w:trHeight w:val="168"/>
        </w:trPr>
        <w:tc>
          <w:tcPr>
            <w:tcW w:w="5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Outside meetings, any member may request information from the persons entrusted with managing the</w:t>
            </w:r>
          </w:p>
        </w:tc>
        <w:tc>
          <w:tcPr>
            <w:tcW w:w="220" w:type="dxa"/>
            <w:vAlign w:val="bottom"/>
            <w:tcBorders>
              <w:right w:val="single" w:sz="8" w:color="auto"/>
            </w:tcBorders>
          </w:tcPr>
          <w:p>
            <w:pPr>
              <w:spacing w:after="0"/>
              <w:rPr>
                <w:sz w:val="14"/>
                <w:szCs w:val="14"/>
                <w:color w:val="auto"/>
              </w:rPr>
            </w:pPr>
          </w:p>
        </w:tc>
        <w:tc>
          <w:tcPr>
            <w:tcW w:w="54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En dehors des séances, chaque membre du conseil d'administration peut exiger des personnes</w:t>
            </w:r>
          </w:p>
        </w:tc>
      </w:tr>
      <w:tr>
        <w:trPr>
          <w:trHeight w:val="135"/>
        </w:trPr>
        <w:tc>
          <w:tcPr>
            <w:tcW w:w="566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company's  business  concerning  the  company's  business  performance  and,  with  the  chairman's</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chargées de la gestion des renseignements sur la marche de l'entreprise et, avec l'autorisation du</w:t>
            </w:r>
          </w:p>
        </w:tc>
      </w:tr>
      <w:tr>
        <w:trPr>
          <w:trHeight w:val="145"/>
        </w:trPr>
        <w:tc>
          <w:tcPr>
            <w:tcW w:w="5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authorisation, specific transactions.</w:t>
            </w:r>
          </w:p>
        </w:tc>
        <w:tc>
          <w:tcPr>
            <w:tcW w:w="220" w:type="dxa"/>
            <w:vAlign w:val="bottom"/>
            <w:tcBorders>
              <w:right w:val="single" w:sz="8" w:color="auto"/>
            </w:tcBorders>
          </w:tcPr>
          <w:p>
            <w:pPr>
              <w:spacing w:after="0"/>
              <w:rPr>
                <w:sz w:val="12"/>
                <w:szCs w:val="12"/>
                <w:color w:val="auto"/>
              </w:rPr>
            </w:pPr>
          </w:p>
        </w:tc>
        <w:tc>
          <w:tcPr>
            <w:tcW w:w="54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président, sur des affaires déterminées.</w:t>
            </w:r>
          </w:p>
        </w:tc>
      </w:tr>
      <w:tr>
        <w:trPr>
          <w:trHeight w:val="36"/>
        </w:trPr>
        <w:tc>
          <w:tcPr>
            <w:tcW w:w="5660" w:type="dxa"/>
            <w:vAlign w:val="bottom"/>
            <w:tcBorders>
              <w:left w:val="single" w:sz="8" w:color="auto"/>
              <w:bottom w:val="single" w:sz="8" w:color="auto"/>
              <w:right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5420" w:type="dxa"/>
            <w:vAlign w:val="bottom"/>
            <w:tcBorders>
              <w:bottom w:val="single" w:sz="8" w:color="auto"/>
              <w:right w:val="single" w:sz="8" w:color="auto"/>
            </w:tcBorders>
          </w:tcPr>
          <w:p>
            <w:pPr>
              <w:spacing w:after="0"/>
              <w:rPr>
                <w:sz w:val="3"/>
                <w:szCs w:val="3"/>
                <w:color w:val="auto"/>
              </w:rPr>
            </w:pPr>
          </w:p>
        </w:tc>
      </w:tr>
      <w:tr>
        <w:trPr>
          <w:trHeight w:val="168"/>
        </w:trPr>
        <w:tc>
          <w:tcPr>
            <w:tcW w:w="5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Where required for the performance of his duties, any member may request the chairman to have books</w:t>
            </w:r>
          </w:p>
        </w:tc>
        <w:tc>
          <w:tcPr>
            <w:tcW w:w="220" w:type="dxa"/>
            <w:vAlign w:val="bottom"/>
            <w:tcBorders>
              <w:right w:val="single" w:sz="8" w:color="auto"/>
            </w:tcBorders>
          </w:tcPr>
          <w:p>
            <w:pPr>
              <w:spacing w:after="0"/>
              <w:rPr>
                <w:sz w:val="14"/>
                <w:szCs w:val="14"/>
                <w:color w:val="auto"/>
              </w:rPr>
            </w:pPr>
          </w:p>
        </w:tc>
        <w:tc>
          <w:tcPr>
            <w:tcW w:w="54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Dans la mesure où cela est nécessaire à l'accomplissement de ses tâches, chaque membre du</w:t>
            </w:r>
          </w:p>
        </w:tc>
      </w:tr>
      <w:tr>
        <w:trPr>
          <w:trHeight w:val="145"/>
        </w:trPr>
        <w:tc>
          <w:tcPr>
            <w:tcW w:w="5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of account and documents made available to him for inspection.</w:t>
            </w:r>
          </w:p>
        </w:tc>
        <w:tc>
          <w:tcPr>
            <w:tcW w:w="220" w:type="dxa"/>
            <w:vAlign w:val="bottom"/>
            <w:tcBorders>
              <w:right w:val="single" w:sz="8" w:color="auto"/>
            </w:tcBorders>
          </w:tcPr>
          <w:p>
            <w:pPr>
              <w:spacing w:after="0"/>
              <w:rPr>
                <w:sz w:val="12"/>
                <w:szCs w:val="12"/>
                <w:color w:val="auto"/>
              </w:rPr>
            </w:pPr>
          </w:p>
        </w:tc>
        <w:tc>
          <w:tcPr>
            <w:tcW w:w="54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conseil d'administration peut demander au président la production des livres ou des dossiers.</w:t>
            </w:r>
          </w:p>
        </w:tc>
      </w:tr>
      <w:tr>
        <w:trPr>
          <w:trHeight w:val="36"/>
        </w:trPr>
        <w:tc>
          <w:tcPr>
            <w:tcW w:w="5660" w:type="dxa"/>
            <w:vAlign w:val="bottom"/>
            <w:tcBorders>
              <w:left w:val="single" w:sz="8" w:color="auto"/>
              <w:bottom w:val="single" w:sz="8" w:color="auto"/>
              <w:right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5420" w:type="dxa"/>
            <w:vAlign w:val="bottom"/>
            <w:tcBorders>
              <w:bottom w:val="single" w:sz="8" w:color="auto"/>
              <w:right w:val="single" w:sz="8" w:color="auto"/>
            </w:tcBorders>
          </w:tcPr>
          <w:p>
            <w:pPr>
              <w:spacing w:after="0"/>
              <w:rPr>
                <w:sz w:val="3"/>
                <w:szCs w:val="3"/>
                <w:color w:val="auto"/>
              </w:rPr>
            </w:pPr>
          </w:p>
        </w:tc>
      </w:tr>
      <w:tr>
        <w:trPr>
          <w:trHeight w:val="358"/>
        </w:trPr>
        <w:tc>
          <w:tcPr>
            <w:tcW w:w="5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211" w:right="299" w:bottom="144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5540" w:type="dxa"/>
            <w:vAlign w:val="bottom"/>
          </w:tcPr>
          <w:p>
            <w:pPr>
              <w:ind w:left="5360"/>
              <w:spacing w:after="0"/>
              <w:rPr>
                <w:sz w:val="20"/>
                <w:szCs w:val="20"/>
                <w:color w:val="auto"/>
              </w:rPr>
            </w:pPr>
            <w:r>
              <w:rPr>
                <w:rFonts w:ascii="Arial" w:cs="Arial" w:eastAsia="Arial" w:hAnsi="Arial"/>
                <w:sz w:val="12"/>
                <w:szCs w:val="12"/>
                <w:color w:val="auto"/>
              </w:rPr>
              <w:t>21</w:t>
            </w:r>
          </w:p>
        </w:tc>
      </w:tr>
      <w:tr>
        <w:trPr>
          <w:trHeight w:val="333"/>
        </w:trPr>
        <w:tc>
          <w:tcPr>
            <w:tcW w:w="5760" w:type="dxa"/>
            <w:vAlign w:val="bottom"/>
            <w:tcBorders>
              <w:bottom w:val="single" w:sz="8" w:color="auto"/>
            </w:tcBorders>
            <w:gridSpan w:val="2"/>
          </w:tcPr>
          <w:p>
            <w:pPr>
              <w:spacing w:after="0"/>
              <w:rPr>
                <w:sz w:val="24"/>
                <w:szCs w:val="24"/>
                <w:color w:val="auto"/>
              </w:rPr>
            </w:pPr>
          </w:p>
        </w:tc>
        <w:tc>
          <w:tcPr>
            <w:tcW w:w="5540" w:type="dxa"/>
            <w:vAlign w:val="bottom"/>
            <w:tcBorders>
              <w:bottom w:val="single" w:sz="8" w:color="auto"/>
            </w:tcBorders>
          </w:tcPr>
          <w:p>
            <w:pPr>
              <w:spacing w:after="0"/>
              <w:rPr>
                <w:sz w:val="24"/>
                <w:szCs w:val="24"/>
                <w:color w:val="auto"/>
              </w:rPr>
            </w:pPr>
          </w:p>
        </w:tc>
      </w:tr>
      <w:tr>
        <w:trPr>
          <w:trHeight w:val="168"/>
        </w:trPr>
        <w:tc>
          <w:tcPr>
            <w:tcW w:w="5760" w:type="dxa"/>
            <w:vAlign w:val="bottom"/>
            <w:gridSpan w:val="2"/>
          </w:tcPr>
          <w:p>
            <w:pPr>
              <w:ind w:left="40"/>
              <w:spacing w:after="0"/>
              <w:rPr>
                <w:sz w:val="20"/>
                <w:szCs w:val="20"/>
                <w:color w:val="auto"/>
              </w:rPr>
            </w:pPr>
            <w:r>
              <w:rPr>
                <w:rFonts w:ascii="Arial" w:cs="Arial" w:eastAsia="Arial" w:hAnsi="Arial"/>
                <w:sz w:val="12"/>
                <w:szCs w:val="12"/>
                <w:color w:val="auto"/>
              </w:rPr>
              <w:t>If the chairman refuses a request for information, a request to be heard or an application to inspect</w:t>
            </w:r>
          </w:p>
        </w:tc>
        <w:tc>
          <w:tcPr>
            <w:tcW w:w="5540" w:type="dxa"/>
            <w:vAlign w:val="bottom"/>
          </w:tcPr>
          <w:p>
            <w:pPr>
              <w:ind w:left="160"/>
              <w:spacing w:after="0"/>
              <w:rPr>
                <w:sz w:val="20"/>
                <w:szCs w:val="20"/>
                <w:color w:val="auto"/>
              </w:rPr>
            </w:pPr>
            <w:r>
              <w:rPr>
                <w:rFonts w:ascii="Arial" w:cs="Arial" w:eastAsia="Arial" w:hAnsi="Arial"/>
                <w:sz w:val="12"/>
                <w:szCs w:val="12"/>
                <w:color w:val="auto"/>
              </w:rPr>
              <w:t>Si le président rejette une demande de renseignement, d'audition ou de consultation, le conseil</w:t>
            </w:r>
          </w:p>
        </w:tc>
      </w:tr>
      <w:tr>
        <w:trPr>
          <w:trHeight w:val="145"/>
        </w:trPr>
        <w:tc>
          <w:tcPr>
            <w:tcW w:w="5760" w:type="dxa"/>
            <w:vAlign w:val="bottom"/>
            <w:gridSpan w:val="2"/>
          </w:tcPr>
          <w:p>
            <w:pPr>
              <w:ind w:left="40"/>
              <w:spacing w:after="0"/>
              <w:rPr>
                <w:sz w:val="20"/>
                <w:szCs w:val="20"/>
                <w:color w:val="auto"/>
              </w:rPr>
            </w:pPr>
            <w:r>
              <w:rPr>
                <w:rFonts w:ascii="Arial" w:cs="Arial" w:eastAsia="Arial" w:hAnsi="Arial"/>
                <w:sz w:val="12"/>
                <w:szCs w:val="12"/>
                <w:color w:val="auto"/>
              </w:rPr>
              <w:t>documents, the board of directors rules on the matter.</w:t>
            </w:r>
          </w:p>
        </w:tc>
        <w:tc>
          <w:tcPr>
            <w:tcW w:w="5540" w:type="dxa"/>
            <w:vAlign w:val="bottom"/>
          </w:tcPr>
          <w:p>
            <w:pPr>
              <w:ind w:left="160"/>
              <w:spacing w:after="0"/>
              <w:rPr>
                <w:sz w:val="20"/>
                <w:szCs w:val="20"/>
                <w:color w:val="auto"/>
              </w:rPr>
            </w:pPr>
            <w:r>
              <w:rPr>
                <w:rFonts w:ascii="Arial" w:cs="Arial" w:eastAsia="Arial" w:hAnsi="Arial"/>
                <w:sz w:val="12"/>
                <w:szCs w:val="12"/>
                <w:color w:val="auto"/>
              </w:rPr>
              <w:t>d'administration tranche.</w:t>
            </w:r>
          </w:p>
        </w:tc>
      </w:tr>
      <w:tr>
        <w:trPr>
          <w:trHeight w:val="36"/>
        </w:trPr>
        <w:tc>
          <w:tcPr>
            <w:tcW w:w="5760" w:type="dxa"/>
            <w:vAlign w:val="bottom"/>
            <w:tcBorders>
              <w:bottom w:val="single" w:sz="8" w:color="auto"/>
            </w:tcBorders>
            <w:gridSpan w:val="2"/>
          </w:tcPr>
          <w:p>
            <w:pPr>
              <w:spacing w:after="0"/>
              <w:rPr>
                <w:sz w:val="3"/>
                <w:szCs w:val="3"/>
                <w:color w:val="auto"/>
              </w:rPr>
            </w:pPr>
          </w:p>
        </w:tc>
        <w:tc>
          <w:tcPr>
            <w:tcW w:w="5540" w:type="dxa"/>
            <w:vAlign w:val="bottom"/>
            <w:tcBorders>
              <w:bottom w:val="single" w:sz="8" w:color="auto"/>
            </w:tcBorders>
          </w:tcPr>
          <w:p>
            <w:pPr>
              <w:spacing w:after="0"/>
              <w:rPr>
                <w:sz w:val="3"/>
                <w:szCs w:val="3"/>
                <w:color w:val="auto"/>
              </w:rPr>
            </w:pPr>
          </w:p>
        </w:tc>
      </w:tr>
      <w:tr>
        <w:trPr>
          <w:trHeight w:val="178"/>
        </w:trPr>
        <w:tc>
          <w:tcPr>
            <w:tcW w:w="5760" w:type="dxa"/>
            <w:vAlign w:val="bottom"/>
            <w:gridSpan w:val="2"/>
          </w:tcPr>
          <w:p>
            <w:pPr>
              <w:ind w:left="40"/>
              <w:spacing w:after="0"/>
              <w:rPr>
                <w:sz w:val="20"/>
                <w:szCs w:val="20"/>
                <w:color w:val="auto"/>
              </w:rPr>
            </w:pPr>
            <w:r>
              <w:rPr>
                <w:rFonts w:ascii="Arial" w:cs="Arial" w:eastAsia="Arial" w:hAnsi="Arial"/>
                <w:sz w:val="12"/>
                <w:szCs w:val="12"/>
                <w:b w:val="1"/>
                <w:bCs w:val="1"/>
                <w:color w:val="auto"/>
              </w:rPr>
              <w:t>Art. 28  Compensation Committee</w:t>
            </w:r>
          </w:p>
        </w:tc>
        <w:tc>
          <w:tcPr>
            <w:tcW w:w="5540" w:type="dxa"/>
            <w:vAlign w:val="bottom"/>
          </w:tcPr>
          <w:p>
            <w:pPr>
              <w:ind w:left="160"/>
              <w:spacing w:after="0"/>
              <w:rPr>
                <w:sz w:val="20"/>
                <w:szCs w:val="20"/>
                <w:color w:val="auto"/>
              </w:rPr>
            </w:pPr>
            <w:r>
              <w:rPr>
                <w:rFonts w:ascii="Arial" w:cs="Arial" w:eastAsia="Arial" w:hAnsi="Arial"/>
                <w:sz w:val="12"/>
                <w:szCs w:val="12"/>
                <w:b w:val="1"/>
                <w:bCs w:val="1"/>
                <w:color w:val="auto"/>
              </w:rPr>
              <w:t>Art. 28  Comité de rémunération</w:t>
            </w:r>
          </w:p>
        </w:tc>
      </w:tr>
      <w:tr>
        <w:trPr>
          <w:trHeight w:val="260"/>
        </w:trPr>
        <w:tc>
          <w:tcPr>
            <w:tcW w:w="5760" w:type="dxa"/>
            <w:vAlign w:val="bottom"/>
            <w:gridSpan w:val="2"/>
          </w:tcPr>
          <w:p>
            <w:pPr>
              <w:ind w:left="40"/>
              <w:spacing w:after="0"/>
              <w:rPr>
                <w:sz w:val="20"/>
                <w:szCs w:val="20"/>
                <w:color w:val="auto"/>
              </w:rPr>
            </w:pPr>
            <w:r>
              <w:rPr>
                <w:rFonts w:ascii="Arial" w:cs="Arial" w:eastAsia="Arial" w:hAnsi="Arial"/>
                <w:sz w:val="12"/>
                <w:szCs w:val="12"/>
                <w:color w:val="auto"/>
              </w:rPr>
              <w:t>The Compensation Committee shall comprise at least 2 members. The members of the Compensation</w:t>
            </w:r>
          </w:p>
        </w:tc>
        <w:tc>
          <w:tcPr>
            <w:tcW w:w="5540" w:type="dxa"/>
            <w:vAlign w:val="bottom"/>
          </w:tcPr>
          <w:p>
            <w:pPr>
              <w:ind w:left="160"/>
              <w:spacing w:after="0"/>
              <w:rPr>
                <w:sz w:val="20"/>
                <w:szCs w:val="20"/>
                <w:color w:val="auto"/>
              </w:rPr>
            </w:pPr>
            <w:r>
              <w:rPr>
                <w:rFonts w:ascii="Arial" w:cs="Arial" w:eastAsia="Arial" w:hAnsi="Arial"/>
                <w:sz w:val="12"/>
                <w:szCs w:val="12"/>
                <w:color w:val="auto"/>
              </w:rPr>
              <w:t>Le comité de rémunération se compose d'au moins 2 membres. Les membres du comité de</w:t>
            </w:r>
          </w:p>
        </w:tc>
      </w:tr>
      <w:tr>
        <w:trPr>
          <w:trHeight w:val="135"/>
        </w:trPr>
        <w:tc>
          <w:tcPr>
            <w:tcW w:w="5760" w:type="dxa"/>
            <w:vAlign w:val="bottom"/>
            <w:gridSpan w:val="2"/>
          </w:tcPr>
          <w:p>
            <w:pPr>
              <w:ind w:left="40"/>
              <w:spacing w:after="0" w:line="135" w:lineRule="exact"/>
              <w:rPr>
                <w:sz w:val="20"/>
                <w:szCs w:val="20"/>
                <w:color w:val="auto"/>
              </w:rPr>
            </w:pPr>
            <w:r>
              <w:rPr>
                <w:rFonts w:ascii="Arial" w:cs="Arial" w:eastAsia="Arial" w:hAnsi="Arial"/>
                <w:sz w:val="12"/>
                <w:szCs w:val="12"/>
                <w:color w:val="auto"/>
              </w:rPr>
              <w:t>Committee shall be individually elected by the Ordinary General Meeting from among the members of</w:t>
            </w:r>
          </w:p>
        </w:tc>
        <w:tc>
          <w:tcPr>
            <w:tcW w:w="5540" w:type="dxa"/>
            <w:vAlign w:val="bottom"/>
          </w:tcPr>
          <w:p>
            <w:pPr>
              <w:ind w:left="160"/>
              <w:spacing w:after="0" w:line="135" w:lineRule="exact"/>
              <w:rPr>
                <w:sz w:val="20"/>
                <w:szCs w:val="20"/>
                <w:color w:val="auto"/>
              </w:rPr>
            </w:pPr>
            <w:r>
              <w:rPr>
                <w:rFonts w:ascii="Arial" w:cs="Arial" w:eastAsia="Arial" w:hAnsi="Arial"/>
                <w:sz w:val="12"/>
                <w:szCs w:val="12"/>
                <w:color w:val="auto"/>
              </w:rPr>
              <w:t>rémunération  sont  élus  par  l'assemblée  générale  ordinaire  parmi  les  membres  du  conseil</w:t>
            </w:r>
          </w:p>
        </w:tc>
      </w:tr>
      <w:tr>
        <w:trPr>
          <w:trHeight w:val="135"/>
        </w:trPr>
        <w:tc>
          <w:tcPr>
            <w:tcW w:w="5760" w:type="dxa"/>
            <w:vAlign w:val="bottom"/>
            <w:gridSpan w:val="2"/>
          </w:tcPr>
          <w:p>
            <w:pPr>
              <w:ind w:left="40"/>
              <w:spacing w:after="0" w:line="135" w:lineRule="exact"/>
              <w:rPr>
                <w:sz w:val="20"/>
                <w:szCs w:val="20"/>
                <w:color w:val="auto"/>
              </w:rPr>
            </w:pPr>
            <w:r>
              <w:rPr>
                <w:rFonts w:ascii="Arial" w:cs="Arial" w:eastAsia="Arial" w:hAnsi="Arial"/>
                <w:sz w:val="12"/>
                <w:szCs w:val="12"/>
                <w:color w:val="auto"/>
              </w:rPr>
              <w:t>the Board of Directors for a term of one year until the next Ordinary General Meeting. Re-election is</w:t>
            </w:r>
          </w:p>
        </w:tc>
        <w:tc>
          <w:tcPr>
            <w:tcW w:w="5540" w:type="dxa"/>
            <w:vAlign w:val="bottom"/>
          </w:tcPr>
          <w:p>
            <w:pPr>
              <w:ind w:left="160"/>
              <w:spacing w:after="0" w:line="135" w:lineRule="exact"/>
              <w:rPr>
                <w:sz w:val="20"/>
                <w:szCs w:val="20"/>
                <w:color w:val="auto"/>
              </w:rPr>
            </w:pPr>
            <w:r>
              <w:rPr>
                <w:rFonts w:ascii="Arial" w:cs="Arial" w:eastAsia="Arial" w:hAnsi="Arial"/>
                <w:sz w:val="12"/>
                <w:szCs w:val="12"/>
                <w:color w:val="auto"/>
              </w:rPr>
              <w:t>d'administration pour un mandat d'un an jusqu'à la prochaine assemblée générale ordinaire. Une</w:t>
            </w:r>
          </w:p>
        </w:tc>
      </w:tr>
      <w:tr>
        <w:trPr>
          <w:trHeight w:val="145"/>
        </w:trPr>
        <w:tc>
          <w:tcPr>
            <w:tcW w:w="5760" w:type="dxa"/>
            <w:vAlign w:val="bottom"/>
            <w:gridSpan w:val="2"/>
          </w:tcPr>
          <w:p>
            <w:pPr>
              <w:ind w:left="40"/>
              <w:spacing w:after="0"/>
              <w:rPr>
                <w:sz w:val="20"/>
                <w:szCs w:val="20"/>
                <w:color w:val="auto"/>
              </w:rPr>
            </w:pPr>
            <w:r>
              <w:rPr>
                <w:rFonts w:ascii="Arial" w:cs="Arial" w:eastAsia="Arial" w:hAnsi="Arial"/>
                <w:sz w:val="12"/>
                <w:szCs w:val="12"/>
                <w:color w:val="auto"/>
              </w:rPr>
              <w:t>permitted. The Compensation Committee has the following duties:</w:t>
            </w:r>
          </w:p>
        </w:tc>
        <w:tc>
          <w:tcPr>
            <w:tcW w:w="5540" w:type="dxa"/>
            <w:vAlign w:val="bottom"/>
          </w:tcPr>
          <w:p>
            <w:pPr>
              <w:ind w:left="160"/>
              <w:spacing w:after="0"/>
              <w:rPr>
                <w:sz w:val="20"/>
                <w:szCs w:val="20"/>
                <w:color w:val="auto"/>
              </w:rPr>
            </w:pPr>
            <w:r>
              <w:rPr>
                <w:rFonts w:ascii="Arial" w:cs="Arial" w:eastAsia="Arial" w:hAnsi="Arial"/>
                <w:sz w:val="12"/>
                <w:szCs w:val="12"/>
                <w:color w:val="auto"/>
              </w:rPr>
              <w:t>réélection est possible. Le comité de rémunération a les fonctions suivantes:</w:t>
            </w:r>
          </w:p>
        </w:tc>
      </w:tr>
      <w:tr>
        <w:trPr>
          <w:trHeight w:val="260"/>
        </w:trPr>
        <w:tc>
          <w:tcPr>
            <w:tcW w:w="220" w:type="dxa"/>
            <w:vAlign w:val="bottom"/>
          </w:tcPr>
          <w:p>
            <w:pPr>
              <w:ind w:left="40"/>
              <w:spacing w:after="0"/>
              <w:rPr>
                <w:sz w:val="20"/>
                <w:szCs w:val="20"/>
                <w:color w:val="auto"/>
              </w:rPr>
            </w:pPr>
            <w:r>
              <w:rPr>
                <w:rFonts w:ascii="Arial" w:cs="Arial" w:eastAsia="Arial" w:hAnsi="Arial"/>
                <w:sz w:val="12"/>
                <w:szCs w:val="12"/>
                <w:color w:val="auto"/>
              </w:rPr>
              <w:t>a)</w:t>
            </w:r>
          </w:p>
        </w:tc>
        <w:tc>
          <w:tcPr>
            <w:tcW w:w="5540" w:type="dxa"/>
            <w:vAlign w:val="bottom"/>
          </w:tcPr>
          <w:p>
            <w:pPr>
              <w:ind w:left="160"/>
              <w:spacing w:after="0"/>
              <w:rPr>
                <w:sz w:val="20"/>
                <w:szCs w:val="20"/>
                <w:color w:val="auto"/>
              </w:rPr>
            </w:pPr>
            <w:r>
              <w:rPr>
                <w:rFonts w:ascii="Arial" w:cs="Arial" w:eastAsia="Arial" w:hAnsi="Arial"/>
                <w:sz w:val="12"/>
                <w:szCs w:val="12"/>
                <w:color w:val="auto"/>
              </w:rPr>
              <w:t>to draw up principles for compensation of members of the Board of Directors and the Executive</w:t>
            </w:r>
          </w:p>
        </w:tc>
        <w:tc>
          <w:tcPr>
            <w:tcW w:w="5540" w:type="dxa"/>
            <w:vAlign w:val="bottom"/>
          </w:tcPr>
          <w:p>
            <w:pPr>
              <w:ind w:left="160"/>
              <w:spacing w:after="0"/>
              <w:rPr>
                <w:sz w:val="20"/>
                <w:szCs w:val="20"/>
                <w:color w:val="auto"/>
              </w:rPr>
            </w:pPr>
            <w:r>
              <w:rPr>
                <w:rFonts w:ascii="Arial" w:cs="Arial" w:eastAsia="Arial" w:hAnsi="Arial"/>
                <w:sz w:val="12"/>
                <w:szCs w:val="12"/>
                <w:color w:val="auto"/>
              </w:rPr>
              <w:t>a)   élaborer des principes de rémunération des membres du conseil d'administration et du comité</w:t>
            </w:r>
          </w:p>
        </w:tc>
      </w:tr>
      <w:tr>
        <w:trPr>
          <w:trHeight w:val="145"/>
        </w:trPr>
        <w:tc>
          <w:tcPr>
            <w:tcW w:w="220" w:type="dxa"/>
            <w:vAlign w:val="bottom"/>
          </w:tcPr>
          <w:p>
            <w:pPr>
              <w:spacing w:after="0"/>
              <w:rPr>
                <w:sz w:val="12"/>
                <w:szCs w:val="12"/>
                <w:color w:val="auto"/>
              </w:rPr>
            </w:pPr>
          </w:p>
        </w:tc>
        <w:tc>
          <w:tcPr>
            <w:tcW w:w="5540" w:type="dxa"/>
            <w:vAlign w:val="bottom"/>
          </w:tcPr>
          <w:p>
            <w:pPr>
              <w:ind w:left="80"/>
              <w:spacing w:after="0"/>
              <w:rPr>
                <w:sz w:val="20"/>
                <w:szCs w:val="20"/>
                <w:color w:val="auto"/>
              </w:rPr>
            </w:pPr>
            <w:r>
              <w:rPr>
                <w:rFonts w:ascii="Arial" w:cs="Arial" w:eastAsia="Arial" w:hAnsi="Arial"/>
                <w:sz w:val="12"/>
                <w:szCs w:val="12"/>
                <w:color w:val="auto"/>
              </w:rPr>
              <w:t>Committee and to submit them to the Board of Directors for approval;</w:t>
            </w:r>
          </w:p>
        </w:tc>
        <w:tc>
          <w:tcPr>
            <w:tcW w:w="5540" w:type="dxa"/>
            <w:vAlign w:val="bottom"/>
          </w:tcPr>
          <w:p>
            <w:pPr>
              <w:ind w:left="460"/>
              <w:spacing w:after="0"/>
              <w:rPr>
                <w:sz w:val="20"/>
                <w:szCs w:val="20"/>
                <w:color w:val="auto"/>
              </w:rPr>
            </w:pPr>
            <w:r>
              <w:rPr>
                <w:rFonts w:ascii="Arial" w:cs="Arial" w:eastAsia="Arial" w:hAnsi="Arial"/>
                <w:sz w:val="12"/>
                <w:szCs w:val="12"/>
                <w:color w:val="auto"/>
              </w:rPr>
              <w:t>exécutif et de les soumettre au conseil d'administration pour approbation;</w:t>
            </w:r>
          </w:p>
        </w:tc>
      </w:tr>
      <w:tr>
        <w:trPr>
          <w:trHeight w:val="260"/>
        </w:trPr>
        <w:tc>
          <w:tcPr>
            <w:tcW w:w="5760" w:type="dxa"/>
            <w:vAlign w:val="bottom"/>
            <w:gridSpan w:val="2"/>
          </w:tcPr>
          <w:p>
            <w:pPr>
              <w:ind w:left="40"/>
              <w:spacing w:after="0"/>
              <w:rPr>
                <w:sz w:val="20"/>
                <w:szCs w:val="20"/>
                <w:color w:val="auto"/>
              </w:rPr>
            </w:pPr>
            <w:r>
              <w:rPr>
                <w:rFonts w:ascii="Arial" w:cs="Arial" w:eastAsia="Arial" w:hAnsi="Arial"/>
                <w:sz w:val="12"/>
                <w:szCs w:val="12"/>
                <w:color w:val="auto"/>
              </w:rPr>
              <w:t>b)   to propose to the Board of Directors the resolution to be submitted to the Ordinary General Meeting</w:t>
            </w:r>
          </w:p>
        </w:tc>
        <w:tc>
          <w:tcPr>
            <w:tcW w:w="5540" w:type="dxa"/>
            <w:vAlign w:val="bottom"/>
          </w:tcPr>
          <w:p>
            <w:pPr>
              <w:ind w:left="160"/>
              <w:spacing w:after="0"/>
              <w:rPr>
                <w:sz w:val="20"/>
                <w:szCs w:val="20"/>
                <w:color w:val="auto"/>
              </w:rPr>
            </w:pPr>
            <w:r>
              <w:rPr>
                <w:rFonts w:ascii="Arial" w:cs="Arial" w:eastAsia="Arial" w:hAnsi="Arial"/>
                <w:sz w:val="12"/>
                <w:szCs w:val="12"/>
                <w:color w:val="auto"/>
              </w:rPr>
              <w:t>b)   proposer au conseil d'administration la décision sera soumise à l'assemblée générale ordinaire</w:t>
            </w:r>
          </w:p>
        </w:tc>
      </w:tr>
      <w:tr>
        <w:trPr>
          <w:trHeight w:val="145"/>
        </w:trPr>
        <w:tc>
          <w:tcPr>
            <w:tcW w:w="220" w:type="dxa"/>
            <w:vAlign w:val="bottom"/>
          </w:tcPr>
          <w:p>
            <w:pPr>
              <w:spacing w:after="0"/>
              <w:rPr>
                <w:sz w:val="12"/>
                <w:szCs w:val="12"/>
                <w:color w:val="auto"/>
              </w:rPr>
            </w:pPr>
          </w:p>
        </w:tc>
        <w:tc>
          <w:tcPr>
            <w:tcW w:w="5540" w:type="dxa"/>
            <w:vAlign w:val="bottom"/>
          </w:tcPr>
          <w:p>
            <w:pPr>
              <w:ind w:left="80"/>
              <w:spacing w:after="0"/>
              <w:rPr>
                <w:sz w:val="20"/>
                <w:szCs w:val="20"/>
                <w:color w:val="auto"/>
              </w:rPr>
            </w:pPr>
            <w:r>
              <w:rPr>
                <w:rFonts w:ascii="Arial" w:cs="Arial" w:eastAsia="Arial" w:hAnsi="Arial"/>
                <w:sz w:val="12"/>
                <w:szCs w:val="12"/>
                <w:color w:val="auto"/>
              </w:rPr>
              <w:t>for the maximum total compensation of the Board of Directors and Executive Committee;</w:t>
            </w:r>
          </w:p>
        </w:tc>
        <w:tc>
          <w:tcPr>
            <w:tcW w:w="5540" w:type="dxa"/>
            <w:vAlign w:val="bottom"/>
          </w:tcPr>
          <w:p>
            <w:pPr>
              <w:ind w:left="460"/>
              <w:spacing w:after="0"/>
              <w:rPr>
                <w:sz w:val="20"/>
                <w:szCs w:val="20"/>
                <w:color w:val="auto"/>
              </w:rPr>
            </w:pPr>
            <w:r>
              <w:rPr>
                <w:rFonts w:ascii="Arial" w:cs="Arial" w:eastAsia="Arial" w:hAnsi="Arial"/>
                <w:sz w:val="12"/>
                <w:szCs w:val="12"/>
                <w:color w:val="auto"/>
              </w:rPr>
              <w:t>pour la rémunération totale maximale du conseil d'administration et du comité exécutif;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-1302385</wp:posOffset>
            </wp:positionV>
            <wp:extent cx="7178040" cy="28746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2874645"/>
                    </a:xfrm>
                    <a:prstGeom prst="rect">
                      <a:avLst/>
                    </a:prstGeom>
                    <a:noFill/>
                  </pic:spPr>
                </pic:pic>
              </a:graphicData>
            </a:graphic>
          </wp:anchor>
        </w:drawing>
      </w:r>
    </w:p>
    <w:p>
      <w:pPr>
        <w:spacing w:after="0" w:line="102" w:lineRule="exact"/>
        <w:rPr>
          <w:sz w:val="20"/>
          <w:szCs w:val="20"/>
          <w:color w:val="auto"/>
        </w:rPr>
      </w:pPr>
    </w:p>
    <w:p>
      <w:pPr>
        <w:ind w:left="300" w:hanging="254"/>
        <w:spacing w:after="0"/>
        <w:tabs>
          <w:tab w:leader="none" w:pos="3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subject to and within the bounds of the maximum compensation approved by the Ordinary General</w:t>
      </w:r>
    </w:p>
    <w:tbl>
      <w:tblPr>
        <w:tblLayout w:type="fixed"/>
        <w:tblInd w:w="300" w:type="dxa"/>
        <w:tblCellMar>
          <w:top w:w="0" w:type="dxa"/>
          <w:left w:w="0" w:type="dxa"/>
          <w:bottom w:w="0" w:type="dxa"/>
          <w:right w:w="0" w:type="dxa"/>
        </w:tblCellMar>
      </w:tblPr>
      <w:tr>
        <w:trPr>
          <w:trHeight w:val="135"/>
        </w:trPr>
        <w:tc>
          <w:tcPr>
            <w:tcW w:w="5460" w:type="dxa"/>
            <w:vAlign w:val="bottom"/>
          </w:tcPr>
          <w:p>
            <w:pPr>
              <w:spacing w:after="0" w:line="135" w:lineRule="exact"/>
              <w:rPr>
                <w:sz w:val="20"/>
                <w:szCs w:val="20"/>
                <w:color w:val="auto"/>
              </w:rPr>
            </w:pPr>
            <w:r>
              <w:rPr>
                <w:rFonts w:ascii="Arial" w:cs="Arial" w:eastAsia="Arial" w:hAnsi="Arial"/>
                <w:sz w:val="12"/>
                <w:szCs w:val="12"/>
                <w:color w:val="auto"/>
              </w:rPr>
              <w:t>Meeting, to request approval by the Board of Directors of the individual remuneration packages to</w:t>
            </w:r>
          </w:p>
        </w:tc>
        <w:tc>
          <w:tcPr>
            <w:tcW w:w="360" w:type="dxa"/>
            <w:vAlign w:val="bottom"/>
          </w:tcPr>
          <w:p>
            <w:pPr>
              <w:ind w:left="160"/>
              <w:spacing w:after="0" w:line="135" w:lineRule="exact"/>
              <w:rPr>
                <w:sz w:val="20"/>
                <w:szCs w:val="20"/>
                <w:color w:val="auto"/>
              </w:rPr>
            </w:pPr>
            <w:r>
              <w:rPr>
                <w:rFonts w:ascii="Arial" w:cs="Arial" w:eastAsia="Arial" w:hAnsi="Arial"/>
                <w:sz w:val="12"/>
                <w:szCs w:val="12"/>
                <w:color w:val="auto"/>
              </w:rPr>
              <w:t>c)</w:t>
            </w:r>
          </w:p>
        </w:tc>
        <w:tc>
          <w:tcPr>
            <w:tcW w:w="5120" w:type="dxa"/>
            <w:vAlign w:val="bottom"/>
          </w:tcPr>
          <w:p>
            <w:pPr>
              <w:jc w:val="right"/>
              <w:spacing w:after="0" w:line="135" w:lineRule="exact"/>
              <w:rPr>
                <w:sz w:val="20"/>
                <w:szCs w:val="20"/>
                <w:color w:val="auto"/>
              </w:rPr>
            </w:pPr>
            <w:r>
              <w:rPr>
                <w:rFonts w:ascii="Arial" w:cs="Arial" w:eastAsia="Arial" w:hAnsi="Arial"/>
                <w:sz w:val="12"/>
                <w:szCs w:val="12"/>
                <w:color w:val="auto"/>
              </w:rPr>
              <w:t>sous réserve et dans les limites de la rémunération maximale approuvée par l'assemblée</w:t>
            </w:r>
          </w:p>
        </w:tc>
      </w:tr>
      <w:tr>
        <w:trPr>
          <w:trHeight w:val="135"/>
        </w:trPr>
        <w:tc>
          <w:tcPr>
            <w:tcW w:w="5460" w:type="dxa"/>
            <w:vAlign w:val="bottom"/>
          </w:tcPr>
          <w:p>
            <w:pPr>
              <w:spacing w:after="0" w:line="135" w:lineRule="exact"/>
              <w:rPr>
                <w:sz w:val="20"/>
                <w:szCs w:val="20"/>
                <w:color w:val="auto"/>
              </w:rPr>
            </w:pPr>
            <w:r>
              <w:rPr>
                <w:rFonts w:ascii="Arial" w:cs="Arial" w:eastAsia="Arial" w:hAnsi="Arial"/>
                <w:sz w:val="12"/>
                <w:szCs w:val="12"/>
                <w:color w:val="auto"/>
              </w:rPr>
              <w:t>be paid to members of the Board of Directors and members of the Executive Committee;</w:t>
            </w:r>
          </w:p>
        </w:tc>
        <w:tc>
          <w:tcPr>
            <w:tcW w:w="360" w:type="dxa"/>
            <w:vAlign w:val="bottom"/>
          </w:tcPr>
          <w:p>
            <w:pPr>
              <w:spacing w:after="0"/>
              <w:rPr>
                <w:sz w:val="11"/>
                <w:szCs w:val="11"/>
                <w:color w:val="auto"/>
              </w:rPr>
            </w:pPr>
          </w:p>
        </w:tc>
        <w:tc>
          <w:tcPr>
            <w:tcW w:w="5120" w:type="dxa"/>
            <w:vAlign w:val="bottom"/>
          </w:tcPr>
          <w:p>
            <w:pPr>
              <w:jc w:val="right"/>
              <w:spacing w:after="0" w:line="135" w:lineRule="exact"/>
              <w:rPr>
                <w:sz w:val="20"/>
                <w:szCs w:val="20"/>
                <w:color w:val="auto"/>
              </w:rPr>
            </w:pPr>
            <w:r>
              <w:rPr>
                <w:rFonts w:ascii="Arial" w:cs="Arial" w:eastAsia="Arial" w:hAnsi="Arial"/>
                <w:sz w:val="12"/>
                <w:szCs w:val="12"/>
                <w:color w:val="auto"/>
              </w:rPr>
              <w:t>générale ordinaire, demander l'approbation du conseil d'administration quant aux paquets de</w:t>
            </w:r>
          </w:p>
        </w:tc>
      </w:tr>
      <w:tr>
        <w:trPr>
          <w:trHeight w:val="135"/>
        </w:trPr>
        <w:tc>
          <w:tcPr>
            <w:tcW w:w="5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120" w:type="dxa"/>
            <w:vAlign w:val="bottom"/>
          </w:tcPr>
          <w:p>
            <w:pPr>
              <w:jc w:val="right"/>
              <w:spacing w:after="0" w:line="135" w:lineRule="exact"/>
              <w:rPr>
                <w:sz w:val="20"/>
                <w:szCs w:val="20"/>
                <w:color w:val="auto"/>
              </w:rPr>
            </w:pPr>
            <w:r>
              <w:rPr>
                <w:rFonts w:ascii="Arial" w:cs="Arial" w:eastAsia="Arial" w:hAnsi="Arial"/>
                <w:sz w:val="12"/>
                <w:szCs w:val="12"/>
                <w:color w:val="auto"/>
              </w:rPr>
              <w:t>rémunération individuels devant être versés aux membres du conseil d'administration et aux</w:t>
            </w:r>
          </w:p>
        </w:tc>
      </w:tr>
      <w:tr>
        <w:trPr>
          <w:trHeight w:val="135"/>
        </w:trPr>
        <w:tc>
          <w:tcPr>
            <w:tcW w:w="5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120" w:type="dxa"/>
            <w:vAlign w:val="bottom"/>
          </w:tcPr>
          <w:p>
            <w:pPr>
              <w:jc w:val="right"/>
              <w:ind w:right="3420"/>
              <w:spacing w:after="0" w:line="135" w:lineRule="exact"/>
              <w:rPr>
                <w:sz w:val="20"/>
                <w:szCs w:val="20"/>
                <w:color w:val="auto"/>
              </w:rPr>
            </w:pPr>
            <w:r>
              <w:rPr>
                <w:rFonts w:ascii="Arial" w:cs="Arial" w:eastAsia="Arial" w:hAnsi="Arial"/>
                <w:sz w:val="12"/>
                <w:szCs w:val="12"/>
                <w:color w:val="auto"/>
              </w:rPr>
              <w:t>membres du comité exécutif;</w:t>
            </w:r>
          </w:p>
        </w:tc>
      </w:tr>
    </w:tbl>
    <w:p>
      <w:pPr>
        <w:ind w:left="340" w:hanging="294"/>
        <w:spacing w:after="0" w:line="234" w:lineRule="auto"/>
        <w:tabs>
          <w:tab w:leader="none" w:pos="3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to request approval by the Board of Directors regarding the determination of the compensation-</w:t>
      </w:r>
    </w:p>
    <w:tbl>
      <w:tblPr>
        <w:tblLayout w:type="fixed"/>
        <w:tblInd w:w="300" w:type="dxa"/>
        <w:tblCellMar>
          <w:top w:w="0" w:type="dxa"/>
          <w:left w:w="0" w:type="dxa"/>
          <w:bottom w:w="0" w:type="dxa"/>
          <w:right w:w="0" w:type="dxa"/>
        </w:tblCellMar>
      </w:tblPr>
      <w:tr>
        <w:trPr>
          <w:trHeight w:val="135"/>
        </w:trPr>
        <w:tc>
          <w:tcPr>
            <w:tcW w:w="3980" w:type="dxa"/>
            <w:vAlign w:val="bottom"/>
          </w:tcPr>
          <w:p>
            <w:pPr>
              <w:spacing w:after="0" w:line="136" w:lineRule="exact"/>
              <w:rPr>
                <w:sz w:val="20"/>
                <w:szCs w:val="20"/>
                <w:color w:val="auto"/>
              </w:rPr>
            </w:pPr>
            <w:r>
              <w:rPr>
                <w:rFonts w:ascii="Arial" w:cs="Arial" w:eastAsia="Arial" w:hAnsi="Arial"/>
                <w:sz w:val="12"/>
                <w:szCs w:val="12"/>
                <w:color w:val="auto"/>
              </w:rPr>
              <w:t>related targets for the Executive Committee;</w:t>
            </w:r>
          </w:p>
        </w:tc>
        <w:tc>
          <w:tcPr>
            <w:tcW w:w="1840" w:type="dxa"/>
            <w:vAlign w:val="bottom"/>
          </w:tcPr>
          <w:p>
            <w:pPr>
              <w:ind w:left="1640"/>
              <w:spacing w:after="0" w:line="136" w:lineRule="exact"/>
              <w:rPr>
                <w:sz w:val="20"/>
                <w:szCs w:val="20"/>
                <w:color w:val="auto"/>
              </w:rPr>
            </w:pPr>
            <w:r>
              <w:rPr>
                <w:rFonts w:ascii="Arial" w:cs="Arial" w:eastAsia="Arial" w:hAnsi="Arial"/>
                <w:sz w:val="12"/>
                <w:szCs w:val="12"/>
                <w:color w:val="auto"/>
              </w:rPr>
              <w:t>d)</w:t>
            </w:r>
          </w:p>
        </w:tc>
        <w:tc>
          <w:tcPr>
            <w:tcW w:w="5120" w:type="dxa"/>
            <w:vAlign w:val="bottom"/>
          </w:tcPr>
          <w:p>
            <w:pPr>
              <w:ind w:left="300"/>
              <w:spacing w:after="0" w:line="136" w:lineRule="exact"/>
              <w:rPr>
                <w:sz w:val="20"/>
                <w:szCs w:val="20"/>
                <w:color w:val="auto"/>
              </w:rPr>
            </w:pPr>
            <w:r>
              <w:rPr>
                <w:rFonts w:ascii="Arial" w:cs="Arial" w:eastAsia="Arial" w:hAnsi="Arial"/>
                <w:sz w:val="12"/>
                <w:szCs w:val="12"/>
                <w:color w:val="auto"/>
              </w:rPr>
              <w:t>requérir l'approbation du conseil d'administration sur la fixation d'objectifs liés à la</w:t>
            </w:r>
          </w:p>
        </w:tc>
      </w:tr>
      <w:tr>
        <w:trPr>
          <w:trHeight w:val="135"/>
        </w:trPr>
        <w:tc>
          <w:tcPr>
            <w:tcW w:w="39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5120" w:type="dxa"/>
            <w:vAlign w:val="bottom"/>
          </w:tcPr>
          <w:p>
            <w:pPr>
              <w:ind w:left="100"/>
              <w:spacing w:after="0" w:line="135" w:lineRule="exact"/>
              <w:rPr>
                <w:sz w:val="20"/>
                <w:szCs w:val="20"/>
                <w:color w:val="auto"/>
              </w:rPr>
            </w:pPr>
            <w:r>
              <w:rPr>
                <w:rFonts w:ascii="Arial" w:cs="Arial" w:eastAsia="Arial" w:hAnsi="Arial"/>
                <w:sz w:val="12"/>
                <w:szCs w:val="12"/>
                <w:color w:val="auto"/>
              </w:rPr>
              <w:t>rémunération pour le comité exécutif;</w:t>
            </w:r>
          </w:p>
        </w:tc>
      </w:tr>
    </w:tbl>
    <w:p>
      <w:pPr>
        <w:ind w:left="420" w:hanging="374"/>
        <w:spacing w:after="0" w:line="234" w:lineRule="auto"/>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to request approval by the Board of Directors regarding the adjustments to the Articles of</w:t>
      </w:r>
    </w:p>
    <w:tbl>
      <w:tblPr>
        <w:tblLayout w:type="fixed"/>
        <w:tblInd w:w="300" w:type="dxa"/>
        <w:tblCellMar>
          <w:top w:w="0" w:type="dxa"/>
          <w:left w:w="0" w:type="dxa"/>
          <w:bottom w:w="0" w:type="dxa"/>
          <w:right w:w="0" w:type="dxa"/>
        </w:tblCellMar>
      </w:tblPr>
      <w:tr>
        <w:trPr>
          <w:trHeight w:val="135"/>
        </w:trPr>
        <w:tc>
          <w:tcPr>
            <w:tcW w:w="3900" w:type="dxa"/>
            <w:vAlign w:val="bottom"/>
          </w:tcPr>
          <w:p>
            <w:pPr>
              <w:spacing w:after="0" w:line="136" w:lineRule="exact"/>
              <w:rPr>
                <w:sz w:val="20"/>
                <w:szCs w:val="20"/>
                <w:color w:val="auto"/>
              </w:rPr>
            </w:pPr>
            <w:r>
              <w:rPr>
                <w:rFonts w:ascii="Arial" w:cs="Arial" w:eastAsia="Arial" w:hAnsi="Arial"/>
                <w:sz w:val="12"/>
                <w:szCs w:val="12"/>
                <w:color w:val="auto"/>
              </w:rPr>
              <w:t>Association relating to remuneration; and</w:t>
            </w:r>
          </w:p>
        </w:tc>
        <w:tc>
          <w:tcPr>
            <w:tcW w:w="1920" w:type="dxa"/>
            <w:vAlign w:val="bottom"/>
          </w:tcPr>
          <w:p>
            <w:pPr>
              <w:ind w:left="1720"/>
              <w:spacing w:after="0" w:line="136" w:lineRule="exact"/>
              <w:rPr>
                <w:sz w:val="20"/>
                <w:szCs w:val="20"/>
                <w:color w:val="auto"/>
              </w:rPr>
            </w:pPr>
            <w:r>
              <w:rPr>
                <w:rFonts w:ascii="Arial" w:cs="Arial" w:eastAsia="Arial" w:hAnsi="Arial"/>
                <w:sz w:val="12"/>
                <w:szCs w:val="12"/>
                <w:color w:val="auto"/>
              </w:rPr>
              <w:t>e)</w:t>
            </w:r>
          </w:p>
        </w:tc>
        <w:tc>
          <w:tcPr>
            <w:tcW w:w="5120" w:type="dxa"/>
            <w:vAlign w:val="bottom"/>
          </w:tcPr>
          <w:p>
            <w:pPr>
              <w:ind w:left="100"/>
              <w:spacing w:after="0" w:line="136" w:lineRule="exact"/>
              <w:rPr>
                <w:sz w:val="20"/>
                <w:szCs w:val="20"/>
                <w:color w:val="auto"/>
              </w:rPr>
            </w:pPr>
            <w:r>
              <w:rPr>
                <w:rFonts w:ascii="Arial" w:cs="Arial" w:eastAsia="Arial" w:hAnsi="Arial"/>
                <w:sz w:val="12"/>
                <w:szCs w:val="12"/>
                <w:color w:val="auto"/>
              </w:rPr>
              <w:t>requérir l'approbation du conseil d'administration sur les adaptations des statuts relatives à la</w:t>
            </w:r>
          </w:p>
        </w:tc>
      </w:tr>
      <w:tr>
        <w:trPr>
          <w:trHeight w:val="135"/>
        </w:trPr>
        <w:tc>
          <w:tcPr>
            <w:tcW w:w="39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5120" w:type="dxa"/>
            <w:vAlign w:val="bottom"/>
          </w:tcPr>
          <w:p>
            <w:pPr>
              <w:ind w:left="100"/>
              <w:spacing w:after="0" w:line="135" w:lineRule="exact"/>
              <w:rPr>
                <w:sz w:val="20"/>
                <w:szCs w:val="20"/>
                <w:color w:val="auto"/>
              </w:rPr>
            </w:pPr>
            <w:r>
              <w:rPr>
                <w:rFonts w:ascii="Arial" w:cs="Arial" w:eastAsia="Arial" w:hAnsi="Arial"/>
                <w:sz w:val="12"/>
                <w:szCs w:val="12"/>
                <w:color w:val="auto"/>
              </w:rPr>
              <w:t>rémunération; et</w:t>
            </w:r>
          </w:p>
        </w:tc>
      </w:tr>
    </w:tbl>
    <w:p>
      <w:pPr>
        <w:ind w:left="280" w:hanging="234"/>
        <w:spacing w:after="0"/>
        <w:tabs>
          <w:tab w:leader="none" w:pos="2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to prepare the Compensation Report and submit it to the Board of Directors.</w:t>
      </w:r>
    </w:p>
    <w:p>
      <w:pPr>
        <w:spacing w:after="0" w:line="129" w:lineRule="exact"/>
        <w:rPr>
          <w:sz w:val="20"/>
          <w:szCs w:val="20"/>
          <w:color w:val="auto"/>
        </w:rPr>
      </w:pPr>
    </w:p>
    <w:p>
      <w:pPr>
        <w:ind w:left="5920"/>
        <w:spacing w:after="0"/>
        <w:tabs>
          <w:tab w:leader="none" w:pos="6180" w:val="left"/>
        </w:tabs>
        <w:rPr>
          <w:sz w:val="20"/>
          <w:szCs w:val="20"/>
          <w:color w:val="auto"/>
        </w:rPr>
      </w:pPr>
      <w:r>
        <w:rPr>
          <w:rFonts w:ascii="Arial" w:cs="Arial" w:eastAsia="Arial" w:hAnsi="Arial"/>
          <w:sz w:val="12"/>
          <w:szCs w:val="12"/>
          <w:color w:val="auto"/>
        </w:rPr>
        <w:t>f)</w:t>
      </w:r>
      <w:r>
        <w:rPr>
          <w:sz w:val="20"/>
          <w:szCs w:val="20"/>
          <w:color w:val="auto"/>
        </w:rPr>
        <w:tab/>
      </w:r>
      <w:r>
        <w:rPr>
          <w:rFonts w:ascii="Arial" w:cs="Arial" w:eastAsia="Arial" w:hAnsi="Arial"/>
          <w:sz w:val="12"/>
          <w:szCs w:val="12"/>
          <w:color w:val="auto"/>
        </w:rPr>
        <w:t>préparer le rapport de rémunération et de le soumettre au conseil d'administration.</w:t>
      </w:r>
    </w:p>
    <w:p>
      <w:pPr>
        <w:ind w:left="40"/>
        <w:spacing w:after="0" w:line="234" w:lineRule="auto"/>
        <w:rPr>
          <w:sz w:val="20"/>
          <w:szCs w:val="20"/>
          <w:color w:val="auto"/>
        </w:rPr>
      </w:pPr>
      <w:r>
        <w:rPr>
          <w:rFonts w:ascii="Arial" w:cs="Arial" w:eastAsia="Arial" w:hAnsi="Arial"/>
          <w:sz w:val="12"/>
          <w:szCs w:val="12"/>
          <w:color w:val="auto"/>
        </w:rPr>
        <w:t>The Board of Directors shall set out any further duties and responsibilities vested on the Compensation</w:t>
      </w:r>
    </w:p>
    <w:p>
      <w:pPr>
        <w:ind w:left="5920" w:right="60" w:hanging="5876"/>
        <w:spacing w:after="0" w:line="246" w:lineRule="auto"/>
        <w:tabs>
          <w:tab w:leader="none" w:pos="5900" w:val="left"/>
        </w:tabs>
        <w:rPr>
          <w:sz w:val="20"/>
          <w:szCs w:val="20"/>
          <w:color w:val="auto"/>
        </w:rPr>
      </w:pPr>
      <w:r>
        <w:rPr>
          <w:rFonts w:ascii="Arial" w:cs="Arial" w:eastAsia="Arial" w:hAnsi="Arial"/>
          <w:sz w:val="12"/>
          <w:szCs w:val="12"/>
          <w:color w:val="auto"/>
        </w:rPr>
        <w:t>Committee in the Company's Organizational Rules.</w:t>
      </w:r>
      <w:r>
        <w:rPr>
          <w:sz w:val="20"/>
          <w:szCs w:val="20"/>
          <w:color w:val="auto"/>
        </w:rPr>
        <w:tab/>
      </w:r>
      <w:r>
        <w:rPr>
          <w:rFonts w:ascii="Arial" w:cs="Arial" w:eastAsia="Arial" w:hAnsi="Arial"/>
          <w:sz w:val="12"/>
          <w:szCs w:val="12"/>
          <w:color w:val="auto"/>
        </w:rPr>
        <w:t>Le conseil d'administration fixe toutes les autres fonctions et responsabilités dévolues au comité de rémunération dans le règlement d'organisation de la société.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346710</wp:posOffset>
            </wp:positionV>
            <wp:extent cx="717804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11" w:right="299" w:bottom="1440" w:gutter="0" w:footer="0" w:header="0"/>
        </w:sectPr>
      </w:pPr>
    </w:p>
    <w:bookmarkStart w:id="67" w:name="page68"/>
    <w:bookmarkEnd w:id="67"/>
    <w:tbl>
      <w:tblPr>
        <w:tblLayout w:type="fixed"/>
        <w:tblInd w:w="10" w:type="dxa"/>
        <w:tblCellMar>
          <w:top w:w="0" w:type="dxa"/>
          <w:left w:w="0" w:type="dxa"/>
          <w:bottom w:w="0" w:type="dxa"/>
          <w:right w:w="0" w:type="dxa"/>
        </w:tblCellMar>
      </w:tblPr>
      <w:tr>
        <w:trPr>
          <w:trHeight w:val="145"/>
        </w:trPr>
        <w:tc>
          <w:tcPr>
            <w:tcW w:w="5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20" w:type="dxa"/>
            <w:vAlign w:val="bottom"/>
          </w:tcPr>
          <w:p>
            <w:pPr>
              <w:ind w:left="5240"/>
              <w:spacing w:after="0"/>
              <w:rPr>
                <w:sz w:val="20"/>
                <w:szCs w:val="20"/>
                <w:color w:val="auto"/>
              </w:rPr>
            </w:pPr>
            <w:r>
              <w:rPr>
                <w:rFonts w:ascii="Arial" w:cs="Arial" w:eastAsia="Arial" w:hAnsi="Arial"/>
                <w:sz w:val="12"/>
                <w:szCs w:val="12"/>
                <w:color w:val="auto"/>
              </w:rPr>
              <w:t>22</w:t>
            </w:r>
          </w:p>
        </w:tc>
      </w:tr>
      <w:tr>
        <w:trPr>
          <w:trHeight w:val="63"/>
        </w:trPr>
        <w:tc>
          <w:tcPr>
            <w:tcW w:w="56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420" w:type="dxa"/>
            <w:vAlign w:val="bottom"/>
            <w:tcBorders>
              <w:bottom w:val="single" w:sz="8" w:color="auto"/>
            </w:tcBorders>
          </w:tcPr>
          <w:p>
            <w:pPr>
              <w:spacing w:after="0"/>
              <w:rPr>
                <w:sz w:val="5"/>
                <w:szCs w:val="5"/>
                <w:color w:val="auto"/>
              </w:rPr>
            </w:pPr>
          </w:p>
        </w:tc>
      </w:tr>
      <w:tr>
        <w:trPr>
          <w:trHeight w:val="168"/>
        </w:trPr>
        <w:tc>
          <w:tcPr>
            <w:tcW w:w="5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If there are vacancies on the Compensation Committee, the Board of Directors may appoint substitutes</w:t>
            </w:r>
          </w:p>
        </w:tc>
        <w:tc>
          <w:tcPr>
            <w:tcW w:w="220" w:type="dxa"/>
            <w:vAlign w:val="bottom"/>
            <w:tcBorders>
              <w:right w:val="single" w:sz="8" w:color="auto"/>
            </w:tcBorders>
          </w:tcPr>
          <w:p>
            <w:pPr>
              <w:spacing w:after="0"/>
              <w:rPr>
                <w:sz w:val="14"/>
                <w:szCs w:val="14"/>
                <w:color w:val="auto"/>
              </w:rPr>
            </w:pPr>
          </w:p>
        </w:tc>
        <w:tc>
          <w:tcPr>
            <w:tcW w:w="54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S'il y a des postes vacants au sein du comité de rémunération, le conseil d'administration peut</w:t>
            </w:r>
          </w:p>
        </w:tc>
      </w:tr>
      <w:tr>
        <w:trPr>
          <w:trHeight w:val="145"/>
        </w:trPr>
        <w:tc>
          <w:tcPr>
            <w:tcW w:w="5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from amongst its members for the remaining term of office.</w:t>
            </w:r>
          </w:p>
        </w:tc>
        <w:tc>
          <w:tcPr>
            <w:tcW w:w="220" w:type="dxa"/>
            <w:vAlign w:val="bottom"/>
            <w:tcBorders>
              <w:right w:val="single" w:sz="8" w:color="auto"/>
            </w:tcBorders>
          </w:tcPr>
          <w:p>
            <w:pPr>
              <w:spacing w:after="0"/>
              <w:rPr>
                <w:sz w:val="12"/>
                <w:szCs w:val="12"/>
                <w:color w:val="auto"/>
              </w:rPr>
            </w:pPr>
          </w:p>
        </w:tc>
        <w:tc>
          <w:tcPr>
            <w:tcW w:w="54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désigner des substituts parmi ses membres pour la durée restante du terme de fonction.</w:t>
            </w:r>
          </w:p>
        </w:tc>
      </w:tr>
      <w:tr>
        <w:trPr>
          <w:trHeight w:val="36"/>
        </w:trPr>
        <w:tc>
          <w:tcPr>
            <w:tcW w:w="5660" w:type="dxa"/>
            <w:vAlign w:val="bottom"/>
            <w:tcBorders>
              <w:left w:val="single" w:sz="8" w:color="auto"/>
              <w:bottom w:val="single" w:sz="8" w:color="auto"/>
              <w:right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5420" w:type="dxa"/>
            <w:vAlign w:val="bottom"/>
            <w:tcBorders>
              <w:bottom w:val="single" w:sz="8" w:color="auto"/>
              <w:right w:val="single" w:sz="8" w:color="auto"/>
            </w:tcBorders>
          </w:tcPr>
          <w:p>
            <w:pPr>
              <w:spacing w:after="0"/>
              <w:rPr>
                <w:sz w:val="3"/>
                <w:szCs w:val="3"/>
                <w:color w:val="auto"/>
              </w:rPr>
            </w:pPr>
          </w:p>
        </w:tc>
      </w:tr>
      <w:tr>
        <w:trPr>
          <w:trHeight w:val="178"/>
        </w:trPr>
        <w:tc>
          <w:tcPr>
            <w:tcW w:w="5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The Board of Directors shall elect a chairman of the Compensation Committee.</w:t>
            </w:r>
          </w:p>
        </w:tc>
        <w:tc>
          <w:tcPr>
            <w:tcW w:w="220" w:type="dxa"/>
            <w:vAlign w:val="bottom"/>
            <w:tcBorders>
              <w:right w:val="single" w:sz="8" w:color="auto"/>
            </w:tcBorders>
          </w:tcPr>
          <w:p>
            <w:pPr>
              <w:spacing w:after="0"/>
              <w:rPr>
                <w:sz w:val="15"/>
                <w:szCs w:val="15"/>
                <w:color w:val="auto"/>
              </w:rPr>
            </w:pPr>
          </w:p>
        </w:tc>
        <w:tc>
          <w:tcPr>
            <w:tcW w:w="54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Le conseil d'administration élit un président du comité de rémunération.</w:t>
            </w:r>
          </w:p>
        </w:tc>
      </w:tr>
      <w:tr>
        <w:trPr>
          <w:trHeight w:val="36"/>
        </w:trPr>
        <w:tc>
          <w:tcPr>
            <w:tcW w:w="5660" w:type="dxa"/>
            <w:vAlign w:val="bottom"/>
            <w:tcBorders>
              <w:left w:val="single" w:sz="8" w:color="auto"/>
              <w:bottom w:val="single" w:sz="8" w:color="auto"/>
              <w:right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5420" w:type="dxa"/>
            <w:vAlign w:val="bottom"/>
            <w:tcBorders>
              <w:bottom w:val="single" w:sz="8" w:color="auto"/>
              <w:right w:val="single" w:sz="8" w:color="auto"/>
            </w:tcBorders>
          </w:tcPr>
          <w:p>
            <w:pPr>
              <w:spacing w:after="0"/>
              <w:rPr>
                <w:sz w:val="3"/>
                <w:szCs w:val="3"/>
                <w:color w:val="auto"/>
              </w:rPr>
            </w:pPr>
          </w:p>
        </w:tc>
      </w:tr>
      <w:tr>
        <w:trPr>
          <w:trHeight w:val="178"/>
        </w:trPr>
        <w:tc>
          <w:tcPr>
            <w:tcW w:w="5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b w:val="1"/>
                <w:bCs w:val="1"/>
                <w:color w:val="auto"/>
              </w:rPr>
              <w:t>Art. 29   Indemnification</w:t>
            </w:r>
          </w:p>
        </w:tc>
        <w:tc>
          <w:tcPr>
            <w:tcW w:w="220" w:type="dxa"/>
            <w:vAlign w:val="bottom"/>
            <w:tcBorders>
              <w:right w:val="single" w:sz="8" w:color="auto"/>
            </w:tcBorders>
          </w:tcPr>
          <w:p>
            <w:pPr>
              <w:spacing w:after="0"/>
              <w:rPr>
                <w:sz w:val="15"/>
                <w:szCs w:val="15"/>
                <w:color w:val="auto"/>
              </w:rPr>
            </w:pPr>
          </w:p>
        </w:tc>
        <w:tc>
          <w:tcPr>
            <w:tcW w:w="5420" w:type="dxa"/>
            <w:vAlign w:val="bottom"/>
            <w:tcBorders>
              <w:right w:val="single" w:sz="8" w:color="auto"/>
            </w:tcBorders>
          </w:tcPr>
          <w:p>
            <w:pPr>
              <w:ind w:left="40"/>
              <w:spacing w:after="0"/>
              <w:rPr>
                <w:sz w:val="20"/>
                <w:szCs w:val="20"/>
                <w:color w:val="auto"/>
              </w:rPr>
            </w:pPr>
            <w:r>
              <w:rPr>
                <w:rFonts w:ascii="Arial" w:cs="Arial" w:eastAsia="Arial" w:hAnsi="Arial"/>
                <w:sz w:val="12"/>
                <w:szCs w:val="12"/>
                <w:b w:val="1"/>
                <w:bCs w:val="1"/>
                <w:color w:val="auto"/>
              </w:rPr>
              <w:t>Art. 29   Indemnisation</w:t>
            </w:r>
          </w:p>
        </w:tc>
      </w:tr>
      <w:tr>
        <w:trPr>
          <w:trHeight w:val="36"/>
        </w:trPr>
        <w:tc>
          <w:tcPr>
            <w:tcW w:w="5660" w:type="dxa"/>
            <w:vAlign w:val="bottom"/>
            <w:tcBorders>
              <w:left w:val="single" w:sz="8" w:color="auto"/>
              <w:bottom w:val="single" w:sz="8" w:color="auto"/>
              <w:right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5420" w:type="dxa"/>
            <w:vAlign w:val="bottom"/>
            <w:tcBorders>
              <w:bottom w:val="single" w:sz="8" w:color="auto"/>
              <w:right w:val="single" w:sz="8" w:color="auto"/>
            </w:tcBorders>
          </w:tcPr>
          <w:p>
            <w:pPr>
              <w:spacing w:after="0"/>
              <w:rPr>
                <w:sz w:val="3"/>
                <w:szCs w:val="3"/>
                <w:color w:val="auto"/>
              </w:rPr>
            </w:pPr>
          </w:p>
        </w:tc>
      </w:tr>
      <w:tr>
        <w:trPr>
          <w:trHeight w:val="168"/>
        </w:trPr>
        <w:tc>
          <w:tcPr>
            <w:tcW w:w="5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As far as is permissible under applicable law, the Company shall indemnify any current or former</w:t>
            </w:r>
          </w:p>
        </w:tc>
        <w:tc>
          <w:tcPr>
            <w:tcW w:w="220" w:type="dxa"/>
            <w:vAlign w:val="bottom"/>
            <w:tcBorders>
              <w:right w:val="single" w:sz="8" w:color="auto"/>
            </w:tcBorders>
          </w:tcPr>
          <w:p>
            <w:pPr>
              <w:spacing w:after="0"/>
              <w:rPr>
                <w:sz w:val="14"/>
                <w:szCs w:val="14"/>
                <w:color w:val="auto"/>
              </w:rPr>
            </w:pPr>
          </w:p>
        </w:tc>
        <w:tc>
          <w:tcPr>
            <w:tcW w:w="54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Dans la mesure permise par la loi applicable, la société indemnisera tout membre actuel ou ancien</w:t>
            </w:r>
          </w:p>
        </w:tc>
      </w:tr>
      <w:tr>
        <w:trPr>
          <w:trHeight w:val="135"/>
        </w:trPr>
        <w:tc>
          <w:tcPr>
            <w:tcW w:w="566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member of the Board of Directors, former members of the Executive Committee, or any person who is</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du conseil d'administration, les anciens membres du comité exécutif, ou toute personne qui sert ou</w:t>
            </w:r>
          </w:p>
        </w:tc>
      </w:tr>
      <w:tr>
        <w:trPr>
          <w:trHeight w:val="135"/>
        </w:trPr>
        <w:tc>
          <w:tcPr>
            <w:tcW w:w="566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serving or has served at the request of the Company as a member of the Board of Directors or member</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a servi à la demande de la société en tant que membre du conseil d'administration ou membre du</w:t>
            </w:r>
          </w:p>
        </w:tc>
      </w:tr>
      <w:tr>
        <w:trPr>
          <w:trHeight w:val="135"/>
        </w:trPr>
        <w:tc>
          <w:tcPr>
            <w:tcW w:w="566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of the Executive Committee (each individually, a "Covered Person"), against any expenses, including</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comité exécutif (chacun individuellement, une "Personne Couverte"), pour toutes les dépenses, y</w:t>
            </w:r>
          </w:p>
        </w:tc>
      </w:tr>
      <w:tr>
        <w:trPr>
          <w:trHeight w:val="135"/>
        </w:trPr>
        <w:tc>
          <w:tcPr>
            <w:tcW w:w="566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attorneys' fees, judgments, fines, and amounts paid in settlement actually and reasonably incurred by</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compris  les  honoraires  d'avocat,  jugements,  amendes,  et  montants  versés  effectivement  et</w:t>
            </w:r>
          </w:p>
        </w:tc>
      </w:tr>
      <w:tr>
        <w:trPr>
          <w:trHeight w:val="135"/>
        </w:trPr>
        <w:tc>
          <w:tcPr>
            <w:tcW w:w="566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him or her in connection with any threatened, pending, or completed action, suit or proceeding, whether</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raisonnablement à titre de règlement dans le cadre de toute action, poursuite ou procédure</w:t>
            </w:r>
          </w:p>
        </w:tc>
      </w:tr>
      <w:tr>
        <w:trPr>
          <w:trHeight w:val="135"/>
        </w:trPr>
        <w:tc>
          <w:tcPr>
            <w:tcW w:w="566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civil, criminal or administrative, to which he or she was, is, or is threatened to be made a party, or is</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imminente, pendante ou terminée, qu'elle soit civile, pénale ou administrative, à laquelle il ou elle a</w:t>
            </w:r>
          </w:p>
        </w:tc>
      </w:tr>
      <w:tr>
        <w:trPr>
          <w:trHeight w:val="135"/>
        </w:trPr>
        <w:tc>
          <w:tcPr>
            <w:tcW w:w="566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otherwise involved (a "Proceeding"). This provision shall not indemnify any Covered Person against any</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été, est, ou est menacé d'être partie, ou est impliqué de toute autre manière (une "Procédure").</w:t>
            </w:r>
          </w:p>
        </w:tc>
      </w:tr>
      <w:tr>
        <w:trPr>
          <w:trHeight w:val="135"/>
        </w:trPr>
        <w:tc>
          <w:tcPr>
            <w:tcW w:w="566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liability arising out of (a) any fraud or dishonesty in the performance of such Covered Person's duty to</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Cette disposition ne doit pas indemniser une Personne Couverte contre une responsabilité</w:t>
            </w:r>
          </w:p>
        </w:tc>
      </w:tr>
      <w:tr>
        <w:trPr>
          <w:trHeight w:val="135"/>
        </w:trPr>
        <w:tc>
          <w:tcPr>
            <w:tcW w:w="566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the Company, or (b) such Covered Party's conscious, intentional or willful or grossly negligent breach of</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découlant de (a) une fraude ou une malhonnêteté de cette Personne Couverte dans l'exercice de</w:t>
            </w:r>
          </w:p>
        </w:tc>
      </w:tr>
      <w:tr>
        <w:trPr>
          <w:trHeight w:val="135"/>
        </w:trPr>
        <w:tc>
          <w:tcPr>
            <w:tcW w:w="566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the obligation to act honestly and in good faith with a view to the best interests of the Company.</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ses fonctions vis-à-vis de la société, ou (b) une violation consciente, intentionnelle ou volontaire ou</w:t>
            </w:r>
          </w:p>
        </w:tc>
      </w:tr>
      <w:tr>
        <w:trPr>
          <w:trHeight w:val="135"/>
        </w:trPr>
        <w:tc>
          <w:tcPr>
            <w:tcW w:w="566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Notwithstanding the preceding sentence, this section shall not extend to any person holding the office of</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gravement négligente de l'obligation de cette Personne Couverte d'agir avec honnêteté en tenant</w:t>
            </w:r>
          </w:p>
        </w:tc>
      </w:tr>
      <w:tr>
        <w:trPr>
          <w:trHeight w:val="135"/>
        </w:trPr>
        <w:tc>
          <w:tcPr>
            <w:tcW w:w="566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auditor or special auditor of the Company.</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compte du meilleur intérêt de la société. Nonobstant ce qui précède, cette disposition ne s'étend</w:t>
            </w:r>
          </w:p>
        </w:tc>
      </w:tr>
      <w:tr>
        <w:trPr>
          <w:trHeight w:val="145"/>
        </w:trPr>
        <w:tc>
          <w:tcPr>
            <w:tcW w:w="5660" w:type="dxa"/>
            <w:vAlign w:val="bottom"/>
            <w:tcBorders>
              <w:left w:val="single" w:sz="8" w:color="auto"/>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4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pas aux personnes qui occupent le poste de réviseur ou de réviseur spécial de la société.</w:t>
            </w:r>
          </w:p>
        </w:tc>
      </w:tr>
      <w:tr>
        <w:trPr>
          <w:trHeight w:val="36"/>
        </w:trPr>
        <w:tc>
          <w:tcPr>
            <w:tcW w:w="5660" w:type="dxa"/>
            <w:vAlign w:val="bottom"/>
            <w:tcBorders>
              <w:left w:val="single" w:sz="8" w:color="auto"/>
              <w:bottom w:val="single" w:sz="8" w:color="auto"/>
              <w:right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5420" w:type="dxa"/>
            <w:vAlign w:val="bottom"/>
            <w:tcBorders>
              <w:bottom w:val="single" w:sz="8" w:color="auto"/>
              <w:right w:val="single" w:sz="8" w:color="auto"/>
            </w:tcBorders>
          </w:tcPr>
          <w:p>
            <w:pPr>
              <w:spacing w:after="0"/>
              <w:rPr>
                <w:sz w:val="3"/>
                <w:szCs w:val="3"/>
                <w:color w:val="auto"/>
              </w:rPr>
            </w:pPr>
          </w:p>
        </w:tc>
      </w:tr>
      <w:tr>
        <w:trPr>
          <w:trHeight w:val="493"/>
        </w:trPr>
        <w:tc>
          <w:tcPr>
            <w:tcW w:w="5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211" w:right="299" w:bottom="1440" w:gutter="0" w:footer="0" w:header="0"/>
        </w:sectPr>
      </w:pPr>
    </w:p>
    <w:bookmarkStart w:id="68" w:name="page69"/>
    <w:bookmarkEnd w:id="6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45"/>
        </w:trPr>
        <w:tc>
          <w:tcPr>
            <w:tcW w:w="5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20" w:type="dxa"/>
            <w:vAlign w:val="bottom"/>
          </w:tcPr>
          <w:p>
            <w:pPr>
              <w:ind w:left="5240"/>
              <w:spacing w:after="0"/>
              <w:rPr>
                <w:sz w:val="20"/>
                <w:szCs w:val="20"/>
                <w:color w:val="auto"/>
              </w:rPr>
            </w:pPr>
            <w:r>
              <w:rPr>
                <w:rFonts w:ascii="Arial" w:cs="Arial" w:eastAsia="Arial" w:hAnsi="Arial"/>
                <w:sz w:val="12"/>
                <w:szCs w:val="12"/>
                <w:color w:val="auto"/>
              </w:rPr>
              <w:t>23</w:t>
            </w:r>
          </w:p>
        </w:tc>
      </w:tr>
      <w:tr>
        <w:trPr>
          <w:trHeight w:val="63"/>
        </w:trPr>
        <w:tc>
          <w:tcPr>
            <w:tcW w:w="56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420" w:type="dxa"/>
            <w:vAlign w:val="bottom"/>
            <w:tcBorders>
              <w:bottom w:val="single" w:sz="8" w:color="auto"/>
            </w:tcBorders>
          </w:tcPr>
          <w:p>
            <w:pPr>
              <w:spacing w:after="0"/>
              <w:rPr>
                <w:sz w:val="5"/>
                <w:szCs w:val="5"/>
                <w:color w:val="auto"/>
              </w:rPr>
            </w:pPr>
          </w:p>
        </w:tc>
      </w:tr>
      <w:tr>
        <w:trPr>
          <w:trHeight w:val="168"/>
        </w:trPr>
        <w:tc>
          <w:tcPr>
            <w:tcW w:w="5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In the case of any Proceeding by or in the name of the Company, the Company shall indemnify each</w:t>
            </w:r>
          </w:p>
        </w:tc>
        <w:tc>
          <w:tcPr>
            <w:tcW w:w="220" w:type="dxa"/>
            <w:vAlign w:val="bottom"/>
            <w:tcBorders>
              <w:right w:val="single" w:sz="8" w:color="auto"/>
            </w:tcBorders>
          </w:tcPr>
          <w:p>
            <w:pPr>
              <w:spacing w:after="0"/>
              <w:rPr>
                <w:sz w:val="14"/>
                <w:szCs w:val="14"/>
                <w:color w:val="auto"/>
              </w:rPr>
            </w:pPr>
          </w:p>
        </w:tc>
        <w:tc>
          <w:tcPr>
            <w:tcW w:w="54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Dans le cas de toute Procédure intentée par ou au nom de la société, la société doit indemniser</w:t>
            </w:r>
          </w:p>
        </w:tc>
      </w:tr>
      <w:tr>
        <w:trPr>
          <w:trHeight w:val="135"/>
        </w:trPr>
        <w:tc>
          <w:tcPr>
            <w:tcW w:w="566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Covered Person against expenses, including attorneys' fees, actually and reasonably incurred in</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chaque Personne Couverte pour les dépenses, y compris les honoraires d'avocat, effectivement et</w:t>
            </w:r>
          </w:p>
        </w:tc>
      </w:tr>
      <w:tr>
        <w:trPr>
          <w:trHeight w:val="135"/>
        </w:trPr>
        <w:tc>
          <w:tcPr>
            <w:tcW w:w="566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connection with the defense or settlement thereof, except no indemnification shall be made in respect of</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raisonnablement encourus dans le cadre de la défense ou du règlement dans le cadre de la</w:t>
            </w:r>
          </w:p>
        </w:tc>
      </w:tr>
      <w:tr>
        <w:trPr>
          <w:trHeight w:val="135"/>
        </w:trPr>
        <w:tc>
          <w:tcPr>
            <w:tcW w:w="566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any claim, issue or matter as to which a Covered Person shall have been adjudged to be liable for fraud</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Procédure. Aucune indemnisation ne sera octroyée pour une réclamation, problème ou affaire pour</w:t>
            </w:r>
          </w:p>
        </w:tc>
      </w:tr>
      <w:tr>
        <w:trPr>
          <w:trHeight w:val="135"/>
        </w:trPr>
        <w:tc>
          <w:tcPr>
            <w:tcW w:w="566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or dishonesty in the performance of his or her duty to the Company, or for conscious, intentional or willful</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laquelle une Personne Couverte est tenue responsable à la suite de fraude ou de malhonnêteté</w:t>
            </w:r>
          </w:p>
        </w:tc>
      </w:tr>
      <w:tr>
        <w:trPr>
          <w:trHeight w:val="135"/>
        </w:trPr>
        <w:tc>
          <w:tcPr>
            <w:tcW w:w="566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or grossly negligent breach of his or her obligation to act honestly and in good faith with a view to the</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dans l'exercice de ses fonctions vis-à-vis de la société, ou à cause d'une violation consciente,</w:t>
            </w:r>
          </w:p>
        </w:tc>
      </w:tr>
      <w:tr>
        <w:trPr>
          <w:trHeight w:val="135"/>
        </w:trPr>
        <w:tc>
          <w:tcPr>
            <w:tcW w:w="566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best interests of the Company, unless and only to the extent that a court in which such action or suit was</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intentionnelle ou volontaire ou gravement négligente de l'obligation de la Personne Couverte d'agir</w:t>
            </w:r>
          </w:p>
        </w:tc>
      </w:tr>
      <w:tr>
        <w:trPr>
          <w:trHeight w:val="135"/>
        </w:trPr>
        <w:tc>
          <w:tcPr>
            <w:tcW w:w="566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brought shall determine upon application that despite the adjudication of liability, but in view of all the</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avec honnêteté en tenant compte du meilleur intérêt de la société, sauf et uniquement si un tribunal</w:t>
            </w:r>
          </w:p>
        </w:tc>
      </w:tr>
      <w:tr>
        <w:trPr>
          <w:trHeight w:val="135"/>
        </w:trPr>
        <w:tc>
          <w:tcPr>
            <w:tcW w:w="566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circumstances of the case, such Covered Person is fairly and reasonably entitled to indemnity for such</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auquel une telle action ou poursuite a été porté détermine que, malgré la reconnaissance de la</w:t>
            </w:r>
          </w:p>
        </w:tc>
      </w:tr>
      <w:tr>
        <w:trPr>
          <w:trHeight w:val="135"/>
        </w:trPr>
        <w:tc>
          <w:tcPr>
            <w:tcW w:w="566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expenses as the court shall deem proper. Notwithstanding the preceding sentence, this section shall not</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responsabilité, mais compte tenu de toutes les circonstances du cas d'espèce, cette Personne</w:t>
            </w:r>
          </w:p>
        </w:tc>
      </w:tr>
      <w:tr>
        <w:trPr>
          <w:trHeight w:val="135"/>
        </w:trPr>
        <w:tc>
          <w:tcPr>
            <w:tcW w:w="566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extend to any person holding the office of auditor or special auditor of the Company.</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Couverte a équitablement et raisonnablement droit à une indemnisation de ces dépenses, mais</w:t>
            </w:r>
          </w:p>
        </w:tc>
      </w:tr>
      <w:tr>
        <w:trPr>
          <w:trHeight w:val="135"/>
        </w:trPr>
        <w:tc>
          <w:tcPr>
            <w:tcW w:w="5660" w:type="dxa"/>
            <w:vAlign w:val="bottom"/>
            <w:tcBorders>
              <w:left w:val="single" w:sz="8" w:color="auto"/>
              <w:right w:val="single" w:sz="8" w:color="auto"/>
            </w:tcBorders>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uniquement à hauteur du montant que le tribunal jugera convenable. Nonobstant la phrase</w:t>
            </w:r>
          </w:p>
        </w:tc>
      </w:tr>
      <w:tr>
        <w:trPr>
          <w:trHeight w:val="135"/>
        </w:trPr>
        <w:tc>
          <w:tcPr>
            <w:tcW w:w="5660" w:type="dxa"/>
            <w:vAlign w:val="bottom"/>
            <w:tcBorders>
              <w:left w:val="single" w:sz="8" w:color="auto"/>
              <w:right w:val="single" w:sz="8" w:color="auto"/>
            </w:tcBorders>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précédente, cette disposition ne s'étend pas aux personnes qui occupent le poste de réviseur ou de</w:t>
            </w:r>
          </w:p>
        </w:tc>
      </w:tr>
      <w:tr>
        <w:trPr>
          <w:trHeight w:val="145"/>
        </w:trPr>
        <w:tc>
          <w:tcPr>
            <w:tcW w:w="5660" w:type="dxa"/>
            <w:vAlign w:val="bottom"/>
            <w:tcBorders>
              <w:left w:val="single" w:sz="8" w:color="auto"/>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4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réviseur spécial de la société.</w:t>
            </w:r>
          </w:p>
        </w:tc>
      </w:tr>
      <w:tr>
        <w:trPr>
          <w:trHeight w:val="36"/>
        </w:trPr>
        <w:tc>
          <w:tcPr>
            <w:tcW w:w="5660" w:type="dxa"/>
            <w:vAlign w:val="bottom"/>
            <w:tcBorders>
              <w:left w:val="single" w:sz="8" w:color="auto"/>
              <w:bottom w:val="single" w:sz="8" w:color="auto"/>
              <w:right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5420" w:type="dxa"/>
            <w:vAlign w:val="bottom"/>
            <w:tcBorders>
              <w:bottom w:val="single" w:sz="8" w:color="auto"/>
              <w:right w:val="single" w:sz="8" w:color="auto"/>
            </w:tcBorders>
          </w:tcPr>
          <w:p>
            <w:pPr>
              <w:spacing w:after="0"/>
              <w:rPr>
                <w:sz w:val="3"/>
                <w:szCs w:val="3"/>
                <w:color w:val="auto"/>
              </w:rPr>
            </w:pPr>
          </w:p>
        </w:tc>
      </w:tr>
      <w:tr>
        <w:trPr>
          <w:trHeight w:val="168"/>
        </w:trPr>
        <w:tc>
          <w:tcPr>
            <w:tcW w:w="5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Any indemnification under this Article 29 (unless ordered by a court) shall be made by the Company only</w:t>
            </w:r>
          </w:p>
        </w:tc>
        <w:tc>
          <w:tcPr>
            <w:tcW w:w="220" w:type="dxa"/>
            <w:vAlign w:val="bottom"/>
            <w:tcBorders>
              <w:right w:val="single" w:sz="8" w:color="auto"/>
            </w:tcBorders>
          </w:tcPr>
          <w:p>
            <w:pPr>
              <w:spacing w:after="0"/>
              <w:rPr>
                <w:sz w:val="14"/>
                <w:szCs w:val="14"/>
                <w:color w:val="auto"/>
              </w:rPr>
            </w:pPr>
          </w:p>
        </w:tc>
        <w:tc>
          <w:tcPr>
            <w:tcW w:w="54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Toute indemnisation en vertu du présent article 29 (sauf si ordonnée par un tribunal) doit être</w:t>
            </w:r>
          </w:p>
        </w:tc>
      </w:tr>
      <w:tr>
        <w:trPr>
          <w:trHeight w:val="135"/>
        </w:trPr>
        <w:tc>
          <w:tcPr>
            <w:tcW w:w="566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as authorized in the specific case upon a determination that indemnification of the Covered Person is</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octroyée par la société dans chaque cas dans les limites de l'autorisation sur la base d'une</w:t>
            </w:r>
          </w:p>
        </w:tc>
      </w:tr>
      <w:tr>
        <w:trPr>
          <w:trHeight w:val="135"/>
        </w:trPr>
        <w:tc>
          <w:tcPr>
            <w:tcW w:w="566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proper in the circumstances because such person has met the applicable Standard of conduct set forth</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détermination que l'indemnisation de la Personne Couverte est appropriée dans les circonstances</w:t>
            </w:r>
          </w:p>
        </w:tc>
      </w:tr>
      <w:tr>
        <w:trPr>
          <w:trHeight w:val="135"/>
        </w:trPr>
        <w:tc>
          <w:tcPr>
            <w:tcW w:w="566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in this Article 29. Such determination shall be made, with respect to a Covered Person (a) by a majority</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parce que cette personne a satisfait au standard de conduite applicable énoncé dans le présent</w:t>
            </w:r>
          </w:p>
        </w:tc>
      </w:tr>
      <w:tr>
        <w:trPr>
          <w:trHeight w:val="135"/>
        </w:trPr>
        <w:tc>
          <w:tcPr>
            <w:tcW w:w="566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vote of the members of the Board of Directors who are not parties to such proceeding, even though less</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article 29. Une telle décision concernant une Personne Couverte doit être prise (a) par la majorité</w:t>
            </w:r>
          </w:p>
        </w:tc>
      </w:tr>
      <w:tr>
        <w:trPr>
          <w:trHeight w:val="135"/>
        </w:trPr>
        <w:tc>
          <w:tcPr>
            <w:tcW w:w="566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than a quorum; (b) by a committee of such members of the Board of Directors designated by a majority</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des votes des membres du conseil d'administration qui ne sont pas parties à cette procédure,</w:t>
            </w:r>
          </w:p>
        </w:tc>
      </w:tr>
      <w:tr>
        <w:trPr>
          <w:trHeight w:val="135"/>
        </w:trPr>
        <w:tc>
          <w:tcPr>
            <w:tcW w:w="566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vote of such the Board of Directors, even though less than a quorum; (c) if there are no such member of</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même si le quorum requis n'est pas réuni; (b) par un comité de membres du conseil d'administration</w:t>
            </w:r>
          </w:p>
        </w:tc>
      </w:tr>
      <w:tr>
        <w:trPr>
          <w:trHeight w:val="135"/>
        </w:trPr>
        <w:tc>
          <w:tcPr>
            <w:tcW w:w="566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the Board of Directors, or if such member of the Board of Directors so direct, by independent legal</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désignés par une majorité des votes du conseil d'administration, même si le quorum requis n'est</w:t>
            </w:r>
          </w:p>
        </w:tc>
      </w:tr>
      <w:tr>
        <w:trPr>
          <w:trHeight w:val="135"/>
        </w:trPr>
        <w:tc>
          <w:tcPr>
            <w:tcW w:w="566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counsel in a written opinion; or (d) by the General Meeting of Shareholders. Such determination shall be</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pas réuni; (c) s'il n'y a pas de tel membre du conseil d'administration, ou si ce membre du conseil</w:t>
            </w:r>
          </w:p>
        </w:tc>
      </w:tr>
      <w:tr>
        <w:trPr>
          <w:trHeight w:val="135"/>
        </w:trPr>
        <w:tc>
          <w:tcPr>
            <w:tcW w:w="566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made, with respect to any other Covered Person, by any person or persons having the authority to act</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d'administration l'ordonne, par un conseiller juridique indépendant dans un avis écrit; ou (d) par</w:t>
            </w:r>
          </w:p>
        </w:tc>
      </w:tr>
      <w:tr>
        <w:trPr>
          <w:trHeight w:val="135"/>
        </w:trPr>
        <w:tc>
          <w:tcPr>
            <w:tcW w:w="566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on the matter on behalf of the Company. To the extent, however, that any Covered Person has been</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l'assemblée générale des actionnaires. Une telle décision concernant une Personne Couverte doit</w:t>
            </w:r>
          </w:p>
        </w:tc>
      </w:tr>
      <w:tr>
        <w:trPr>
          <w:trHeight w:val="135"/>
        </w:trPr>
        <w:tc>
          <w:tcPr>
            <w:tcW w:w="566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successful on the merits or otherwise in defense of any proceeding, or in defense of any claim, issue or</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être prise par une personne ou des personnes ayant le pouvoir d'agir dans cet affaire au nom de la</w:t>
            </w:r>
          </w:p>
        </w:tc>
      </w:tr>
      <w:tr>
        <w:trPr>
          <w:trHeight w:val="135"/>
        </w:trPr>
        <w:tc>
          <w:tcPr>
            <w:tcW w:w="566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matter therein, such Covered Person shall be indemnified against expenses (including attorneys' fees)</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société. Dans la mesure, cependant, où une Personne Couverte a gagné sur le fond ou autrement</w:t>
            </w:r>
          </w:p>
        </w:tc>
      </w:tr>
      <w:tr>
        <w:trPr>
          <w:trHeight w:val="135"/>
        </w:trPr>
        <w:tc>
          <w:tcPr>
            <w:tcW w:w="566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actually and reasonably incurred by such person in connection therewith, without the necessity of</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dans la défense d'une procédure, ou dans la défense de toute réclamation, problème ou affaire</w:t>
            </w:r>
          </w:p>
        </w:tc>
      </w:tr>
      <w:tr>
        <w:trPr>
          <w:trHeight w:val="135"/>
        </w:trPr>
        <w:tc>
          <w:tcPr>
            <w:tcW w:w="566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authorization in the specific case.</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dans cette procédure, cette Personne Couverte doit être indemnisée pour les dépenses (y compris</w:t>
            </w:r>
          </w:p>
        </w:tc>
      </w:tr>
      <w:tr>
        <w:trPr>
          <w:trHeight w:val="135"/>
        </w:trPr>
        <w:tc>
          <w:tcPr>
            <w:tcW w:w="5660" w:type="dxa"/>
            <w:vAlign w:val="bottom"/>
            <w:tcBorders>
              <w:left w:val="single" w:sz="8" w:color="auto"/>
              <w:right w:val="single" w:sz="8" w:color="auto"/>
            </w:tcBorders>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les honoraires d'avocat) effectivement et raisonnablement encourus dans le cadre de l'affaire en</w:t>
            </w:r>
          </w:p>
        </w:tc>
      </w:tr>
      <w:tr>
        <w:trPr>
          <w:trHeight w:val="145"/>
        </w:trPr>
        <w:tc>
          <w:tcPr>
            <w:tcW w:w="5660" w:type="dxa"/>
            <w:vAlign w:val="bottom"/>
            <w:tcBorders>
              <w:left w:val="single" w:sz="8" w:color="auto"/>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4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question sans qu'il soit nécessaire d'avoir une autorisation dans le cas spécifique.</w:t>
            </w:r>
          </w:p>
        </w:tc>
      </w:tr>
      <w:tr>
        <w:trPr>
          <w:trHeight w:val="36"/>
        </w:trPr>
        <w:tc>
          <w:tcPr>
            <w:tcW w:w="5660" w:type="dxa"/>
            <w:vAlign w:val="bottom"/>
            <w:tcBorders>
              <w:left w:val="single" w:sz="8" w:color="auto"/>
              <w:bottom w:val="single" w:sz="8" w:color="auto"/>
              <w:right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5420" w:type="dxa"/>
            <w:vAlign w:val="bottom"/>
            <w:tcBorders>
              <w:bottom w:val="single" w:sz="8" w:color="auto"/>
              <w:right w:val="single" w:sz="8" w:color="auto"/>
            </w:tcBorders>
          </w:tcPr>
          <w:p>
            <w:pPr>
              <w:spacing w:after="0"/>
              <w:rPr>
                <w:sz w:val="3"/>
                <w:szCs w:val="3"/>
                <w:color w:val="auto"/>
              </w:rPr>
            </w:pPr>
          </w:p>
        </w:tc>
      </w:tr>
      <w:tr>
        <w:trPr>
          <w:trHeight w:val="493"/>
        </w:trPr>
        <w:tc>
          <w:tcPr>
            <w:tcW w:w="5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211" w:right="299" w:bottom="1440" w:gutter="0" w:footer="0" w:header="0"/>
        </w:sectPr>
      </w:pPr>
    </w:p>
    <w:bookmarkStart w:id="69" w:name="page70"/>
    <w:bookmarkEnd w:id="6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45"/>
        </w:trPr>
        <w:tc>
          <w:tcPr>
            <w:tcW w:w="5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20" w:type="dxa"/>
            <w:vAlign w:val="bottom"/>
          </w:tcPr>
          <w:p>
            <w:pPr>
              <w:ind w:left="5240"/>
              <w:spacing w:after="0"/>
              <w:rPr>
                <w:sz w:val="20"/>
                <w:szCs w:val="20"/>
                <w:color w:val="auto"/>
              </w:rPr>
            </w:pPr>
            <w:r>
              <w:rPr>
                <w:rFonts w:ascii="Arial" w:cs="Arial" w:eastAsia="Arial" w:hAnsi="Arial"/>
                <w:sz w:val="12"/>
                <w:szCs w:val="12"/>
                <w:color w:val="auto"/>
              </w:rPr>
              <w:t>24</w:t>
            </w:r>
          </w:p>
        </w:tc>
      </w:tr>
      <w:tr>
        <w:trPr>
          <w:trHeight w:val="63"/>
        </w:trPr>
        <w:tc>
          <w:tcPr>
            <w:tcW w:w="56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420" w:type="dxa"/>
            <w:vAlign w:val="bottom"/>
            <w:tcBorders>
              <w:bottom w:val="single" w:sz="8" w:color="auto"/>
            </w:tcBorders>
          </w:tcPr>
          <w:p>
            <w:pPr>
              <w:spacing w:after="0"/>
              <w:rPr>
                <w:sz w:val="5"/>
                <w:szCs w:val="5"/>
                <w:color w:val="auto"/>
              </w:rPr>
            </w:pPr>
          </w:p>
        </w:tc>
      </w:tr>
      <w:tr>
        <w:trPr>
          <w:trHeight w:val="168"/>
        </w:trPr>
        <w:tc>
          <w:tcPr>
            <w:tcW w:w="5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As far as is permissible under applicable law, expenses, including attorneys' fees, incurred in defending</w:t>
            </w:r>
          </w:p>
        </w:tc>
        <w:tc>
          <w:tcPr>
            <w:tcW w:w="220" w:type="dxa"/>
            <w:vAlign w:val="bottom"/>
            <w:tcBorders>
              <w:right w:val="single" w:sz="8" w:color="auto"/>
            </w:tcBorders>
          </w:tcPr>
          <w:p>
            <w:pPr>
              <w:spacing w:after="0"/>
              <w:rPr>
                <w:sz w:val="14"/>
                <w:szCs w:val="14"/>
                <w:color w:val="auto"/>
              </w:rPr>
            </w:pPr>
          </w:p>
        </w:tc>
        <w:tc>
          <w:tcPr>
            <w:tcW w:w="54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Dans la mesure permise par la loi applicable, les dépenses, y compris les honoraires d'avocats,</w:t>
            </w:r>
          </w:p>
        </w:tc>
      </w:tr>
      <w:tr>
        <w:trPr>
          <w:trHeight w:val="135"/>
        </w:trPr>
        <w:tc>
          <w:tcPr>
            <w:tcW w:w="566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any proceeding for which indemnification is permitted pursuant to this Article 29 shall be paid by the</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encourus dans la défense de toute procédure pour laquelle l'indemnisation est permise en vertu du</w:t>
            </w:r>
          </w:p>
        </w:tc>
      </w:tr>
      <w:tr>
        <w:trPr>
          <w:trHeight w:val="135"/>
        </w:trPr>
        <w:tc>
          <w:tcPr>
            <w:tcW w:w="566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Company in advance of the final disposition of such proceeding upon receipt by the Board of Directors of</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présent article 29, doivent être payées par la société avant la décision finale dans cette procédure à</w:t>
            </w:r>
          </w:p>
        </w:tc>
      </w:tr>
      <w:tr>
        <w:trPr>
          <w:trHeight w:val="135"/>
        </w:trPr>
        <w:tc>
          <w:tcPr>
            <w:tcW w:w="566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an undertaking by or on behalf of the Covered Person to repay such amount if it shall ultimately be</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réception par le conseil d'administration d'une promesse faite par ou au nom de la Personne</w:t>
            </w:r>
          </w:p>
        </w:tc>
      </w:tr>
      <w:tr>
        <w:trPr>
          <w:trHeight w:val="135"/>
        </w:trPr>
        <w:tc>
          <w:tcPr>
            <w:tcW w:w="566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determined that he or she is not entitled to be indemnified by the Company under these Articles of</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Couverte de rembourser ce montant s'il s'avère finalement que cette Personne Couverte n'a pas</w:t>
            </w:r>
          </w:p>
        </w:tc>
      </w:tr>
      <w:tr>
        <w:trPr>
          <w:trHeight w:val="145"/>
        </w:trPr>
        <w:tc>
          <w:tcPr>
            <w:tcW w:w="5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Association.</w:t>
            </w:r>
          </w:p>
        </w:tc>
        <w:tc>
          <w:tcPr>
            <w:tcW w:w="220" w:type="dxa"/>
            <w:vAlign w:val="bottom"/>
            <w:tcBorders>
              <w:right w:val="single" w:sz="8" w:color="auto"/>
            </w:tcBorders>
          </w:tcPr>
          <w:p>
            <w:pPr>
              <w:spacing w:after="0"/>
              <w:rPr>
                <w:sz w:val="12"/>
                <w:szCs w:val="12"/>
                <w:color w:val="auto"/>
              </w:rPr>
            </w:pPr>
          </w:p>
        </w:tc>
        <w:tc>
          <w:tcPr>
            <w:tcW w:w="54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droit à l'indemnisation par la société en vertu de ces statuts.</w:t>
            </w:r>
          </w:p>
        </w:tc>
      </w:tr>
      <w:tr>
        <w:trPr>
          <w:trHeight w:val="36"/>
        </w:trPr>
        <w:tc>
          <w:tcPr>
            <w:tcW w:w="5660" w:type="dxa"/>
            <w:vAlign w:val="bottom"/>
            <w:tcBorders>
              <w:left w:val="single" w:sz="8" w:color="auto"/>
              <w:bottom w:val="single" w:sz="8" w:color="auto"/>
              <w:right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5420" w:type="dxa"/>
            <w:vAlign w:val="bottom"/>
            <w:tcBorders>
              <w:bottom w:val="single" w:sz="8" w:color="auto"/>
              <w:right w:val="single" w:sz="8" w:color="auto"/>
            </w:tcBorders>
          </w:tcPr>
          <w:p>
            <w:pPr>
              <w:spacing w:after="0"/>
              <w:rPr>
                <w:sz w:val="3"/>
                <w:szCs w:val="3"/>
                <w:color w:val="auto"/>
              </w:rPr>
            </w:pPr>
          </w:p>
        </w:tc>
      </w:tr>
      <w:tr>
        <w:trPr>
          <w:trHeight w:val="168"/>
        </w:trPr>
        <w:tc>
          <w:tcPr>
            <w:tcW w:w="5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It being the policy of the Company that indemnification of the persons specified in this Article 29 shall be</w:t>
            </w:r>
          </w:p>
        </w:tc>
        <w:tc>
          <w:tcPr>
            <w:tcW w:w="220" w:type="dxa"/>
            <w:vAlign w:val="bottom"/>
            <w:tcBorders>
              <w:right w:val="single" w:sz="8" w:color="auto"/>
            </w:tcBorders>
          </w:tcPr>
          <w:p>
            <w:pPr>
              <w:spacing w:after="0"/>
              <w:rPr>
                <w:sz w:val="14"/>
                <w:szCs w:val="14"/>
                <w:color w:val="auto"/>
              </w:rPr>
            </w:pPr>
          </w:p>
        </w:tc>
        <w:tc>
          <w:tcPr>
            <w:tcW w:w="54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La politique de la société prévoit que l'indemnisation des personnes visées au présent article 29 doit</w:t>
            </w:r>
          </w:p>
        </w:tc>
      </w:tr>
      <w:tr>
        <w:trPr>
          <w:trHeight w:val="135"/>
        </w:trPr>
        <w:tc>
          <w:tcPr>
            <w:tcW w:w="566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made to the fullest extent permitted by law and the indemnification provided by this Article 29 shall not</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être payée dans toute la mesure autorisée par la loi et l'indemnisation prévue par cet article 29 ne</w:t>
            </w:r>
          </w:p>
        </w:tc>
      </w:tr>
      <w:tr>
        <w:trPr>
          <w:trHeight w:val="135"/>
        </w:trPr>
        <w:tc>
          <w:tcPr>
            <w:tcW w:w="566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be deemed exclusive (a) of any other rights to which those seeking indemnification or advancement of</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sera pas considérée comme exclusive (a) d'autres droits auxquels les personnes demandant une</w:t>
            </w:r>
          </w:p>
        </w:tc>
      </w:tr>
      <w:tr>
        <w:trPr>
          <w:trHeight w:val="135"/>
        </w:trPr>
        <w:tc>
          <w:tcPr>
            <w:tcW w:w="566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expenses may be entitled under these Articles of Association, any agreement, any insurance purchased</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indemnisation ou une avance des dépenses ont droit en vertu de ces statuts, d'un accord, d'une</w:t>
            </w:r>
          </w:p>
        </w:tc>
      </w:tr>
      <w:tr>
        <w:trPr>
          <w:trHeight w:val="135"/>
        </w:trPr>
        <w:tc>
          <w:tcPr>
            <w:tcW w:w="566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by the Company, vote of shareholders or disinterested members of the Board of Directors, or pursuant to</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assurance  souscrite  par  la  société,  d'un  vote  d'actionnaires  ou  de  membres  du  conseil</w:t>
            </w:r>
          </w:p>
        </w:tc>
      </w:tr>
      <w:tr>
        <w:trPr>
          <w:trHeight w:val="135"/>
        </w:trPr>
        <w:tc>
          <w:tcPr>
            <w:tcW w:w="566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the decision of any court of competent jurisdiction, or otherwise, both as to action in his or her official</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d'administration n'ayant pas d'intérêt direct, ou en vertu d'une décision d'un tribunal compétent, ou</w:t>
            </w:r>
          </w:p>
        </w:tc>
      </w:tr>
      <w:tr>
        <w:trPr>
          <w:trHeight w:val="135"/>
        </w:trPr>
        <w:tc>
          <w:tcPr>
            <w:tcW w:w="566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capacity and as to action in another capacity while holding such office, or (b) of the power of the</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autrement, soit à l'égard d'actions faites en sa capacité officielle, soit à l'égard d'actions faites à un</w:t>
            </w:r>
          </w:p>
        </w:tc>
      </w:tr>
      <w:tr>
        <w:trPr>
          <w:trHeight w:val="135"/>
        </w:trPr>
        <w:tc>
          <w:tcPr>
            <w:tcW w:w="566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Company to indemnify any person who is or was an employee or agent of the Company or of another</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autre titre tout en ayant une telle fonction, ou (b) du pouvoir de la société d'indemniser toute</w:t>
            </w:r>
          </w:p>
        </w:tc>
      </w:tr>
      <w:tr>
        <w:trPr>
          <w:trHeight w:val="135"/>
        </w:trPr>
        <w:tc>
          <w:tcPr>
            <w:tcW w:w="566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corporation, joint venture, trust or other enterprise which he or she is serving or has served at the</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personne qui est ou était un employé ou un mandataire de la société ou d'une autre société, d'une</w:t>
            </w:r>
          </w:p>
        </w:tc>
      </w:tr>
      <w:tr>
        <w:trPr>
          <w:trHeight w:val="135"/>
        </w:trPr>
        <w:tc>
          <w:tcPr>
            <w:tcW w:w="566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request of the Company, to the same extent and in the same situations and subject to the same</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joint venture, d'une fiducie ou d'une autre entreprise pour laquelle il ou elle travaille ou a travaillé à</w:t>
            </w:r>
          </w:p>
        </w:tc>
      </w:tr>
      <w:tr>
        <w:trPr>
          <w:trHeight w:val="135"/>
        </w:trPr>
        <w:tc>
          <w:tcPr>
            <w:tcW w:w="566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determinations as are hereinabove set forth with respect to a Covered Person.</w:t>
            </w:r>
          </w:p>
        </w:tc>
        <w:tc>
          <w:tcPr>
            <w:tcW w:w="220" w:type="dxa"/>
            <w:vAlign w:val="bottom"/>
            <w:tcBorders>
              <w:right w:val="single" w:sz="8" w:color="auto"/>
            </w:tcBorders>
          </w:tcPr>
          <w:p>
            <w:pPr>
              <w:spacing w:after="0"/>
              <w:rPr>
                <w:sz w:val="11"/>
                <w:szCs w:val="11"/>
                <w:color w:val="auto"/>
              </w:rPr>
            </w:pPr>
          </w:p>
        </w:tc>
        <w:tc>
          <w:tcPr>
            <w:tcW w:w="54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la demande de la société, dans la même mesure et dans les mêmes situations et sous réserve des</w:t>
            </w:r>
          </w:p>
        </w:tc>
      </w:tr>
      <w:tr>
        <w:trPr>
          <w:trHeight w:val="145"/>
        </w:trPr>
        <w:tc>
          <w:tcPr>
            <w:tcW w:w="5660" w:type="dxa"/>
            <w:vAlign w:val="bottom"/>
            <w:tcBorders>
              <w:left w:val="single" w:sz="8" w:color="auto"/>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4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mêmes principes concernant une Personne Couverte évoquées ci-dessus.</w:t>
            </w:r>
          </w:p>
        </w:tc>
      </w:tr>
      <w:tr>
        <w:trPr>
          <w:trHeight w:val="36"/>
        </w:trPr>
        <w:tc>
          <w:tcPr>
            <w:tcW w:w="5660" w:type="dxa"/>
            <w:vAlign w:val="bottom"/>
            <w:tcBorders>
              <w:left w:val="single" w:sz="8" w:color="auto"/>
              <w:bottom w:val="single" w:sz="8" w:color="auto"/>
              <w:right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5420" w:type="dxa"/>
            <w:vAlign w:val="bottom"/>
            <w:tcBorders>
              <w:bottom w:val="single" w:sz="8" w:color="auto"/>
              <w:right w:val="single" w:sz="8" w:color="auto"/>
            </w:tcBorders>
          </w:tcPr>
          <w:p>
            <w:pPr>
              <w:spacing w:after="0"/>
              <w:rPr>
                <w:sz w:val="3"/>
                <w:szCs w:val="3"/>
                <w:color w:val="auto"/>
              </w:rPr>
            </w:pPr>
          </w:p>
        </w:tc>
      </w:tr>
      <w:tr>
        <w:trPr>
          <w:trHeight w:val="493"/>
        </w:trPr>
        <w:tc>
          <w:tcPr>
            <w:tcW w:w="5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211" w:right="299" w:bottom="1440" w:gutter="0" w:footer="0" w:header="0"/>
        </w:sectPr>
      </w:pPr>
    </w:p>
    <w:bookmarkStart w:id="70" w:name="page71"/>
    <w:bookmarkEnd w:id="7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45"/>
        </w:trPr>
        <w:tc>
          <w:tcPr>
            <w:tcW w:w="48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40" w:type="dxa"/>
            <w:vAlign w:val="bottom"/>
          </w:tcPr>
          <w:p>
            <w:pPr>
              <w:jc w:val="right"/>
              <w:spacing w:after="0"/>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63"/>
        </w:trPr>
        <w:tc>
          <w:tcPr>
            <w:tcW w:w="5540" w:type="dxa"/>
            <w:vAlign w:val="bottom"/>
            <w:tcBorders>
              <w:bottom w:val="single" w:sz="8" w:color="auto"/>
            </w:tcBorders>
            <w:gridSpan w:val="2"/>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520" w:type="dxa"/>
            <w:vAlign w:val="bottom"/>
            <w:tcBorders>
              <w:bottom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As used in this Article 29, references to the "Company" include all constituent corporations in a</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Tel qu'utilisé dans le présent article 29, les références à la "société" comprennent toutes les sociétés</w:t>
            </w:r>
          </w:p>
        </w:tc>
        <w:tc>
          <w:tcPr>
            <w:tcW w:w="0" w:type="dxa"/>
            <w:vAlign w:val="bottom"/>
          </w:tcPr>
          <w:p>
            <w:pPr>
              <w:spacing w:after="0"/>
              <w:rPr>
                <w:sz w:val="1"/>
                <w:szCs w:val="1"/>
                <w:color w:val="auto"/>
              </w:rPr>
            </w:pP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consolidation or merger in which the Company or a predecessor to the Company by consolidation or</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ayant fait l'objet d'un regroupement ou d'une fusion dans laquelle la société ou un prédécesseur à la</w:t>
            </w:r>
          </w:p>
        </w:tc>
        <w:tc>
          <w:tcPr>
            <w:tcW w:w="0" w:type="dxa"/>
            <w:vAlign w:val="bottom"/>
          </w:tcPr>
          <w:p>
            <w:pPr>
              <w:spacing w:after="0"/>
              <w:rPr>
                <w:sz w:val="1"/>
                <w:szCs w:val="1"/>
                <w:color w:val="auto"/>
              </w:rPr>
            </w:pPr>
          </w:p>
        </w:tc>
      </w:tr>
      <w:tr>
        <w:trPr>
          <w:trHeight w:val="145"/>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merger was involved.</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société a été impliqué.</w:t>
            </w:r>
          </w:p>
        </w:tc>
        <w:tc>
          <w:tcPr>
            <w:tcW w:w="0" w:type="dxa"/>
            <w:vAlign w:val="bottom"/>
          </w:tcPr>
          <w:p>
            <w:pPr>
              <w:spacing w:after="0"/>
              <w:rPr>
                <w:sz w:val="1"/>
                <w:szCs w:val="1"/>
                <w:color w:val="auto"/>
              </w:rPr>
            </w:pPr>
          </w:p>
        </w:tc>
      </w:tr>
      <w:tr>
        <w:trPr>
          <w:trHeight w:val="260"/>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The indemnification provided by this Article 29 shall continue as to a person who has ceased to be a</w:t>
            </w:r>
          </w:p>
        </w:tc>
        <w:tc>
          <w:tcPr>
            <w:tcW w:w="240" w:type="dxa"/>
            <w:vAlign w:val="bottom"/>
            <w:tcBorders>
              <w:right w:val="single" w:sz="8" w:color="auto"/>
            </w:tcBorders>
          </w:tcPr>
          <w:p>
            <w:pPr>
              <w:spacing w:after="0"/>
              <w:rPr>
                <w:sz w:val="22"/>
                <w:szCs w:val="22"/>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L'indemnisation prévue par cet article 29 est maintenue à l'égard d'une personne qui a cessé d'être un</w:t>
            </w:r>
          </w:p>
        </w:tc>
        <w:tc>
          <w:tcPr>
            <w:tcW w:w="0" w:type="dxa"/>
            <w:vAlign w:val="bottom"/>
          </w:tcPr>
          <w:p>
            <w:pPr>
              <w:spacing w:after="0"/>
              <w:rPr>
                <w:sz w:val="1"/>
                <w:szCs w:val="1"/>
                <w:color w:val="auto"/>
              </w:rPr>
            </w:pP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member of the Board of Directors or the Executive Committee and shall inure to the benefit of their</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membre du conseil d'administration ou le comité exécutif et sera en vigueur au bénéfice de ses</w:t>
            </w:r>
          </w:p>
        </w:tc>
        <w:tc>
          <w:tcPr>
            <w:tcW w:w="0" w:type="dxa"/>
            <w:vAlign w:val="bottom"/>
          </w:tcPr>
          <w:p>
            <w:pPr>
              <w:spacing w:after="0"/>
              <w:rPr>
                <w:sz w:val="1"/>
                <w:szCs w:val="1"/>
                <w:color w:val="auto"/>
              </w:rPr>
            </w:pPr>
          </w:p>
        </w:tc>
      </w:tr>
      <w:tr>
        <w:trPr>
          <w:trHeight w:val="145"/>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heirs, executors, and administrators.</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héritiers, exécuteurs et administrateurs.</w:t>
            </w:r>
          </w:p>
        </w:tc>
        <w:tc>
          <w:tcPr>
            <w:tcW w:w="0" w:type="dxa"/>
            <w:vAlign w:val="bottom"/>
          </w:tcPr>
          <w:p>
            <w:pPr>
              <w:spacing w:after="0"/>
              <w:rPr>
                <w:sz w:val="1"/>
                <w:szCs w:val="1"/>
                <w:color w:val="auto"/>
              </w:rPr>
            </w:pPr>
          </w:p>
        </w:tc>
      </w:tr>
      <w:tr>
        <w:trPr>
          <w:trHeight w:val="36"/>
        </w:trPr>
        <w:tc>
          <w:tcPr>
            <w:tcW w:w="480" w:type="dxa"/>
            <w:vAlign w:val="bottom"/>
            <w:tcBorders>
              <w:left w:val="single" w:sz="8" w:color="auto"/>
              <w:bottom w:val="single" w:sz="8" w:color="auto"/>
            </w:tcBorders>
          </w:tcPr>
          <w:p>
            <w:pPr>
              <w:spacing w:after="0"/>
              <w:rPr>
                <w:sz w:val="3"/>
                <w:szCs w:val="3"/>
                <w:color w:val="auto"/>
              </w:rPr>
            </w:pPr>
          </w:p>
        </w:tc>
        <w:tc>
          <w:tcPr>
            <w:tcW w:w="506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50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480" w:type="dxa"/>
            <w:vAlign w:val="bottom"/>
            <w:tcBorders>
              <w:left w:val="single" w:sz="8" w:color="auto"/>
            </w:tcBorders>
          </w:tcPr>
          <w:p>
            <w:pPr>
              <w:ind w:left="40"/>
              <w:spacing w:after="0"/>
              <w:rPr>
                <w:sz w:val="20"/>
                <w:szCs w:val="20"/>
                <w:color w:val="auto"/>
              </w:rPr>
            </w:pPr>
            <w:r>
              <w:rPr>
                <w:rFonts w:ascii="Arial" w:cs="Arial" w:eastAsia="Arial" w:hAnsi="Arial"/>
                <w:sz w:val="12"/>
                <w:szCs w:val="12"/>
                <w:b w:val="1"/>
                <w:bCs w:val="1"/>
                <w:color w:val="auto"/>
              </w:rPr>
              <w:t>VI.</w:t>
            </w:r>
          </w:p>
        </w:tc>
        <w:tc>
          <w:tcPr>
            <w:tcW w:w="5060" w:type="dxa"/>
            <w:vAlign w:val="bottom"/>
            <w:tcBorders>
              <w:right w:val="single" w:sz="8" w:color="auto"/>
            </w:tcBorders>
          </w:tcPr>
          <w:p>
            <w:pPr>
              <w:ind w:left="40"/>
              <w:spacing w:after="0"/>
              <w:rPr>
                <w:sz w:val="20"/>
                <w:szCs w:val="20"/>
                <w:color w:val="auto"/>
              </w:rPr>
            </w:pPr>
            <w:r>
              <w:rPr>
                <w:rFonts w:ascii="Arial" w:cs="Arial" w:eastAsia="Arial" w:hAnsi="Arial"/>
                <w:sz w:val="12"/>
                <w:szCs w:val="12"/>
                <w:b w:val="1"/>
                <w:bCs w:val="1"/>
                <w:color w:val="auto"/>
              </w:rPr>
              <w:t>AUDITORS</w:t>
            </w:r>
          </w:p>
        </w:tc>
        <w:tc>
          <w:tcPr>
            <w:tcW w:w="240" w:type="dxa"/>
            <w:vAlign w:val="bottom"/>
            <w:tcBorders>
              <w:right w:val="single" w:sz="8" w:color="auto"/>
            </w:tcBorders>
          </w:tcPr>
          <w:p>
            <w:pPr>
              <w:spacing w:after="0"/>
              <w:rPr>
                <w:sz w:val="15"/>
                <w:szCs w:val="15"/>
                <w:color w:val="auto"/>
              </w:rPr>
            </w:pPr>
          </w:p>
        </w:tc>
        <w:tc>
          <w:tcPr>
            <w:tcW w:w="480" w:type="dxa"/>
            <w:vAlign w:val="bottom"/>
          </w:tcPr>
          <w:p>
            <w:pPr>
              <w:ind w:left="20"/>
              <w:spacing w:after="0"/>
              <w:rPr>
                <w:sz w:val="20"/>
                <w:szCs w:val="20"/>
                <w:color w:val="auto"/>
              </w:rPr>
            </w:pPr>
            <w:r>
              <w:rPr>
                <w:rFonts w:ascii="Arial" w:cs="Arial" w:eastAsia="Arial" w:hAnsi="Arial"/>
                <w:sz w:val="12"/>
                <w:szCs w:val="12"/>
                <w:b w:val="1"/>
                <w:bCs w:val="1"/>
                <w:color w:val="auto"/>
              </w:rPr>
              <w:t>VI.</w:t>
            </w:r>
          </w:p>
        </w:tc>
        <w:tc>
          <w:tcPr>
            <w:tcW w:w="5040" w:type="dxa"/>
            <w:vAlign w:val="bottom"/>
            <w:tcBorders>
              <w:right w:val="single" w:sz="8" w:color="auto"/>
            </w:tcBorders>
          </w:tcPr>
          <w:p>
            <w:pPr>
              <w:ind w:left="60"/>
              <w:spacing w:after="0"/>
              <w:rPr>
                <w:sz w:val="20"/>
                <w:szCs w:val="20"/>
                <w:color w:val="auto"/>
              </w:rPr>
            </w:pPr>
            <w:r>
              <w:rPr>
                <w:rFonts w:ascii="Arial" w:cs="Arial" w:eastAsia="Arial" w:hAnsi="Arial"/>
                <w:sz w:val="12"/>
                <w:szCs w:val="12"/>
                <w:b w:val="1"/>
                <w:bCs w:val="1"/>
                <w:color w:val="auto"/>
              </w:rPr>
              <w:t>ORGANE DE RÉVISION</w:t>
            </w:r>
          </w:p>
        </w:tc>
        <w:tc>
          <w:tcPr>
            <w:tcW w:w="0" w:type="dxa"/>
            <w:vAlign w:val="bottom"/>
          </w:tcPr>
          <w:p>
            <w:pPr>
              <w:spacing w:after="0"/>
              <w:rPr>
                <w:sz w:val="1"/>
                <w:szCs w:val="1"/>
                <w:color w:val="auto"/>
              </w:rPr>
            </w:pPr>
          </w:p>
        </w:tc>
      </w:tr>
      <w:tr>
        <w:trPr>
          <w:trHeight w:val="36"/>
        </w:trPr>
        <w:tc>
          <w:tcPr>
            <w:tcW w:w="480" w:type="dxa"/>
            <w:vAlign w:val="bottom"/>
            <w:tcBorders>
              <w:left w:val="single" w:sz="8" w:color="auto"/>
              <w:bottom w:val="single" w:sz="8" w:color="auto"/>
            </w:tcBorders>
          </w:tcPr>
          <w:p>
            <w:pPr>
              <w:spacing w:after="0"/>
              <w:rPr>
                <w:sz w:val="3"/>
                <w:szCs w:val="3"/>
                <w:color w:val="auto"/>
              </w:rPr>
            </w:pPr>
          </w:p>
        </w:tc>
        <w:tc>
          <w:tcPr>
            <w:tcW w:w="506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50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480" w:type="dxa"/>
            <w:vAlign w:val="bottom"/>
            <w:tcBorders>
              <w:left w:val="single" w:sz="8" w:color="auto"/>
            </w:tcBorders>
          </w:tcPr>
          <w:p>
            <w:pPr>
              <w:ind w:left="40"/>
              <w:spacing w:after="0"/>
              <w:rPr>
                <w:sz w:val="20"/>
                <w:szCs w:val="20"/>
                <w:color w:val="auto"/>
              </w:rPr>
            </w:pPr>
            <w:r>
              <w:rPr>
                <w:rFonts w:ascii="Arial" w:cs="Arial" w:eastAsia="Arial" w:hAnsi="Arial"/>
                <w:sz w:val="12"/>
                <w:szCs w:val="12"/>
                <w:b w:val="1"/>
                <w:bCs w:val="1"/>
                <w:color w:val="auto"/>
              </w:rPr>
              <w:t>Art. 30</w:t>
            </w:r>
          </w:p>
        </w:tc>
        <w:tc>
          <w:tcPr>
            <w:tcW w:w="5060" w:type="dxa"/>
            <w:vAlign w:val="bottom"/>
            <w:tcBorders>
              <w:right w:val="single" w:sz="8" w:color="auto"/>
            </w:tcBorders>
          </w:tcPr>
          <w:p>
            <w:pPr>
              <w:ind w:left="80"/>
              <w:spacing w:after="0"/>
              <w:rPr>
                <w:sz w:val="20"/>
                <w:szCs w:val="20"/>
                <w:color w:val="auto"/>
              </w:rPr>
            </w:pPr>
            <w:r>
              <w:rPr>
                <w:rFonts w:ascii="Arial" w:cs="Arial" w:eastAsia="Arial" w:hAnsi="Arial"/>
                <w:sz w:val="12"/>
                <w:szCs w:val="12"/>
                <w:b w:val="1"/>
                <w:bCs w:val="1"/>
                <w:color w:val="auto"/>
              </w:rPr>
              <w:t>Election, Term</w:t>
            </w:r>
          </w:p>
        </w:tc>
        <w:tc>
          <w:tcPr>
            <w:tcW w:w="240" w:type="dxa"/>
            <w:vAlign w:val="bottom"/>
            <w:tcBorders>
              <w:right w:val="single" w:sz="8" w:color="auto"/>
            </w:tcBorders>
          </w:tcPr>
          <w:p>
            <w:pPr>
              <w:spacing w:after="0"/>
              <w:rPr>
                <w:sz w:val="15"/>
                <w:szCs w:val="15"/>
                <w:color w:val="auto"/>
              </w:rPr>
            </w:pPr>
          </w:p>
        </w:tc>
        <w:tc>
          <w:tcPr>
            <w:tcW w:w="480" w:type="dxa"/>
            <w:vAlign w:val="bottom"/>
          </w:tcPr>
          <w:p>
            <w:pPr>
              <w:ind w:left="40"/>
              <w:spacing w:after="0"/>
              <w:rPr>
                <w:sz w:val="20"/>
                <w:szCs w:val="20"/>
                <w:color w:val="auto"/>
              </w:rPr>
            </w:pPr>
            <w:r>
              <w:rPr>
                <w:rFonts w:ascii="Arial" w:cs="Arial" w:eastAsia="Arial" w:hAnsi="Arial"/>
                <w:sz w:val="12"/>
                <w:szCs w:val="12"/>
                <w:b w:val="1"/>
                <w:bCs w:val="1"/>
                <w:color w:val="auto"/>
              </w:rPr>
              <w:t>Art. 30</w:t>
            </w:r>
          </w:p>
        </w:tc>
        <w:tc>
          <w:tcPr>
            <w:tcW w:w="5040" w:type="dxa"/>
            <w:vAlign w:val="bottom"/>
            <w:tcBorders>
              <w:right w:val="single" w:sz="8" w:color="auto"/>
            </w:tcBorders>
          </w:tcPr>
          <w:p>
            <w:pPr>
              <w:ind w:left="100"/>
              <w:spacing w:after="0"/>
              <w:rPr>
                <w:sz w:val="20"/>
                <w:szCs w:val="20"/>
                <w:color w:val="auto"/>
              </w:rPr>
            </w:pPr>
            <w:r>
              <w:rPr>
                <w:rFonts w:ascii="Arial" w:cs="Arial" w:eastAsia="Arial" w:hAnsi="Arial"/>
                <w:sz w:val="12"/>
                <w:szCs w:val="12"/>
                <w:b w:val="1"/>
                <w:bCs w:val="1"/>
                <w:color w:val="auto"/>
              </w:rPr>
              <w:t>Élection, durée</w:t>
            </w:r>
          </w:p>
        </w:tc>
        <w:tc>
          <w:tcPr>
            <w:tcW w:w="0" w:type="dxa"/>
            <w:vAlign w:val="bottom"/>
          </w:tcPr>
          <w:p>
            <w:pPr>
              <w:spacing w:after="0"/>
              <w:rPr>
                <w:sz w:val="1"/>
                <w:szCs w:val="1"/>
                <w:color w:val="auto"/>
              </w:rPr>
            </w:pPr>
          </w:p>
        </w:tc>
      </w:tr>
      <w:tr>
        <w:trPr>
          <w:trHeight w:val="24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 xml:space="preserve">The General Meeting shall elect one or more accountants as its Auditors in terms of Articles 727 </w:t>
            </w:r>
            <w:r>
              <w:rPr>
                <w:rFonts w:ascii="Arial" w:cs="Arial" w:eastAsia="Arial" w:hAnsi="Arial"/>
                <w:sz w:val="12"/>
                <w:szCs w:val="12"/>
                <w:i w:val="1"/>
                <w:iCs w:val="1"/>
                <w:color w:val="auto"/>
              </w:rPr>
              <w:t>et</w:t>
            </w:r>
          </w:p>
        </w:tc>
        <w:tc>
          <w:tcPr>
            <w:tcW w:w="240" w:type="dxa"/>
            <w:vAlign w:val="bottom"/>
            <w:tcBorders>
              <w:right w:val="single" w:sz="8" w:color="auto"/>
            </w:tcBorders>
          </w:tcPr>
          <w:p>
            <w:pPr>
              <w:spacing w:after="0"/>
              <w:rPr>
                <w:sz w:val="21"/>
                <w:szCs w:val="21"/>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L'assemblée générale nomme chaque année un ou plusieurs réviseurs comme organe de révision</w:t>
            </w:r>
          </w:p>
        </w:tc>
        <w:tc>
          <w:tcPr>
            <w:tcW w:w="0" w:type="dxa"/>
            <w:vAlign w:val="bottom"/>
          </w:tcPr>
          <w:p>
            <w:pPr>
              <w:spacing w:after="0"/>
              <w:rPr>
                <w:sz w:val="1"/>
                <w:szCs w:val="1"/>
                <w:color w:val="auto"/>
              </w:rPr>
            </w:pPr>
          </w:p>
        </w:tc>
      </w:tr>
      <w:tr>
        <w:trPr>
          <w:trHeight w:val="157"/>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i w:val="1"/>
                <w:iCs w:val="1"/>
                <w:color w:val="auto"/>
              </w:rPr>
              <w:t xml:space="preserve">seq. </w:t>
            </w:r>
            <w:r>
              <w:rPr>
                <w:rFonts w:ascii="Arial" w:cs="Arial" w:eastAsia="Arial" w:hAnsi="Arial"/>
                <w:sz w:val="12"/>
                <w:szCs w:val="12"/>
                <w:color w:val="auto"/>
              </w:rPr>
              <w:t>CO every year with the rights and duties determined by law.</w:t>
            </w:r>
          </w:p>
        </w:tc>
        <w:tc>
          <w:tcPr>
            <w:tcW w:w="240" w:type="dxa"/>
            <w:vAlign w:val="bottom"/>
            <w:tcBorders>
              <w:right w:val="single" w:sz="8" w:color="auto"/>
            </w:tcBorders>
          </w:tcPr>
          <w:p>
            <w:pPr>
              <w:spacing w:after="0"/>
              <w:rPr>
                <w:sz w:val="13"/>
                <w:szCs w:val="13"/>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selon les articles 727 ss. CO avec les droits et les devoirs déterminés par la loi.</w:t>
            </w:r>
          </w:p>
        </w:tc>
        <w:tc>
          <w:tcPr>
            <w:tcW w:w="0" w:type="dxa"/>
            <w:vAlign w:val="bottom"/>
          </w:tcPr>
          <w:p>
            <w:pPr>
              <w:spacing w:after="0"/>
              <w:rPr>
                <w:sz w:val="1"/>
                <w:szCs w:val="1"/>
                <w:color w:val="auto"/>
              </w:rPr>
            </w:pPr>
          </w:p>
        </w:tc>
      </w:tr>
      <w:tr>
        <w:trPr>
          <w:trHeight w:val="36"/>
        </w:trPr>
        <w:tc>
          <w:tcPr>
            <w:tcW w:w="5540" w:type="dxa"/>
            <w:vAlign w:val="bottom"/>
            <w:tcBorders>
              <w:left w:val="single" w:sz="8" w:color="auto"/>
              <w:bottom w:val="single" w:sz="8" w:color="auto"/>
              <w:right w:val="single" w:sz="8" w:color="auto"/>
            </w:tcBorders>
            <w:gridSpan w:val="2"/>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5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The General Meeting may appoint Special Auditors for a term of up to three years who provide the</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L'assemblée générale peut nommer des réviseurs spéciaux pour une durée de trois ans au maximum</w:t>
            </w:r>
          </w:p>
        </w:tc>
        <w:tc>
          <w:tcPr>
            <w:tcW w:w="0" w:type="dxa"/>
            <w:vAlign w:val="bottom"/>
          </w:tcPr>
          <w:p>
            <w:pPr>
              <w:spacing w:after="0"/>
              <w:rPr>
                <w:sz w:val="1"/>
                <w:szCs w:val="1"/>
                <w:color w:val="auto"/>
              </w:rPr>
            </w:pPr>
          </w:p>
        </w:tc>
      </w:tr>
      <w:tr>
        <w:trPr>
          <w:trHeight w:val="145"/>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attestations required for capital increases.</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qui fournissent les attestations requises pour les augmentations de capital.</w:t>
            </w:r>
          </w:p>
        </w:tc>
        <w:tc>
          <w:tcPr>
            <w:tcW w:w="0" w:type="dxa"/>
            <w:vAlign w:val="bottom"/>
          </w:tcPr>
          <w:p>
            <w:pPr>
              <w:spacing w:after="0"/>
              <w:rPr>
                <w:sz w:val="1"/>
                <w:szCs w:val="1"/>
                <w:color w:val="auto"/>
              </w:rPr>
            </w:pPr>
          </w:p>
        </w:tc>
      </w:tr>
      <w:tr>
        <w:trPr>
          <w:trHeight w:val="36"/>
        </w:trPr>
        <w:tc>
          <w:tcPr>
            <w:tcW w:w="480" w:type="dxa"/>
            <w:vAlign w:val="bottom"/>
            <w:tcBorders>
              <w:left w:val="single" w:sz="8" w:color="auto"/>
              <w:bottom w:val="single" w:sz="8" w:color="auto"/>
            </w:tcBorders>
          </w:tcPr>
          <w:p>
            <w:pPr>
              <w:spacing w:after="0"/>
              <w:rPr>
                <w:sz w:val="3"/>
                <w:szCs w:val="3"/>
                <w:color w:val="auto"/>
              </w:rPr>
            </w:pPr>
          </w:p>
        </w:tc>
        <w:tc>
          <w:tcPr>
            <w:tcW w:w="506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50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480" w:type="dxa"/>
            <w:vAlign w:val="bottom"/>
            <w:tcBorders>
              <w:left w:val="single" w:sz="8" w:color="auto"/>
            </w:tcBorders>
          </w:tcPr>
          <w:p>
            <w:pPr>
              <w:ind w:left="40"/>
              <w:spacing w:after="0"/>
              <w:rPr>
                <w:sz w:val="20"/>
                <w:szCs w:val="20"/>
                <w:color w:val="auto"/>
              </w:rPr>
            </w:pPr>
            <w:r>
              <w:rPr>
                <w:rFonts w:ascii="Arial" w:cs="Arial" w:eastAsia="Arial" w:hAnsi="Arial"/>
                <w:sz w:val="12"/>
                <w:szCs w:val="12"/>
                <w:b w:val="1"/>
                <w:bCs w:val="1"/>
                <w:color w:val="auto"/>
              </w:rPr>
              <w:t>Art. 31</w:t>
            </w:r>
          </w:p>
        </w:tc>
        <w:tc>
          <w:tcPr>
            <w:tcW w:w="5060" w:type="dxa"/>
            <w:vAlign w:val="bottom"/>
            <w:tcBorders>
              <w:right w:val="single" w:sz="8" w:color="auto"/>
            </w:tcBorders>
          </w:tcPr>
          <w:p>
            <w:pPr>
              <w:ind w:left="80"/>
              <w:spacing w:after="0"/>
              <w:rPr>
                <w:sz w:val="20"/>
                <w:szCs w:val="20"/>
                <w:color w:val="auto"/>
              </w:rPr>
            </w:pPr>
            <w:r>
              <w:rPr>
                <w:rFonts w:ascii="Arial" w:cs="Arial" w:eastAsia="Arial" w:hAnsi="Arial"/>
                <w:sz w:val="12"/>
                <w:szCs w:val="12"/>
                <w:b w:val="1"/>
                <w:bCs w:val="1"/>
                <w:color w:val="auto"/>
              </w:rPr>
              <w:t>Duties</w:t>
            </w:r>
          </w:p>
        </w:tc>
        <w:tc>
          <w:tcPr>
            <w:tcW w:w="240" w:type="dxa"/>
            <w:vAlign w:val="bottom"/>
            <w:tcBorders>
              <w:right w:val="single" w:sz="8" w:color="auto"/>
            </w:tcBorders>
          </w:tcPr>
          <w:p>
            <w:pPr>
              <w:spacing w:after="0"/>
              <w:rPr>
                <w:sz w:val="15"/>
                <w:szCs w:val="15"/>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Art. 31</w:t>
            </w:r>
          </w:p>
        </w:tc>
        <w:tc>
          <w:tcPr>
            <w:tcW w:w="50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2"/>
                <w:szCs w:val="12"/>
                <w:b w:val="1"/>
                <w:bCs w:val="1"/>
                <w:color w:val="auto"/>
              </w:rPr>
              <w:t>Fonctions</w:t>
            </w:r>
          </w:p>
        </w:tc>
        <w:tc>
          <w:tcPr>
            <w:tcW w:w="0" w:type="dxa"/>
            <w:vAlign w:val="bottom"/>
          </w:tcPr>
          <w:p>
            <w:pPr>
              <w:spacing w:after="0"/>
              <w:rPr>
                <w:sz w:val="1"/>
                <w:szCs w:val="1"/>
                <w:color w:val="auto"/>
              </w:rPr>
            </w:pPr>
          </w:p>
        </w:tc>
      </w:tr>
      <w:tr>
        <w:trPr>
          <w:trHeight w:val="135"/>
        </w:trPr>
        <w:tc>
          <w:tcPr>
            <w:tcW w:w="5540" w:type="dxa"/>
            <w:vAlign w:val="bottom"/>
            <w:tcBorders>
              <w:left w:val="single" w:sz="8" w:color="auto"/>
              <w:right w:val="single" w:sz="8" w:color="auto"/>
            </w:tcBorders>
            <w:gridSpan w:val="2"/>
            <w:vMerge w:val="restart"/>
          </w:tcPr>
          <w:p>
            <w:pPr>
              <w:ind w:left="40"/>
              <w:spacing w:after="0"/>
              <w:rPr>
                <w:sz w:val="20"/>
                <w:szCs w:val="20"/>
                <w:color w:val="auto"/>
              </w:rPr>
            </w:pPr>
            <w:r>
              <w:rPr>
                <w:rFonts w:ascii="Arial" w:cs="Arial" w:eastAsia="Arial" w:hAnsi="Arial"/>
                <w:sz w:val="12"/>
                <w:szCs w:val="12"/>
                <w:color w:val="auto"/>
              </w:rPr>
              <w:t>The Auditors shall perform their duties to audit and report whether the accounting, the annual</w:t>
            </w:r>
          </w:p>
        </w:tc>
        <w:tc>
          <w:tcPr>
            <w:tcW w:w="240" w:type="dxa"/>
            <w:vAlign w:val="bottom"/>
            <w:tcBorders>
              <w:right w:val="single" w:sz="8" w:color="auto"/>
            </w:tcBorders>
          </w:tcPr>
          <w:p>
            <w:pPr>
              <w:spacing w:after="0"/>
              <w:rPr>
                <w:sz w:val="11"/>
                <w:szCs w:val="11"/>
                <w:color w:val="auto"/>
              </w:rPr>
            </w:pPr>
          </w:p>
        </w:tc>
        <w:tc>
          <w:tcPr>
            <w:tcW w:w="480" w:type="dxa"/>
            <w:vAlign w:val="bottom"/>
            <w:vMerge w:val="continue"/>
          </w:tcPr>
          <w:p>
            <w:pPr>
              <w:spacing w:after="0"/>
              <w:rPr>
                <w:sz w:val="11"/>
                <w:szCs w:val="11"/>
                <w:color w:val="auto"/>
              </w:rPr>
            </w:pPr>
          </w:p>
        </w:tc>
        <w:tc>
          <w:tcPr>
            <w:tcW w:w="50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5540" w:type="dxa"/>
            <w:vAlign w:val="bottom"/>
            <w:tcBorders>
              <w:left w:val="single" w:sz="8" w:color="auto"/>
              <w:right w:val="single" w:sz="8" w:color="auto"/>
            </w:tcBorders>
            <w:gridSpan w:val="2"/>
            <w:vMerge w:val="continue"/>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50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accounts and the proposal regarding allocation of profits are in accordance with law and the Articles of</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L'organe de révision vérifie et rapporte si la comptabilité, les comptes annuels et la proposition relative</w:t>
            </w:r>
          </w:p>
        </w:tc>
        <w:tc>
          <w:tcPr>
            <w:tcW w:w="0" w:type="dxa"/>
            <w:vAlign w:val="bottom"/>
          </w:tcPr>
          <w:p>
            <w:pPr>
              <w:spacing w:after="0"/>
              <w:rPr>
                <w:sz w:val="1"/>
                <w:szCs w:val="1"/>
                <w:color w:val="auto"/>
              </w:rPr>
            </w:pPr>
          </w:p>
        </w:tc>
      </w:tr>
      <w:tr>
        <w:trPr>
          <w:trHeight w:val="145"/>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Association.</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à la répartition des bénéfices sont en conformité avec la loi et les statuts.</w:t>
            </w:r>
          </w:p>
        </w:tc>
        <w:tc>
          <w:tcPr>
            <w:tcW w:w="0" w:type="dxa"/>
            <w:vAlign w:val="bottom"/>
          </w:tcPr>
          <w:p>
            <w:pPr>
              <w:spacing w:after="0"/>
              <w:rPr>
                <w:sz w:val="1"/>
                <w:szCs w:val="1"/>
                <w:color w:val="auto"/>
              </w:rPr>
            </w:pPr>
          </w:p>
        </w:tc>
      </w:tr>
      <w:tr>
        <w:trPr>
          <w:trHeight w:val="36"/>
        </w:trPr>
        <w:tc>
          <w:tcPr>
            <w:tcW w:w="480" w:type="dxa"/>
            <w:vAlign w:val="bottom"/>
            <w:tcBorders>
              <w:left w:val="single" w:sz="8" w:color="auto"/>
              <w:bottom w:val="single" w:sz="8" w:color="auto"/>
            </w:tcBorders>
          </w:tcPr>
          <w:p>
            <w:pPr>
              <w:spacing w:after="0"/>
              <w:rPr>
                <w:sz w:val="3"/>
                <w:szCs w:val="3"/>
                <w:color w:val="auto"/>
              </w:rPr>
            </w:pPr>
          </w:p>
        </w:tc>
        <w:tc>
          <w:tcPr>
            <w:tcW w:w="506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50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93"/>
        </w:trPr>
        <w:tc>
          <w:tcPr>
            <w:tcW w:w="48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211" w:right="299" w:bottom="1440" w:gutter="0" w:footer="0" w:header="0"/>
        </w:sectPr>
      </w:pPr>
    </w:p>
    <w:bookmarkStart w:id="71" w:name="page72"/>
    <w:bookmarkEnd w:id="7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45"/>
        </w:trPr>
        <w:tc>
          <w:tcPr>
            <w:tcW w:w="36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140" w:type="dxa"/>
            <w:vAlign w:val="bottom"/>
          </w:tcPr>
          <w:p>
            <w:pPr>
              <w:jc w:val="right"/>
              <w:spacing w:after="0"/>
              <w:rPr>
                <w:sz w:val="20"/>
                <w:szCs w:val="20"/>
                <w:color w:val="auto"/>
              </w:rPr>
            </w:pPr>
            <w:r>
              <w:rPr>
                <w:rFonts w:ascii="Arial" w:cs="Arial" w:eastAsia="Arial" w:hAnsi="Arial"/>
                <w:sz w:val="12"/>
                <w:szCs w:val="12"/>
                <w:color w:val="auto"/>
              </w:rPr>
              <w:t>26</w:t>
            </w:r>
          </w:p>
        </w:tc>
      </w:tr>
      <w:tr>
        <w:trPr>
          <w:trHeight w:val="63"/>
        </w:trPr>
        <w:tc>
          <w:tcPr>
            <w:tcW w:w="360" w:type="dxa"/>
            <w:vAlign w:val="bottom"/>
            <w:tcBorders>
              <w:bottom w:val="single" w:sz="8" w:color="auto"/>
            </w:tcBorders>
          </w:tcPr>
          <w:p>
            <w:pPr>
              <w:spacing w:after="0"/>
              <w:rPr>
                <w:sz w:val="5"/>
                <w:szCs w:val="5"/>
                <w:color w:val="auto"/>
              </w:rPr>
            </w:pPr>
          </w:p>
        </w:tc>
        <w:tc>
          <w:tcPr>
            <w:tcW w:w="51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5140" w:type="dxa"/>
            <w:vAlign w:val="bottom"/>
            <w:tcBorders>
              <w:bottom w:val="single" w:sz="8" w:color="auto"/>
            </w:tcBorders>
          </w:tcPr>
          <w:p>
            <w:pPr>
              <w:spacing w:after="0"/>
              <w:rPr>
                <w:sz w:val="5"/>
                <w:szCs w:val="5"/>
                <w:color w:val="auto"/>
              </w:rPr>
            </w:pPr>
          </w:p>
        </w:tc>
      </w:tr>
      <w:tr>
        <w:trPr>
          <w:trHeight w:val="178"/>
        </w:trPr>
        <w:tc>
          <w:tcPr>
            <w:tcW w:w="360" w:type="dxa"/>
            <w:vAlign w:val="bottom"/>
            <w:tcBorders>
              <w:left w:val="single" w:sz="8" w:color="auto"/>
            </w:tcBorders>
          </w:tcPr>
          <w:p>
            <w:pPr>
              <w:ind w:left="40"/>
              <w:spacing w:after="0"/>
              <w:rPr>
                <w:sz w:val="20"/>
                <w:szCs w:val="20"/>
                <w:color w:val="auto"/>
              </w:rPr>
            </w:pPr>
            <w:r>
              <w:rPr>
                <w:rFonts w:ascii="Arial" w:cs="Arial" w:eastAsia="Arial" w:hAnsi="Arial"/>
                <w:sz w:val="12"/>
                <w:szCs w:val="12"/>
                <w:b w:val="1"/>
                <w:bCs w:val="1"/>
                <w:color w:val="auto"/>
              </w:rPr>
              <w:t>VII.</w:t>
            </w:r>
          </w:p>
        </w:tc>
        <w:tc>
          <w:tcPr>
            <w:tcW w:w="5180" w:type="dxa"/>
            <w:vAlign w:val="bottom"/>
            <w:tcBorders>
              <w:right w:val="single" w:sz="8" w:color="auto"/>
            </w:tcBorders>
          </w:tcPr>
          <w:p>
            <w:pPr>
              <w:ind w:left="160"/>
              <w:spacing w:after="0"/>
              <w:rPr>
                <w:sz w:val="20"/>
                <w:szCs w:val="20"/>
                <w:color w:val="auto"/>
              </w:rPr>
            </w:pPr>
            <w:r>
              <w:rPr>
                <w:rFonts w:ascii="Arial" w:cs="Arial" w:eastAsia="Arial" w:hAnsi="Arial"/>
                <w:sz w:val="12"/>
                <w:szCs w:val="12"/>
                <w:b w:val="1"/>
                <w:bCs w:val="1"/>
                <w:color w:val="auto"/>
              </w:rPr>
              <w:t>COMPENSATION AND RELATED PROVISIONS</w:t>
            </w:r>
          </w:p>
        </w:tc>
        <w:tc>
          <w:tcPr>
            <w:tcW w:w="240" w:type="dxa"/>
            <w:vAlign w:val="bottom"/>
            <w:tcBorders>
              <w:right w:val="single" w:sz="8" w:color="auto"/>
            </w:tcBorders>
          </w:tcPr>
          <w:p>
            <w:pPr>
              <w:spacing w:after="0"/>
              <w:rPr>
                <w:sz w:val="15"/>
                <w:szCs w:val="15"/>
                <w:color w:val="auto"/>
              </w:rPr>
            </w:pP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VII.</w:t>
            </w:r>
          </w:p>
        </w:tc>
        <w:tc>
          <w:tcPr>
            <w:tcW w:w="5140" w:type="dxa"/>
            <w:vAlign w:val="bottom"/>
            <w:tcBorders>
              <w:right w:val="single" w:sz="8" w:color="auto"/>
            </w:tcBorders>
          </w:tcPr>
          <w:p>
            <w:pPr>
              <w:jc w:val="right"/>
              <w:ind w:right="2080"/>
              <w:spacing w:after="0"/>
              <w:rPr>
                <w:sz w:val="20"/>
                <w:szCs w:val="20"/>
                <w:color w:val="auto"/>
              </w:rPr>
            </w:pPr>
            <w:r>
              <w:rPr>
                <w:rFonts w:ascii="Arial" w:cs="Arial" w:eastAsia="Arial" w:hAnsi="Arial"/>
                <w:sz w:val="12"/>
                <w:szCs w:val="12"/>
                <w:b w:val="1"/>
                <w:bCs w:val="1"/>
                <w:color w:val="auto"/>
              </w:rPr>
              <w:t>RÉMUNÉRATION ET DISPOSITIONS ANALOGUES</w:t>
            </w:r>
          </w:p>
        </w:tc>
      </w:tr>
      <w:tr>
        <w:trPr>
          <w:trHeight w:val="36"/>
        </w:trPr>
        <w:tc>
          <w:tcPr>
            <w:tcW w:w="5540" w:type="dxa"/>
            <w:vAlign w:val="bottom"/>
            <w:tcBorders>
              <w:left w:val="single" w:sz="8" w:color="auto"/>
              <w:bottom w:val="single" w:sz="8" w:color="auto"/>
              <w:right w:val="single" w:sz="8" w:color="auto"/>
            </w:tcBorders>
            <w:gridSpan w:val="2"/>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520" w:type="dxa"/>
            <w:vAlign w:val="bottom"/>
            <w:tcBorders>
              <w:bottom w:val="single" w:sz="8" w:color="auto"/>
              <w:right w:val="single" w:sz="8" w:color="auto"/>
            </w:tcBorders>
            <w:gridSpan w:val="2"/>
          </w:tcPr>
          <w:p>
            <w:pPr>
              <w:spacing w:after="0"/>
              <w:rPr>
                <w:sz w:val="3"/>
                <w:szCs w:val="3"/>
                <w:color w:val="auto"/>
              </w:rPr>
            </w:pPr>
          </w:p>
        </w:tc>
      </w:tr>
      <w:tr>
        <w:trPr>
          <w:trHeight w:val="17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Art. 32  Principles of the Compensation of the Board of Directors</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Art. 32   Principes de rémunération du conseil d'administration</w:t>
            </w:r>
          </w:p>
        </w:tc>
      </w:tr>
      <w:tr>
        <w:trPr>
          <w:trHeight w:val="260"/>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The compensation payable to the members of the Board of Directors comprises, subject to and within</w:t>
            </w:r>
          </w:p>
        </w:tc>
        <w:tc>
          <w:tcPr>
            <w:tcW w:w="240" w:type="dxa"/>
            <w:vAlign w:val="bottom"/>
            <w:tcBorders>
              <w:right w:val="single" w:sz="8" w:color="auto"/>
            </w:tcBorders>
          </w:tcPr>
          <w:p>
            <w:pPr>
              <w:spacing w:after="0"/>
              <w:rPr>
                <w:sz w:val="22"/>
                <w:szCs w:val="22"/>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La rémunération des membres du conseil d'administration comprend, sous réserve et dans les limites</w:t>
            </w:r>
          </w:p>
        </w:tc>
      </w:tr>
      <w:tr>
        <w:trPr>
          <w:trHeight w:val="145"/>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the bounds of the approval by the General Meeting of the total compensation, the following elements:</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de l'approbation de la rémunération totale par l'assemblée générale, les éléments suivants:</w:t>
            </w:r>
          </w:p>
        </w:tc>
      </w:tr>
      <w:tr>
        <w:trPr>
          <w:trHeight w:val="270"/>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a)   a fixed basic remuneration;</w:t>
            </w:r>
          </w:p>
        </w:tc>
        <w:tc>
          <w:tcPr>
            <w:tcW w:w="240" w:type="dxa"/>
            <w:vAlign w:val="bottom"/>
            <w:tcBorders>
              <w:right w:val="single" w:sz="8" w:color="auto"/>
            </w:tcBorders>
          </w:tcPr>
          <w:p>
            <w:pPr>
              <w:spacing w:after="0"/>
              <w:rPr>
                <w:sz w:val="23"/>
                <w:szCs w:val="23"/>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a)   une rémunération fixe de base;</w:t>
            </w:r>
          </w:p>
        </w:tc>
      </w:tr>
      <w:tr>
        <w:trPr>
          <w:trHeight w:val="270"/>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b)   a fixed committee fee for work in a committee of the Board of Directors;</w:t>
            </w:r>
          </w:p>
        </w:tc>
        <w:tc>
          <w:tcPr>
            <w:tcW w:w="240" w:type="dxa"/>
            <w:vAlign w:val="bottom"/>
            <w:tcBorders>
              <w:right w:val="single" w:sz="8" w:color="auto"/>
            </w:tcBorders>
          </w:tcPr>
          <w:p>
            <w:pPr>
              <w:spacing w:after="0"/>
              <w:rPr>
                <w:sz w:val="23"/>
                <w:szCs w:val="23"/>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b)   des frais de commission fixes pour le travail dans un comité du conseil d'administration;</w:t>
            </w:r>
          </w:p>
        </w:tc>
      </w:tr>
      <w:tr>
        <w:trPr>
          <w:trHeight w:val="270"/>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c)   a lump sum compensation for expenses;</w:t>
            </w:r>
          </w:p>
        </w:tc>
        <w:tc>
          <w:tcPr>
            <w:tcW w:w="240" w:type="dxa"/>
            <w:vAlign w:val="bottom"/>
            <w:tcBorders>
              <w:right w:val="single" w:sz="8" w:color="auto"/>
            </w:tcBorders>
          </w:tcPr>
          <w:p>
            <w:pPr>
              <w:spacing w:after="0"/>
              <w:rPr>
                <w:sz w:val="23"/>
                <w:szCs w:val="23"/>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c)   une compensation forfaitaire pour les dépenses;</w:t>
            </w:r>
          </w:p>
        </w:tc>
      </w:tr>
      <w:tr>
        <w:trPr>
          <w:trHeight w:val="270"/>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d)   a number of options or shares in the Company, as further outlined in Art. 41.</w:t>
            </w:r>
          </w:p>
        </w:tc>
        <w:tc>
          <w:tcPr>
            <w:tcW w:w="240" w:type="dxa"/>
            <w:vAlign w:val="bottom"/>
            <w:tcBorders>
              <w:right w:val="single" w:sz="8" w:color="auto"/>
            </w:tcBorders>
          </w:tcPr>
          <w:p>
            <w:pPr>
              <w:spacing w:after="0"/>
              <w:rPr>
                <w:sz w:val="23"/>
                <w:szCs w:val="23"/>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d)   un nombre d'actions ou d'options dans la société, comme détaillée à l'art. 41.</w:t>
            </w:r>
          </w:p>
        </w:tc>
      </w:tr>
      <w:tr>
        <w:trPr>
          <w:trHeight w:val="36"/>
        </w:trPr>
        <w:tc>
          <w:tcPr>
            <w:tcW w:w="5540" w:type="dxa"/>
            <w:vAlign w:val="bottom"/>
            <w:tcBorders>
              <w:left w:val="single" w:sz="8" w:color="auto"/>
              <w:bottom w:val="single" w:sz="8" w:color="auto"/>
              <w:right w:val="single" w:sz="8" w:color="auto"/>
            </w:tcBorders>
            <w:gridSpan w:val="2"/>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520" w:type="dxa"/>
            <w:vAlign w:val="bottom"/>
            <w:tcBorders>
              <w:bottom w:val="single" w:sz="8" w:color="auto"/>
              <w:right w:val="single" w:sz="8" w:color="auto"/>
            </w:tcBorders>
            <w:gridSpan w:val="2"/>
          </w:tcPr>
          <w:p>
            <w:pPr>
              <w:spacing w:after="0"/>
              <w:rPr>
                <w:sz w:val="3"/>
                <w:szCs w:val="3"/>
                <w:color w:val="auto"/>
              </w:rPr>
            </w:pPr>
          </w:p>
        </w:tc>
      </w:tr>
      <w:tr>
        <w:trPr>
          <w:trHeight w:val="16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The compensation is paid in cash and in form of options or shares in the Company. The board of</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La rémunération est versée en espèces et sous forme d'options ou d'actions de la société. Le conseil</w:t>
            </w: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directors or, to the extent delegated to it, the compensation committee shall determine grant, exercise</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d'administration ou, en cas de délégation des fonctions, le comité de rémunération doit fixer les</w:t>
            </w: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and forfeiture conditions. In particular, they may provide for continuation, acceleration or removal of</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conditions de l'octroi, de l'exercice et de la péremption. En particulier, il peut prévoir la poursuite,</w:t>
            </w: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vesting, exercise and forfeiture conditions, for payment or grant of compensation based upon</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l'accélération ou la suppression des conditions d'acquisition, d'exercice et de péremption, pour le</w:t>
            </w: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assumed target achievement, or for forfeiture, in each case in the event of pre-determined events</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paiement ou l'octroi d'une rémunération basée sur la réalisation des objectifs supposés, ou pour la</w:t>
            </w: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such as a change-of-control or termination of an employment or mandate agreement. The Company</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péremption, dans chaque cas, dans le cas d'événements prédéterminés tels qu'un changement de</w:t>
            </w: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may procure the required shares through purchases in the market, from treasury shares or by using</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contrôle ou la résiliation d'un contrat de travail ou d'un mandat. La société peut fournir les actions</w:t>
            </w: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contingent or authorized share capital.</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nécessaires par des achats sur le marché, par ses actions propres ou en utilisant du capital</w:t>
            </w:r>
          </w:p>
        </w:tc>
      </w:tr>
      <w:tr>
        <w:trPr>
          <w:trHeight w:val="145"/>
        </w:trPr>
        <w:tc>
          <w:tcPr>
            <w:tcW w:w="360" w:type="dxa"/>
            <w:vAlign w:val="bottom"/>
            <w:tcBorders>
              <w:left w:val="single" w:sz="8" w:color="auto"/>
            </w:tcBorders>
          </w:tcPr>
          <w:p>
            <w:pPr>
              <w:spacing w:after="0"/>
              <w:rPr>
                <w:sz w:val="12"/>
                <w:szCs w:val="12"/>
                <w:color w:val="auto"/>
              </w:rPr>
            </w:pPr>
          </w:p>
        </w:tc>
        <w:tc>
          <w:tcPr>
            <w:tcW w:w="5180" w:type="dxa"/>
            <w:vAlign w:val="bottom"/>
            <w:tcBorders>
              <w:right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conditionnel ou autorisé.</w:t>
            </w:r>
          </w:p>
        </w:tc>
      </w:tr>
      <w:tr>
        <w:trPr>
          <w:trHeight w:val="36"/>
        </w:trPr>
        <w:tc>
          <w:tcPr>
            <w:tcW w:w="5540" w:type="dxa"/>
            <w:vAlign w:val="bottom"/>
            <w:tcBorders>
              <w:left w:val="single" w:sz="8" w:color="auto"/>
              <w:bottom w:val="single" w:sz="8" w:color="auto"/>
              <w:right w:val="single" w:sz="8" w:color="auto"/>
            </w:tcBorders>
            <w:gridSpan w:val="2"/>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520" w:type="dxa"/>
            <w:vAlign w:val="bottom"/>
            <w:tcBorders>
              <w:bottom w:val="single" w:sz="8" w:color="auto"/>
              <w:right w:val="single" w:sz="8" w:color="auto"/>
            </w:tcBorders>
            <w:gridSpan w:val="2"/>
          </w:tcPr>
          <w:p>
            <w:pPr>
              <w:spacing w:after="0"/>
              <w:rPr>
                <w:sz w:val="3"/>
                <w:szCs w:val="3"/>
                <w:color w:val="auto"/>
              </w:rPr>
            </w:pPr>
          </w:p>
        </w:tc>
      </w:tr>
      <w:tr>
        <w:trPr>
          <w:trHeight w:val="16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Subject to the approval by the General Meeting, the members of the Board of Directors may receive</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Sous réserve de l'approbation par l'assemblée générale, les membres du conseil d'administration</w:t>
            </w: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remuneration in cash at customary conditions for advisory services rendered outside their capacity as</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peuvent recevoir une rémunération en espèces dans les conditions habituelles pour des services</w:t>
            </w: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Board member for the benefit of the Company or companies under its control. The General Meeting</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consultatifs rendus en-dehors de leur qualité de membre du conseil pour le bénéfice de la société ou</w:t>
            </w: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may approve an additional bonus for the members of the Board of Directors in exceptional cases.</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des sociétés sous son contrôle. L'assemblée générale peut approuver un bonus supplémentaire pour</w:t>
            </w:r>
          </w:p>
        </w:tc>
      </w:tr>
      <w:tr>
        <w:trPr>
          <w:trHeight w:val="145"/>
        </w:trPr>
        <w:tc>
          <w:tcPr>
            <w:tcW w:w="360" w:type="dxa"/>
            <w:vAlign w:val="bottom"/>
            <w:tcBorders>
              <w:left w:val="single" w:sz="8" w:color="auto"/>
            </w:tcBorders>
          </w:tcPr>
          <w:p>
            <w:pPr>
              <w:spacing w:after="0"/>
              <w:rPr>
                <w:sz w:val="12"/>
                <w:szCs w:val="12"/>
                <w:color w:val="auto"/>
              </w:rPr>
            </w:pPr>
          </w:p>
        </w:tc>
        <w:tc>
          <w:tcPr>
            <w:tcW w:w="5180" w:type="dxa"/>
            <w:vAlign w:val="bottom"/>
            <w:tcBorders>
              <w:right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les membres du conseil d'administration dans des cas exceptionnels.</w:t>
            </w:r>
          </w:p>
        </w:tc>
      </w:tr>
      <w:tr>
        <w:trPr>
          <w:trHeight w:val="36"/>
        </w:trPr>
        <w:tc>
          <w:tcPr>
            <w:tcW w:w="5540" w:type="dxa"/>
            <w:vAlign w:val="bottom"/>
            <w:tcBorders>
              <w:left w:val="single" w:sz="8" w:color="auto"/>
              <w:bottom w:val="single" w:sz="8" w:color="auto"/>
              <w:right w:val="single" w:sz="8" w:color="auto"/>
            </w:tcBorders>
            <w:gridSpan w:val="2"/>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520" w:type="dxa"/>
            <w:vAlign w:val="bottom"/>
            <w:tcBorders>
              <w:bottom w:val="single" w:sz="8" w:color="auto"/>
              <w:right w:val="single" w:sz="8" w:color="auto"/>
            </w:tcBorders>
            <w:gridSpan w:val="2"/>
          </w:tcPr>
          <w:p>
            <w:pPr>
              <w:spacing w:after="0"/>
              <w:rPr>
                <w:sz w:val="3"/>
                <w:szCs w:val="3"/>
                <w:color w:val="auto"/>
              </w:rPr>
            </w:pPr>
          </w:p>
        </w:tc>
      </w:tr>
      <w:tr>
        <w:trPr>
          <w:trHeight w:val="16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The compensation may also be paid for activities in companies that are directly or indirectly controlled</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La rémunération peut également être accordée pour des activités dans des entreprises qui sont</w:t>
            </w: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by the Company and may be paid by the Company or by a company controlled by it.</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contrôlées directement ou indirectement par la société et peuvent être versées par la société ou par</w:t>
            </w:r>
          </w:p>
        </w:tc>
      </w:tr>
      <w:tr>
        <w:trPr>
          <w:trHeight w:val="145"/>
        </w:trPr>
        <w:tc>
          <w:tcPr>
            <w:tcW w:w="360" w:type="dxa"/>
            <w:vAlign w:val="bottom"/>
            <w:tcBorders>
              <w:left w:val="single" w:sz="8" w:color="auto"/>
            </w:tcBorders>
          </w:tcPr>
          <w:p>
            <w:pPr>
              <w:spacing w:after="0"/>
              <w:rPr>
                <w:sz w:val="12"/>
                <w:szCs w:val="12"/>
                <w:color w:val="auto"/>
              </w:rPr>
            </w:pPr>
          </w:p>
        </w:tc>
        <w:tc>
          <w:tcPr>
            <w:tcW w:w="5180" w:type="dxa"/>
            <w:vAlign w:val="bottom"/>
            <w:tcBorders>
              <w:right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une société contrôlée par elle.</w:t>
            </w:r>
          </w:p>
        </w:tc>
      </w:tr>
      <w:tr>
        <w:trPr>
          <w:trHeight w:val="36"/>
        </w:trPr>
        <w:tc>
          <w:tcPr>
            <w:tcW w:w="360" w:type="dxa"/>
            <w:vAlign w:val="bottom"/>
            <w:tcBorders>
              <w:left w:val="single" w:sz="8" w:color="auto"/>
              <w:bottom w:val="single" w:sz="8" w:color="auto"/>
            </w:tcBorders>
          </w:tcPr>
          <w:p>
            <w:pPr>
              <w:spacing w:after="0"/>
              <w:rPr>
                <w:sz w:val="3"/>
                <w:szCs w:val="3"/>
                <w:color w:val="auto"/>
              </w:rPr>
            </w:pPr>
          </w:p>
        </w:tc>
        <w:tc>
          <w:tcPr>
            <w:tcW w:w="51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140" w:type="dxa"/>
            <w:vAlign w:val="bottom"/>
            <w:tcBorders>
              <w:bottom w:val="single" w:sz="8" w:color="auto"/>
              <w:right w:val="single" w:sz="8" w:color="auto"/>
            </w:tcBorders>
          </w:tcPr>
          <w:p>
            <w:pPr>
              <w:spacing w:after="0"/>
              <w:rPr>
                <w:sz w:val="3"/>
                <w:szCs w:val="3"/>
                <w:color w:val="auto"/>
              </w:rPr>
            </w:pPr>
          </w:p>
        </w:tc>
      </w:tr>
      <w:tr>
        <w:trPr>
          <w:trHeight w:val="385"/>
        </w:trPr>
        <w:tc>
          <w:tcPr>
            <w:tcW w:w="36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211" w:right="299" w:bottom="1440" w:gutter="0" w:footer="0" w:header="0"/>
        </w:sectPr>
      </w:pPr>
    </w:p>
    <w:bookmarkStart w:id="72" w:name="page73"/>
    <w:bookmarkEnd w:id="7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45"/>
        </w:trPr>
        <w:tc>
          <w:tcPr>
            <w:tcW w:w="5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520" w:type="dxa"/>
            <w:vAlign w:val="bottom"/>
          </w:tcPr>
          <w:p>
            <w:pPr>
              <w:ind w:left="5340"/>
              <w:spacing w:after="0"/>
              <w:rPr>
                <w:sz w:val="20"/>
                <w:szCs w:val="20"/>
                <w:color w:val="auto"/>
              </w:rPr>
            </w:pPr>
            <w:r>
              <w:rPr>
                <w:rFonts w:ascii="Arial" w:cs="Arial" w:eastAsia="Arial" w:hAnsi="Arial"/>
                <w:sz w:val="12"/>
                <w:szCs w:val="12"/>
                <w:color w:val="auto"/>
              </w:rPr>
              <w:t>27</w:t>
            </w:r>
          </w:p>
        </w:tc>
      </w:tr>
      <w:tr>
        <w:trPr>
          <w:trHeight w:val="63"/>
        </w:trPr>
        <w:tc>
          <w:tcPr>
            <w:tcW w:w="55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520" w:type="dxa"/>
            <w:vAlign w:val="bottom"/>
            <w:tcBorders>
              <w:bottom w:val="single" w:sz="8" w:color="auto"/>
            </w:tcBorders>
          </w:tcPr>
          <w:p>
            <w:pPr>
              <w:spacing w:after="0"/>
              <w:rPr>
                <w:sz w:val="5"/>
                <w:szCs w:val="5"/>
                <w:color w:val="auto"/>
              </w:rPr>
            </w:pPr>
          </w:p>
        </w:tc>
      </w:tr>
      <w:tr>
        <w:trPr>
          <w:trHeight w:val="178"/>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b w:val="1"/>
                <w:bCs w:val="1"/>
                <w:color w:val="auto"/>
              </w:rPr>
              <w:t>Art. 33 Principles of the Compensation of the Executive Committee</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tcPr>
          <w:p>
            <w:pPr>
              <w:ind w:left="40"/>
              <w:spacing w:after="0"/>
              <w:rPr>
                <w:sz w:val="20"/>
                <w:szCs w:val="20"/>
                <w:color w:val="auto"/>
              </w:rPr>
            </w:pPr>
            <w:r>
              <w:rPr>
                <w:rFonts w:ascii="Arial" w:cs="Arial" w:eastAsia="Arial" w:hAnsi="Arial"/>
                <w:sz w:val="12"/>
                <w:szCs w:val="12"/>
                <w:b w:val="1"/>
                <w:bCs w:val="1"/>
                <w:color w:val="auto"/>
              </w:rPr>
              <w:t>Art. 33  Principe de rémunération du comité exécutif</w:t>
            </w:r>
          </w:p>
        </w:tc>
      </w:tr>
      <w:tr>
        <w:trPr>
          <w:trHeight w:val="260"/>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The compensation payable to the members of the Executive Committee is subject to the approval by</w:t>
            </w:r>
          </w:p>
        </w:tc>
        <w:tc>
          <w:tcPr>
            <w:tcW w:w="240" w:type="dxa"/>
            <w:vAlign w:val="bottom"/>
            <w:tcBorders>
              <w:right w:val="single" w:sz="8" w:color="auto"/>
            </w:tcBorders>
          </w:tcPr>
          <w:p>
            <w:pPr>
              <w:spacing w:after="0"/>
              <w:rPr>
                <w:sz w:val="22"/>
                <w:szCs w:val="22"/>
                <w:color w:val="auto"/>
              </w:rPr>
            </w:pPr>
          </w:p>
        </w:tc>
        <w:tc>
          <w:tcPr>
            <w:tcW w:w="55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La rémunération des membres du comité exécutif est soumis à l'approbation l'assemblée générale et</w:t>
            </w:r>
          </w:p>
        </w:tc>
      </w:tr>
      <w:tr>
        <w:trPr>
          <w:trHeight w:val="145"/>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the General Meeting and comprises the following elements:</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comprend les éléments suivants</w:t>
            </w:r>
          </w:p>
        </w:tc>
      </w:tr>
      <w:tr>
        <w:trPr>
          <w:trHeight w:val="270"/>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a)  a fixed remuneration payable in cash;</w:t>
            </w:r>
          </w:p>
        </w:tc>
        <w:tc>
          <w:tcPr>
            <w:tcW w:w="240" w:type="dxa"/>
            <w:vAlign w:val="bottom"/>
            <w:tcBorders>
              <w:right w:val="single" w:sz="8" w:color="auto"/>
            </w:tcBorders>
          </w:tcPr>
          <w:p>
            <w:pPr>
              <w:spacing w:after="0"/>
              <w:rPr>
                <w:sz w:val="23"/>
                <w:szCs w:val="23"/>
                <w:color w:val="auto"/>
              </w:rPr>
            </w:pPr>
          </w:p>
        </w:tc>
        <w:tc>
          <w:tcPr>
            <w:tcW w:w="55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a)   une rémunération fixe payable en espèces;</w:t>
            </w:r>
          </w:p>
        </w:tc>
      </w:tr>
      <w:tr>
        <w:trPr>
          <w:trHeight w:val="270"/>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b)  a performance-related remuneration payable in cash (variable);</w:t>
            </w:r>
          </w:p>
        </w:tc>
        <w:tc>
          <w:tcPr>
            <w:tcW w:w="240" w:type="dxa"/>
            <w:vAlign w:val="bottom"/>
            <w:tcBorders>
              <w:right w:val="single" w:sz="8" w:color="auto"/>
            </w:tcBorders>
          </w:tcPr>
          <w:p>
            <w:pPr>
              <w:spacing w:after="0"/>
              <w:rPr>
                <w:sz w:val="23"/>
                <w:szCs w:val="23"/>
                <w:color w:val="auto"/>
              </w:rPr>
            </w:pPr>
          </w:p>
        </w:tc>
        <w:tc>
          <w:tcPr>
            <w:tcW w:w="55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b)   une rémunération liée à la performance payable en espèces (variable);</w:t>
            </w:r>
          </w:p>
        </w:tc>
      </w:tr>
      <w:tr>
        <w:trPr>
          <w:trHeight w:val="270"/>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c)  a number of options or shares in the Company, as further outlined in Art. 41.</w:t>
            </w:r>
          </w:p>
        </w:tc>
        <w:tc>
          <w:tcPr>
            <w:tcW w:w="240" w:type="dxa"/>
            <w:vAlign w:val="bottom"/>
            <w:tcBorders>
              <w:right w:val="single" w:sz="8" w:color="auto"/>
            </w:tcBorders>
          </w:tcPr>
          <w:p>
            <w:pPr>
              <w:spacing w:after="0"/>
              <w:rPr>
                <w:sz w:val="23"/>
                <w:szCs w:val="23"/>
                <w:color w:val="auto"/>
              </w:rPr>
            </w:pPr>
          </w:p>
        </w:tc>
        <w:tc>
          <w:tcPr>
            <w:tcW w:w="55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c)   un nombre d'actions ou d'options dans la société, comme détaillée à l'art. 41.</w:t>
            </w:r>
          </w:p>
        </w:tc>
      </w:tr>
      <w:tr>
        <w:trPr>
          <w:trHeight w:val="36"/>
        </w:trPr>
        <w:tc>
          <w:tcPr>
            <w:tcW w:w="5540" w:type="dxa"/>
            <w:vAlign w:val="bottom"/>
            <w:tcBorders>
              <w:left w:val="single" w:sz="8" w:color="auto"/>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520" w:type="dxa"/>
            <w:vAlign w:val="bottom"/>
            <w:tcBorders>
              <w:bottom w:val="single" w:sz="8" w:color="auto"/>
              <w:right w:val="single" w:sz="8" w:color="auto"/>
            </w:tcBorders>
          </w:tcPr>
          <w:p>
            <w:pPr>
              <w:spacing w:after="0"/>
              <w:rPr>
                <w:sz w:val="3"/>
                <w:szCs w:val="3"/>
                <w:color w:val="auto"/>
              </w:rPr>
            </w:pPr>
          </w:p>
        </w:tc>
      </w:tr>
      <w:tr>
        <w:trPr>
          <w:trHeight w:val="168"/>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The performance-related remuneration depends on the Company's business success and the</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La rémunération liée à la performance dépend de la réussite économique de la société et de la</w:t>
            </w:r>
          </w:p>
        </w:tc>
      </w:tr>
      <w:tr>
        <w:trPr>
          <w:trHeight w:val="135"/>
        </w:trPr>
        <w:tc>
          <w:tcPr>
            <w:tcW w:w="55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individual performance of the member of the Executive Committee based on the achievement of pre-</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performance individuelle du membre du comité exécutif sur la base de la réalisation des objectifs</w:t>
            </w:r>
          </w:p>
        </w:tc>
      </w:tr>
      <w:tr>
        <w:trPr>
          <w:trHeight w:val="135"/>
        </w:trPr>
        <w:tc>
          <w:tcPr>
            <w:tcW w:w="55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determined targets during a business year. The Board of Directors determines annually at the</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prédéterminés au cours d'une année d'activité. Le conseil d'administration détermine au début de</w:t>
            </w:r>
          </w:p>
        </w:tc>
      </w:tr>
      <w:tr>
        <w:trPr>
          <w:trHeight w:val="135"/>
        </w:trPr>
        <w:tc>
          <w:tcPr>
            <w:tcW w:w="55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beginning of each relevant business year the decisive targets and their weighting upon proposal by</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chaque exercice les objectifs décisifs et leur pondération sur proposition du comité de rémunération.</w:t>
            </w:r>
          </w:p>
        </w:tc>
      </w:tr>
      <w:tr>
        <w:trPr>
          <w:trHeight w:val="135"/>
        </w:trPr>
        <w:tc>
          <w:tcPr>
            <w:tcW w:w="55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the Compensation Committee. The amount of the performance-related remuneration for each member</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Le montant de la rémunération liée à la performance pour chaque membre du comité exécutif est</w:t>
            </w:r>
          </w:p>
        </w:tc>
      </w:tr>
      <w:tr>
        <w:trPr>
          <w:trHeight w:val="135"/>
        </w:trPr>
        <w:tc>
          <w:tcPr>
            <w:tcW w:w="55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of the Executive Committee is determined by the Board of Directors and may not exceed 100 percent</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déterminé par le conseil d'administration et ne peut dépasser 100 pour cent de la rémunération fixe</w:t>
            </w:r>
          </w:p>
        </w:tc>
      </w:tr>
      <w:tr>
        <w:trPr>
          <w:trHeight w:val="145"/>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of the respective individual fixed remuneration for the same year.</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individuelle respective pour la même année.</w:t>
            </w:r>
          </w:p>
        </w:tc>
      </w:tr>
      <w:tr>
        <w:trPr>
          <w:trHeight w:val="36"/>
        </w:trPr>
        <w:tc>
          <w:tcPr>
            <w:tcW w:w="5540" w:type="dxa"/>
            <w:vAlign w:val="bottom"/>
            <w:tcBorders>
              <w:left w:val="single" w:sz="8" w:color="auto"/>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520" w:type="dxa"/>
            <w:vAlign w:val="bottom"/>
            <w:tcBorders>
              <w:bottom w:val="single" w:sz="8" w:color="auto"/>
              <w:right w:val="single" w:sz="8" w:color="auto"/>
            </w:tcBorders>
          </w:tcPr>
          <w:p>
            <w:pPr>
              <w:spacing w:after="0"/>
              <w:rPr>
                <w:sz w:val="3"/>
                <w:szCs w:val="3"/>
                <w:color w:val="auto"/>
              </w:rPr>
            </w:pPr>
          </w:p>
        </w:tc>
      </w:tr>
      <w:tr>
        <w:trPr>
          <w:trHeight w:val="168"/>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The compensation may also be paid for activities in companies that are directly or indirectly controlled</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La rémunération peut également être versée pour activités dans des entreprises qui sont contrôlées</w:t>
            </w:r>
          </w:p>
        </w:tc>
      </w:tr>
      <w:tr>
        <w:trPr>
          <w:trHeight w:val="135"/>
        </w:trPr>
        <w:tc>
          <w:tcPr>
            <w:tcW w:w="55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by the Company and may be paid by the Company or by a company controlled by it.</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directement ou indirectement par la société et peut être versée par la société ou par une société</w:t>
            </w:r>
          </w:p>
        </w:tc>
      </w:tr>
      <w:tr>
        <w:trPr>
          <w:trHeight w:val="145"/>
        </w:trPr>
        <w:tc>
          <w:tcPr>
            <w:tcW w:w="5540" w:type="dxa"/>
            <w:vAlign w:val="bottom"/>
            <w:tcBorders>
              <w:left w:val="single" w:sz="8" w:color="auto"/>
              <w:right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contrôlée par elle.</w:t>
            </w:r>
          </w:p>
        </w:tc>
      </w:tr>
      <w:tr>
        <w:trPr>
          <w:trHeight w:val="36"/>
        </w:trPr>
        <w:tc>
          <w:tcPr>
            <w:tcW w:w="5540" w:type="dxa"/>
            <w:vAlign w:val="bottom"/>
            <w:tcBorders>
              <w:left w:val="single" w:sz="8" w:color="auto"/>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520" w:type="dxa"/>
            <w:vAlign w:val="bottom"/>
            <w:tcBorders>
              <w:bottom w:val="single" w:sz="8" w:color="auto"/>
              <w:right w:val="single" w:sz="8" w:color="auto"/>
            </w:tcBorders>
          </w:tcPr>
          <w:p>
            <w:pPr>
              <w:spacing w:after="0"/>
              <w:rPr>
                <w:sz w:val="3"/>
                <w:szCs w:val="3"/>
                <w:color w:val="auto"/>
              </w:rPr>
            </w:pPr>
          </w:p>
        </w:tc>
      </w:tr>
      <w:tr>
        <w:trPr>
          <w:trHeight w:val="493"/>
        </w:trPr>
        <w:tc>
          <w:tcPr>
            <w:tcW w:w="5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211" w:right="299" w:bottom="1440" w:gutter="0" w:footer="0" w:header="0"/>
        </w:sectPr>
      </w:pPr>
    </w:p>
    <w:bookmarkStart w:id="73" w:name="page74"/>
    <w:bookmarkEnd w:id="7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45"/>
        </w:trPr>
        <w:tc>
          <w:tcPr>
            <w:tcW w:w="5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780" w:type="dxa"/>
            <w:vAlign w:val="bottom"/>
          </w:tcPr>
          <w:p>
            <w:pPr>
              <w:jc w:val="right"/>
              <w:spacing w:after="0"/>
              <w:rPr>
                <w:sz w:val="20"/>
                <w:szCs w:val="20"/>
                <w:color w:val="auto"/>
              </w:rPr>
            </w:pPr>
            <w:r>
              <w:rPr>
                <w:rFonts w:ascii="Arial" w:cs="Arial" w:eastAsia="Arial" w:hAnsi="Arial"/>
                <w:sz w:val="12"/>
                <w:szCs w:val="12"/>
                <w:color w:val="auto"/>
              </w:rPr>
              <w:t>28</w:t>
            </w:r>
          </w:p>
        </w:tc>
      </w:tr>
      <w:tr>
        <w:trPr>
          <w:trHeight w:val="63"/>
        </w:trPr>
        <w:tc>
          <w:tcPr>
            <w:tcW w:w="5780" w:type="dxa"/>
            <w:vAlign w:val="bottom"/>
            <w:tcBorders>
              <w:bottom w:val="single" w:sz="8" w:color="auto"/>
            </w:tcBorders>
            <w:gridSpan w:val="2"/>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300" w:type="dxa"/>
            <w:vAlign w:val="bottom"/>
            <w:tcBorders>
              <w:bottom w:val="single" w:sz="8" w:color="auto"/>
            </w:tcBorders>
            <w:gridSpan w:val="2"/>
          </w:tcPr>
          <w:p>
            <w:pPr>
              <w:spacing w:after="0"/>
              <w:rPr>
                <w:sz w:val="5"/>
                <w:szCs w:val="5"/>
                <w:color w:val="auto"/>
              </w:rPr>
            </w:pPr>
          </w:p>
        </w:tc>
      </w:tr>
      <w:tr>
        <w:trPr>
          <w:trHeight w:val="178"/>
        </w:trPr>
        <w:tc>
          <w:tcPr>
            <w:tcW w:w="57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Art. 34   Compensation for new Members of the Executive Committee</w:t>
            </w:r>
          </w:p>
        </w:tc>
        <w:tc>
          <w:tcPr>
            <w:tcW w:w="220" w:type="dxa"/>
            <w:vAlign w:val="bottom"/>
            <w:tcBorders>
              <w:right w:val="single" w:sz="8" w:color="auto"/>
            </w:tcBorders>
          </w:tcPr>
          <w:p>
            <w:pPr>
              <w:spacing w:after="0"/>
              <w:rPr>
                <w:sz w:val="15"/>
                <w:szCs w:val="15"/>
                <w:color w:val="auto"/>
              </w:rPr>
            </w:pPr>
          </w:p>
        </w:tc>
        <w:tc>
          <w:tcPr>
            <w:tcW w:w="530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Art. 34   Rémunération pour les nouveaux membres du comité exécutif</w:t>
            </w:r>
          </w:p>
        </w:tc>
      </w:tr>
      <w:tr>
        <w:trPr>
          <w:trHeight w:val="260"/>
        </w:trPr>
        <w:tc>
          <w:tcPr>
            <w:tcW w:w="57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If new members of the Executive Committee are appointed and take up their position in the Company after</w:t>
            </w:r>
          </w:p>
        </w:tc>
        <w:tc>
          <w:tcPr>
            <w:tcW w:w="220" w:type="dxa"/>
            <w:vAlign w:val="bottom"/>
            <w:tcBorders>
              <w:right w:val="single" w:sz="8" w:color="auto"/>
            </w:tcBorders>
          </w:tcPr>
          <w:p>
            <w:pPr>
              <w:spacing w:after="0"/>
              <w:rPr>
                <w:sz w:val="22"/>
                <w:szCs w:val="22"/>
                <w:color w:val="auto"/>
              </w:rPr>
            </w:pPr>
          </w:p>
        </w:tc>
        <w:tc>
          <w:tcPr>
            <w:tcW w:w="530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Si de nouveaux membres du comité exécutif sont nommés et prennent leur position dans la</w:t>
            </w:r>
          </w:p>
        </w:tc>
      </w:tr>
      <w:tr>
        <w:trPr>
          <w:trHeight w:val="135"/>
        </w:trPr>
        <w:tc>
          <w:tcPr>
            <w:tcW w:w="578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the General Meeting has approved the maximum total compensation for members of the Executive</w:t>
            </w:r>
          </w:p>
        </w:tc>
        <w:tc>
          <w:tcPr>
            <w:tcW w:w="220" w:type="dxa"/>
            <w:vAlign w:val="bottom"/>
            <w:tcBorders>
              <w:right w:val="single" w:sz="8" w:color="auto"/>
            </w:tcBorders>
          </w:tcPr>
          <w:p>
            <w:pPr>
              <w:spacing w:after="0"/>
              <w:rPr>
                <w:sz w:val="11"/>
                <w:szCs w:val="11"/>
                <w:color w:val="auto"/>
              </w:rPr>
            </w:pPr>
          </w:p>
        </w:tc>
        <w:tc>
          <w:tcPr>
            <w:tcW w:w="530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société après que l'assemblée générale a approuvé la rémunération totale maximale pour les</w:t>
            </w:r>
          </w:p>
        </w:tc>
      </w:tr>
      <w:tr>
        <w:trPr>
          <w:trHeight w:val="135"/>
        </w:trPr>
        <w:tc>
          <w:tcPr>
            <w:tcW w:w="578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Committee for the year in question, the new members may be paid an additional amount for the period</w:t>
            </w:r>
          </w:p>
        </w:tc>
        <w:tc>
          <w:tcPr>
            <w:tcW w:w="220" w:type="dxa"/>
            <w:vAlign w:val="bottom"/>
            <w:tcBorders>
              <w:right w:val="single" w:sz="8" w:color="auto"/>
            </w:tcBorders>
          </w:tcPr>
          <w:p>
            <w:pPr>
              <w:spacing w:after="0"/>
              <w:rPr>
                <w:sz w:val="11"/>
                <w:szCs w:val="11"/>
                <w:color w:val="auto"/>
              </w:rPr>
            </w:pPr>
          </w:p>
        </w:tc>
        <w:tc>
          <w:tcPr>
            <w:tcW w:w="530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membres du comité exécutif pour l'année en question, les nouveaux membres peuvent être</w:t>
            </w:r>
          </w:p>
        </w:tc>
      </w:tr>
      <w:tr>
        <w:trPr>
          <w:trHeight w:val="135"/>
        </w:trPr>
        <w:tc>
          <w:tcPr>
            <w:tcW w:w="578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until the next Ordinary Meeting of Shareholder. The additional amount payable to all new members of the</w:t>
            </w:r>
          </w:p>
        </w:tc>
        <w:tc>
          <w:tcPr>
            <w:tcW w:w="220" w:type="dxa"/>
            <w:vAlign w:val="bottom"/>
            <w:tcBorders>
              <w:right w:val="single" w:sz="8" w:color="auto"/>
            </w:tcBorders>
          </w:tcPr>
          <w:p>
            <w:pPr>
              <w:spacing w:after="0"/>
              <w:rPr>
                <w:sz w:val="11"/>
                <w:szCs w:val="11"/>
                <w:color w:val="auto"/>
              </w:rPr>
            </w:pPr>
          </w:p>
        </w:tc>
        <w:tc>
          <w:tcPr>
            <w:tcW w:w="530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payés au moyen d'un montant additionnel pour la période allant jusqu'à la prochaine assemblée</w:t>
            </w:r>
          </w:p>
        </w:tc>
      </w:tr>
      <w:tr>
        <w:trPr>
          <w:trHeight w:val="135"/>
        </w:trPr>
        <w:tc>
          <w:tcPr>
            <w:tcW w:w="578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Executive Committee may not exceed 50 percent of the respective total compensation already approved</w:t>
            </w:r>
          </w:p>
        </w:tc>
        <w:tc>
          <w:tcPr>
            <w:tcW w:w="220" w:type="dxa"/>
            <w:vAlign w:val="bottom"/>
            <w:tcBorders>
              <w:right w:val="single" w:sz="8" w:color="auto"/>
            </w:tcBorders>
          </w:tcPr>
          <w:p>
            <w:pPr>
              <w:spacing w:after="0"/>
              <w:rPr>
                <w:sz w:val="11"/>
                <w:szCs w:val="11"/>
                <w:color w:val="auto"/>
              </w:rPr>
            </w:pPr>
          </w:p>
        </w:tc>
        <w:tc>
          <w:tcPr>
            <w:tcW w:w="530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ordinaire des actionnaires. Le montant additionnel payable à tous les nouveaux membres du</w:t>
            </w:r>
          </w:p>
        </w:tc>
      </w:tr>
      <w:tr>
        <w:trPr>
          <w:trHeight w:val="135"/>
        </w:trPr>
        <w:tc>
          <w:tcPr>
            <w:tcW w:w="578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by the General Meeting. The additional compensation may only be paid if the total compensation amount</w:t>
            </w:r>
          </w:p>
        </w:tc>
        <w:tc>
          <w:tcPr>
            <w:tcW w:w="220" w:type="dxa"/>
            <w:vAlign w:val="bottom"/>
            <w:tcBorders>
              <w:right w:val="single" w:sz="8" w:color="auto"/>
            </w:tcBorders>
          </w:tcPr>
          <w:p>
            <w:pPr>
              <w:spacing w:after="0"/>
              <w:rPr>
                <w:sz w:val="11"/>
                <w:szCs w:val="11"/>
                <w:color w:val="auto"/>
              </w:rPr>
            </w:pPr>
          </w:p>
        </w:tc>
        <w:tc>
          <w:tcPr>
            <w:tcW w:w="530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comité exécutif ne peut pas dépasser 50 pour cent de la rémunération totale respective déjà</w:t>
            </w:r>
          </w:p>
        </w:tc>
      </w:tr>
      <w:tr>
        <w:trPr>
          <w:trHeight w:val="135"/>
        </w:trPr>
        <w:tc>
          <w:tcPr>
            <w:tcW w:w="578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that has been approved by the General Meeting for the compensation of the members of the Executive</w:t>
            </w:r>
          </w:p>
        </w:tc>
        <w:tc>
          <w:tcPr>
            <w:tcW w:w="220" w:type="dxa"/>
            <w:vAlign w:val="bottom"/>
            <w:tcBorders>
              <w:right w:val="single" w:sz="8" w:color="auto"/>
            </w:tcBorders>
          </w:tcPr>
          <w:p>
            <w:pPr>
              <w:spacing w:after="0"/>
              <w:rPr>
                <w:sz w:val="11"/>
                <w:szCs w:val="11"/>
                <w:color w:val="auto"/>
              </w:rPr>
            </w:pPr>
          </w:p>
        </w:tc>
        <w:tc>
          <w:tcPr>
            <w:tcW w:w="530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approuvé par l'assemblée générale. La rémunération additionnelle ne peut être versée que si le</w:t>
            </w:r>
          </w:p>
        </w:tc>
      </w:tr>
      <w:tr>
        <w:trPr>
          <w:trHeight w:val="135"/>
        </w:trPr>
        <w:tc>
          <w:tcPr>
            <w:tcW w:w="578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Committee is insufficient to compensate the newly appointed members. The General Meeting is not</w:t>
            </w:r>
          </w:p>
        </w:tc>
        <w:tc>
          <w:tcPr>
            <w:tcW w:w="220" w:type="dxa"/>
            <w:vAlign w:val="bottom"/>
            <w:tcBorders>
              <w:right w:val="single" w:sz="8" w:color="auto"/>
            </w:tcBorders>
          </w:tcPr>
          <w:p>
            <w:pPr>
              <w:spacing w:after="0"/>
              <w:rPr>
                <w:sz w:val="11"/>
                <w:szCs w:val="11"/>
                <w:color w:val="auto"/>
              </w:rPr>
            </w:pPr>
          </w:p>
        </w:tc>
        <w:tc>
          <w:tcPr>
            <w:tcW w:w="530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montant  total  de  la  rémunération  qui  a  été  approuvé  par  l'assemblée  générale  pour  la</w:t>
            </w:r>
          </w:p>
        </w:tc>
      </w:tr>
      <w:tr>
        <w:trPr>
          <w:trHeight w:val="135"/>
        </w:trPr>
        <w:tc>
          <w:tcPr>
            <w:tcW w:w="578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required to vote on this additional amount.</w:t>
            </w:r>
          </w:p>
        </w:tc>
        <w:tc>
          <w:tcPr>
            <w:tcW w:w="220" w:type="dxa"/>
            <w:vAlign w:val="bottom"/>
            <w:tcBorders>
              <w:right w:val="single" w:sz="8" w:color="auto"/>
            </w:tcBorders>
          </w:tcPr>
          <w:p>
            <w:pPr>
              <w:spacing w:after="0"/>
              <w:rPr>
                <w:sz w:val="11"/>
                <w:szCs w:val="11"/>
                <w:color w:val="auto"/>
              </w:rPr>
            </w:pPr>
          </w:p>
        </w:tc>
        <w:tc>
          <w:tcPr>
            <w:tcW w:w="530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rémunération des membres du comité exécutif est insuffisant pour rémunérer les membres</w:t>
            </w:r>
          </w:p>
        </w:tc>
      </w:tr>
      <w:tr>
        <w:trPr>
          <w:trHeight w:val="135"/>
        </w:trPr>
        <w:tc>
          <w:tcPr>
            <w:tcW w:w="520" w:type="dxa"/>
            <w:vAlign w:val="bottom"/>
            <w:tcBorders>
              <w:left w:val="single" w:sz="8" w:color="auto"/>
            </w:tcBorders>
          </w:tcPr>
          <w:p>
            <w:pPr>
              <w:spacing w:after="0"/>
              <w:rPr>
                <w:sz w:val="11"/>
                <w:szCs w:val="11"/>
                <w:color w:val="auto"/>
              </w:rPr>
            </w:pPr>
          </w:p>
        </w:tc>
        <w:tc>
          <w:tcPr>
            <w:tcW w:w="5260" w:type="dxa"/>
            <w:vAlign w:val="bottom"/>
            <w:tcBorders>
              <w:right w:val="single" w:sz="8" w:color="auto"/>
            </w:tcBorders>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530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nouvellement  nommés.  L'assemblée  générale  n'a  pas  à  se  prononcer  sur  ce  montant</w:t>
            </w:r>
          </w:p>
        </w:tc>
      </w:tr>
      <w:tr>
        <w:trPr>
          <w:trHeight w:val="145"/>
        </w:trPr>
        <w:tc>
          <w:tcPr>
            <w:tcW w:w="520" w:type="dxa"/>
            <w:vAlign w:val="bottom"/>
            <w:tcBorders>
              <w:left w:val="single" w:sz="8" w:color="auto"/>
            </w:tcBorders>
          </w:tcPr>
          <w:p>
            <w:pPr>
              <w:spacing w:after="0"/>
              <w:rPr>
                <w:sz w:val="12"/>
                <w:szCs w:val="12"/>
                <w:color w:val="auto"/>
              </w:rPr>
            </w:pPr>
          </w:p>
        </w:tc>
        <w:tc>
          <w:tcPr>
            <w:tcW w:w="526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30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supplémentaire.</w:t>
            </w:r>
          </w:p>
        </w:tc>
      </w:tr>
      <w:tr>
        <w:trPr>
          <w:trHeight w:val="36"/>
        </w:trPr>
        <w:tc>
          <w:tcPr>
            <w:tcW w:w="5780" w:type="dxa"/>
            <w:vAlign w:val="bottom"/>
            <w:tcBorders>
              <w:left w:val="single" w:sz="8" w:color="auto"/>
              <w:bottom w:val="single" w:sz="8" w:color="auto"/>
              <w:right w:val="single" w:sz="8" w:color="auto"/>
            </w:tcBorders>
            <w:gridSpan w:val="2"/>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5300" w:type="dxa"/>
            <w:vAlign w:val="bottom"/>
            <w:tcBorders>
              <w:bottom w:val="single" w:sz="8" w:color="auto"/>
              <w:right w:val="single" w:sz="8" w:color="auto"/>
            </w:tcBorders>
            <w:gridSpan w:val="2"/>
          </w:tcPr>
          <w:p>
            <w:pPr>
              <w:spacing w:after="0"/>
              <w:rPr>
                <w:sz w:val="3"/>
                <w:szCs w:val="3"/>
                <w:color w:val="auto"/>
              </w:rPr>
            </w:pPr>
          </w:p>
        </w:tc>
      </w:tr>
      <w:tr>
        <w:trPr>
          <w:trHeight w:val="168"/>
        </w:trPr>
        <w:tc>
          <w:tcPr>
            <w:tcW w:w="57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This additional overall compensation is understood to include any settlements for any disadvantage</w:t>
            </w:r>
          </w:p>
        </w:tc>
        <w:tc>
          <w:tcPr>
            <w:tcW w:w="220" w:type="dxa"/>
            <w:vAlign w:val="bottom"/>
            <w:tcBorders>
              <w:right w:val="single" w:sz="8" w:color="auto"/>
            </w:tcBorders>
          </w:tcPr>
          <w:p>
            <w:pPr>
              <w:spacing w:after="0"/>
              <w:rPr>
                <w:sz w:val="14"/>
                <w:szCs w:val="14"/>
                <w:color w:val="auto"/>
              </w:rPr>
            </w:pPr>
          </w:p>
        </w:tc>
        <w:tc>
          <w:tcPr>
            <w:tcW w:w="530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Cette rémunération additionnelle globale est sensée comprendre tous les règlements pour tout</w:t>
            </w:r>
          </w:p>
        </w:tc>
      </w:tr>
      <w:tr>
        <w:trPr>
          <w:trHeight w:val="145"/>
        </w:trPr>
        <w:tc>
          <w:tcPr>
            <w:tcW w:w="57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suffered as a result of the change of job.</w:t>
            </w:r>
          </w:p>
        </w:tc>
        <w:tc>
          <w:tcPr>
            <w:tcW w:w="220" w:type="dxa"/>
            <w:vAlign w:val="bottom"/>
            <w:tcBorders>
              <w:right w:val="single" w:sz="8" w:color="auto"/>
            </w:tcBorders>
          </w:tcPr>
          <w:p>
            <w:pPr>
              <w:spacing w:after="0"/>
              <w:rPr>
                <w:sz w:val="12"/>
                <w:szCs w:val="12"/>
                <w:color w:val="auto"/>
              </w:rPr>
            </w:pPr>
          </w:p>
        </w:tc>
        <w:tc>
          <w:tcPr>
            <w:tcW w:w="530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inconvénient subi à la suite du changement de travail.</w:t>
            </w:r>
          </w:p>
        </w:tc>
      </w:tr>
      <w:tr>
        <w:trPr>
          <w:trHeight w:val="36"/>
        </w:trPr>
        <w:tc>
          <w:tcPr>
            <w:tcW w:w="520" w:type="dxa"/>
            <w:vAlign w:val="bottom"/>
            <w:tcBorders>
              <w:left w:val="single" w:sz="8" w:color="auto"/>
              <w:bottom w:val="single" w:sz="8" w:color="auto"/>
            </w:tcBorders>
          </w:tcPr>
          <w:p>
            <w:pPr>
              <w:spacing w:after="0"/>
              <w:rPr>
                <w:sz w:val="3"/>
                <w:szCs w:val="3"/>
                <w:color w:val="auto"/>
              </w:rPr>
            </w:pPr>
          </w:p>
        </w:tc>
        <w:tc>
          <w:tcPr>
            <w:tcW w:w="526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780" w:type="dxa"/>
            <w:vAlign w:val="bottom"/>
            <w:tcBorders>
              <w:bottom w:val="single" w:sz="8" w:color="auto"/>
              <w:right w:val="single" w:sz="8" w:color="auto"/>
            </w:tcBorders>
          </w:tcPr>
          <w:p>
            <w:pPr>
              <w:spacing w:after="0"/>
              <w:rPr>
                <w:sz w:val="3"/>
                <w:szCs w:val="3"/>
                <w:color w:val="auto"/>
              </w:rPr>
            </w:pPr>
          </w:p>
        </w:tc>
      </w:tr>
      <w:tr>
        <w:trPr>
          <w:trHeight w:val="178"/>
        </w:trPr>
        <w:tc>
          <w:tcPr>
            <w:tcW w:w="520" w:type="dxa"/>
            <w:vAlign w:val="bottom"/>
            <w:tcBorders>
              <w:left w:val="single" w:sz="8" w:color="auto"/>
            </w:tcBorders>
          </w:tcPr>
          <w:p>
            <w:pPr>
              <w:ind w:left="40"/>
              <w:spacing w:after="0"/>
              <w:rPr>
                <w:sz w:val="20"/>
                <w:szCs w:val="20"/>
                <w:color w:val="auto"/>
              </w:rPr>
            </w:pPr>
            <w:r>
              <w:rPr>
                <w:rFonts w:ascii="Arial" w:cs="Arial" w:eastAsia="Arial" w:hAnsi="Arial"/>
                <w:sz w:val="12"/>
                <w:szCs w:val="12"/>
                <w:b w:val="1"/>
                <w:bCs w:val="1"/>
                <w:color w:val="auto"/>
              </w:rPr>
              <w:t>Art. 35</w:t>
            </w:r>
          </w:p>
        </w:tc>
        <w:tc>
          <w:tcPr>
            <w:tcW w:w="5260" w:type="dxa"/>
            <w:vAlign w:val="bottom"/>
            <w:tcBorders>
              <w:right w:val="single" w:sz="8" w:color="auto"/>
            </w:tcBorders>
          </w:tcPr>
          <w:p>
            <w:pPr>
              <w:ind w:left="100"/>
              <w:spacing w:after="0"/>
              <w:rPr>
                <w:sz w:val="20"/>
                <w:szCs w:val="20"/>
                <w:color w:val="auto"/>
              </w:rPr>
            </w:pPr>
            <w:r>
              <w:rPr>
                <w:rFonts w:ascii="Arial" w:cs="Arial" w:eastAsia="Arial" w:hAnsi="Arial"/>
                <w:sz w:val="12"/>
                <w:szCs w:val="12"/>
                <w:b w:val="1"/>
                <w:bCs w:val="1"/>
                <w:color w:val="auto"/>
              </w:rPr>
              <w:t>Expenses</w:t>
            </w:r>
          </w:p>
        </w:tc>
        <w:tc>
          <w:tcPr>
            <w:tcW w:w="220" w:type="dxa"/>
            <w:vAlign w:val="bottom"/>
            <w:tcBorders>
              <w:right w:val="single" w:sz="8" w:color="auto"/>
            </w:tcBorders>
          </w:tcPr>
          <w:p>
            <w:pPr>
              <w:spacing w:after="0"/>
              <w:rPr>
                <w:sz w:val="15"/>
                <w:szCs w:val="15"/>
                <w:color w:val="auto"/>
              </w:rPr>
            </w:pPr>
          </w:p>
        </w:tc>
        <w:tc>
          <w:tcPr>
            <w:tcW w:w="520" w:type="dxa"/>
            <w:vAlign w:val="bottom"/>
          </w:tcPr>
          <w:p>
            <w:pPr>
              <w:ind w:left="40"/>
              <w:spacing w:after="0"/>
              <w:rPr>
                <w:sz w:val="20"/>
                <w:szCs w:val="20"/>
                <w:color w:val="auto"/>
              </w:rPr>
            </w:pPr>
            <w:r>
              <w:rPr>
                <w:rFonts w:ascii="Arial" w:cs="Arial" w:eastAsia="Arial" w:hAnsi="Arial"/>
                <w:sz w:val="12"/>
                <w:szCs w:val="12"/>
                <w:b w:val="1"/>
                <w:bCs w:val="1"/>
                <w:color w:val="auto"/>
              </w:rPr>
              <w:t>Art. 35</w:t>
            </w:r>
          </w:p>
        </w:tc>
        <w:tc>
          <w:tcPr>
            <w:tcW w:w="4780" w:type="dxa"/>
            <w:vAlign w:val="bottom"/>
            <w:tcBorders>
              <w:right w:val="single" w:sz="8" w:color="auto"/>
            </w:tcBorders>
          </w:tcPr>
          <w:p>
            <w:pPr>
              <w:jc w:val="right"/>
              <w:ind w:right="4060"/>
              <w:spacing w:after="0"/>
              <w:rPr>
                <w:sz w:val="20"/>
                <w:szCs w:val="20"/>
                <w:color w:val="auto"/>
              </w:rPr>
            </w:pPr>
            <w:r>
              <w:rPr>
                <w:rFonts w:ascii="Arial" w:cs="Arial" w:eastAsia="Arial" w:hAnsi="Arial"/>
                <w:sz w:val="12"/>
                <w:szCs w:val="12"/>
                <w:b w:val="1"/>
                <w:bCs w:val="1"/>
                <w:color w:val="auto"/>
              </w:rPr>
              <w:t>Dépenses</w:t>
            </w:r>
          </w:p>
        </w:tc>
      </w:tr>
      <w:tr>
        <w:trPr>
          <w:trHeight w:val="260"/>
        </w:trPr>
        <w:tc>
          <w:tcPr>
            <w:tcW w:w="57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Expenses which are not covered by the lump sum compensation pursuant to the Company's expense</w:t>
            </w:r>
          </w:p>
        </w:tc>
        <w:tc>
          <w:tcPr>
            <w:tcW w:w="220" w:type="dxa"/>
            <w:vAlign w:val="bottom"/>
            <w:tcBorders>
              <w:right w:val="single" w:sz="8" w:color="auto"/>
            </w:tcBorders>
          </w:tcPr>
          <w:p>
            <w:pPr>
              <w:spacing w:after="0"/>
              <w:rPr>
                <w:sz w:val="22"/>
                <w:szCs w:val="22"/>
                <w:color w:val="auto"/>
              </w:rPr>
            </w:pPr>
          </w:p>
        </w:tc>
        <w:tc>
          <w:tcPr>
            <w:tcW w:w="530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Les dépenses qui ne sont pas couvertes par l'indemnité forfaitaire conformément aux règlements</w:t>
            </w:r>
          </w:p>
        </w:tc>
      </w:tr>
      <w:tr>
        <w:trPr>
          <w:trHeight w:val="135"/>
        </w:trPr>
        <w:tc>
          <w:tcPr>
            <w:tcW w:w="578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regulations  shall  be  reimbursed  following  presentation  of  the  supporting  receipts.  This  additional</w:t>
            </w:r>
          </w:p>
        </w:tc>
        <w:tc>
          <w:tcPr>
            <w:tcW w:w="220" w:type="dxa"/>
            <w:vAlign w:val="bottom"/>
            <w:tcBorders>
              <w:right w:val="single" w:sz="8" w:color="auto"/>
            </w:tcBorders>
          </w:tcPr>
          <w:p>
            <w:pPr>
              <w:spacing w:after="0"/>
              <w:rPr>
                <w:sz w:val="11"/>
                <w:szCs w:val="11"/>
                <w:color w:val="auto"/>
              </w:rPr>
            </w:pPr>
          </w:p>
        </w:tc>
        <w:tc>
          <w:tcPr>
            <w:tcW w:w="530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de frais de la société sont remboursées à la suite de la présentation des reçus correspondants.</w:t>
            </w:r>
          </w:p>
        </w:tc>
      </w:tr>
      <w:tr>
        <w:trPr>
          <w:trHeight w:val="145"/>
        </w:trPr>
        <w:tc>
          <w:tcPr>
            <w:tcW w:w="57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remuneration is not subject to a separate vote by the General Meeting.</w:t>
            </w:r>
          </w:p>
        </w:tc>
        <w:tc>
          <w:tcPr>
            <w:tcW w:w="220" w:type="dxa"/>
            <w:vAlign w:val="bottom"/>
            <w:tcBorders>
              <w:right w:val="single" w:sz="8" w:color="auto"/>
            </w:tcBorders>
          </w:tcPr>
          <w:p>
            <w:pPr>
              <w:spacing w:after="0"/>
              <w:rPr>
                <w:sz w:val="12"/>
                <w:szCs w:val="12"/>
                <w:color w:val="auto"/>
              </w:rPr>
            </w:pPr>
          </w:p>
        </w:tc>
        <w:tc>
          <w:tcPr>
            <w:tcW w:w="530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Cette rémunération additionnelle n'est pas soumise à un vote séparé par l'assemblée générale.</w:t>
            </w:r>
          </w:p>
        </w:tc>
      </w:tr>
      <w:tr>
        <w:trPr>
          <w:trHeight w:val="36"/>
        </w:trPr>
        <w:tc>
          <w:tcPr>
            <w:tcW w:w="520" w:type="dxa"/>
            <w:vAlign w:val="bottom"/>
            <w:tcBorders>
              <w:left w:val="single" w:sz="8" w:color="auto"/>
              <w:bottom w:val="single" w:sz="8" w:color="auto"/>
            </w:tcBorders>
          </w:tcPr>
          <w:p>
            <w:pPr>
              <w:spacing w:after="0"/>
              <w:rPr>
                <w:sz w:val="3"/>
                <w:szCs w:val="3"/>
                <w:color w:val="auto"/>
              </w:rPr>
            </w:pPr>
          </w:p>
        </w:tc>
        <w:tc>
          <w:tcPr>
            <w:tcW w:w="526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780" w:type="dxa"/>
            <w:vAlign w:val="bottom"/>
            <w:tcBorders>
              <w:bottom w:val="single" w:sz="8" w:color="auto"/>
              <w:right w:val="single" w:sz="8" w:color="auto"/>
            </w:tcBorders>
          </w:tcPr>
          <w:p>
            <w:pPr>
              <w:spacing w:after="0"/>
              <w:rPr>
                <w:sz w:val="3"/>
                <w:szCs w:val="3"/>
                <w:color w:val="auto"/>
              </w:rPr>
            </w:pPr>
          </w:p>
        </w:tc>
      </w:tr>
      <w:tr>
        <w:trPr>
          <w:trHeight w:val="178"/>
        </w:trPr>
        <w:tc>
          <w:tcPr>
            <w:tcW w:w="520" w:type="dxa"/>
            <w:vAlign w:val="bottom"/>
            <w:tcBorders>
              <w:left w:val="single" w:sz="8" w:color="auto"/>
            </w:tcBorders>
          </w:tcPr>
          <w:p>
            <w:pPr>
              <w:ind w:left="40"/>
              <w:spacing w:after="0"/>
              <w:rPr>
                <w:sz w:val="20"/>
                <w:szCs w:val="20"/>
                <w:color w:val="auto"/>
              </w:rPr>
            </w:pPr>
            <w:r>
              <w:rPr>
                <w:rFonts w:ascii="Arial" w:cs="Arial" w:eastAsia="Arial" w:hAnsi="Arial"/>
                <w:sz w:val="12"/>
                <w:szCs w:val="12"/>
                <w:b w:val="1"/>
                <w:bCs w:val="1"/>
                <w:color w:val="auto"/>
              </w:rPr>
              <w:t>Art. 36</w:t>
            </w:r>
          </w:p>
        </w:tc>
        <w:tc>
          <w:tcPr>
            <w:tcW w:w="5260" w:type="dxa"/>
            <w:vAlign w:val="bottom"/>
            <w:tcBorders>
              <w:right w:val="single" w:sz="8" w:color="auto"/>
            </w:tcBorders>
          </w:tcPr>
          <w:p>
            <w:pPr>
              <w:ind w:left="100"/>
              <w:spacing w:after="0"/>
              <w:rPr>
                <w:sz w:val="20"/>
                <w:szCs w:val="20"/>
                <w:color w:val="auto"/>
              </w:rPr>
            </w:pPr>
            <w:r>
              <w:rPr>
                <w:rFonts w:ascii="Arial" w:cs="Arial" w:eastAsia="Arial" w:hAnsi="Arial"/>
                <w:sz w:val="12"/>
                <w:szCs w:val="12"/>
                <w:b w:val="1"/>
                <w:bCs w:val="1"/>
                <w:color w:val="auto"/>
              </w:rPr>
              <w:t>Compensation Agreements</w:t>
            </w:r>
          </w:p>
        </w:tc>
        <w:tc>
          <w:tcPr>
            <w:tcW w:w="220" w:type="dxa"/>
            <w:vAlign w:val="bottom"/>
            <w:tcBorders>
              <w:right w:val="single" w:sz="8" w:color="auto"/>
            </w:tcBorders>
          </w:tcPr>
          <w:p>
            <w:pPr>
              <w:spacing w:after="0"/>
              <w:rPr>
                <w:sz w:val="15"/>
                <w:szCs w:val="15"/>
                <w:color w:val="auto"/>
              </w:rPr>
            </w:pPr>
          </w:p>
        </w:tc>
        <w:tc>
          <w:tcPr>
            <w:tcW w:w="520" w:type="dxa"/>
            <w:vAlign w:val="bottom"/>
          </w:tcPr>
          <w:p>
            <w:pPr>
              <w:ind w:left="40"/>
              <w:spacing w:after="0"/>
              <w:rPr>
                <w:sz w:val="20"/>
                <w:szCs w:val="20"/>
                <w:color w:val="auto"/>
              </w:rPr>
            </w:pPr>
            <w:r>
              <w:rPr>
                <w:rFonts w:ascii="Arial" w:cs="Arial" w:eastAsia="Arial" w:hAnsi="Arial"/>
                <w:sz w:val="12"/>
                <w:szCs w:val="12"/>
                <w:b w:val="1"/>
                <w:bCs w:val="1"/>
                <w:color w:val="auto"/>
              </w:rPr>
              <w:t>Art. 36</w:t>
            </w:r>
          </w:p>
        </w:tc>
        <w:tc>
          <w:tcPr>
            <w:tcW w:w="4780" w:type="dxa"/>
            <w:vAlign w:val="bottom"/>
            <w:tcBorders>
              <w:right w:val="single" w:sz="8" w:color="auto"/>
            </w:tcBorders>
          </w:tcPr>
          <w:p>
            <w:pPr>
              <w:jc w:val="right"/>
              <w:ind w:right="2960"/>
              <w:spacing w:after="0"/>
              <w:rPr>
                <w:sz w:val="20"/>
                <w:szCs w:val="20"/>
                <w:color w:val="auto"/>
              </w:rPr>
            </w:pPr>
            <w:r>
              <w:rPr>
                <w:rFonts w:ascii="Arial" w:cs="Arial" w:eastAsia="Arial" w:hAnsi="Arial"/>
                <w:sz w:val="12"/>
                <w:szCs w:val="12"/>
                <w:b w:val="1"/>
                <w:bCs w:val="1"/>
                <w:color w:val="auto"/>
              </w:rPr>
              <w:t>Accords sur la rémunération</w:t>
            </w:r>
          </w:p>
        </w:tc>
      </w:tr>
      <w:tr>
        <w:trPr>
          <w:trHeight w:val="260"/>
        </w:trPr>
        <w:tc>
          <w:tcPr>
            <w:tcW w:w="57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Agreements on compensation with members of the Board of Directors may not exceed the term of</w:t>
            </w:r>
          </w:p>
        </w:tc>
        <w:tc>
          <w:tcPr>
            <w:tcW w:w="220" w:type="dxa"/>
            <w:vAlign w:val="bottom"/>
            <w:tcBorders>
              <w:right w:val="single" w:sz="8" w:color="auto"/>
            </w:tcBorders>
          </w:tcPr>
          <w:p>
            <w:pPr>
              <w:spacing w:after="0"/>
              <w:rPr>
                <w:sz w:val="22"/>
                <w:szCs w:val="22"/>
                <w:color w:val="auto"/>
              </w:rPr>
            </w:pPr>
          </w:p>
        </w:tc>
        <w:tc>
          <w:tcPr>
            <w:tcW w:w="530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Les accords sur la rémunération des membres du conseil d'administration ne peuvent pas</w:t>
            </w:r>
          </w:p>
        </w:tc>
      </w:tr>
      <w:tr>
        <w:trPr>
          <w:trHeight w:val="145"/>
        </w:trPr>
        <w:tc>
          <w:tcPr>
            <w:tcW w:w="57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maximal one year.</w:t>
            </w:r>
          </w:p>
        </w:tc>
        <w:tc>
          <w:tcPr>
            <w:tcW w:w="220" w:type="dxa"/>
            <w:vAlign w:val="bottom"/>
            <w:tcBorders>
              <w:right w:val="single" w:sz="8" w:color="auto"/>
            </w:tcBorders>
          </w:tcPr>
          <w:p>
            <w:pPr>
              <w:spacing w:after="0"/>
              <w:rPr>
                <w:sz w:val="12"/>
                <w:szCs w:val="12"/>
                <w:color w:val="auto"/>
              </w:rPr>
            </w:pPr>
          </w:p>
        </w:tc>
        <w:tc>
          <w:tcPr>
            <w:tcW w:w="530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excéder la durée maximale d'une année.</w:t>
            </w:r>
          </w:p>
        </w:tc>
      </w:tr>
      <w:tr>
        <w:trPr>
          <w:trHeight w:val="36"/>
        </w:trPr>
        <w:tc>
          <w:tcPr>
            <w:tcW w:w="5780" w:type="dxa"/>
            <w:vAlign w:val="bottom"/>
            <w:tcBorders>
              <w:left w:val="single" w:sz="8" w:color="auto"/>
              <w:bottom w:val="single" w:sz="8" w:color="auto"/>
              <w:right w:val="single" w:sz="8" w:color="auto"/>
            </w:tcBorders>
            <w:gridSpan w:val="2"/>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5300" w:type="dxa"/>
            <w:vAlign w:val="bottom"/>
            <w:tcBorders>
              <w:bottom w:val="single" w:sz="8" w:color="auto"/>
              <w:right w:val="single" w:sz="8" w:color="auto"/>
            </w:tcBorders>
            <w:gridSpan w:val="2"/>
          </w:tcPr>
          <w:p>
            <w:pPr>
              <w:spacing w:after="0"/>
              <w:rPr>
                <w:sz w:val="3"/>
                <w:szCs w:val="3"/>
                <w:color w:val="auto"/>
              </w:rPr>
            </w:pPr>
          </w:p>
        </w:tc>
      </w:tr>
      <w:tr>
        <w:trPr>
          <w:trHeight w:val="168"/>
        </w:trPr>
        <w:tc>
          <w:tcPr>
            <w:tcW w:w="57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Employment agreements of the members of the Executive Committee are principally concluded for an</w:t>
            </w:r>
          </w:p>
        </w:tc>
        <w:tc>
          <w:tcPr>
            <w:tcW w:w="220" w:type="dxa"/>
            <w:vAlign w:val="bottom"/>
            <w:tcBorders>
              <w:right w:val="single" w:sz="8" w:color="auto"/>
            </w:tcBorders>
          </w:tcPr>
          <w:p>
            <w:pPr>
              <w:spacing w:after="0"/>
              <w:rPr>
                <w:sz w:val="14"/>
                <w:szCs w:val="14"/>
                <w:color w:val="auto"/>
              </w:rPr>
            </w:pPr>
          </w:p>
        </w:tc>
        <w:tc>
          <w:tcPr>
            <w:tcW w:w="530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Les contrats de travail des membres du comité exécutif sont principalement conclus pour une</w:t>
            </w:r>
          </w:p>
        </w:tc>
      </w:tr>
      <w:tr>
        <w:trPr>
          <w:trHeight w:val="135"/>
        </w:trPr>
        <w:tc>
          <w:tcPr>
            <w:tcW w:w="578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indefinite period of time whereas a notice period may not exceed 12 months. If an employment agreement</w:t>
            </w:r>
          </w:p>
        </w:tc>
        <w:tc>
          <w:tcPr>
            <w:tcW w:w="220" w:type="dxa"/>
            <w:vAlign w:val="bottom"/>
            <w:tcBorders>
              <w:right w:val="single" w:sz="8" w:color="auto"/>
            </w:tcBorders>
          </w:tcPr>
          <w:p>
            <w:pPr>
              <w:spacing w:after="0"/>
              <w:rPr>
                <w:sz w:val="11"/>
                <w:szCs w:val="11"/>
                <w:color w:val="auto"/>
              </w:rPr>
            </w:pPr>
          </w:p>
        </w:tc>
        <w:tc>
          <w:tcPr>
            <w:tcW w:w="530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durée indéterminée. Un délai de préavis ne peut pas excéder 12 mois. Si un accord de travail est</w:t>
            </w:r>
          </w:p>
        </w:tc>
      </w:tr>
      <w:tr>
        <w:trPr>
          <w:trHeight w:val="145"/>
        </w:trPr>
        <w:tc>
          <w:tcPr>
            <w:tcW w:w="57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is concluded for a fixed term such term may not exceed one year.</w:t>
            </w:r>
          </w:p>
        </w:tc>
        <w:tc>
          <w:tcPr>
            <w:tcW w:w="220" w:type="dxa"/>
            <w:vAlign w:val="bottom"/>
            <w:tcBorders>
              <w:right w:val="single" w:sz="8" w:color="auto"/>
            </w:tcBorders>
          </w:tcPr>
          <w:p>
            <w:pPr>
              <w:spacing w:after="0"/>
              <w:rPr>
                <w:sz w:val="12"/>
                <w:szCs w:val="12"/>
                <w:color w:val="auto"/>
              </w:rPr>
            </w:pPr>
          </w:p>
        </w:tc>
        <w:tc>
          <w:tcPr>
            <w:tcW w:w="530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conclu pour une durée déterminée, telle durée ne peut pas excéder un an.</w:t>
            </w:r>
          </w:p>
        </w:tc>
      </w:tr>
      <w:tr>
        <w:trPr>
          <w:trHeight w:val="36"/>
        </w:trPr>
        <w:tc>
          <w:tcPr>
            <w:tcW w:w="520" w:type="dxa"/>
            <w:vAlign w:val="bottom"/>
            <w:tcBorders>
              <w:left w:val="single" w:sz="8" w:color="auto"/>
              <w:bottom w:val="single" w:sz="8" w:color="auto"/>
            </w:tcBorders>
          </w:tcPr>
          <w:p>
            <w:pPr>
              <w:spacing w:after="0"/>
              <w:rPr>
                <w:sz w:val="3"/>
                <w:szCs w:val="3"/>
                <w:color w:val="auto"/>
              </w:rPr>
            </w:pPr>
          </w:p>
        </w:tc>
        <w:tc>
          <w:tcPr>
            <w:tcW w:w="526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780" w:type="dxa"/>
            <w:vAlign w:val="bottom"/>
            <w:tcBorders>
              <w:bottom w:val="single" w:sz="8" w:color="auto"/>
              <w:right w:val="single" w:sz="8" w:color="auto"/>
            </w:tcBorders>
          </w:tcPr>
          <w:p>
            <w:pPr>
              <w:spacing w:after="0"/>
              <w:rPr>
                <w:sz w:val="3"/>
                <w:szCs w:val="3"/>
                <w:color w:val="auto"/>
              </w:rPr>
            </w:pPr>
          </w:p>
        </w:tc>
      </w:tr>
      <w:tr>
        <w:trPr>
          <w:trHeight w:val="493"/>
        </w:trPr>
        <w:tc>
          <w:tcPr>
            <w:tcW w:w="52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211" w:right="299" w:bottom="1440" w:gutter="0" w:footer="0" w:header="0"/>
        </w:sectPr>
      </w:pPr>
    </w:p>
    <w:bookmarkStart w:id="74" w:name="page75"/>
    <w:bookmarkEnd w:id="7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45"/>
        </w:trPr>
        <w:tc>
          <w:tcPr>
            <w:tcW w:w="5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60" w:type="dxa"/>
            <w:vAlign w:val="bottom"/>
          </w:tcPr>
          <w:p>
            <w:pPr>
              <w:jc w:val="right"/>
              <w:spacing w:after="0"/>
              <w:rPr>
                <w:sz w:val="20"/>
                <w:szCs w:val="20"/>
                <w:color w:val="auto"/>
              </w:rPr>
            </w:pPr>
            <w:r>
              <w:rPr>
                <w:rFonts w:ascii="Arial" w:cs="Arial" w:eastAsia="Arial" w:hAnsi="Arial"/>
                <w:sz w:val="12"/>
                <w:szCs w:val="12"/>
                <w:color w:val="auto"/>
              </w:rPr>
              <w:t>29</w:t>
            </w:r>
          </w:p>
        </w:tc>
        <w:tc>
          <w:tcPr>
            <w:tcW w:w="0" w:type="dxa"/>
            <w:vAlign w:val="bottom"/>
          </w:tcPr>
          <w:p>
            <w:pPr>
              <w:spacing w:after="0"/>
              <w:rPr>
                <w:sz w:val="1"/>
                <w:szCs w:val="1"/>
                <w:color w:val="auto"/>
              </w:rPr>
            </w:pPr>
          </w:p>
        </w:tc>
      </w:tr>
      <w:tr>
        <w:trPr>
          <w:trHeight w:val="63"/>
        </w:trPr>
        <w:tc>
          <w:tcPr>
            <w:tcW w:w="57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300" w:type="dxa"/>
            <w:vAlign w:val="bottom"/>
            <w:tcBorders>
              <w:bottom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5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b w:val="1"/>
                <w:bCs w:val="1"/>
                <w:color w:val="auto"/>
              </w:rPr>
              <w:t>Art. 37   Mandates of a Member of the Board of Directors outside the Company</w:t>
            </w:r>
          </w:p>
        </w:tc>
        <w:tc>
          <w:tcPr>
            <w:tcW w:w="220" w:type="dxa"/>
            <w:vAlign w:val="bottom"/>
            <w:tcBorders>
              <w:right w:val="single" w:sz="8" w:color="auto"/>
            </w:tcBorders>
          </w:tcPr>
          <w:p>
            <w:pPr>
              <w:spacing w:after="0"/>
              <w:rPr>
                <w:sz w:val="15"/>
                <w:szCs w:val="15"/>
                <w:color w:val="auto"/>
              </w:rPr>
            </w:pPr>
          </w:p>
        </w:tc>
        <w:tc>
          <w:tcPr>
            <w:tcW w:w="530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Art. 37   Mandats d'un membre du conseil d'administration de la société</w:t>
            </w:r>
          </w:p>
        </w:tc>
        <w:tc>
          <w:tcPr>
            <w:tcW w:w="0" w:type="dxa"/>
            <w:vAlign w:val="bottom"/>
          </w:tcPr>
          <w:p>
            <w:pPr>
              <w:spacing w:after="0"/>
              <w:rPr>
                <w:sz w:val="1"/>
                <w:szCs w:val="1"/>
                <w:color w:val="auto"/>
              </w:rPr>
            </w:pPr>
          </w:p>
        </w:tc>
      </w:tr>
      <w:tr>
        <w:trPr>
          <w:trHeight w:val="260"/>
        </w:trPr>
        <w:tc>
          <w:tcPr>
            <w:tcW w:w="5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A member of the Board of Directors may cumulatively assume not more than the following number of</w:t>
            </w:r>
          </w:p>
        </w:tc>
        <w:tc>
          <w:tcPr>
            <w:tcW w:w="220" w:type="dxa"/>
            <w:vAlign w:val="bottom"/>
            <w:tcBorders>
              <w:right w:val="single" w:sz="8" w:color="auto"/>
            </w:tcBorders>
          </w:tcPr>
          <w:p>
            <w:pPr>
              <w:spacing w:after="0"/>
              <w:rPr>
                <w:sz w:val="22"/>
                <w:szCs w:val="22"/>
                <w:color w:val="auto"/>
              </w:rPr>
            </w:pPr>
          </w:p>
        </w:tc>
        <w:tc>
          <w:tcPr>
            <w:tcW w:w="530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Un membre du conseil d'administration ne peut pas cumuler plus que le nombre suivant de</w:t>
            </w:r>
          </w:p>
        </w:tc>
        <w:tc>
          <w:tcPr>
            <w:tcW w:w="0" w:type="dxa"/>
            <w:vAlign w:val="bottom"/>
          </w:tcPr>
          <w:p>
            <w:pPr>
              <w:spacing w:after="0"/>
              <w:rPr>
                <w:sz w:val="1"/>
                <w:szCs w:val="1"/>
                <w:color w:val="auto"/>
              </w:rPr>
            </w:pPr>
          </w:p>
        </w:tc>
      </w:tr>
      <w:tr>
        <w:trPr>
          <w:trHeight w:val="135"/>
        </w:trPr>
        <w:tc>
          <w:tcPr>
            <w:tcW w:w="578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mandates in the board of directors, the superior management or an administrative body of a legal entity</w:t>
            </w:r>
          </w:p>
        </w:tc>
        <w:tc>
          <w:tcPr>
            <w:tcW w:w="220" w:type="dxa"/>
            <w:vAlign w:val="bottom"/>
            <w:tcBorders>
              <w:right w:val="single" w:sz="8" w:color="auto"/>
            </w:tcBorders>
          </w:tcPr>
          <w:p>
            <w:pPr>
              <w:spacing w:after="0"/>
              <w:rPr>
                <w:sz w:val="11"/>
                <w:szCs w:val="11"/>
                <w:color w:val="auto"/>
              </w:rPr>
            </w:pPr>
          </w:p>
        </w:tc>
        <w:tc>
          <w:tcPr>
            <w:tcW w:w="530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mandats dans un conseil d'administration, une direction supérieure ou un organisme administratif</w:t>
            </w:r>
          </w:p>
        </w:tc>
        <w:tc>
          <w:tcPr>
            <w:tcW w:w="0" w:type="dxa"/>
            <w:vAlign w:val="bottom"/>
          </w:tcPr>
          <w:p>
            <w:pPr>
              <w:spacing w:after="0"/>
              <w:rPr>
                <w:sz w:val="1"/>
                <w:szCs w:val="1"/>
                <w:color w:val="auto"/>
              </w:rPr>
            </w:pPr>
          </w:p>
        </w:tc>
      </w:tr>
      <w:tr>
        <w:trPr>
          <w:trHeight w:val="135"/>
        </w:trPr>
        <w:tc>
          <w:tcPr>
            <w:tcW w:w="578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which is obliged to be registered in the Swiss commercial register or an equivalent foreign register:</w:t>
            </w:r>
          </w:p>
        </w:tc>
        <w:tc>
          <w:tcPr>
            <w:tcW w:w="220" w:type="dxa"/>
            <w:vAlign w:val="bottom"/>
            <w:tcBorders>
              <w:right w:val="single" w:sz="8" w:color="auto"/>
            </w:tcBorders>
          </w:tcPr>
          <w:p>
            <w:pPr>
              <w:spacing w:after="0"/>
              <w:rPr>
                <w:sz w:val="11"/>
                <w:szCs w:val="11"/>
                <w:color w:val="auto"/>
              </w:rPr>
            </w:pPr>
          </w:p>
        </w:tc>
        <w:tc>
          <w:tcPr>
            <w:tcW w:w="530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d'une personne morale qui est obligée d'être inscrite au registre du commerce suisse ou un</w:t>
            </w:r>
          </w:p>
        </w:tc>
        <w:tc>
          <w:tcPr>
            <w:tcW w:w="0" w:type="dxa"/>
            <w:vAlign w:val="bottom"/>
          </w:tcPr>
          <w:p>
            <w:pPr>
              <w:spacing w:after="0"/>
              <w:rPr>
                <w:sz w:val="1"/>
                <w:szCs w:val="1"/>
                <w:color w:val="auto"/>
              </w:rPr>
            </w:pPr>
          </w:p>
        </w:tc>
      </w:tr>
      <w:tr>
        <w:trPr>
          <w:trHeight w:val="145"/>
        </w:trPr>
        <w:tc>
          <w:tcPr>
            <w:tcW w:w="57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2"/>
                <w:szCs w:val="12"/>
                <w:color w:val="auto"/>
              </w:rPr>
              <w:t>a)   7 mandates for publicly traded companies pursuant to art. 727 para. 1 number 1 CO; and</w:t>
            </w:r>
          </w:p>
        </w:tc>
        <w:tc>
          <w:tcPr>
            <w:tcW w:w="220" w:type="dxa"/>
            <w:vAlign w:val="bottom"/>
            <w:tcBorders>
              <w:right w:val="single" w:sz="8" w:color="auto"/>
            </w:tcBorders>
          </w:tcPr>
          <w:p>
            <w:pPr>
              <w:spacing w:after="0"/>
              <w:rPr>
                <w:sz w:val="12"/>
                <w:szCs w:val="12"/>
                <w:color w:val="auto"/>
              </w:rPr>
            </w:pPr>
          </w:p>
        </w:tc>
        <w:tc>
          <w:tcPr>
            <w:tcW w:w="530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registre étranger équivalent:</w:t>
            </w:r>
          </w:p>
        </w:tc>
        <w:tc>
          <w:tcPr>
            <w:tcW w:w="0" w:type="dxa"/>
            <w:vAlign w:val="bottom"/>
          </w:tcPr>
          <w:p>
            <w:pPr>
              <w:spacing w:after="0"/>
              <w:rPr>
                <w:sz w:val="1"/>
                <w:szCs w:val="1"/>
                <w:color w:val="auto"/>
              </w:rPr>
            </w:pPr>
          </w:p>
        </w:tc>
      </w:tr>
      <w:tr>
        <w:trPr>
          <w:trHeight w:val="135"/>
        </w:trPr>
        <w:tc>
          <w:tcPr>
            <w:tcW w:w="5780" w:type="dxa"/>
            <w:vAlign w:val="bottom"/>
            <w:tcBorders>
              <w:left w:val="single" w:sz="8" w:color="auto"/>
              <w:right w:val="single" w:sz="8" w:color="auto"/>
            </w:tcBorders>
            <w:vMerge w:val="continue"/>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530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2"/>
                <w:szCs w:val="12"/>
                <w:color w:val="auto"/>
              </w:rPr>
              <w:t>a)   7 mandats pour les entreprises cotées en bourse selon l'art. 727 al. 1 chiffre 1 CO; et</w:t>
            </w:r>
          </w:p>
        </w:tc>
        <w:tc>
          <w:tcPr>
            <w:tcW w:w="0" w:type="dxa"/>
            <w:vAlign w:val="bottom"/>
          </w:tcPr>
          <w:p>
            <w:pPr>
              <w:spacing w:after="0"/>
              <w:rPr>
                <w:sz w:val="1"/>
                <w:szCs w:val="1"/>
                <w:color w:val="auto"/>
              </w:rPr>
            </w:pPr>
          </w:p>
        </w:tc>
      </w:tr>
      <w:tr>
        <w:trPr>
          <w:trHeight w:val="135"/>
        </w:trPr>
        <w:tc>
          <w:tcPr>
            <w:tcW w:w="57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2"/>
                <w:szCs w:val="12"/>
                <w:color w:val="auto"/>
              </w:rPr>
              <w:t>b)  8 mandates for companies pursuant to art. 727 para. 1 number 2 CO; and</w:t>
            </w:r>
          </w:p>
        </w:tc>
        <w:tc>
          <w:tcPr>
            <w:tcW w:w="220" w:type="dxa"/>
            <w:vAlign w:val="bottom"/>
            <w:tcBorders>
              <w:right w:val="single" w:sz="8" w:color="auto"/>
            </w:tcBorders>
          </w:tcPr>
          <w:p>
            <w:pPr>
              <w:spacing w:after="0"/>
              <w:rPr>
                <w:sz w:val="11"/>
                <w:szCs w:val="11"/>
                <w:color w:val="auto"/>
              </w:rPr>
            </w:pPr>
          </w:p>
        </w:tc>
        <w:tc>
          <w:tcPr>
            <w:tcW w:w="530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80" w:type="dxa"/>
            <w:vAlign w:val="bottom"/>
            <w:tcBorders>
              <w:left w:val="single" w:sz="8" w:color="auto"/>
              <w:right w:val="single" w:sz="8" w:color="auto"/>
            </w:tcBorders>
            <w:vMerge w:val="continue"/>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530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2"/>
                <w:szCs w:val="12"/>
                <w:color w:val="auto"/>
              </w:rPr>
              <w:t>b)   8 mandats pour des entreprises selon l'art. 727 al. 1 chiffre 2 CO; et</w:t>
            </w:r>
          </w:p>
        </w:tc>
        <w:tc>
          <w:tcPr>
            <w:tcW w:w="0" w:type="dxa"/>
            <w:vAlign w:val="bottom"/>
          </w:tcPr>
          <w:p>
            <w:pPr>
              <w:spacing w:after="0"/>
              <w:rPr>
                <w:sz w:val="1"/>
                <w:szCs w:val="1"/>
                <w:color w:val="auto"/>
              </w:rPr>
            </w:pPr>
          </w:p>
        </w:tc>
      </w:tr>
      <w:tr>
        <w:trPr>
          <w:trHeight w:val="135"/>
        </w:trPr>
        <w:tc>
          <w:tcPr>
            <w:tcW w:w="57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2"/>
                <w:szCs w:val="12"/>
                <w:color w:val="auto"/>
              </w:rPr>
              <w:t>c)  5 mandates for companies which do not fulfil the criteria under a) and b) above.</w:t>
            </w:r>
          </w:p>
        </w:tc>
        <w:tc>
          <w:tcPr>
            <w:tcW w:w="220" w:type="dxa"/>
            <w:vAlign w:val="bottom"/>
            <w:tcBorders>
              <w:right w:val="single" w:sz="8" w:color="auto"/>
            </w:tcBorders>
          </w:tcPr>
          <w:p>
            <w:pPr>
              <w:spacing w:after="0"/>
              <w:rPr>
                <w:sz w:val="11"/>
                <w:szCs w:val="11"/>
                <w:color w:val="auto"/>
              </w:rPr>
            </w:pPr>
          </w:p>
        </w:tc>
        <w:tc>
          <w:tcPr>
            <w:tcW w:w="530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80" w:type="dxa"/>
            <w:vAlign w:val="bottom"/>
            <w:tcBorders>
              <w:left w:val="single" w:sz="8" w:color="auto"/>
              <w:right w:val="single" w:sz="8" w:color="auto"/>
            </w:tcBorders>
            <w:vMerge w:val="continue"/>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530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2"/>
                <w:szCs w:val="12"/>
                <w:color w:val="auto"/>
              </w:rPr>
              <w:t>c)   5 mandats pour les entreprises qui ne remplissent pas les critères sous a) et b) ci-dessus.</w:t>
            </w:r>
          </w:p>
        </w:tc>
        <w:tc>
          <w:tcPr>
            <w:tcW w:w="0" w:type="dxa"/>
            <w:vAlign w:val="bottom"/>
          </w:tcPr>
          <w:p>
            <w:pPr>
              <w:spacing w:after="0"/>
              <w:rPr>
                <w:sz w:val="1"/>
                <w:szCs w:val="1"/>
                <w:color w:val="auto"/>
              </w:rPr>
            </w:pPr>
          </w:p>
        </w:tc>
      </w:tr>
      <w:tr>
        <w:trPr>
          <w:trHeight w:val="135"/>
        </w:trPr>
        <w:tc>
          <w:tcPr>
            <w:tcW w:w="5780" w:type="dxa"/>
            <w:vAlign w:val="bottom"/>
            <w:tcBorders>
              <w:left w:val="single" w:sz="8" w:color="auto"/>
              <w:right w:val="single" w:sz="8" w:color="auto"/>
            </w:tcBorders>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530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5780" w:type="dxa"/>
            <w:vAlign w:val="bottom"/>
            <w:tcBorders>
              <w:left w:val="single" w:sz="8" w:color="auto"/>
              <w:bottom w:val="single" w:sz="8" w:color="auto"/>
              <w:right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530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5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Mandates held in several legal entities each operating under the same management or same beneficial</w:t>
            </w:r>
          </w:p>
        </w:tc>
        <w:tc>
          <w:tcPr>
            <w:tcW w:w="220" w:type="dxa"/>
            <w:vAlign w:val="bottom"/>
            <w:tcBorders>
              <w:right w:val="single" w:sz="8" w:color="auto"/>
            </w:tcBorders>
          </w:tcPr>
          <w:p>
            <w:pPr>
              <w:spacing w:after="0"/>
              <w:rPr>
                <w:sz w:val="14"/>
                <w:szCs w:val="14"/>
                <w:color w:val="auto"/>
              </w:rPr>
            </w:pPr>
          </w:p>
        </w:tc>
        <w:tc>
          <w:tcPr>
            <w:tcW w:w="530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Les mandats exercés dans plusieurs entités juridiques opérant chacune sous la même direction</w:t>
            </w:r>
          </w:p>
        </w:tc>
        <w:tc>
          <w:tcPr>
            <w:tcW w:w="0" w:type="dxa"/>
            <w:vAlign w:val="bottom"/>
          </w:tcPr>
          <w:p>
            <w:pPr>
              <w:spacing w:after="0"/>
              <w:rPr>
                <w:sz w:val="1"/>
                <w:szCs w:val="1"/>
                <w:color w:val="auto"/>
              </w:rPr>
            </w:pPr>
          </w:p>
        </w:tc>
      </w:tr>
      <w:tr>
        <w:trPr>
          <w:trHeight w:val="145"/>
        </w:trPr>
        <w:tc>
          <w:tcPr>
            <w:tcW w:w="5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owner (group) are deemed to be a single mandate.</w:t>
            </w:r>
          </w:p>
        </w:tc>
        <w:tc>
          <w:tcPr>
            <w:tcW w:w="220" w:type="dxa"/>
            <w:vAlign w:val="bottom"/>
            <w:tcBorders>
              <w:right w:val="single" w:sz="8" w:color="auto"/>
            </w:tcBorders>
          </w:tcPr>
          <w:p>
            <w:pPr>
              <w:spacing w:after="0"/>
              <w:rPr>
                <w:sz w:val="12"/>
                <w:szCs w:val="12"/>
                <w:color w:val="auto"/>
              </w:rPr>
            </w:pPr>
          </w:p>
        </w:tc>
        <w:tc>
          <w:tcPr>
            <w:tcW w:w="530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ou le même bénéficiaire effectif (groupe) sont réputés être un seul mandat.</w:t>
            </w:r>
          </w:p>
        </w:tc>
        <w:tc>
          <w:tcPr>
            <w:tcW w:w="0" w:type="dxa"/>
            <w:vAlign w:val="bottom"/>
          </w:tcPr>
          <w:p>
            <w:pPr>
              <w:spacing w:after="0"/>
              <w:rPr>
                <w:sz w:val="1"/>
                <w:szCs w:val="1"/>
                <w:color w:val="auto"/>
              </w:rPr>
            </w:pPr>
          </w:p>
        </w:tc>
      </w:tr>
      <w:tr>
        <w:trPr>
          <w:trHeight w:val="36"/>
        </w:trPr>
        <w:tc>
          <w:tcPr>
            <w:tcW w:w="5780" w:type="dxa"/>
            <w:vAlign w:val="bottom"/>
            <w:tcBorders>
              <w:left w:val="single" w:sz="8" w:color="auto"/>
              <w:bottom w:val="single" w:sz="8" w:color="auto"/>
              <w:right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530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5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If a legal entity fulfills several of the above mentioned criteria, it can be freely counted towards any</w:t>
            </w:r>
          </w:p>
        </w:tc>
        <w:tc>
          <w:tcPr>
            <w:tcW w:w="220" w:type="dxa"/>
            <w:vAlign w:val="bottom"/>
            <w:tcBorders>
              <w:right w:val="single" w:sz="8" w:color="auto"/>
            </w:tcBorders>
          </w:tcPr>
          <w:p>
            <w:pPr>
              <w:spacing w:after="0"/>
              <w:rPr>
                <w:sz w:val="14"/>
                <w:szCs w:val="14"/>
                <w:color w:val="auto"/>
              </w:rPr>
            </w:pPr>
          </w:p>
        </w:tc>
        <w:tc>
          <w:tcPr>
            <w:tcW w:w="530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Si une entité juridique remplit plusieurs des critères mentionnés ci-dessus, elle peut être librement</w:t>
            </w:r>
          </w:p>
        </w:tc>
        <w:tc>
          <w:tcPr>
            <w:tcW w:w="0" w:type="dxa"/>
            <w:vAlign w:val="bottom"/>
          </w:tcPr>
          <w:p>
            <w:pPr>
              <w:spacing w:after="0"/>
              <w:rPr>
                <w:sz w:val="1"/>
                <w:szCs w:val="1"/>
                <w:color w:val="auto"/>
              </w:rPr>
            </w:pPr>
          </w:p>
        </w:tc>
      </w:tr>
      <w:tr>
        <w:trPr>
          <w:trHeight w:val="145"/>
        </w:trPr>
        <w:tc>
          <w:tcPr>
            <w:tcW w:w="5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category. The following mandates are excepted from these restrictions:</w:t>
            </w:r>
          </w:p>
        </w:tc>
        <w:tc>
          <w:tcPr>
            <w:tcW w:w="220" w:type="dxa"/>
            <w:vAlign w:val="bottom"/>
            <w:tcBorders>
              <w:right w:val="single" w:sz="8" w:color="auto"/>
            </w:tcBorders>
          </w:tcPr>
          <w:p>
            <w:pPr>
              <w:spacing w:after="0"/>
              <w:rPr>
                <w:sz w:val="12"/>
                <w:szCs w:val="12"/>
                <w:color w:val="auto"/>
              </w:rPr>
            </w:pPr>
          </w:p>
        </w:tc>
        <w:tc>
          <w:tcPr>
            <w:tcW w:w="530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placée dans une catégorie. Les mandats suivants sont exceptés de ces restrictions:</w:t>
            </w:r>
          </w:p>
        </w:tc>
        <w:tc>
          <w:tcPr>
            <w:tcW w:w="0" w:type="dxa"/>
            <w:vAlign w:val="bottom"/>
          </w:tcPr>
          <w:p>
            <w:pPr>
              <w:spacing w:after="0"/>
              <w:rPr>
                <w:sz w:val="1"/>
                <w:szCs w:val="1"/>
                <w:color w:val="auto"/>
              </w:rPr>
            </w:pPr>
          </w:p>
        </w:tc>
      </w:tr>
      <w:tr>
        <w:trPr>
          <w:trHeight w:val="260"/>
        </w:trPr>
        <w:tc>
          <w:tcPr>
            <w:tcW w:w="5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a)  mandates in legal entities which are controlled by the Company or which control the Company;</w:t>
            </w:r>
          </w:p>
        </w:tc>
        <w:tc>
          <w:tcPr>
            <w:tcW w:w="220" w:type="dxa"/>
            <w:vAlign w:val="bottom"/>
            <w:tcBorders>
              <w:right w:val="single" w:sz="8" w:color="auto"/>
            </w:tcBorders>
          </w:tcPr>
          <w:p>
            <w:pPr>
              <w:spacing w:after="0"/>
              <w:rPr>
                <w:sz w:val="22"/>
                <w:szCs w:val="22"/>
                <w:color w:val="auto"/>
              </w:rPr>
            </w:pPr>
          </w:p>
        </w:tc>
        <w:tc>
          <w:tcPr>
            <w:tcW w:w="240" w:type="dxa"/>
            <w:vAlign w:val="bottom"/>
          </w:tcPr>
          <w:p>
            <w:pPr>
              <w:ind w:left="40"/>
              <w:spacing w:after="0"/>
              <w:rPr>
                <w:sz w:val="20"/>
                <w:szCs w:val="20"/>
                <w:color w:val="auto"/>
              </w:rPr>
            </w:pPr>
            <w:r>
              <w:rPr>
                <w:rFonts w:ascii="Arial" w:cs="Arial" w:eastAsia="Arial" w:hAnsi="Arial"/>
                <w:sz w:val="12"/>
                <w:szCs w:val="12"/>
                <w:color w:val="auto"/>
              </w:rPr>
              <w:t>a)</w:t>
            </w:r>
          </w:p>
        </w:tc>
        <w:tc>
          <w:tcPr>
            <w:tcW w:w="50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les mandats dans des entités juridiques qui sont contrôlées par la société ou qui contrôlent</w:t>
            </w:r>
          </w:p>
        </w:tc>
        <w:tc>
          <w:tcPr>
            <w:tcW w:w="0" w:type="dxa"/>
            <w:vAlign w:val="bottom"/>
          </w:tcPr>
          <w:p>
            <w:pPr>
              <w:spacing w:after="0"/>
              <w:rPr>
                <w:sz w:val="1"/>
                <w:szCs w:val="1"/>
                <w:color w:val="auto"/>
              </w:rPr>
            </w:pPr>
          </w:p>
        </w:tc>
      </w:tr>
      <w:tr>
        <w:trPr>
          <w:trHeight w:val="145"/>
        </w:trPr>
        <w:tc>
          <w:tcPr>
            <w:tcW w:w="57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2"/>
                <w:szCs w:val="12"/>
                <w:color w:val="auto"/>
              </w:rPr>
              <w:t>b)  honorary mandates in charitable legal entities.</w:t>
            </w:r>
          </w:p>
        </w:tc>
        <w:tc>
          <w:tcPr>
            <w:tcW w:w="2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060" w:type="dxa"/>
            <w:vAlign w:val="bottom"/>
            <w:tcBorders>
              <w:right w:val="single" w:sz="8" w:color="auto"/>
            </w:tcBorders>
          </w:tcPr>
          <w:p>
            <w:pPr>
              <w:jc w:val="right"/>
              <w:ind w:right="4360"/>
              <w:spacing w:after="0"/>
              <w:rPr>
                <w:sz w:val="20"/>
                <w:szCs w:val="20"/>
                <w:color w:val="auto"/>
              </w:rPr>
            </w:pPr>
            <w:r>
              <w:rPr>
                <w:rFonts w:ascii="Arial" w:cs="Arial" w:eastAsia="Arial" w:hAnsi="Arial"/>
                <w:sz w:val="12"/>
                <w:szCs w:val="12"/>
                <w:color w:val="auto"/>
              </w:rPr>
              <w:t>la société;</w:t>
            </w:r>
          </w:p>
        </w:tc>
        <w:tc>
          <w:tcPr>
            <w:tcW w:w="0" w:type="dxa"/>
            <w:vAlign w:val="bottom"/>
          </w:tcPr>
          <w:p>
            <w:pPr>
              <w:spacing w:after="0"/>
              <w:rPr>
                <w:sz w:val="1"/>
                <w:szCs w:val="1"/>
                <w:color w:val="auto"/>
              </w:rPr>
            </w:pPr>
          </w:p>
        </w:tc>
      </w:tr>
      <w:tr>
        <w:trPr>
          <w:trHeight w:val="135"/>
        </w:trPr>
        <w:tc>
          <w:tcPr>
            <w:tcW w:w="5780" w:type="dxa"/>
            <w:vAlign w:val="bottom"/>
            <w:tcBorders>
              <w:left w:val="single" w:sz="8" w:color="auto"/>
              <w:right w:val="single" w:sz="8" w:color="auto"/>
            </w:tcBorders>
            <w:vMerge w:val="continue"/>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530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2"/>
                <w:szCs w:val="12"/>
                <w:color w:val="auto"/>
              </w:rPr>
              <w:t>b)   des mandats d'honneur à des personnes morales de bienfaisance.</w:t>
            </w:r>
          </w:p>
        </w:tc>
        <w:tc>
          <w:tcPr>
            <w:tcW w:w="0" w:type="dxa"/>
            <w:vAlign w:val="bottom"/>
          </w:tcPr>
          <w:p>
            <w:pPr>
              <w:spacing w:after="0"/>
              <w:rPr>
                <w:sz w:val="1"/>
                <w:szCs w:val="1"/>
                <w:color w:val="auto"/>
              </w:rPr>
            </w:pPr>
          </w:p>
        </w:tc>
      </w:tr>
      <w:tr>
        <w:trPr>
          <w:trHeight w:val="135"/>
        </w:trPr>
        <w:tc>
          <w:tcPr>
            <w:tcW w:w="5780" w:type="dxa"/>
            <w:vAlign w:val="bottom"/>
            <w:tcBorders>
              <w:left w:val="single" w:sz="8" w:color="auto"/>
              <w:right w:val="single" w:sz="8" w:color="auto"/>
            </w:tcBorders>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530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5780" w:type="dxa"/>
            <w:vAlign w:val="bottom"/>
            <w:tcBorders>
              <w:left w:val="single" w:sz="8" w:color="auto"/>
              <w:bottom w:val="single" w:sz="8" w:color="auto"/>
              <w:right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93"/>
        </w:trPr>
        <w:tc>
          <w:tcPr>
            <w:tcW w:w="5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211" w:right="299" w:bottom="1440" w:gutter="0" w:footer="0" w:header="0"/>
        </w:sectPr>
      </w:pPr>
    </w:p>
    <w:bookmarkStart w:id="75" w:name="page76"/>
    <w:bookmarkEnd w:id="7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45"/>
        </w:trPr>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60" w:type="dxa"/>
            <w:vAlign w:val="bottom"/>
          </w:tcPr>
          <w:p>
            <w:pPr>
              <w:jc w:val="right"/>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63"/>
        </w:trPr>
        <w:tc>
          <w:tcPr>
            <w:tcW w:w="260" w:type="dxa"/>
            <w:vAlign w:val="bottom"/>
            <w:tcBorders>
              <w:bottom w:val="single" w:sz="8" w:color="auto"/>
            </w:tcBorders>
          </w:tcPr>
          <w:p>
            <w:pPr>
              <w:spacing w:after="0"/>
              <w:rPr>
                <w:sz w:val="5"/>
                <w:szCs w:val="5"/>
                <w:color w:val="auto"/>
              </w:rPr>
            </w:pPr>
          </w:p>
        </w:tc>
        <w:tc>
          <w:tcPr>
            <w:tcW w:w="5520" w:type="dxa"/>
            <w:vAlign w:val="bottom"/>
            <w:tcBorders>
              <w:bottom w:val="single" w:sz="8" w:color="auto"/>
            </w:tcBorders>
            <w:gridSpan w:val="2"/>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300" w:type="dxa"/>
            <w:vAlign w:val="bottom"/>
            <w:tcBorders>
              <w:bottom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60" w:type="dxa"/>
            <w:vAlign w:val="bottom"/>
            <w:tcBorders>
              <w:left w:val="single" w:sz="8" w:color="auto"/>
            </w:tcBorders>
          </w:tcPr>
          <w:p>
            <w:pPr>
              <w:ind w:left="40"/>
              <w:spacing w:after="0"/>
              <w:rPr>
                <w:sz w:val="20"/>
                <w:szCs w:val="20"/>
                <w:color w:val="auto"/>
              </w:rPr>
            </w:pPr>
            <w:r>
              <w:rPr>
                <w:rFonts w:ascii="Arial" w:cs="Arial" w:eastAsia="Arial" w:hAnsi="Arial"/>
                <w:sz w:val="12"/>
                <w:szCs w:val="12"/>
                <w:b w:val="1"/>
                <w:bCs w:val="1"/>
                <w:color w:val="auto"/>
                <w:w w:val="96"/>
              </w:rPr>
              <w:t>Art.</w:t>
            </w:r>
          </w:p>
        </w:tc>
        <w:tc>
          <w:tcPr>
            <w:tcW w:w="5520" w:type="dxa"/>
            <w:vAlign w:val="bottom"/>
            <w:tcBorders>
              <w:right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38   Mandates of a Member of the Executive Committee outside the Company</w:t>
            </w:r>
          </w:p>
        </w:tc>
        <w:tc>
          <w:tcPr>
            <w:tcW w:w="220" w:type="dxa"/>
            <w:vAlign w:val="bottom"/>
            <w:tcBorders>
              <w:right w:val="single" w:sz="8" w:color="auto"/>
            </w:tcBorders>
          </w:tcPr>
          <w:p>
            <w:pPr>
              <w:spacing w:after="0"/>
              <w:rPr>
                <w:sz w:val="15"/>
                <w:szCs w:val="15"/>
                <w:color w:val="auto"/>
              </w:rPr>
            </w:pPr>
          </w:p>
        </w:tc>
        <w:tc>
          <w:tcPr>
            <w:tcW w:w="530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Art. 38   Mandats d'un membre du comité exécutif en-dehors de la société</w:t>
            </w:r>
          </w:p>
        </w:tc>
        <w:tc>
          <w:tcPr>
            <w:tcW w:w="0" w:type="dxa"/>
            <w:vAlign w:val="bottom"/>
          </w:tcPr>
          <w:p>
            <w:pPr>
              <w:spacing w:after="0"/>
              <w:rPr>
                <w:sz w:val="1"/>
                <w:szCs w:val="1"/>
                <w:color w:val="auto"/>
              </w:rPr>
            </w:pPr>
          </w:p>
        </w:tc>
      </w:tr>
      <w:tr>
        <w:trPr>
          <w:trHeight w:val="260"/>
        </w:trPr>
        <w:tc>
          <w:tcPr>
            <w:tcW w:w="578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2"/>
                <w:szCs w:val="12"/>
                <w:color w:val="auto"/>
              </w:rPr>
              <w:t>Each member of the Executive Committee may, with approval of the Board of Directors, cumulatively</w:t>
            </w:r>
          </w:p>
        </w:tc>
        <w:tc>
          <w:tcPr>
            <w:tcW w:w="220" w:type="dxa"/>
            <w:vAlign w:val="bottom"/>
            <w:tcBorders>
              <w:right w:val="single" w:sz="8" w:color="auto"/>
            </w:tcBorders>
          </w:tcPr>
          <w:p>
            <w:pPr>
              <w:spacing w:after="0"/>
              <w:rPr>
                <w:sz w:val="22"/>
                <w:szCs w:val="22"/>
                <w:color w:val="auto"/>
              </w:rPr>
            </w:pPr>
          </w:p>
        </w:tc>
        <w:tc>
          <w:tcPr>
            <w:tcW w:w="530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Chaque membre du comité exécutif peut, avec l'approbation du conseil d'administration, cumuler</w:t>
            </w:r>
          </w:p>
        </w:tc>
        <w:tc>
          <w:tcPr>
            <w:tcW w:w="0" w:type="dxa"/>
            <w:vAlign w:val="bottom"/>
          </w:tcPr>
          <w:p>
            <w:pPr>
              <w:spacing w:after="0"/>
              <w:rPr>
                <w:sz w:val="1"/>
                <w:szCs w:val="1"/>
                <w:color w:val="auto"/>
              </w:rPr>
            </w:pPr>
          </w:p>
        </w:tc>
      </w:tr>
      <w:tr>
        <w:trPr>
          <w:trHeight w:val="135"/>
        </w:trPr>
        <w:tc>
          <w:tcPr>
            <w:tcW w:w="5780" w:type="dxa"/>
            <w:vAlign w:val="bottom"/>
            <w:tcBorders>
              <w:left w:val="single" w:sz="8" w:color="auto"/>
              <w:right w:val="single" w:sz="8" w:color="auto"/>
            </w:tcBorders>
            <w:gridSpan w:val="3"/>
          </w:tcPr>
          <w:p>
            <w:pPr>
              <w:ind w:left="40"/>
              <w:spacing w:after="0" w:line="135" w:lineRule="exact"/>
              <w:rPr>
                <w:sz w:val="20"/>
                <w:szCs w:val="20"/>
                <w:color w:val="auto"/>
              </w:rPr>
            </w:pPr>
            <w:r>
              <w:rPr>
                <w:rFonts w:ascii="Arial" w:cs="Arial" w:eastAsia="Arial" w:hAnsi="Arial"/>
                <w:sz w:val="12"/>
                <w:szCs w:val="12"/>
                <w:color w:val="auto"/>
              </w:rPr>
              <w:t>assume not more than the following number of mandates in the board of directors, the superior</w:t>
            </w:r>
          </w:p>
        </w:tc>
        <w:tc>
          <w:tcPr>
            <w:tcW w:w="220" w:type="dxa"/>
            <w:vAlign w:val="bottom"/>
            <w:tcBorders>
              <w:right w:val="single" w:sz="8" w:color="auto"/>
            </w:tcBorders>
          </w:tcPr>
          <w:p>
            <w:pPr>
              <w:spacing w:after="0"/>
              <w:rPr>
                <w:sz w:val="11"/>
                <w:szCs w:val="11"/>
                <w:color w:val="auto"/>
              </w:rPr>
            </w:pPr>
          </w:p>
        </w:tc>
        <w:tc>
          <w:tcPr>
            <w:tcW w:w="530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pas plus que le nombre suivant de mandats dans un conseil d'administration, une direction</w:t>
            </w:r>
          </w:p>
        </w:tc>
        <w:tc>
          <w:tcPr>
            <w:tcW w:w="0" w:type="dxa"/>
            <w:vAlign w:val="bottom"/>
          </w:tcPr>
          <w:p>
            <w:pPr>
              <w:spacing w:after="0"/>
              <w:rPr>
                <w:sz w:val="1"/>
                <w:szCs w:val="1"/>
                <w:color w:val="auto"/>
              </w:rPr>
            </w:pPr>
          </w:p>
        </w:tc>
      </w:tr>
      <w:tr>
        <w:trPr>
          <w:trHeight w:val="135"/>
        </w:trPr>
        <w:tc>
          <w:tcPr>
            <w:tcW w:w="5780" w:type="dxa"/>
            <w:vAlign w:val="bottom"/>
            <w:tcBorders>
              <w:left w:val="single" w:sz="8" w:color="auto"/>
              <w:right w:val="single" w:sz="8" w:color="auto"/>
            </w:tcBorders>
            <w:gridSpan w:val="3"/>
          </w:tcPr>
          <w:p>
            <w:pPr>
              <w:ind w:left="40"/>
              <w:spacing w:after="0" w:line="135" w:lineRule="exact"/>
              <w:rPr>
                <w:sz w:val="20"/>
                <w:szCs w:val="20"/>
                <w:color w:val="auto"/>
              </w:rPr>
            </w:pPr>
            <w:r>
              <w:rPr>
                <w:rFonts w:ascii="Arial" w:cs="Arial" w:eastAsia="Arial" w:hAnsi="Arial"/>
                <w:sz w:val="12"/>
                <w:szCs w:val="12"/>
                <w:color w:val="auto"/>
              </w:rPr>
              <w:t>management or an administrative body of a legal entity which is obliged to be registered in the Swiss</w:t>
            </w:r>
          </w:p>
        </w:tc>
        <w:tc>
          <w:tcPr>
            <w:tcW w:w="220" w:type="dxa"/>
            <w:vAlign w:val="bottom"/>
            <w:tcBorders>
              <w:right w:val="single" w:sz="8" w:color="auto"/>
            </w:tcBorders>
          </w:tcPr>
          <w:p>
            <w:pPr>
              <w:spacing w:after="0"/>
              <w:rPr>
                <w:sz w:val="11"/>
                <w:szCs w:val="11"/>
                <w:color w:val="auto"/>
              </w:rPr>
            </w:pPr>
          </w:p>
        </w:tc>
        <w:tc>
          <w:tcPr>
            <w:tcW w:w="530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supérieure ou un organisme administratif d'une personne morale qui est obligée d'être inscrite</w:t>
            </w:r>
          </w:p>
        </w:tc>
        <w:tc>
          <w:tcPr>
            <w:tcW w:w="0" w:type="dxa"/>
            <w:vAlign w:val="bottom"/>
          </w:tcPr>
          <w:p>
            <w:pPr>
              <w:spacing w:after="0"/>
              <w:rPr>
                <w:sz w:val="1"/>
                <w:szCs w:val="1"/>
                <w:color w:val="auto"/>
              </w:rPr>
            </w:pPr>
          </w:p>
        </w:tc>
      </w:tr>
      <w:tr>
        <w:trPr>
          <w:trHeight w:val="145"/>
        </w:trPr>
        <w:tc>
          <w:tcPr>
            <w:tcW w:w="578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2"/>
                <w:szCs w:val="12"/>
                <w:color w:val="auto"/>
              </w:rPr>
              <w:t>commercial register or an equivalent foreign register:</w:t>
            </w:r>
          </w:p>
        </w:tc>
        <w:tc>
          <w:tcPr>
            <w:tcW w:w="220" w:type="dxa"/>
            <w:vAlign w:val="bottom"/>
            <w:tcBorders>
              <w:right w:val="single" w:sz="8" w:color="auto"/>
            </w:tcBorders>
          </w:tcPr>
          <w:p>
            <w:pPr>
              <w:spacing w:after="0"/>
              <w:rPr>
                <w:sz w:val="12"/>
                <w:szCs w:val="12"/>
                <w:color w:val="auto"/>
              </w:rPr>
            </w:pPr>
          </w:p>
        </w:tc>
        <w:tc>
          <w:tcPr>
            <w:tcW w:w="530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dans le registre du commerce suisse ou un registre étranger équivalent:</w:t>
            </w:r>
          </w:p>
        </w:tc>
        <w:tc>
          <w:tcPr>
            <w:tcW w:w="0" w:type="dxa"/>
            <w:vAlign w:val="bottom"/>
          </w:tcPr>
          <w:p>
            <w:pPr>
              <w:spacing w:after="0"/>
              <w:rPr>
                <w:sz w:val="1"/>
                <w:szCs w:val="1"/>
                <w:color w:val="auto"/>
              </w:rPr>
            </w:pPr>
          </w:p>
        </w:tc>
      </w:tr>
      <w:tr>
        <w:trPr>
          <w:trHeight w:val="270"/>
        </w:trPr>
        <w:tc>
          <w:tcPr>
            <w:tcW w:w="260" w:type="dxa"/>
            <w:vAlign w:val="bottom"/>
            <w:tcBorders>
              <w:left w:val="single" w:sz="8" w:color="auto"/>
            </w:tcBorders>
          </w:tcPr>
          <w:p>
            <w:pPr>
              <w:ind w:left="40"/>
              <w:spacing w:after="0"/>
              <w:rPr>
                <w:sz w:val="20"/>
                <w:szCs w:val="20"/>
                <w:color w:val="auto"/>
              </w:rPr>
            </w:pPr>
            <w:r>
              <w:rPr>
                <w:rFonts w:ascii="Arial" w:cs="Arial" w:eastAsia="Arial" w:hAnsi="Arial"/>
                <w:sz w:val="12"/>
                <w:szCs w:val="12"/>
                <w:color w:val="auto"/>
              </w:rPr>
              <w:t>a)</w:t>
            </w:r>
          </w:p>
        </w:tc>
        <w:tc>
          <w:tcPr>
            <w:tcW w:w="5520" w:type="dxa"/>
            <w:vAlign w:val="bottom"/>
            <w:tcBorders>
              <w:right w:val="single" w:sz="8" w:color="auto"/>
            </w:tcBorders>
            <w:gridSpan w:val="2"/>
          </w:tcPr>
          <w:p>
            <w:pPr>
              <w:ind w:left="20"/>
              <w:spacing w:after="0"/>
              <w:rPr>
                <w:sz w:val="20"/>
                <w:szCs w:val="20"/>
                <w:color w:val="auto"/>
              </w:rPr>
            </w:pPr>
            <w:r>
              <w:rPr>
                <w:rFonts w:ascii="Arial" w:cs="Arial" w:eastAsia="Arial" w:hAnsi="Arial"/>
                <w:sz w:val="12"/>
                <w:szCs w:val="12"/>
                <w:color w:val="auto"/>
              </w:rPr>
              <w:t>2 mandates for publicly traded companies pursuant to Art. 727 para. 1 number 1 CO; and</w:t>
            </w:r>
          </w:p>
        </w:tc>
        <w:tc>
          <w:tcPr>
            <w:tcW w:w="220" w:type="dxa"/>
            <w:vAlign w:val="bottom"/>
            <w:tcBorders>
              <w:right w:val="single" w:sz="8" w:color="auto"/>
            </w:tcBorders>
          </w:tcPr>
          <w:p>
            <w:pPr>
              <w:spacing w:after="0"/>
              <w:rPr>
                <w:sz w:val="23"/>
                <w:szCs w:val="23"/>
                <w:color w:val="auto"/>
              </w:rPr>
            </w:pPr>
          </w:p>
        </w:tc>
        <w:tc>
          <w:tcPr>
            <w:tcW w:w="530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a)   2 mandats pour les entreprises cotées en bourse selon l'art. 727 al. 1 chiffre 1 CO; et</w:t>
            </w:r>
          </w:p>
        </w:tc>
        <w:tc>
          <w:tcPr>
            <w:tcW w:w="0" w:type="dxa"/>
            <w:vAlign w:val="bottom"/>
          </w:tcPr>
          <w:p>
            <w:pPr>
              <w:spacing w:after="0"/>
              <w:rPr>
                <w:sz w:val="1"/>
                <w:szCs w:val="1"/>
                <w:color w:val="auto"/>
              </w:rPr>
            </w:pPr>
          </w:p>
        </w:tc>
      </w:tr>
      <w:tr>
        <w:trPr>
          <w:trHeight w:val="270"/>
        </w:trPr>
        <w:tc>
          <w:tcPr>
            <w:tcW w:w="260" w:type="dxa"/>
            <w:vAlign w:val="bottom"/>
            <w:tcBorders>
              <w:left w:val="single" w:sz="8" w:color="auto"/>
            </w:tcBorders>
          </w:tcPr>
          <w:p>
            <w:pPr>
              <w:ind w:left="40"/>
              <w:spacing w:after="0"/>
              <w:rPr>
                <w:sz w:val="20"/>
                <w:szCs w:val="20"/>
                <w:color w:val="auto"/>
              </w:rPr>
            </w:pPr>
            <w:r>
              <w:rPr>
                <w:rFonts w:ascii="Arial" w:cs="Arial" w:eastAsia="Arial" w:hAnsi="Arial"/>
                <w:sz w:val="12"/>
                <w:szCs w:val="12"/>
                <w:color w:val="auto"/>
              </w:rPr>
              <w:t>b)</w:t>
            </w:r>
          </w:p>
        </w:tc>
        <w:tc>
          <w:tcPr>
            <w:tcW w:w="5520" w:type="dxa"/>
            <w:vAlign w:val="bottom"/>
            <w:tcBorders>
              <w:right w:val="single" w:sz="8" w:color="auto"/>
            </w:tcBorders>
            <w:gridSpan w:val="2"/>
          </w:tcPr>
          <w:p>
            <w:pPr>
              <w:ind w:left="20"/>
              <w:spacing w:after="0"/>
              <w:rPr>
                <w:sz w:val="20"/>
                <w:szCs w:val="20"/>
                <w:color w:val="auto"/>
              </w:rPr>
            </w:pPr>
            <w:r>
              <w:rPr>
                <w:rFonts w:ascii="Arial" w:cs="Arial" w:eastAsia="Arial" w:hAnsi="Arial"/>
                <w:sz w:val="12"/>
                <w:szCs w:val="12"/>
                <w:color w:val="auto"/>
              </w:rPr>
              <w:t>3 mandates for companies pursuant to Art. 727 para. 1 number 2 CO; and</w:t>
            </w:r>
          </w:p>
        </w:tc>
        <w:tc>
          <w:tcPr>
            <w:tcW w:w="220" w:type="dxa"/>
            <w:vAlign w:val="bottom"/>
            <w:tcBorders>
              <w:right w:val="single" w:sz="8" w:color="auto"/>
            </w:tcBorders>
          </w:tcPr>
          <w:p>
            <w:pPr>
              <w:spacing w:after="0"/>
              <w:rPr>
                <w:sz w:val="23"/>
                <w:szCs w:val="23"/>
                <w:color w:val="auto"/>
              </w:rPr>
            </w:pPr>
          </w:p>
        </w:tc>
        <w:tc>
          <w:tcPr>
            <w:tcW w:w="530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b)   3 mandats pour des entreprises selon l'art. 727 al. 1 chiffre 2 CO; et</w:t>
            </w:r>
          </w:p>
        </w:tc>
        <w:tc>
          <w:tcPr>
            <w:tcW w:w="0" w:type="dxa"/>
            <w:vAlign w:val="bottom"/>
          </w:tcPr>
          <w:p>
            <w:pPr>
              <w:spacing w:after="0"/>
              <w:rPr>
                <w:sz w:val="1"/>
                <w:szCs w:val="1"/>
                <w:color w:val="auto"/>
              </w:rPr>
            </w:pPr>
          </w:p>
        </w:tc>
      </w:tr>
      <w:tr>
        <w:trPr>
          <w:trHeight w:val="270"/>
        </w:trPr>
        <w:tc>
          <w:tcPr>
            <w:tcW w:w="578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2"/>
                <w:szCs w:val="12"/>
                <w:color w:val="auto"/>
              </w:rPr>
              <w:t>c)  5 mandates for companies which do not fulfil the criteria under litera a) and b) above.</w:t>
            </w:r>
          </w:p>
        </w:tc>
        <w:tc>
          <w:tcPr>
            <w:tcW w:w="220" w:type="dxa"/>
            <w:vAlign w:val="bottom"/>
            <w:tcBorders>
              <w:right w:val="single" w:sz="8" w:color="auto"/>
            </w:tcBorders>
          </w:tcPr>
          <w:p>
            <w:pPr>
              <w:spacing w:after="0"/>
              <w:rPr>
                <w:sz w:val="23"/>
                <w:szCs w:val="23"/>
                <w:color w:val="auto"/>
              </w:rPr>
            </w:pPr>
          </w:p>
        </w:tc>
        <w:tc>
          <w:tcPr>
            <w:tcW w:w="530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c)   5 mandats pour les entreprises qui ne remplissent pas les critères sous a) et b) ci-dessus.</w:t>
            </w:r>
          </w:p>
        </w:tc>
        <w:tc>
          <w:tcPr>
            <w:tcW w:w="0" w:type="dxa"/>
            <w:vAlign w:val="bottom"/>
          </w:tcPr>
          <w:p>
            <w:pPr>
              <w:spacing w:after="0"/>
              <w:rPr>
                <w:sz w:val="1"/>
                <w:szCs w:val="1"/>
                <w:color w:val="auto"/>
              </w:rPr>
            </w:pPr>
          </w:p>
        </w:tc>
      </w:tr>
      <w:tr>
        <w:trPr>
          <w:trHeight w:val="260"/>
        </w:trPr>
        <w:tc>
          <w:tcPr>
            <w:tcW w:w="578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2"/>
                <w:szCs w:val="12"/>
                <w:color w:val="auto"/>
              </w:rPr>
              <w:t>Mandates held in several legal entities each operating under the same management or same beneficial</w:t>
            </w:r>
          </w:p>
        </w:tc>
        <w:tc>
          <w:tcPr>
            <w:tcW w:w="220" w:type="dxa"/>
            <w:vAlign w:val="bottom"/>
            <w:tcBorders>
              <w:right w:val="single" w:sz="8" w:color="auto"/>
            </w:tcBorders>
          </w:tcPr>
          <w:p>
            <w:pPr>
              <w:spacing w:after="0"/>
              <w:rPr>
                <w:sz w:val="22"/>
                <w:szCs w:val="22"/>
                <w:color w:val="auto"/>
              </w:rPr>
            </w:pPr>
          </w:p>
        </w:tc>
        <w:tc>
          <w:tcPr>
            <w:tcW w:w="530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Les mandats exercés dans plusieurs entités juridiques opérant chacun sous la même direction ou</w:t>
            </w:r>
          </w:p>
        </w:tc>
        <w:tc>
          <w:tcPr>
            <w:tcW w:w="0" w:type="dxa"/>
            <w:vAlign w:val="bottom"/>
          </w:tcPr>
          <w:p>
            <w:pPr>
              <w:spacing w:after="0"/>
              <w:rPr>
                <w:sz w:val="1"/>
                <w:szCs w:val="1"/>
                <w:color w:val="auto"/>
              </w:rPr>
            </w:pPr>
          </w:p>
        </w:tc>
      </w:tr>
      <w:tr>
        <w:trPr>
          <w:trHeight w:val="145"/>
        </w:trPr>
        <w:tc>
          <w:tcPr>
            <w:tcW w:w="578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2"/>
                <w:szCs w:val="12"/>
                <w:color w:val="auto"/>
              </w:rPr>
              <w:t>owner (group) are deemed to be a single mandate.</w:t>
            </w:r>
          </w:p>
        </w:tc>
        <w:tc>
          <w:tcPr>
            <w:tcW w:w="220" w:type="dxa"/>
            <w:vAlign w:val="bottom"/>
            <w:tcBorders>
              <w:right w:val="single" w:sz="8" w:color="auto"/>
            </w:tcBorders>
          </w:tcPr>
          <w:p>
            <w:pPr>
              <w:spacing w:after="0"/>
              <w:rPr>
                <w:sz w:val="12"/>
                <w:szCs w:val="12"/>
                <w:color w:val="auto"/>
              </w:rPr>
            </w:pPr>
          </w:p>
        </w:tc>
        <w:tc>
          <w:tcPr>
            <w:tcW w:w="530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même bénéficiaire effectif (groupe) sont réputés être un seul mandat.</w:t>
            </w:r>
          </w:p>
        </w:tc>
        <w:tc>
          <w:tcPr>
            <w:tcW w:w="0" w:type="dxa"/>
            <w:vAlign w:val="bottom"/>
          </w:tcPr>
          <w:p>
            <w:pPr>
              <w:spacing w:after="0"/>
              <w:rPr>
                <w:sz w:val="1"/>
                <w:szCs w:val="1"/>
                <w:color w:val="auto"/>
              </w:rPr>
            </w:pPr>
          </w:p>
        </w:tc>
      </w:tr>
      <w:tr>
        <w:trPr>
          <w:trHeight w:val="260"/>
        </w:trPr>
        <w:tc>
          <w:tcPr>
            <w:tcW w:w="578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2"/>
                <w:szCs w:val="12"/>
                <w:color w:val="auto"/>
              </w:rPr>
              <w:t>If a legal entity fulfills several of the above mentioned criteria, it can be freely counted towards any</w:t>
            </w:r>
          </w:p>
        </w:tc>
        <w:tc>
          <w:tcPr>
            <w:tcW w:w="220" w:type="dxa"/>
            <w:vAlign w:val="bottom"/>
            <w:tcBorders>
              <w:right w:val="single" w:sz="8" w:color="auto"/>
            </w:tcBorders>
          </w:tcPr>
          <w:p>
            <w:pPr>
              <w:spacing w:after="0"/>
              <w:rPr>
                <w:sz w:val="22"/>
                <w:szCs w:val="22"/>
                <w:color w:val="auto"/>
              </w:rPr>
            </w:pPr>
          </w:p>
        </w:tc>
        <w:tc>
          <w:tcPr>
            <w:tcW w:w="530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Si une entité juridique remplit plusieurs des critères mentionnés ci-dessus, elle peut être librement</w:t>
            </w:r>
          </w:p>
        </w:tc>
        <w:tc>
          <w:tcPr>
            <w:tcW w:w="0" w:type="dxa"/>
            <w:vAlign w:val="bottom"/>
          </w:tcPr>
          <w:p>
            <w:pPr>
              <w:spacing w:after="0"/>
              <w:rPr>
                <w:sz w:val="1"/>
                <w:szCs w:val="1"/>
                <w:color w:val="auto"/>
              </w:rPr>
            </w:pPr>
          </w:p>
        </w:tc>
      </w:tr>
      <w:tr>
        <w:trPr>
          <w:trHeight w:val="145"/>
        </w:trPr>
        <w:tc>
          <w:tcPr>
            <w:tcW w:w="578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2"/>
                <w:szCs w:val="12"/>
                <w:color w:val="auto"/>
              </w:rPr>
              <w:t>category. The following mandates are excepted from this restrictions:</w:t>
            </w:r>
          </w:p>
        </w:tc>
        <w:tc>
          <w:tcPr>
            <w:tcW w:w="220" w:type="dxa"/>
            <w:vAlign w:val="bottom"/>
            <w:tcBorders>
              <w:right w:val="single" w:sz="8" w:color="auto"/>
            </w:tcBorders>
          </w:tcPr>
          <w:p>
            <w:pPr>
              <w:spacing w:after="0"/>
              <w:rPr>
                <w:sz w:val="12"/>
                <w:szCs w:val="12"/>
                <w:color w:val="auto"/>
              </w:rPr>
            </w:pPr>
          </w:p>
        </w:tc>
        <w:tc>
          <w:tcPr>
            <w:tcW w:w="530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placée dans une catégorie. Les mandats suivants sont exceptés de ces restrictions:</w:t>
            </w:r>
          </w:p>
        </w:tc>
        <w:tc>
          <w:tcPr>
            <w:tcW w:w="0" w:type="dxa"/>
            <w:vAlign w:val="bottom"/>
          </w:tcPr>
          <w:p>
            <w:pPr>
              <w:spacing w:after="0"/>
              <w:rPr>
                <w:sz w:val="1"/>
                <w:szCs w:val="1"/>
                <w:color w:val="auto"/>
              </w:rPr>
            </w:pPr>
          </w:p>
        </w:tc>
      </w:tr>
      <w:tr>
        <w:trPr>
          <w:trHeight w:val="260"/>
        </w:trPr>
        <w:tc>
          <w:tcPr>
            <w:tcW w:w="578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2"/>
                <w:szCs w:val="12"/>
                <w:color w:val="auto"/>
              </w:rPr>
              <w:t>a)  mandates in legal entities which are controlled by the Company or which control the Company;</w:t>
            </w:r>
          </w:p>
        </w:tc>
        <w:tc>
          <w:tcPr>
            <w:tcW w:w="220" w:type="dxa"/>
            <w:vAlign w:val="bottom"/>
            <w:tcBorders>
              <w:right w:val="single" w:sz="8" w:color="auto"/>
            </w:tcBorders>
          </w:tcPr>
          <w:p>
            <w:pPr>
              <w:spacing w:after="0"/>
              <w:rPr>
                <w:sz w:val="22"/>
                <w:szCs w:val="22"/>
                <w:color w:val="auto"/>
              </w:rPr>
            </w:pPr>
          </w:p>
        </w:tc>
        <w:tc>
          <w:tcPr>
            <w:tcW w:w="240" w:type="dxa"/>
            <w:vAlign w:val="bottom"/>
          </w:tcPr>
          <w:p>
            <w:pPr>
              <w:ind w:left="40"/>
              <w:spacing w:after="0"/>
              <w:rPr>
                <w:sz w:val="20"/>
                <w:szCs w:val="20"/>
                <w:color w:val="auto"/>
              </w:rPr>
            </w:pPr>
            <w:r>
              <w:rPr>
                <w:rFonts w:ascii="Arial" w:cs="Arial" w:eastAsia="Arial" w:hAnsi="Arial"/>
                <w:sz w:val="12"/>
                <w:szCs w:val="12"/>
                <w:color w:val="auto"/>
              </w:rPr>
              <w:t>a)</w:t>
            </w:r>
          </w:p>
        </w:tc>
        <w:tc>
          <w:tcPr>
            <w:tcW w:w="50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les mandats dans des entités juridiques qui sont contrôlées par la société ou qui contrôlent</w:t>
            </w:r>
          </w:p>
        </w:tc>
        <w:tc>
          <w:tcPr>
            <w:tcW w:w="0" w:type="dxa"/>
            <w:vAlign w:val="bottom"/>
          </w:tcPr>
          <w:p>
            <w:pPr>
              <w:spacing w:after="0"/>
              <w:rPr>
                <w:sz w:val="1"/>
                <w:szCs w:val="1"/>
                <w:color w:val="auto"/>
              </w:rPr>
            </w:pPr>
          </w:p>
        </w:tc>
      </w:tr>
      <w:tr>
        <w:trPr>
          <w:trHeight w:val="145"/>
        </w:trPr>
        <w:tc>
          <w:tcPr>
            <w:tcW w:w="260" w:type="dxa"/>
            <w:vAlign w:val="bottom"/>
            <w:tcBorders>
              <w:left w:val="single" w:sz="8" w:color="auto"/>
            </w:tcBorders>
            <w:vMerge w:val="restart"/>
          </w:tcPr>
          <w:p>
            <w:pPr>
              <w:ind w:left="40"/>
              <w:spacing w:after="0"/>
              <w:rPr>
                <w:sz w:val="20"/>
                <w:szCs w:val="20"/>
                <w:color w:val="auto"/>
              </w:rPr>
            </w:pPr>
            <w:r>
              <w:rPr>
                <w:rFonts w:ascii="Arial" w:cs="Arial" w:eastAsia="Arial" w:hAnsi="Arial"/>
                <w:sz w:val="12"/>
                <w:szCs w:val="12"/>
                <w:color w:val="auto"/>
              </w:rPr>
              <w:t>b)</w:t>
            </w:r>
          </w:p>
        </w:tc>
        <w:tc>
          <w:tcPr>
            <w:tcW w:w="552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2"/>
                <w:szCs w:val="12"/>
                <w:color w:val="auto"/>
              </w:rPr>
              <w:t>honorary mandates in charitable legal entities.</w:t>
            </w:r>
          </w:p>
        </w:tc>
        <w:tc>
          <w:tcPr>
            <w:tcW w:w="2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060" w:type="dxa"/>
            <w:vAlign w:val="bottom"/>
            <w:tcBorders>
              <w:right w:val="single" w:sz="8" w:color="auto"/>
            </w:tcBorders>
          </w:tcPr>
          <w:p>
            <w:pPr>
              <w:jc w:val="right"/>
              <w:ind w:right="4360"/>
              <w:spacing w:after="0"/>
              <w:rPr>
                <w:sz w:val="20"/>
                <w:szCs w:val="20"/>
                <w:color w:val="auto"/>
              </w:rPr>
            </w:pPr>
            <w:r>
              <w:rPr>
                <w:rFonts w:ascii="Arial" w:cs="Arial" w:eastAsia="Arial" w:hAnsi="Arial"/>
                <w:sz w:val="12"/>
                <w:szCs w:val="12"/>
                <w:color w:val="auto"/>
              </w:rPr>
              <w:t>la société;</w:t>
            </w: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vMerge w:val="continue"/>
          </w:tcPr>
          <w:p>
            <w:pPr>
              <w:spacing w:after="0"/>
              <w:rPr>
                <w:sz w:val="11"/>
                <w:szCs w:val="11"/>
                <w:color w:val="auto"/>
              </w:rPr>
            </w:pPr>
          </w:p>
        </w:tc>
        <w:tc>
          <w:tcPr>
            <w:tcW w:w="5520" w:type="dxa"/>
            <w:vAlign w:val="bottom"/>
            <w:tcBorders>
              <w:right w:val="single" w:sz="8" w:color="auto"/>
            </w:tcBorders>
            <w:gridSpan w:val="2"/>
            <w:vMerge w:val="continue"/>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530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2"/>
                <w:szCs w:val="12"/>
                <w:color w:val="auto"/>
              </w:rPr>
              <w:t>b)   mandats d'honneur dans des entités juridiques de bienfaisance.</w:t>
            </w: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220" w:type="dxa"/>
            <w:vAlign w:val="bottom"/>
            <w:tcBorders>
              <w:right w:val="single" w:sz="8" w:color="auto"/>
            </w:tcBorders>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530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60" w:type="dxa"/>
            <w:vAlign w:val="bottom"/>
            <w:tcBorders>
              <w:left w:val="single" w:sz="8" w:color="auto"/>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220" w:type="dxa"/>
            <w:vAlign w:val="bottom"/>
            <w:tcBorders>
              <w:bottom w:val="single" w:sz="8" w:color="auto"/>
              <w:right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530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60" w:type="dxa"/>
            <w:vAlign w:val="bottom"/>
            <w:tcBorders>
              <w:left w:val="single" w:sz="8" w:color="auto"/>
            </w:tcBorders>
          </w:tcPr>
          <w:p>
            <w:pPr>
              <w:ind w:left="40"/>
              <w:spacing w:after="0"/>
              <w:rPr>
                <w:sz w:val="20"/>
                <w:szCs w:val="20"/>
                <w:color w:val="auto"/>
              </w:rPr>
            </w:pPr>
            <w:r>
              <w:rPr>
                <w:rFonts w:ascii="Arial" w:cs="Arial" w:eastAsia="Arial" w:hAnsi="Arial"/>
                <w:sz w:val="12"/>
                <w:szCs w:val="12"/>
                <w:b w:val="1"/>
                <w:bCs w:val="1"/>
                <w:color w:val="auto"/>
                <w:w w:val="96"/>
              </w:rPr>
              <w:t>Art.</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39</w:t>
            </w:r>
          </w:p>
        </w:tc>
        <w:tc>
          <w:tcPr>
            <w:tcW w:w="5220" w:type="dxa"/>
            <w:vAlign w:val="bottom"/>
            <w:tcBorders>
              <w:right w:val="single" w:sz="8" w:color="auto"/>
            </w:tcBorders>
          </w:tcPr>
          <w:p>
            <w:pPr>
              <w:ind w:left="60"/>
              <w:spacing w:after="0"/>
              <w:rPr>
                <w:sz w:val="20"/>
                <w:szCs w:val="20"/>
                <w:color w:val="auto"/>
              </w:rPr>
            </w:pPr>
            <w:r>
              <w:rPr>
                <w:rFonts w:ascii="Arial" w:cs="Arial" w:eastAsia="Arial" w:hAnsi="Arial"/>
                <w:sz w:val="12"/>
                <w:szCs w:val="12"/>
                <w:b w:val="1"/>
                <w:bCs w:val="1"/>
                <w:color w:val="auto"/>
              </w:rPr>
              <w:t>Loans and Credits</w:t>
            </w:r>
          </w:p>
        </w:tc>
        <w:tc>
          <w:tcPr>
            <w:tcW w:w="220" w:type="dxa"/>
            <w:vAlign w:val="bottom"/>
            <w:tcBorders>
              <w:right w:val="single" w:sz="8" w:color="auto"/>
            </w:tcBorders>
          </w:tcPr>
          <w:p>
            <w:pPr>
              <w:spacing w:after="0"/>
              <w:rPr>
                <w:sz w:val="15"/>
                <w:szCs w:val="15"/>
                <w:color w:val="auto"/>
              </w:rPr>
            </w:pPr>
          </w:p>
        </w:tc>
        <w:tc>
          <w:tcPr>
            <w:tcW w:w="530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Art. 39   Prêts et crédits</w:t>
            </w:r>
          </w:p>
        </w:tc>
        <w:tc>
          <w:tcPr>
            <w:tcW w:w="0" w:type="dxa"/>
            <w:vAlign w:val="bottom"/>
          </w:tcPr>
          <w:p>
            <w:pPr>
              <w:spacing w:after="0"/>
              <w:rPr>
                <w:sz w:val="1"/>
                <w:szCs w:val="1"/>
                <w:color w:val="auto"/>
              </w:rPr>
            </w:pPr>
          </w:p>
        </w:tc>
      </w:tr>
      <w:tr>
        <w:trPr>
          <w:trHeight w:val="260"/>
        </w:trPr>
        <w:tc>
          <w:tcPr>
            <w:tcW w:w="578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2"/>
                <w:szCs w:val="12"/>
                <w:color w:val="auto"/>
              </w:rPr>
              <w:t>The members of the Board of Directors and the Executive Committee may not be granted any loans,</w:t>
            </w:r>
          </w:p>
        </w:tc>
        <w:tc>
          <w:tcPr>
            <w:tcW w:w="220" w:type="dxa"/>
            <w:vAlign w:val="bottom"/>
            <w:tcBorders>
              <w:right w:val="single" w:sz="8" w:color="auto"/>
            </w:tcBorders>
          </w:tcPr>
          <w:p>
            <w:pPr>
              <w:spacing w:after="0"/>
              <w:rPr>
                <w:sz w:val="22"/>
                <w:szCs w:val="22"/>
                <w:color w:val="auto"/>
              </w:rPr>
            </w:pPr>
          </w:p>
        </w:tc>
        <w:tc>
          <w:tcPr>
            <w:tcW w:w="530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Les membres du conseil d'administration et du comité exécutif ne peuvent pas souscrire des</w:t>
            </w:r>
          </w:p>
        </w:tc>
        <w:tc>
          <w:tcPr>
            <w:tcW w:w="0" w:type="dxa"/>
            <w:vAlign w:val="bottom"/>
          </w:tcPr>
          <w:p>
            <w:pPr>
              <w:spacing w:after="0"/>
              <w:rPr>
                <w:sz w:val="1"/>
                <w:szCs w:val="1"/>
                <w:color w:val="auto"/>
              </w:rPr>
            </w:pPr>
          </w:p>
        </w:tc>
      </w:tr>
      <w:tr>
        <w:trPr>
          <w:trHeight w:val="135"/>
        </w:trPr>
        <w:tc>
          <w:tcPr>
            <w:tcW w:w="5780" w:type="dxa"/>
            <w:vAlign w:val="bottom"/>
            <w:tcBorders>
              <w:left w:val="single" w:sz="8" w:color="auto"/>
              <w:right w:val="single" w:sz="8" w:color="auto"/>
            </w:tcBorders>
            <w:gridSpan w:val="3"/>
          </w:tcPr>
          <w:p>
            <w:pPr>
              <w:ind w:left="40"/>
              <w:spacing w:after="0" w:line="135" w:lineRule="exact"/>
              <w:rPr>
                <w:sz w:val="20"/>
                <w:szCs w:val="20"/>
                <w:color w:val="auto"/>
              </w:rPr>
            </w:pPr>
            <w:r>
              <w:rPr>
                <w:rFonts w:ascii="Arial" w:cs="Arial" w:eastAsia="Arial" w:hAnsi="Arial"/>
                <w:sz w:val="12"/>
                <w:szCs w:val="12"/>
                <w:color w:val="auto"/>
              </w:rPr>
              <w:t>credits or securities. Excepted from the above are advances in the maximum amount of CHF 500'000 per</w:t>
            </w:r>
          </w:p>
        </w:tc>
        <w:tc>
          <w:tcPr>
            <w:tcW w:w="220" w:type="dxa"/>
            <w:vAlign w:val="bottom"/>
            <w:tcBorders>
              <w:right w:val="single" w:sz="8" w:color="auto"/>
            </w:tcBorders>
          </w:tcPr>
          <w:p>
            <w:pPr>
              <w:spacing w:after="0"/>
              <w:rPr>
                <w:sz w:val="11"/>
                <w:szCs w:val="11"/>
                <w:color w:val="auto"/>
              </w:rPr>
            </w:pPr>
          </w:p>
        </w:tc>
        <w:tc>
          <w:tcPr>
            <w:tcW w:w="530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prêts, des crédits ou des titres. Sont exceptées les avances d'un montant maximum de CHF</w:t>
            </w:r>
          </w:p>
        </w:tc>
        <w:tc>
          <w:tcPr>
            <w:tcW w:w="0" w:type="dxa"/>
            <w:vAlign w:val="bottom"/>
          </w:tcPr>
          <w:p>
            <w:pPr>
              <w:spacing w:after="0"/>
              <w:rPr>
                <w:sz w:val="1"/>
                <w:szCs w:val="1"/>
                <w:color w:val="auto"/>
              </w:rPr>
            </w:pPr>
          </w:p>
        </w:tc>
      </w:tr>
      <w:tr>
        <w:trPr>
          <w:trHeight w:val="135"/>
        </w:trPr>
        <w:tc>
          <w:tcPr>
            <w:tcW w:w="5780" w:type="dxa"/>
            <w:vAlign w:val="bottom"/>
            <w:tcBorders>
              <w:left w:val="single" w:sz="8" w:color="auto"/>
              <w:right w:val="single" w:sz="8" w:color="auto"/>
            </w:tcBorders>
            <w:gridSpan w:val="3"/>
          </w:tcPr>
          <w:p>
            <w:pPr>
              <w:ind w:left="40"/>
              <w:spacing w:after="0" w:line="135" w:lineRule="exact"/>
              <w:rPr>
                <w:sz w:val="20"/>
                <w:szCs w:val="20"/>
                <w:color w:val="auto"/>
              </w:rPr>
            </w:pPr>
            <w:r>
              <w:rPr>
                <w:rFonts w:ascii="Arial" w:cs="Arial" w:eastAsia="Arial" w:hAnsi="Arial"/>
                <w:sz w:val="12"/>
                <w:szCs w:val="12"/>
                <w:color w:val="auto"/>
              </w:rPr>
              <w:t>person for attorneys' fees, court and other similar costs required for the defence of third-party liability</w:t>
            </w:r>
          </w:p>
        </w:tc>
        <w:tc>
          <w:tcPr>
            <w:tcW w:w="220" w:type="dxa"/>
            <w:vAlign w:val="bottom"/>
            <w:tcBorders>
              <w:right w:val="single" w:sz="8" w:color="auto"/>
            </w:tcBorders>
          </w:tcPr>
          <w:p>
            <w:pPr>
              <w:spacing w:after="0"/>
              <w:rPr>
                <w:sz w:val="11"/>
                <w:szCs w:val="11"/>
                <w:color w:val="auto"/>
              </w:rPr>
            </w:pPr>
          </w:p>
        </w:tc>
        <w:tc>
          <w:tcPr>
            <w:tcW w:w="530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500'000 par personne pour les frais d'avocat, des coûts de tribunaux et d'autres coûts similaires</w:t>
            </w:r>
          </w:p>
        </w:tc>
        <w:tc>
          <w:tcPr>
            <w:tcW w:w="0" w:type="dxa"/>
            <w:vAlign w:val="bottom"/>
          </w:tcPr>
          <w:p>
            <w:pPr>
              <w:spacing w:after="0"/>
              <w:rPr>
                <w:sz w:val="1"/>
                <w:szCs w:val="1"/>
                <w:color w:val="auto"/>
              </w:rPr>
            </w:pPr>
          </w:p>
        </w:tc>
      </w:tr>
      <w:tr>
        <w:trPr>
          <w:trHeight w:val="145"/>
        </w:trPr>
        <w:tc>
          <w:tcPr>
            <w:tcW w:w="578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2"/>
                <w:szCs w:val="12"/>
                <w:color w:val="auto"/>
              </w:rPr>
              <w:t>claims permitted by Article 29.</w:t>
            </w:r>
          </w:p>
        </w:tc>
        <w:tc>
          <w:tcPr>
            <w:tcW w:w="220" w:type="dxa"/>
            <w:vAlign w:val="bottom"/>
            <w:tcBorders>
              <w:right w:val="single" w:sz="8" w:color="auto"/>
            </w:tcBorders>
          </w:tcPr>
          <w:p>
            <w:pPr>
              <w:spacing w:after="0"/>
              <w:rPr>
                <w:sz w:val="12"/>
                <w:szCs w:val="12"/>
                <w:color w:val="auto"/>
              </w:rPr>
            </w:pPr>
          </w:p>
        </w:tc>
        <w:tc>
          <w:tcPr>
            <w:tcW w:w="530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nécessaires à la défense contre des actions en responsabilité civile autorisés par l'article 29.</w:t>
            </w:r>
          </w:p>
        </w:tc>
        <w:tc>
          <w:tcPr>
            <w:tcW w:w="0" w:type="dxa"/>
            <w:vAlign w:val="bottom"/>
          </w:tcPr>
          <w:p>
            <w:pPr>
              <w:spacing w:after="0"/>
              <w:rPr>
                <w:sz w:val="1"/>
                <w:szCs w:val="1"/>
                <w:color w:val="auto"/>
              </w:rPr>
            </w:pPr>
          </w:p>
        </w:tc>
      </w:tr>
      <w:tr>
        <w:trPr>
          <w:trHeight w:val="36"/>
        </w:trPr>
        <w:tc>
          <w:tcPr>
            <w:tcW w:w="260" w:type="dxa"/>
            <w:vAlign w:val="bottom"/>
            <w:tcBorders>
              <w:left w:val="single" w:sz="8" w:color="auto"/>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22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530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60" w:type="dxa"/>
            <w:vAlign w:val="bottom"/>
            <w:tcBorders>
              <w:left w:val="single" w:sz="8" w:color="auto"/>
            </w:tcBorders>
          </w:tcPr>
          <w:p>
            <w:pPr>
              <w:ind w:left="40"/>
              <w:spacing w:after="0"/>
              <w:rPr>
                <w:sz w:val="20"/>
                <w:szCs w:val="20"/>
                <w:color w:val="auto"/>
              </w:rPr>
            </w:pPr>
            <w:r>
              <w:rPr>
                <w:rFonts w:ascii="Arial" w:cs="Arial" w:eastAsia="Arial" w:hAnsi="Arial"/>
                <w:sz w:val="12"/>
                <w:szCs w:val="12"/>
                <w:b w:val="1"/>
                <w:bCs w:val="1"/>
                <w:color w:val="auto"/>
                <w:w w:val="96"/>
              </w:rPr>
              <w:t>Art.</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40</w:t>
            </w:r>
          </w:p>
        </w:tc>
        <w:tc>
          <w:tcPr>
            <w:tcW w:w="5220" w:type="dxa"/>
            <w:vAlign w:val="bottom"/>
            <w:tcBorders>
              <w:right w:val="single" w:sz="8" w:color="auto"/>
            </w:tcBorders>
          </w:tcPr>
          <w:p>
            <w:pPr>
              <w:ind w:left="60"/>
              <w:spacing w:after="0"/>
              <w:rPr>
                <w:sz w:val="20"/>
                <w:szCs w:val="20"/>
                <w:color w:val="auto"/>
              </w:rPr>
            </w:pPr>
            <w:r>
              <w:rPr>
                <w:rFonts w:ascii="Arial" w:cs="Arial" w:eastAsia="Arial" w:hAnsi="Arial"/>
                <w:sz w:val="12"/>
                <w:szCs w:val="12"/>
                <w:b w:val="1"/>
                <w:bCs w:val="1"/>
                <w:color w:val="auto"/>
              </w:rPr>
              <w:t>Pension Funds</w:t>
            </w:r>
          </w:p>
        </w:tc>
        <w:tc>
          <w:tcPr>
            <w:tcW w:w="220" w:type="dxa"/>
            <w:vAlign w:val="bottom"/>
            <w:tcBorders>
              <w:right w:val="single" w:sz="8" w:color="auto"/>
            </w:tcBorders>
          </w:tcPr>
          <w:p>
            <w:pPr>
              <w:spacing w:after="0"/>
              <w:rPr>
                <w:sz w:val="15"/>
                <w:szCs w:val="15"/>
                <w:color w:val="auto"/>
              </w:rPr>
            </w:pPr>
          </w:p>
        </w:tc>
        <w:tc>
          <w:tcPr>
            <w:tcW w:w="530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Art. 40   Fonds de pension</w:t>
            </w:r>
          </w:p>
        </w:tc>
        <w:tc>
          <w:tcPr>
            <w:tcW w:w="0" w:type="dxa"/>
            <w:vAlign w:val="bottom"/>
          </w:tcPr>
          <w:p>
            <w:pPr>
              <w:spacing w:after="0"/>
              <w:rPr>
                <w:sz w:val="1"/>
                <w:szCs w:val="1"/>
                <w:color w:val="auto"/>
              </w:rPr>
            </w:pPr>
          </w:p>
        </w:tc>
      </w:tr>
      <w:tr>
        <w:trPr>
          <w:trHeight w:val="260"/>
        </w:trPr>
        <w:tc>
          <w:tcPr>
            <w:tcW w:w="578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2"/>
                <w:szCs w:val="12"/>
                <w:color w:val="auto"/>
              </w:rPr>
              <w:t>The Company shall remunerate members of the Board of Directors only in respect of the employer's</w:t>
            </w:r>
          </w:p>
        </w:tc>
        <w:tc>
          <w:tcPr>
            <w:tcW w:w="220" w:type="dxa"/>
            <w:vAlign w:val="bottom"/>
            <w:tcBorders>
              <w:right w:val="single" w:sz="8" w:color="auto"/>
            </w:tcBorders>
          </w:tcPr>
          <w:p>
            <w:pPr>
              <w:spacing w:after="0"/>
              <w:rPr>
                <w:sz w:val="22"/>
                <w:szCs w:val="22"/>
                <w:color w:val="auto"/>
              </w:rPr>
            </w:pPr>
          </w:p>
        </w:tc>
        <w:tc>
          <w:tcPr>
            <w:tcW w:w="530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La société ne doit rémunérer les membres du conseil d'administration que du montant dû au titre</w:t>
            </w:r>
          </w:p>
        </w:tc>
        <w:tc>
          <w:tcPr>
            <w:tcW w:w="0" w:type="dxa"/>
            <w:vAlign w:val="bottom"/>
          </w:tcPr>
          <w:p>
            <w:pPr>
              <w:spacing w:after="0"/>
              <w:rPr>
                <w:sz w:val="1"/>
                <w:szCs w:val="1"/>
                <w:color w:val="auto"/>
              </w:rPr>
            </w:pPr>
          </w:p>
        </w:tc>
      </w:tr>
      <w:tr>
        <w:trPr>
          <w:trHeight w:val="135"/>
        </w:trPr>
        <w:tc>
          <w:tcPr>
            <w:tcW w:w="5780" w:type="dxa"/>
            <w:vAlign w:val="bottom"/>
            <w:tcBorders>
              <w:left w:val="single" w:sz="8" w:color="auto"/>
              <w:right w:val="single" w:sz="8" w:color="auto"/>
            </w:tcBorders>
            <w:gridSpan w:val="3"/>
          </w:tcPr>
          <w:p>
            <w:pPr>
              <w:ind w:left="40"/>
              <w:spacing w:after="0" w:line="135" w:lineRule="exact"/>
              <w:rPr>
                <w:sz w:val="20"/>
                <w:szCs w:val="20"/>
                <w:color w:val="auto"/>
              </w:rPr>
            </w:pPr>
            <w:r>
              <w:rPr>
                <w:rFonts w:ascii="Arial" w:cs="Arial" w:eastAsia="Arial" w:hAnsi="Arial"/>
                <w:sz w:val="12"/>
                <w:szCs w:val="12"/>
                <w:color w:val="auto"/>
              </w:rPr>
              <w:t>mandatory contributions to social insurance. Above and beyond this, the Company shall not make any</w:t>
            </w:r>
          </w:p>
        </w:tc>
        <w:tc>
          <w:tcPr>
            <w:tcW w:w="220" w:type="dxa"/>
            <w:vAlign w:val="bottom"/>
            <w:tcBorders>
              <w:right w:val="single" w:sz="8" w:color="auto"/>
            </w:tcBorders>
          </w:tcPr>
          <w:p>
            <w:pPr>
              <w:spacing w:after="0"/>
              <w:rPr>
                <w:sz w:val="11"/>
                <w:szCs w:val="11"/>
                <w:color w:val="auto"/>
              </w:rPr>
            </w:pPr>
          </w:p>
        </w:tc>
        <w:tc>
          <w:tcPr>
            <w:tcW w:w="530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de contributions obligatoire de l'employeur à l'assurance sociale. Au-delà de ce montant, la</w:t>
            </w:r>
          </w:p>
        </w:tc>
        <w:tc>
          <w:tcPr>
            <w:tcW w:w="0" w:type="dxa"/>
            <w:vAlign w:val="bottom"/>
          </w:tcPr>
          <w:p>
            <w:pPr>
              <w:spacing w:after="0"/>
              <w:rPr>
                <w:sz w:val="1"/>
                <w:szCs w:val="1"/>
                <w:color w:val="auto"/>
              </w:rPr>
            </w:pPr>
          </w:p>
        </w:tc>
      </w:tr>
      <w:tr>
        <w:trPr>
          <w:trHeight w:val="135"/>
        </w:trPr>
        <w:tc>
          <w:tcPr>
            <w:tcW w:w="5780" w:type="dxa"/>
            <w:vAlign w:val="bottom"/>
            <w:tcBorders>
              <w:left w:val="single" w:sz="8" w:color="auto"/>
              <w:right w:val="single" w:sz="8" w:color="auto"/>
            </w:tcBorders>
            <w:gridSpan w:val="3"/>
          </w:tcPr>
          <w:p>
            <w:pPr>
              <w:ind w:left="40"/>
              <w:spacing w:after="0" w:line="135" w:lineRule="exact"/>
              <w:rPr>
                <w:sz w:val="20"/>
                <w:szCs w:val="20"/>
                <w:color w:val="auto"/>
              </w:rPr>
            </w:pPr>
            <w:r>
              <w:rPr>
                <w:rFonts w:ascii="Arial" w:cs="Arial" w:eastAsia="Arial" w:hAnsi="Arial"/>
                <w:sz w:val="12"/>
                <w:szCs w:val="12"/>
                <w:color w:val="auto"/>
              </w:rPr>
              <w:t>contributions to pension funds or other such pension plans. In exceptional cases, contributions such as</w:t>
            </w:r>
          </w:p>
        </w:tc>
        <w:tc>
          <w:tcPr>
            <w:tcW w:w="220" w:type="dxa"/>
            <w:vAlign w:val="bottom"/>
            <w:tcBorders>
              <w:right w:val="single" w:sz="8" w:color="auto"/>
            </w:tcBorders>
          </w:tcPr>
          <w:p>
            <w:pPr>
              <w:spacing w:after="0"/>
              <w:rPr>
                <w:sz w:val="11"/>
                <w:szCs w:val="11"/>
                <w:color w:val="auto"/>
              </w:rPr>
            </w:pPr>
          </w:p>
        </w:tc>
        <w:tc>
          <w:tcPr>
            <w:tcW w:w="530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société ne doit pas verser de cotisations à des institutions de prévoyance ou à d'autres régimes</w:t>
            </w:r>
          </w:p>
        </w:tc>
        <w:tc>
          <w:tcPr>
            <w:tcW w:w="0" w:type="dxa"/>
            <w:vAlign w:val="bottom"/>
          </w:tcPr>
          <w:p>
            <w:pPr>
              <w:spacing w:after="0"/>
              <w:rPr>
                <w:sz w:val="1"/>
                <w:szCs w:val="1"/>
                <w:color w:val="auto"/>
              </w:rPr>
            </w:pPr>
          </w:p>
        </w:tc>
      </w:tr>
      <w:tr>
        <w:trPr>
          <w:trHeight w:val="135"/>
        </w:trPr>
        <w:tc>
          <w:tcPr>
            <w:tcW w:w="5780" w:type="dxa"/>
            <w:vAlign w:val="bottom"/>
            <w:tcBorders>
              <w:left w:val="single" w:sz="8" w:color="auto"/>
              <w:right w:val="single" w:sz="8" w:color="auto"/>
            </w:tcBorders>
            <w:gridSpan w:val="3"/>
          </w:tcPr>
          <w:p>
            <w:pPr>
              <w:ind w:left="40"/>
              <w:spacing w:after="0" w:line="135" w:lineRule="exact"/>
              <w:rPr>
                <w:sz w:val="20"/>
                <w:szCs w:val="20"/>
                <w:color w:val="auto"/>
              </w:rPr>
            </w:pPr>
            <w:r>
              <w:rPr>
                <w:rFonts w:ascii="Arial" w:cs="Arial" w:eastAsia="Arial" w:hAnsi="Arial"/>
                <w:sz w:val="12"/>
                <w:szCs w:val="12"/>
                <w:color w:val="auto"/>
              </w:rPr>
              <w:t>these may be made subject to a request by the Compensation Committee and the approval of the General</w:t>
            </w:r>
          </w:p>
        </w:tc>
        <w:tc>
          <w:tcPr>
            <w:tcW w:w="220" w:type="dxa"/>
            <w:vAlign w:val="bottom"/>
            <w:tcBorders>
              <w:right w:val="single" w:sz="8" w:color="auto"/>
            </w:tcBorders>
          </w:tcPr>
          <w:p>
            <w:pPr>
              <w:spacing w:after="0"/>
              <w:rPr>
                <w:sz w:val="11"/>
                <w:szCs w:val="11"/>
                <w:color w:val="auto"/>
              </w:rPr>
            </w:pPr>
          </w:p>
        </w:tc>
        <w:tc>
          <w:tcPr>
            <w:tcW w:w="530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de retraite. Dans des cas exceptionnels, des contributions comme celles-ci peuvent être faites sur</w:t>
            </w:r>
          </w:p>
        </w:tc>
        <w:tc>
          <w:tcPr>
            <w:tcW w:w="0" w:type="dxa"/>
            <w:vAlign w:val="bottom"/>
          </w:tcPr>
          <w:p>
            <w:pPr>
              <w:spacing w:after="0"/>
              <w:rPr>
                <w:sz w:val="1"/>
                <w:szCs w:val="1"/>
                <w:color w:val="auto"/>
              </w:rPr>
            </w:pPr>
          </w:p>
        </w:tc>
      </w:tr>
      <w:tr>
        <w:trPr>
          <w:trHeight w:val="145"/>
        </w:trPr>
        <w:tc>
          <w:tcPr>
            <w:tcW w:w="560" w:type="dxa"/>
            <w:vAlign w:val="bottom"/>
            <w:tcBorders>
              <w:left w:val="single" w:sz="8" w:color="auto"/>
            </w:tcBorders>
            <w:gridSpan w:val="2"/>
          </w:tcPr>
          <w:p>
            <w:pPr>
              <w:ind w:left="40"/>
              <w:spacing w:after="0"/>
              <w:rPr>
                <w:sz w:val="20"/>
                <w:szCs w:val="20"/>
                <w:color w:val="auto"/>
              </w:rPr>
            </w:pPr>
            <w:r>
              <w:rPr>
                <w:rFonts w:ascii="Arial" w:cs="Arial" w:eastAsia="Arial" w:hAnsi="Arial"/>
                <w:sz w:val="12"/>
                <w:szCs w:val="12"/>
                <w:color w:val="auto"/>
              </w:rPr>
              <w:t>Meeting.</w:t>
            </w:r>
          </w:p>
        </w:tc>
        <w:tc>
          <w:tcPr>
            <w:tcW w:w="522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30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demande au comité de rémunération et sous réserve de l'approbation de l'assemblée générale.</w:t>
            </w:r>
          </w:p>
        </w:tc>
        <w:tc>
          <w:tcPr>
            <w:tcW w:w="0" w:type="dxa"/>
            <w:vAlign w:val="bottom"/>
          </w:tcPr>
          <w:p>
            <w:pPr>
              <w:spacing w:after="0"/>
              <w:rPr>
                <w:sz w:val="1"/>
                <w:szCs w:val="1"/>
                <w:color w:val="auto"/>
              </w:rPr>
            </w:pPr>
          </w:p>
        </w:tc>
      </w:tr>
      <w:tr>
        <w:trPr>
          <w:trHeight w:val="36"/>
        </w:trPr>
        <w:tc>
          <w:tcPr>
            <w:tcW w:w="260" w:type="dxa"/>
            <w:vAlign w:val="bottom"/>
            <w:tcBorders>
              <w:left w:val="single" w:sz="8" w:color="auto"/>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22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93"/>
        </w:trPr>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211" w:right="299" w:bottom="1440" w:gutter="0" w:footer="0" w:header="0"/>
        </w:sectPr>
      </w:pPr>
    </w:p>
    <w:bookmarkStart w:id="76" w:name="page77"/>
    <w:bookmarkEnd w:id="7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45"/>
        </w:trPr>
        <w:tc>
          <w:tcPr>
            <w:tcW w:w="5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520" w:type="dxa"/>
            <w:vAlign w:val="bottom"/>
          </w:tcPr>
          <w:p>
            <w:pPr>
              <w:ind w:left="5340"/>
              <w:spacing w:after="0"/>
              <w:rPr>
                <w:sz w:val="20"/>
                <w:szCs w:val="20"/>
                <w:color w:val="auto"/>
              </w:rPr>
            </w:pPr>
            <w:r>
              <w:rPr>
                <w:rFonts w:ascii="Arial" w:cs="Arial" w:eastAsia="Arial" w:hAnsi="Arial"/>
                <w:sz w:val="12"/>
                <w:szCs w:val="12"/>
                <w:color w:val="auto"/>
              </w:rPr>
              <w:t>31</w:t>
            </w:r>
          </w:p>
        </w:tc>
      </w:tr>
      <w:tr>
        <w:trPr>
          <w:trHeight w:val="63"/>
        </w:trPr>
        <w:tc>
          <w:tcPr>
            <w:tcW w:w="55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520" w:type="dxa"/>
            <w:vAlign w:val="bottom"/>
            <w:tcBorders>
              <w:bottom w:val="single" w:sz="8" w:color="auto"/>
            </w:tcBorders>
          </w:tcPr>
          <w:p>
            <w:pPr>
              <w:spacing w:after="0"/>
              <w:rPr>
                <w:sz w:val="5"/>
                <w:szCs w:val="5"/>
                <w:color w:val="auto"/>
              </w:rPr>
            </w:pPr>
          </w:p>
        </w:tc>
      </w:tr>
      <w:tr>
        <w:trPr>
          <w:trHeight w:val="168"/>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Members of the Executive Committee participate in the Company's pension plans (the Company's</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Les membres du comité exécutif participent aux régimes de retraite de la société (le fond de pension</w:t>
            </w:r>
          </w:p>
        </w:tc>
      </w:tr>
      <w:tr>
        <w:trPr>
          <w:trHeight w:val="135"/>
        </w:trPr>
        <w:tc>
          <w:tcPr>
            <w:tcW w:w="55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pension  fund  and  the  management  pension  plan).  The  pension  plans  conform  to  the  legal</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de la société et le régime de retraite du management). Les régimes de retraite sont conformes aux</w:t>
            </w:r>
          </w:p>
        </w:tc>
      </w:tr>
      <w:tr>
        <w:trPr>
          <w:trHeight w:val="135"/>
        </w:trPr>
        <w:tc>
          <w:tcPr>
            <w:tcW w:w="55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requirements. For members of the Executive Committee, the insured income is defined as the fixed</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exigences légales (LPP). Pour les membres du comité exécutif, le revenu assuré est défini comme la</w:t>
            </w:r>
          </w:p>
        </w:tc>
      </w:tr>
      <w:tr>
        <w:trPr>
          <w:trHeight w:val="135"/>
        </w:trPr>
        <w:tc>
          <w:tcPr>
            <w:tcW w:w="55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remuneration plus 50 percent of the target performance-related remuneration, up to the legal</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rémunération fixe plus les 50 pour cent de la rémunération liée à la performance, jusqu'au maximum</w:t>
            </w:r>
          </w:p>
        </w:tc>
      </w:tr>
      <w:tr>
        <w:trPr>
          <w:trHeight w:val="145"/>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maximum. Equity-linked income components are not included.</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légal. Les composantes du revenu liées au capital propre ne sont pas inclus.</w:t>
            </w:r>
          </w:p>
        </w:tc>
      </w:tr>
      <w:tr>
        <w:trPr>
          <w:trHeight w:val="36"/>
        </w:trPr>
        <w:tc>
          <w:tcPr>
            <w:tcW w:w="5540" w:type="dxa"/>
            <w:vAlign w:val="bottom"/>
            <w:tcBorders>
              <w:left w:val="single" w:sz="8" w:color="auto"/>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520" w:type="dxa"/>
            <w:vAlign w:val="bottom"/>
            <w:tcBorders>
              <w:bottom w:val="single" w:sz="8" w:color="auto"/>
              <w:right w:val="single" w:sz="8" w:color="auto"/>
            </w:tcBorders>
          </w:tcPr>
          <w:p>
            <w:pPr>
              <w:spacing w:after="0"/>
              <w:rPr>
                <w:sz w:val="3"/>
                <w:szCs w:val="3"/>
                <w:color w:val="auto"/>
              </w:rPr>
            </w:pPr>
          </w:p>
        </w:tc>
      </w:tr>
      <w:tr>
        <w:trPr>
          <w:trHeight w:val="168"/>
        </w:trPr>
        <w:tc>
          <w:tcPr>
            <w:tcW w:w="5540" w:type="dxa"/>
            <w:vAlign w:val="bottom"/>
            <w:tcBorders>
              <w:left w:val="single" w:sz="8" w:color="auto"/>
              <w:right w:val="single" w:sz="8" w:color="auto"/>
            </w:tcBorders>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Dans la rémunération globale approuvée par l'assemblée générale, la société pourra effectuer des</w:t>
            </w:r>
          </w:p>
        </w:tc>
      </w:tr>
      <w:tr>
        <w:trPr>
          <w:trHeight w:val="135"/>
        </w:trPr>
        <w:tc>
          <w:tcPr>
            <w:tcW w:w="55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Within the overall compensation approved by the General Meeting, the Company may make additional</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paiements supplémentaires dans les caisses de retraite de la société pour le bénéfice des membres</w:t>
            </w:r>
          </w:p>
        </w:tc>
      </w:tr>
      <w:tr>
        <w:trPr>
          <w:trHeight w:val="135"/>
        </w:trPr>
        <w:tc>
          <w:tcPr>
            <w:tcW w:w="55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payments into the Company's pension funds for the benefit of members of the Executive Committee in</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du comité exécutif afin de couvrir tout désavantage subi par suite de la modification de l'emploi ou</w:t>
            </w:r>
          </w:p>
        </w:tc>
      </w:tr>
      <w:tr>
        <w:trPr>
          <w:trHeight w:val="135"/>
        </w:trPr>
        <w:tc>
          <w:tcPr>
            <w:tcW w:w="55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order to cover any disadvantage suffered as a result of the change of jobs or to purchase additional</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pour acheter des droits de pension supplémentaires. Dans ce contexte, la société peut conclure des</w:t>
            </w:r>
          </w:p>
        </w:tc>
      </w:tr>
      <w:tr>
        <w:trPr>
          <w:trHeight w:val="135"/>
        </w:trPr>
        <w:tc>
          <w:tcPr>
            <w:tcW w:w="55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pension entitlements. In this context the Company may conclude life insurance policies on behalf of</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contrats d'assurance-vie au nom des membres du comité exécutif et payer en totalité ou en partie les</w:t>
            </w:r>
          </w:p>
        </w:tc>
      </w:tr>
      <w:tr>
        <w:trPr>
          <w:trHeight w:val="145"/>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members of the Executive Committee and pay the insurance premiums either fully or in part.</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primes d'assurance.</w:t>
            </w:r>
          </w:p>
        </w:tc>
      </w:tr>
      <w:tr>
        <w:trPr>
          <w:trHeight w:val="36"/>
        </w:trPr>
        <w:tc>
          <w:tcPr>
            <w:tcW w:w="5540" w:type="dxa"/>
            <w:vAlign w:val="bottom"/>
            <w:tcBorders>
              <w:left w:val="single" w:sz="8" w:color="auto"/>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520" w:type="dxa"/>
            <w:vAlign w:val="bottom"/>
            <w:tcBorders>
              <w:bottom w:val="single" w:sz="8" w:color="auto"/>
              <w:right w:val="single" w:sz="8" w:color="auto"/>
            </w:tcBorders>
          </w:tcPr>
          <w:p>
            <w:pPr>
              <w:spacing w:after="0"/>
              <w:rPr>
                <w:sz w:val="3"/>
                <w:szCs w:val="3"/>
                <w:color w:val="auto"/>
              </w:rPr>
            </w:pPr>
          </w:p>
        </w:tc>
      </w:tr>
      <w:tr>
        <w:trPr>
          <w:trHeight w:val="168"/>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Upon retirement, the Company may also grant members of the Executive Committee a bridging</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À la retraite, la société peut également accorder aux membres du comité exécutif, une pension de</w:t>
            </w:r>
          </w:p>
        </w:tc>
      </w:tr>
      <w:tr>
        <w:trPr>
          <w:trHeight w:val="135"/>
        </w:trPr>
        <w:tc>
          <w:tcPr>
            <w:tcW w:w="55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pension to cover the period between early retirement at 62 and the ordinary age of retirement, if such</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transition pour couvrir la période entre la retraite anticipée à 62 ans et l'âge ordinaire de la retraite, si</w:t>
            </w:r>
          </w:p>
        </w:tc>
      </w:tr>
      <w:tr>
        <w:trPr>
          <w:trHeight w:val="135"/>
        </w:trPr>
        <w:tc>
          <w:tcPr>
            <w:tcW w:w="55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bridging pension does not exceed 100 percent of the total annual compensation of the respective</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cette rente transitoire ne dépasse pas 100 pour cent du dernier montant de la rémunération annuelle</w:t>
            </w:r>
          </w:p>
        </w:tc>
      </w:tr>
      <w:tr>
        <w:trPr>
          <w:trHeight w:val="145"/>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member last paid.</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totale payée au membre respectif.</w:t>
            </w:r>
          </w:p>
        </w:tc>
      </w:tr>
      <w:tr>
        <w:trPr>
          <w:trHeight w:val="36"/>
        </w:trPr>
        <w:tc>
          <w:tcPr>
            <w:tcW w:w="5540" w:type="dxa"/>
            <w:vAlign w:val="bottom"/>
            <w:tcBorders>
              <w:left w:val="single" w:sz="8" w:color="auto"/>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520" w:type="dxa"/>
            <w:vAlign w:val="bottom"/>
            <w:tcBorders>
              <w:bottom w:val="single" w:sz="8" w:color="auto"/>
              <w:right w:val="single" w:sz="8" w:color="auto"/>
            </w:tcBorders>
          </w:tcPr>
          <w:p>
            <w:pPr>
              <w:spacing w:after="0"/>
              <w:rPr>
                <w:sz w:val="3"/>
                <w:szCs w:val="3"/>
                <w:color w:val="auto"/>
              </w:rPr>
            </w:pPr>
          </w:p>
        </w:tc>
      </w:tr>
      <w:tr>
        <w:trPr>
          <w:trHeight w:val="178"/>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b w:val="1"/>
                <w:bCs w:val="1"/>
                <w:color w:val="auto"/>
              </w:rPr>
              <w:t>Art. 41   Option and Share Plans</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tcPr>
          <w:p>
            <w:pPr>
              <w:ind w:left="40"/>
              <w:spacing w:after="0"/>
              <w:rPr>
                <w:sz w:val="20"/>
                <w:szCs w:val="20"/>
                <w:color w:val="auto"/>
              </w:rPr>
            </w:pPr>
            <w:r>
              <w:rPr>
                <w:rFonts w:ascii="Arial" w:cs="Arial" w:eastAsia="Arial" w:hAnsi="Arial"/>
                <w:sz w:val="12"/>
                <w:szCs w:val="12"/>
                <w:b w:val="1"/>
                <w:bCs w:val="1"/>
                <w:color w:val="auto"/>
              </w:rPr>
              <w:t>Art. 41  Options et plan d'actions</w:t>
            </w:r>
          </w:p>
        </w:tc>
      </w:tr>
      <w:tr>
        <w:trPr>
          <w:trHeight w:val="260"/>
        </w:trPr>
        <w:tc>
          <w:tcPr>
            <w:tcW w:w="5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Under the Company's Long Term Incentive Plan, the Board of Directors, upon proposal of the</w:t>
            </w:r>
          </w:p>
        </w:tc>
        <w:tc>
          <w:tcPr>
            <w:tcW w:w="240" w:type="dxa"/>
            <w:vAlign w:val="bottom"/>
            <w:tcBorders>
              <w:right w:val="single" w:sz="8" w:color="auto"/>
            </w:tcBorders>
          </w:tcPr>
          <w:p>
            <w:pPr>
              <w:spacing w:after="0"/>
              <w:rPr>
                <w:sz w:val="22"/>
                <w:szCs w:val="22"/>
                <w:color w:val="auto"/>
              </w:rPr>
            </w:pPr>
          </w:p>
        </w:tc>
        <w:tc>
          <w:tcPr>
            <w:tcW w:w="55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En vertu du plan d’intéressement à long terme de la société, le conseil d'administration, sur</w:t>
            </w:r>
          </w:p>
        </w:tc>
      </w:tr>
      <w:tr>
        <w:trPr>
          <w:trHeight w:val="135"/>
        </w:trPr>
        <w:tc>
          <w:tcPr>
            <w:tcW w:w="55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Compensation Committee, allocates the participating members of the Executive Committee and the</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proposition du comité de rémunération, attribue aux membres participants du comité exécutif et du</w:t>
            </w:r>
          </w:p>
        </w:tc>
      </w:tr>
      <w:tr>
        <w:trPr>
          <w:trHeight w:val="135"/>
        </w:trPr>
        <w:tc>
          <w:tcPr>
            <w:tcW w:w="55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Board of Directors a fixed number of options or shares with a vesting or a blocking period (the vesting</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conseil d'administration un nombre fixe d'options ou d'actions avec une période de vesting ou de</w:t>
            </w:r>
          </w:p>
        </w:tc>
      </w:tr>
      <w:tr>
        <w:trPr>
          <w:trHeight w:val="135"/>
        </w:trPr>
        <w:tc>
          <w:tcPr>
            <w:tcW w:w="55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period). At the end of the vesting period, participants in the Long Term Incentive Plan are entitled to</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blocage (la "Période de Vesting "). À la fin de la Période de Vesting, les participants au plan</w:t>
            </w:r>
          </w:p>
        </w:tc>
      </w:tr>
      <w:tr>
        <w:trPr>
          <w:trHeight w:val="135"/>
        </w:trPr>
        <w:tc>
          <w:tcPr>
            <w:tcW w:w="55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exercise the options granted against payment of the strike price. These options to acquire shares in</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d’intéressement à long terme sont habilités à exercer les options attribuées contre paiement du prix</w:t>
            </w:r>
          </w:p>
        </w:tc>
      </w:tr>
      <w:tr>
        <w:trPr>
          <w:trHeight w:val="135"/>
        </w:trPr>
        <w:tc>
          <w:tcPr>
            <w:tcW w:w="554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the Company or allocated shares are subject to the basic principles set out in the following:</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d'exercice. Ces options d'achat d'actions de la société ou d'actions attribuées sont soumises aux</w:t>
            </w:r>
          </w:p>
        </w:tc>
      </w:tr>
      <w:tr>
        <w:trPr>
          <w:trHeight w:val="145"/>
        </w:trPr>
        <w:tc>
          <w:tcPr>
            <w:tcW w:w="5540" w:type="dxa"/>
            <w:vAlign w:val="bottom"/>
            <w:tcBorders>
              <w:left w:val="single" w:sz="8" w:color="auto"/>
              <w:right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principes de base suivants:</w:t>
            </w:r>
          </w:p>
        </w:tc>
      </w:tr>
      <w:tr>
        <w:trPr>
          <w:trHeight w:val="36"/>
        </w:trPr>
        <w:tc>
          <w:tcPr>
            <w:tcW w:w="5540" w:type="dxa"/>
            <w:vAlign w:val="bottom"/>
            <w:tcBorders>
              <w:left w:val="single" w:sz="8" w:color="auto"/>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520" w:type="dxa"/>
            <w:vAlign w:val="bottom"/>
            <w:tcBorders>
              <w:bottom w:val="single" w:sz="8" w:color="auto"/>
              <w:right w:val="single" w:sz="8" w:color="auto"/>
            </w:tcBorders>
          </w:tcPr>
          <w:p>
            <w:pPr>
              <w:spacing w:after="0"/>
              <w:rPr>
                <w:sz w:val="3"/>
                <w:szCs w:val="3"/>
                <w:color w:val="auto"/>
              </w:rPr>
            </w:pPr>
          </w:p>
        </w:tc>
      </w:tr>
      <w:tr>
        <w:trPr>
          <w:trHeight w:val="493"/>
        </w:trPr>
        <w:tc>
          <w:tcPr>
            <w:tcW w:w="5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211" w:right="299" w:bottom="1440" w:gutter="0" w:footer="0" w:header="0"/>
        </w:sectPr>
      </w:pPr>
    </w:p>
    <w:bookmarkStart w:id="77" w:name="page78"/>
    <w:bookmarkEnd w:id="77"/>
    <w:p>
      <w:pPr>
        <w:ind w:left="11074"/>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44450</wp:posOffset>
            </wp:positionV>
            <wp:extent cx="7178040" cy="22974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2297430"/>
                    </a:xfrm>
                    <a:prstGeom prst="rect">
                      <a:avLst/>
                    </a:prstGeom>
                    <a:noFill/>
                  </pic:spPr>
                </pic:pic>
              </a:graphicData>
            </a:graphic>
          </wp:anchor>
        </w:drawing>
      </w:r>
    </w:p>
    <w:p>
      <w:pPr>
        <w:sectPr>
          <w:pgSz w:w="11900" w:h="16838" w:orient="portrait"/>
          <w:cols w:equalWidth="0" w:num="1">
            <w:col w:w="11214"/>
          </w:cols>
          <w:pgMar w:left="346" w:top="211" w:right="339" w:bottom="1440" w:gutter="0" w:footer="0" w:header="0"/>
        </w:sectPr>
      </w:pPr>
    </w:p>
    <w:p>
      <w:pPr>
        <w:spacing w:after="0" w:line="123" w:lineRule="exact"/>
        <w:rPr>
          <w:sz w:val="20"/>
          <w:szCs w:val="20"/>
          <w:color w:val="auto"/>
        </w:rPr>
      </w:pPr>
    </w:p>
    <w:p>
      <w:pPr>
        <w:jc w:val="both"/>
        <w:ind w:left="254" w:hanging="254"/>
        <w:spacing w:after="0"/>
        <w:tabs>
          <w:tab w:leader="none" w:pos="302" w:val="left"/>
        </w:tabs>
        <w:numPr>
          <w:ilvl w:val="0"/>
          <w:numId w:val="15"/>
        </w:numPr>
        <w:rPr>
          <w:rFonts w:ascii="Arial" w:cs="Arial" w:eastAsia="Arial" w:hAnsi="Arial"/>
          <w:sz w:val="12"/>
          <w:szCs w:val="12"/>
          <w:color w:val="auto"/>
        </w:rPr>
      </w:pPr>
      <w:r>
        <w:rPr>
          <w:rFonts w:ascii="Arial" w:cs="Arial" w:eastAsia="Arial" w:hAnsi="Arial"/>
          <w:sz w:val="12"/>
          <w:szCs w:val="12"/>
          <w:color w:val="auto"/>
        </w:rPr>
        <w:t>it is the sole discretion of the Board of Directors to decide whether to allocate options or shares and to whom and to determine the valuation of each compensation element on the basis of the principles that apply to the establishment of the compensation report;</w:t>
      </w:r>
    </w:p>
    <w:p>
      <w:pPr>
        <w:spacing w:after="0" w:line="261" w:lineRule="exact"/>
        <w:rPr>
          <w:rFonts w:ascii="Arial" w:cs="Arial" w:eastAsia="Arial" w:hAnsi="Arial"/>
          <w:sz w:val="12"/>
          <w:szCs w:val="12"/>
          <w:color w:val="auto"/>
        </w:rPr>
      </w:pPr>
    </w:p>
    <w:p>
      <w:pPr>
        <w:ind w:left="254" w:hanging="254"/>
        <w:spacing w:after="0" w:line="246" w:lineRule="auto"/>
        <w:tabs>
          <w:tab w:leader="none" w:pos="253" w:val="left"/>
        </w:tabs>
        <w:numPr>
          <w:ilvl w:val="0"/>
          <w:numId w:val="15"/>
        </w:numPr>
        <w:rPr>
          <w:rFonts w:ascii="Arial" w:cs="Arial" w:eastAsia="Arial" w:hAnsi="Arial"/>
          <w:sz w:val="12"/>
          <w:szCs w:val="12"/>
          <w:color w:val="auto"/>
        </w:rPr>
      </w:pPr>
      <w:r>
        <w:rPr>
          <w:rFonts w:ascii="Arial" w:cs="Arial" w:eastAsia="Arial" w:hAnsi="Arial"/>
          <w:sz w:val="12"/>
          <w:szCs w:val="12"/>
          <w:color w:val="auto"/>
        </w:rPr>
        <w:t>each year, the Board of Directors, upon proposal of the Compensation Committee, stipulates the number of options and shares to be allocated, the date of allocation and the strike price;</w:t>
      </w:r>
    </w:p>
    <w:p>
      <w:pPr>
        <w:spacing w:after="0" w:line="122" w:lineRule="exact"/>
        <w:rPr>
          <w:rFonts w:ascii="Arial" w:cs="Arial" w:eastAsia="Arial" w:hAnsi="Arial"/>
          <w:sz w:val="12"/>
          <w:szCs w:val="12"/>
          <w:color w:val="auto"/>
        </w:rPr>
      </w:pPr>
    </w:p>
    <w:p>
      <w:pPr>
        <w:ind w:left="254" w:hanging="254"/>
        <w:spacing w:after="0" w:line="246" w:lineRule="auto"/>
        <w:tabs>
          <w:tab w:leader="none" w:pos="232" w:val="left"/>
        </w:tabs>
        <w:numPr>
          <w:ilvl w:val="0"/>
          <w:numId w:val="15"/>
        </w:numPr>
        <w:rPr>
          <w:rFonts w:ascii="Arial" w:cs="Arial" w:eastAsia="Arial" w:hAnsi="Arial"/>
          <w:sz w:val="12"/>
          <w:szCs w:val="12"/>
          <w:color w:val="auto"/>
        </w:rPr>
      </w:pPr>
      <w:r>
        <w:rPr>
          <w:rFonts w:ascii="Arial" w:cs="Arial" w:eastAsia="Arial" w:hAnsi="Arial"/>
          <w:sz w:val="12"/>
          <w:szCs w:val="12"/>
          <w:color w:val="auto"/>
        </w:rPr>
        <w:t>each option incorporates a non-transferable, pre-emptive, and contingent right to acquire a certain number of Company's shares;</w:t>
      </w:r>
    </w:p>
    <w:p>
      <w:pPr>
        <w:spacing w:after="0" w:line="122" w:lineRule="exact"/>
        <w:rPr>
          <w:rFonts w:ascii="Arial" w:cs="Arial" w:eastAsia="Arial" w:hAnsi="Arial"/>
          <w:sz w:val="12"/>
          <w:szCs w:val="12"/>
          <w:color w:val="auto"/>
        </w:rPr>
      </w:pPr>
    </w:p>
    <w:p>
      <w:pPr>
        <w:jc w:val="both"/>
        <w:ind w:left="254" w:hanging="254"/>
        <w:spacing w:after="0" w:line="237" w:lineRule="auto"/>
        <w:tabs>
          <w:tab w:leader="none" w:pos="283"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 the case of a change of control (as defined in the Long Term Incentive Plan) or delisting of the Company's shares, the vesting period shall end (accelerated vesting) and the participant shall be entitled to exercise the options on a pro rata basis on the day the transaction that led to the change of control or delisting was executed. It is at the sole discretion of the Board of Directors to decide upon proposal of the Compensation Committee whether the financial objectives have been met;</w:t>
      </w:r>
    </w:p>
    <w:p>
      <w:pPr>
        <w:spacing w:after="0" w:line="397" w:lineRule="exact"/>
        <w:rPr>
          <w:rFonts w:ascii="Arial" w:cs="Arial" w:eastAsia="Arial" w:hAnsi="Arial"/>
          <w:sz w:val="12"/>
          <w:szCs w:val="12"/>
          <w:color w:val="auto"/>
        </w:rPr>
      </w:pPr>
    </w:p>
    <w:p>
      <w:pPr>
        <w:jc w:val="both"/>
        <w:ind w:left="254" w:hanging="254"/>
        <w:spacing w:after="0"/>
        <w:tabs>
          <w:tab w:leader="none" w:pos="287"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individual members of the Executive Committee or the Board of Directors participating in the Long Term Incentive Plan are responsible for paying any taxes or social security contributions and for declaring income correctly to the authorities;</w:t>
      </w:r>
    </w:p>
    <w:p>
      <w:pPr>
        <w:spacing w:after="0" w:line="126" w:lineRule="exact"/>
        <w:rPr>
          <w:rFonts w:ascii="Arial" w:cs="Arial" w:eastAsia="Arial" w:hAnsi="Arial"/>
          <w:sz w:val="12"/>
          <w:szCs w:val="12"/>
          <w:color w:val="auto"/>
        </w:rPr>
      </w:pPr>
    </w:p>
    <w:p>
      <w:pPr>
        <w:ind w:left="254" w:hanging="254"/>
        <w:spacing w:after="0" w:line="246" w:lineRule="auto"/>
        <w:tabs>
          <w:tab w:leader="none" w:pos="302" w:val="left"/>
        </w:tabs>
        <w:numPr>
          <w:ilvl w:val="0"/>
          <w:numId w:val="15"/>
        </w:numPr>
        <w:rPr>
          <w:rFonts w:ascii="Arial" w:cs="Arial" w:eastAsia="Arial" w:hAnsi="Arial"/>
          <w:sz w:val="12"/>
          <w:szCs w:val="12"/>
          <w:color w:val="auto"/>
        </w:rPr>
      </w:pPr>
      <w:r>
        <w:rPr>
          <w:rFonts w:ascii="Arial" w:cs="Arial" w:eastAsia="Arial" w:hAnsi="Arial"/>
          <w:sz w:val="12"/>
          <w:szCs w:val="12"/>
          <w:color w:val="auto"/>
        </w:rPr>
        <w:t>it is at the sole discretion of the Board of Directors to decide whether to supplement the Long Term Incentive Plan within the bounds of the principles set out above or to discontinue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346710</wp:posOffset>
            </wp:positionV>
            <wp:extent cx="717804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jc w:val="both"/>
        <w:ind w:left="305" w:right="20" w:hanging="305"/>
        <w:spacing w:after="0"/>
        <w:tabs>
          <w:tab w:leader="none" w:pos="331" w:val="left"/>
        </w:tabs>
        <w:numPr>
          <w:ilvl w:val="0"/>
          <w:numId w:val="16"/>
        </w:numPr>
        <w:rPr>
          <w:rFonts w:ascii="Arial" w:cs="Arial" w:eastAsia="Arial" w:hAnsi="Arial"/>
          <w:sz w:val="12"/>
          <w:szCs w:val="12"/>
          <w:color w:val="auto"/>
        </w:rPr>
      </w:pPr>
      <w:r>
        <w:rPr>
          <w:rFonts w:ascii="Arial" w:cs="Arial" w:eastAsia="Arial" w:hAnsi="Arial"/>
          <w:sz w:val="12"/>
          <w:szCs w:val="12"/>
          <w:color w:val="auto"/>
        </w:rPr>
        <w:t>il relève de la libre appréciation du conseil d'administration de décider si des options ou actions sont attribuées et à qui et de déterminer l'évaluation de chaque élément de rémunération sur la base des principes qui s'appliquent à l'établissement du rapport de rémunération;</w:t>
      </w:r>
    </w:p>
    <w:p>
      <w:pPr>
        <w:spacing w:after="0" w:line="126" w:lineRule="exact"/>
        <w:rPr>
          <w:rFonts w:ascii="Arial" w:cs="Arial" w:eastAsia="Arial" w:hAnsi="Arial"/>
          <w:sz w:val="12"/>
          <w:szCs w:val="12"/>
          <w:color w:val="auto"/>
        </w:rPr>
      </w:pPr>
    </w:p>
    <w:p>
      <w:pPr>
        <w:ind w:left="305" w:right="20" w:hanging="305"/>
        <w:spacing w:after="0" w:line="246" w:lineRule="auto"/>
        <w:tabs>
          <w:tab w:leader="none" w:pos="377" w:val="left"/>
        </w:tabs>
        <w:numPr>
          <w:ilvl w:val="0"/>
          <w:numId w:val="16"/>
        </w:numPr>
        <w:rPr>
          <w:rFonts w:ascii="Arial" w:cs="Arial" w:eastAsia="Arial" w:hAnsi="Arial"/>
          <w:sz w:val="12"/>
          <w:szCs w:val="12"/>
          <w:color w:val="auto"/>
        </w:rPr>
      </w:pPr>
      <w:r>
        <w:rPr>
          <w:rFonts w:ascii="Arial" w:cs="Arial" w:eastAsia="Arial" w:hAnsi="Arial"/>
          <w:sz w:val="12"/>
          <w:szCs w:val="12"/>
          <w:color w:val="auto"/>
        </w:rPr>
        <w:t>chaque année, le conseil d'administration, sur proposition du comité de rémunération, fixe le nombre d'options et d'actions à attribuer, la date d'attribution et le prix d'exercice;</w:t>
      </w:r>
    </w:p>
    <w:p>
      <w:pPr>
        <w:spacing w:after="0" w:line="122" w:lineRule="exact"/>
        <w:rPr>
          <w:rFonts w:ascii="Arial" w:cs="Arial" w:eastAsia="Arial" w:hAnsi="Arial"/>
          <w:sz w:val="12"/>
          <w:szCs w:val="12"/>
          <w:color w:val="auto"/>
        </w:rPr>
      </w:pPr>
    </w:p>
    <w:p>
      <w:pPr>
        <w:ind w:left="305" w:right="20" w:hanging="305"/>
        <w:spacing w:after="0" w:line="246" w:lineRule="auto"/>
        <w:tabs>
          <w:tab w:leader="none" w:pos="386" w:val="left"/>
        </w:tabs>
        <w:numPr>
          <w:ilvl w:val="0"/>
          <w:numId w:val="16"/>
        </w:numPr>
        <w:rPr>
          <w:rFonts w:ascii="Arial" w:cs="Arial" w:eastAsia="Arial" w:hAnsi="Arial"/>
          <w:sz w:val="12"/>
          <w:szCs w:val="12"/>
          <w:color w:val="auto"/>
        </w:rPr>
      </w:pPr>
      <w:r>
        <w:rPr>
          <w:rFonts w:ascii="Arial" w:cs="Arial" w:eastAsia="Arial" w:hAnsi="Arial"/>
          <w:sz w:val="12"/>
          <w:szCs w:val="12"/>
          <w:color w:val="auto"/>
        </w:rPr>
        <w:t>chaque option comporte un droit non transférable, de souscription préférentielle et optionnel d'acquérir un certain nombre d'actions de la société;</w:t>
      </w:r>
    </w:p>
    <w:p>
      <w:pPr>
        <w:spacing w:after="0" w:line="122" w:lineRule="exact"/>
        <w:rPr>
          <w:rFonts w:ascii="Arial" w:cs="Arial" w:eastAsia="Arial" w:hAnsi="Arial"/>
          <w:sz w:val="12"/>
          <w:szCs w:val="12"/>
          <w:color w:val="auto"/>
        </w:rPr>
      </w:pPr>
    </w:p>
    <w:p>
      <w:pPr>
        <w:jc w:val="both"/>
        <w:ind w:left="305" w:right="20" w:hanging="305"/>
        <w:spacing w:after="0" w:line="237" w:lineRule="auto"/>
        <w:tabs>
          <w:tab w:leader="none" w:pos="377" w:val="left"/>
        </w:tabs>
        <w:numPr>
          <w:ilvl w:val="0"/>
          <w:numId w:val="16"/>
        </w:numPr>
        <w:rPr>
          <w:rFonts w:ascii="Arial" w:cs="Arial" w:eastAsia="Arial" w:hAnsi="Arial"/>
          <w:sz w:val="12"/>
          <w:szCs w:val="12"/>
          <w:color w:val="auto"/>
        </w:rPr>
      </w:pPr>
      <w:r>
        <w:rPr>
          <w:rFonts w:ascii="Arial" w:cs="Arial" w:eastAsia="Arial" w:hAnsi="Arial"/>
          <w:sz w:val="12"/>
          <w:szCs w:val="12"/>
          <w:color w:val="auto"/>
        </w:rPr>
        <w:t>dans le cas d'un changement de contrôle (tel que défini dans le plan d’intéressement à long terme) ou la radiation des actions de la société, la Période de Vesting prend fin (vesting accéléré) et le participant est en droit d'exercer les options sur une base pro rata, le jour de la transaction qui a conduit à un changement de contrôle ou le jour où la radiation a été exécutée. Il relève de la libre appréciation du conseil d'administration de décider, sur proposition du comité de rémunération, si les objectifs financiers ont été atteints;</w:t>
      </w:r>
    </w:p>
    <w:p>
      <w:pPr>
        <w:spacing w:after="0" w:line="127" w:lineRule="exact"/>
        <w:rPr>
          <w:rFonts w:ascii="Arial" w:cs="Arial" w:eastAsia="Arial" w:hAnsi="Arial"/>
          <w:sz w:val="12"/>
          <w:szCs w:val="12"/>
          <w:color w:val="auto"/>
        </w:rPr>
      </w:pPr>
    </w:p>
    <w:p>
      <w:pPr>
        <w:jc w:val="both"/>
        <w:ind w:left="305" w:right="20" w:hanging="305"/>
        <w:spacing w:after="0"/>
        <w:tabs>
          <w:tab w:leader="none" w:pos="427" w:val="left"/>
        </w:tabs>
        <w:numPr>
          <w:ilvl w:val="0"/>
          <w:numId w:val="16"/>
        </w:numPr>
        <w:rPr>
          <w:rFonts w:ascii="Arial" w:cs="Arial" w:eastAsia="Arial" w:hAnsi="Arial"/>
          <w:sz w:val="12"/>
          <w:szCs w:val="12"/>
          <w:color w:val="auto"/>
        </w:rPr>
      </w:pPr>
      <w:r>
        <w:rPr>
          <w:rFonts w:ascii="Arial" w:cs="Arial" w:eastAsia="Arial" w:hAnsi="Arial"/>
          <w:sz w:val="12"/>
          <w:szCs w:val="12"/>
          <w:color w:val="auto"/>
        </w:rPr>
        <w:t>les membres individuels du comité exécutif ou du conseil d'administration qui participent au plan d’intéressement à long terme sont responsables du paiement de tous les impôts ou cotisations de sécurité sociale et de déclarer correctement le revenu aux autorités;</w:t>
      </w:r>
    </w:p>
    <w:p>
      <w:pPr>
        <w:spacing w:after="0" w:line="123" w:lineRule="exact"/>
        <w:rPr>
          <w:rFonts w:ascii="Arial" w:cs="Arial" w:eastAsia="Arial" w:hAnsi="Arial"/>
          <w:sz w:val="12"/>
          <w:szCs w:val="12"/>
          <w:color w:val="auto"/>
        </w:rPr>
      </w:pPr>
    </w:p>
    <w:p>
      <w:pPr>
        <w:ind w:left="325" w:hanging="325"/>
        <w:spacing w:after="0"/>
        <w:tabs>
          <w:tab w:leader="none" w:pos="325" w:val="left"/>
        </w:tabs>
        <w:numPr>
          <w:ilvl w:val="0"/>
          <w:numId w:val="16"/>
        </w:numPr>
        <w:rPr>
          <w:rFonts w:ascii="Arial" w:cs="Arial" w:eastAsia="Arial" w:hAnsi="Arial"/>
          <w:sz w:val="12"/>
          <w:szCs w:val="12"/>
          <w:color w:val="auto"/>
        </w:rPr>
      </w:pPr>
      <w:r>
        <w:rPr>
          <w:rFonts w:ascii="Arial" w:cs="Arial" w:eastAsia="Arial" w:hAnsi="Arial"/>
          <w:sz w:val="12"/>
          <w:szCs w:val="12"/>
          <w:color w:val="auto"/>
        </w:rPr>
        <w:t>il relève de la libre appréciation du conseil d'administration de compléter le plan d’intéressement</w:t>
      </w:r>
    </w:p>
    <w:p>
      <w:pPr>
        <w:ind w:left="405" w:hanging="101"/>
        <w:spacing w:after="0"/>
        <w:tabs>
          <w:tab w:leader="none" w:pos="405" w:val="left"/>
        </w:tabs>
        <w:numPr>
          <w:ilvl w:val="1"/>
          <w:numId w:val="16"/>
        </w:numPr>
        <w:rPr>
          <w:rFonts w:ascii="Arial" w:cs="Arial" w:eastAsia="Arial" w:hAnsi="Arial"/>
          <w:sz w:val="12"/>
          <w:szCs w:val="12"/>
          <w:color w:val="auto"/>
        </w:rPr>
      </w:pPr>
      <w:r>
        <w:rPr>
          <w:rFonts w:ascii="Arial" w:cs="Arial" w:eastAsia="Arial" w:hAnsi="Arial"/>
          <w:sz w:val="12"/>
          <w:szCs w:val="12"/>
          <w:color w:val="auto"/>
        </w:rPr>
        <w:t>long terme dans les limites des principes énoncés ci-dessus ou de l'interrompre.</w:t>
      </w:r>
    </w:p>
    <w:p>
      <w:pPr>
        <w:sectPr>
          <w:pgSz w:w="11900" w:h="16838" w:orient="portrait"/>
          <w:cols w:equalWidth="0" w:num="2">
            <w:col w:w="5434" w:space="335"/>
            <w:col w:w="5445"/>
          </w:cols>
          <w:pgMar w:left="346" w:top="211" w:right="339" w:bottom="1440" w:gutter="0" w:footer="0" w:header="0"/>
          <w:type w:val="continuous"/>
        </w:sectPr>
      </w:pPr>
    </w:p>
    <w:bookmarkStart w:id="78" w:name="page79"/>
    <w:bookmarkEnd w:id="78"/>
    <w:tbl>
      <w:tblPr>
        <w:tblLayout w:type="fixed"/>
        <w:tblInd w:w="10" w:type="dxa"/>
        <w:tblCellMar>
          <w:top w:w="0" w:type="dxa"/>
          <w:left w:w="0" w:type="dxa"/>
          <w:bottom w:w="0" w:type="dxa"/>
          <w:right w:w="0" w:type="dxa"/>
        </w:tblCellMar>
      </w:tblPr>
      <w:tr>
        <w:trPr>
          <w:trHeight w:val="145"/>
        </w:trPr>
        <w:tc>
          <w:tcPr>
            <w:tcW w:w="50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20" w:type="dxa"/>
            <w:vAlign w:val="bottom"/>
          </w:tcPr>
          <w:p>
            <w:pPr>
              <w:ind w:left="4840"/>
              <w:spacing w:after="0"/>
              <w:rPr>
                <w:sz w:val="20"/>
                <w:szCs w:val="20"/>
                <w:color w:val="auto"/>
              </w:rPr>
            </w:pPr>
            <w:r>
              <w:rPr>
                <w:rFonts w:ascii="Arial" w:cs="Arial" w:eastAsia="Arial" w:hAnsi="Arial"/>
                <w:sz w:val="12"/>
                <w:szCs w:val="12"/>
                <w:color w:val="auto"/>
              </w:rPr>
              <w:t>33</w:t>
            </w:r>
          </w:p>
        </w:tc>
      </w:tr>
      <w:tr>
        <w:trPr>
          <w:trHeight w:val="63"/>
        </w:trPr>
        <w:tc>
          <w:tcPr>
            <w:tcW w:w="500" w:type="dxa"/>
            <w:vAlign w:val="bottom"/>
            <w:tcBorders>
              <w:bottom w:val="single" w:sz="8" w:color="auto"/>
            </w:tcBorders>
          </w:tcPr>
          <w:p>
            <w:pPr>
              <w:spacing w:after="0"/>
              <w:rPr>
                <w:sz w:val="5"/>
                <w:szCs w:val="5"/>
                <w:color w:val="auto"/>
              </w:rPr>
            </w:pPr>
          </w:p>
        </w:tc>
        <w:tc>
          <w:tcPr>
            <w:tcW w:w="50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520" w:type="dxa"/>
            <w:vAlign w:val="bottom"/>
            <w:tcBorders>
              <w:bottom w:val="single" w:sz="8" w:color="auto"/>
            </w:tcBorders>
            <w:gridSpan w:val="2"/>
          </w:tcPr>
          <w:p>
            <w:pPr>
              <w:spacing w:after="0"/>
              <w:rPr>
                <w:sz w:val="5"/>
                <w:szCs w:val="5"/>
                <w:color w:val="auto"/>
              </w:rPr>
            </w:pPr>
          </w:p>
        </w:tc>
      </w:tr>
      <w:tr>
        <w:trPr>
          <w:trHeight w:val="168"/>
        </w:trPr>
        <w:tc>
          <w:tcPr>
            <w:tcW w:w="500" w:type="dxa"/>
            <w:vAlign w:val="bottom"/>
            <w:tcBorders>
              <w:left w:val="single" w:sz="8" w:color="auto"/>
            </w:tcBorders>
          </w:tcPr>
          <w:p>
            <w:pPr>
              <w:spacing w:after="0"/>
              <w:rPr>
                <w:sz w:val="14"/>
                <w:szCs w:val="14"/>
                <w:color w:val="auto"/>
              </w:rPr>
            </w:pPr>
          </w:p>
        </w:tc>
        <w:tc>
          <w:tcPr>
            <w:tcW w:w="5040" w:type="dxa"/>
            <w:vAlign w:val="bottom"/>
            <w:tcBorders>
              <w:right w:val="single" w:sz="8" w:color="auto"/>
            </w:tcBorders>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La société peut périodiquement offrir des actions de la société aux salariés importants et à long terme</w:t>
            </w: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The Company may periodically offer shares in the Company to important and long-term employees for</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pour un prix étant au maximum dix pour cent au-dessous du prix moyen pondéré par les volumes des</w:t>
            </w: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a price being at maximum ten percent below the average volume-weighted price of the last 30 trading</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30 derniers jours à la bourse. Les membres du conseil d'administration et du comité exécutif peuvent</w:t>
            </w: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days at the stock exchange. Members of the Board of Directors and the Executive Committee may be</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être inclus dans ce programme. Les actions ainsi acquises seront bloquées pour une période d'au</w:t>
            </w:r>
          </w:p>
        </w:tc>
      </w:tr>
      <w:tr>
        <w:trPr>
          <w:trHeight w:val="145"/>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included in this program. The shares acquired thereby shall be blocked for a period of at least 3 years.</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moins 3 ans.</w:t>
            </w:r>
          </w:p>
        </w:tc>
      </w:tr>
      <w:tr>
        <w:trPr>
          <w:trHeight w:val="36"/>
        </w:trPr>
        <w:tc>
          <w:tcPr>
            <w:tcW w:w="500" w:type="dxa"/>
            <w:vAlign w:val="bottom"/>
            <w:tcBorders>
              <w:left w:val="single" w:sz="8" w:color="auto"/>
              <w:bottom w:val="single" w:sz="8" w:color="auto"/>
            </w:tcBorders>
          </w:tcPr>
          <w:p>
            <w:pPr>
              <w:spacing w:after="0"/>
              <w:rPr>
                <w:sz w:val="3"/>
                <w:szCs w:val="3"/>
                <w:color w:val="auto"/>
              </w:rPr>
            </w:pPr>
          </w:p>
        </w:tc>
        <w:tc>
          <w:tcPr>
            <w:tcW w:w="504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020" w:type="dxa"/>
            <w:vAlign w:val="bottom"/>
            <w:tcBorders>
              <w:bottom w:val="single" w:sz="8" w:color="auto"/>
              <w:right w:val="single" w:sz="8" w:color="auto"/>
            </w:tcBorders>
          </w:tcPr>
          <w:p>
            <w:pPr>
              <w:spacing w:after="0"/>
              <w:rPr>
                <w:sz w:val="3"/>
                <w:szCs w:val="3"/>
                <w:color w:val="auto"/>
              </w:rPr>
            </w:pPr>
          </w:p>
        </w:tc>
      </w:tr>
      <w:tr>
        <w:trPr>
          <w:trHeight w:val="178"/>
        </w:trPr>
        <w:tc>
          <w:tcPr>
            <w:tcW w:w="500" w:type="dxa"/>
            <w:vAlign w:val="bottom"/>
            <w:tcBorders>
              <w:left w:val="single" w:sz="8" w:color="auto"/>
            </w:tcBorders>
          </w:tcPr>
          <w:p>
            <w:pPr>
              <w:ind w:left="40"/>
              <w:spacing w:after="0"/>
              <w:rPr>
                <w:sz w:val="20"/>
                <w:szCs w:val="20"/>
                <w:color w:val="auto"/>
              </w:rPr>
            </w:pPr>
            <w:r>
              <w:rPr>
                <w:rFonts w:ascii="Arial" w:cs="Arial" w:eastAsia="Arial" w:hAnsi="Arial"/>
                <w:sz w:val="12"/>
                <w:szCs w:val="12"/>
                <w:b w:val="1"/>
                <w:bCs w:val="1"/>
                <w:color w:val="auto"/>
              </w:rPr>
              <w:t>VIII.</w:t>
            </w:r>
          </w:p>
        </w:tc>
        <w:tc>
          <w:tcPr>
            <w:tcW w:w="5040" w:type="dxa"/>
            <w:vAlign w:val="bottom"/>
            <w:tcBorders>
              <w:right w:val="single" w:sz="8" w:color="auto"/>
            </w:tcBorders>
          </w:tcPr>
          <w:p>
            <w:pPr>
              <w:ind w:left="80"/>
              <w:spacing w:after="0"/>
              <w:rPr>
                <w:sz w:val="20"/>
                <w:szCs w:val="20"/>
                <w:color w:val="auto"/>
              </w:rPr>
            </w:pPr>
            <w:r>
              <w:rPr>
                <w:rFonts w:ascii="Arial" w:cs="Arial" w:eastAsia="Arial" w:hAnsi="Arial"/>
                <w:sz w:val="12"/>
                <w:szCs w:val="12"/>
                <w:b w:val="1"/>
                <w:bCs w:val="1"/>
                <w:color w:val="auto"/>
              </w:rPr>
              <w:t>BUSINESS YEAR, ACCOUNTING, ALLOCATION OF PROFITS</w:t>
            </w:r>
          </w:p>
        </w:tc>
        <w:tc>
          <w:tcPr>
            <w:tcW w:w="240" w:type="dxa"/>
            <w:vAlign w:val="bottom"/>
            <w:tcBorders>
              <w:right w:val="single" w:sz="8" w:color="auto"/>
            </w:tcBorders>
          </w:tcPr>
          <w:p>
            <w:pPr>
              <w:spacing w:after="0"/>
              <w:rPr>
                <w:sz w:val="15"/>
                <w:szCs w:val="15"/>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VIII.</w:t>
            </w:r>
          </w:p>
        </w:tc>
        <w:tc>
          <w:tcPr>
            <w:tcW w:w="5020" w:type="dxa"/>
            <w:vAlign w:val="bottom"/>
            <w:tcBorders>
              <w:right w:val="single" w:sz="8" w:color="auto"/>
            </w:tcBorders>
          </w:tcPr>
          <w:p>
            <w:pPr>
              <w:ind w:left="100"/>
              <w:spacing w:after="0"/>
              <w:rPr>
                <w:sz w:val="20"/>
                <w:szCs w:val="20"/>
                <w:color w:val="auto"/>
              </w:rPr>
            </w:pPr>
            <w:r>
              <w:rPr>
                <w:rFonts w:ascii="Arial" w:cs="Arial" w:eastAsia="Arial" w:hAnsi="Arial"/>
                <w:sz w:val="12"/>
                <w:szCs w:val="12"/>
                <w:b w:val="1"/>
                <w:bCs w:val="1"/>
                <w:color w:val="auto"/>
              </w:rPr>
              <w:t>EXERCICE, COMPTABILITÉ, RÉPARTITION DES BÉNÉFICES</w:t>
            </w:r>
          </w:p>
        </w:tc>
      </w:tr>
      <w:tr>
        <w:trPr>
          <w:trHeight w:val="36"/>
        </w:trPr>
        <w:tc>
          <w:tcPr>
            <w:tcW w:w="500" w:type="dxa"/>
            <w:vAlign w:val="bottom"/>
            <w:tcBorders>
              <w:left w:val="single" w:sz="8" w:color="auto"/>
              <w:bottom w:val="single" w:sz="8" w:color="auto"/>
            </w:tcBorders>
          </w:tcPr>
          <w:p>
            <w:pPr>
              <w:spacing w:after="0"/>
              <w:rPr>
                <w:sz w:val="3"/>
                <w:szCs w:val="3"/>
                <w:color w:val="auto"/>
              </w:rPr>
            </w:pPr>
          </w:p>
        </w:tc>
        <w:tc>
          <w:tcPr>
            <w:tcW w:w="504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020" w:type="dxa"/>
            <w:vAlign w:val="bottom"/>
            <w:tcBorders>
              <w:bottom w:val="single" w:sz="8" w:color="auto"/>
              <w:right w:val="single" w:sz="8" w:color="auto"/>
            </w:tcBorders>
          </w:tcPr>
          <w:p>
            <w:pPr>
              <w:spacing w:after="0"/>
              <w:rPr>
                <w:sz w:val="3"/>
                <w:szCs w:val="3"/>
                <w:color w:val="auto"/>
              </w:rPr>
            </w:pPr>
          </w:p>
        </w:tc>
      </w:tr>
      <w:tr>
        <w:trPr>
          <w:trHeight w:val="178"/>
        </w:trPr>
        <w:tc>
          <w:tcPr>
            <w:tcW w:w="500" w:type="dxa"/>
            <w:vAlign w:val="bottom"/>
            <w:tcBorders>
              <w:left w:val="single" w:sz="8" w:color="auto"/>
            </w:tcBorders>
          </w:tcPr>
          <w:p>
            <w:pPr>
              <w:ind w:left="40"/>
              <w:spacing w:after="0"/>
              <w:rPr>
                <w:sz w:val="20"/>
                <w:szCs w:val="20"/>
                <w:color w:val="auto"/>
              </w:rPr>
            </w:pPr>
            <w:r>
              <w:rPr>
                <w:rFonts w:ascii="Arial" w:cs="Arial" w:eastAsia="Arial" w:hAnsi="Arial"/>
                <w:sz w:val="12"/>
                <w:szCs w:val="12"/>
                <w:b w:val="1"/>
                <w:bCs w:val="1"/>
                <w:color w:val="auto"/>
              </w:rPr>
              <w:t>Art. 42</w:t>
            </w:r>
          </w:p>
        </w:tc>
        <w:tc>
          <w:tcPr>
            <w:tcW w:w="5040" w:type="dxa"/>
            <w:vAlign w:val="bottom"/>
            <w:tcBorders>
              <w:right w:val="single" w:sz="8" w:color="auto"/>
            </w:tcBorders>
          </w:tcPr>
          <w:p>
            <w:pPr>
              <w:ind w:left="120"/>
              <w:spacing w:after="0"/>
              <w:rPr>
                <w:sz w:val="20"/>
                <w:szCs w:val="20"/>
                <w:color w:val="auto"/>
              </w:rPr>
            </w:pPr>
            <w:r>
              <w:rPr>
                <w:rFonts w:ascii="Arial" w:cs="Arial" w:eastAsia="Arial" w:hAnsi="Arial"/>
                <w:sz w:val="12"/>
                <w:szCs w:val="12"/>
                <w:b w:val="1"/>
                <w:bCs w:val="1"/>
                <w:color w:val="auto"/>
              </w:rPr>
              <w:t>Business Year</w:t>
            </w:r>
          </w:p>
        </w:tc>
        <w:tc>
          <w:tcPr>
            <w:tcW w:w="240" w:type="dxa"/>
            <w:vAlign w:val="bottom"/>
            <w:tcBorders>
              <w:right w:val="single" w:sz="8" w:color="auto"/>
            </w:tcBorders>
          </w:tcPr>
          <w:p>
            <w:pPr>
              <w:spacing w:after="0"/>
              <w:rPr>
                <w:sz w:val="15"/>
                <w:szCs w:val="15"/>
                <w:color w:val="auto"/>
              </w:rPr>
            </w:pP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Art. 42</w:t>
            </w:r>
          </w:p>
        </w:tc>
        <w:tc>
          <w:tcPr>
            <w:tcW w:w="5020" w:type="dxa"/>
            <w:vAlign w:val="bottom"/>
            <w:tcBorders>
              <w:right w:val="single" w:sz="8" w:color="auto"/>
            </w:tcBorders>
          </w:tcPr>
          <w:p>
            <w:pPr>
              <w:ind w:left="140"/>
              <w:spacing w:after="0"/>
              <w:rPr>
                <w:sz w:val="20"/>
                <w:szCs w:val="20"/>
                <w:color w:val="auto"/>
              </w:rPr>
            </w:pPr>
            <w:r>
              <w:rPr>
                <w:rFonts w:ascii="Arial" w:cs="Arial" w:eastAsia="Arial" w:hAnsi="Arial"/>
                <w:sz w:val="12"/>
                <w:szCs w:val="12"/>
                <w:b w:val="1"/>
                <w:bCs w:val="1"/>
                <w:color w:val="auto"/>
              </w:rPr>
              <w:t>Exercice</w:t>
            </w:r>
          </w:p>
        </w:tc>
      </w:tr>
      <w:tr>
        <w:trPr>
          <w:trHeight w:val="270"/>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The Board of Directors shall determine the start and the end of the Company's business year.</w:t>
            </w:r>
          </w:p>
        </w:tc>
        <w:tc>
          <w:tcPr>
            <w:tcW w:w="240" w:type="dxa"/>
            <w:vAlign w:val="bottom"/>
            <w:tcBorders>
              <w:right w:val="single" w:sz="8" w:color="auto"/>
            </w:tcBorders>
          </w:tcPr>
          <w:p>
            <w:pPr>
              <w:spacing w:after="0"/>
              <w:rPr>
                <w:sz w:val="23"/>
                <w:szCs w:val="23"/>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Le conseil d'administration détermine le début et la fin de l'exercice de la société.</w:t>
            </w:r>
          </w:p>
        </w:tc>
      </w:tr>
      <w:tr>
        <w:trPr>
          <w:trHeight w:val="36"/>
        </w:trPr>
        <w:tc>
          <w:tcPr>
            <w:tcW w:w="500" w:type="dxa"/>
            <w:vAlign w:val="bottom"/>
            <w:tcBorders>
              <w:left w:val="single" w:sz="8" w:color="auto"/>
              <w:bottom w:val="single" w:sz="8" w:color="auto"/>
            </w:tcBorders>
          </w:tcPr>
          <w:p>
            <w:pPr>
              <w:spacing w:after="0"/>
              <w:rPr>
                <w:sz w:val="3"/>
                <w:szCs w:val="3"/>
                <w:color w:val="auto"/>
              </w:rPr>
            </w:pPr>
          </w:p>
        </w:tc>
        <w:tc>
          <w:tcPr>
            <w:tcW w:w="504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020" w:type="dxa"/>
            <w:vAlign w:val="bottom"/>
            <w:tcBorders>
              <w:bottom w:val="single" w:sz="8" w:color="auto"/>
              <w:right w:val="single" w:sz="8" w:color="auto"/>
            </w:tcBorders>
          </w:tcPr>
          <w:p>
            <w:pPr>
              <w:spacing w:after="0"/>
              <w:rPr>
                <w:sz w:val="3"/>
                <w:szCs w:val="3"/>
                <w:color w:val="auto"/>
              </w:rPr>
            </w:pPr>
          </w:p>
        </w:tc>
      </w:tr>
      <w:tr>
        <w:trPr>
          <w:trHeight w:val="178"/>
        </w:trPr>
        <w:tc>
          <w:tcPr>
            <w:tcW w:w="500" w:type="dxa"/>
            <w:vAlign w:val="bottom"/>
            <w:tcBorders>
              <w:left w:val="single" w:sz="8" w:color="auto"/>
            </w:tcBorders>
          </w:tcPr>
          <w:p>
            <w:pPr>
              <w:ind w:left="40"/>
              <w:spacing w:after="0"/>
              <w:rPr>
                <w:sz w:val="20"/>
                <w:szCs w:val="20"/>
                <w:color w:val="auto"/>
              </w:rPr>
            </w:pPr>
            <w:r>
              <w:rPr>
                <w:rFonts w:ascii="Arial" w:cs="Arial" w:eastAsia="Arial" w:hAnsi="Arial"/>
                <w:sz w:val="12"/>
                <w:szCs w:val="12"/>
                <w:b w:val="1"/>
                <w:bCs w:val="1"/>
                <w:color w:val="auto"/>
              </w:rPr>
              <w:t>Art. 43</w:t>
            </w:r>
          </w:p>
        </w:tc>
        <w:tc>
          <w:tcPr>
            <w:tcW w:w="5040" w:type="dxa"/>
            <w:vAlign w:val="bottom"/>
            <w:tcBorders>
              <w:right w:val="single" w:sz="8" w:color="auto"/>
            </w:tcBorders>
          </w:tcPr>
          <w:p>
            <w:pPr>
              <w:ind w:left="120"/>
              <w:spacing w:after="0"/>
              <w:rPr>
                <w:sz w:val="20"/>
                <w:szCs w:val="20"/>
                <w:color w:val="auto"/>
              </w:rPr>
            </w:pPr>
            <w:r>
              <w:rPr>
                <w:rFonts w:ascii="Arial" w:cs="Arial" w:eastAsia="Arial" w:hAnsi="Arial"/>
                <w:sz w:val="12"/>
                <w:szCs w:val="12"/>
                <w:b w:val="1"/>
                <w:bCs w:val="1"/>
                <w:color w:val="auto"/>
              </w:rPr>
              <w:t>Accounting</w:t>
            </w:r>
          </w:p>
        </w:tc>
        <w:tc>
          <w:tcPr>
            <w:tcW w:w="240" w:type="dxa"/>
            <w:vAlign w:val="bottom"/>
            <w:tcBorders>
              <w:right w:val="single" w:sz="8" w:color="auto"/>
            </w:tcBorders>
          </w:tcPr>
          <w:p>
            <w:pPr>
              <w:spacing w:after="0"/>
              <w:rPr>
                <w:sz w:val="15"/>
                <w:szCs w:val="15"/>
                <w:color w:val="auto"/>
              </w:rPr>
            </w:pP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Art. 43</w:t>
            </w:r>
          </w:p>
        </w:tc>
        <w:tc>
          <w:tcPr>
            <w:tcW w:w="5020" w:type="dxa"/>
            <w:vAlign w:val="bottom"/>
            <w:tcBorders>
              <w:right w:val="single" w:sz="8" w:color="auto"/>
            </w:tcBorders>
          </w:tcPr>
          <w:p>
            <w:pPr>
              <w:ind w:left="140"/>
              <w:spacing w:after="0"/>
              <w:rPr>
                <w:sz w:val="20"/>
                <w:szCs w:val="20"/>
                <w:color w:val="auto"/>
              </w:rPr>
            </w:pPr>
            <w:r>
              <w:rPr>
                <w:rFonts w:ascii="Arial" w:cs="Arial" w:eastAsia="Arial" w:hAnsi="Arial"/>
                <w:sz w:val="12"/>
                <w:szCs w:val="12"/>
                <w:b w:val="1"/>
                <w:bCs w:val="1"/>
                <w:color w:val="auto"/>
              </w:rPr>
              <w:t>Comptabilité</w:t>
            </w:r>
          </w:p>
        </w:tc>
      </w:tr>
      <w:tr>
        <w:trPr>
          <w:trHeight w:val="260"/>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The annual accounts consist of the profit and loss statement, the balance sheet, the cash flow</w:t>
            </w:r>
          </w:p>
        </w:tc>
        <w:tc>
          <w:tcPr>
            <w:tcW w:w="240" w:type="dxa"/>
            <w:vAlign w:val="bottom"/>
            <w:tcBorders>
              <w:right w:val="single" w:sz="8" w:color="auto"/>
            </w:tcBorders>
          </w:tcPr>
          <w:p>
            <w:pPr>
              <w:spacing w:after="0"/>
              <w:rPr>
                <w:sz w:val="22"/>
                <w:szCs w:val="22"/>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Les comptes annuels se composent du compte de profits et pertes, du bilan, du tableau des flux de</w:t>
            </w:r>
          </w:p>
        </w:tc>
      </w:tr>
      <w:tr>
        <w:trPr>
          <w:trHeight w:val="123"/>
        </w:trPr>
        <w:tc>
          <w:tcPr>
            <w:tcW w:w="5540" w:type="dxa"/>
            <w:vAlign w:val="bottom"/>
            <w:tcBorders>
              <w:left w:val="single" w:sz="8" w:color="auto"/>
              <w:right w:val="single" w:sz="8" w:color="auto"/>
            </w:tcBorders>
            <w:gridSpan w:val="2"/>
          </w:tcPr>
          <w:p>
            <w:pPr>
              <w:ind w:left="40"/>
              <w:spacing w:after="0" w:line="123" w:lineRule="exact"/>
              <w:rPr>
                <w:sz w:val="20"/>
                <w:szCs w:val="20"/>
                <w:color w:val="auto"/>
              </w:rPr>
            </w:pPr>
            <w:r>
              <w:rPr>
                <w:rFonts w:ascii="Arial" w:cs="Arial" w:eastAsia="Arial" w:hAnsi="Arial"/>
                <w:sz w:val="12"/>
                <w:szCs w:val="12"/>
                <w:color w:val="auto"/>
              </w:rPr>
              <w:t>statement, the annex and the management report, and shall be drawn up pursuant to the provisions of</w:t>
            </w:r>
          </w:p>
        </w:tc>
        <w:tc>
          <w:tcPr>
            <w:tcW w:w="240" w:type="dxa"/>
            <w:vAlign w:val="bottom"/>
            <w:tcBorders>
              <w:right w:val="single" w:sz="8" w:color="auto"/>
            </w:tcBorders>
          </w:tcPr>
          <w:p>
            <w:pPr>
              <w:spacing w:after="0"/>
              <w:rPr>
                <w:sz w:val="10"/>
                <w:szCs w:val="10"/>
                <w:color w:val="auto"/>
              </w:rPr>
            </w:pPr>
          </w:p>
        </w:tc>
        <w:tc>
          <w:tcPr>
            <w:tcW w:w="5520" w:type="dxa"/>
            <w:vAlign w:val="bottom"/>
            <w:tcBorders>
              <w:right w:val="single" w:sz="8" w:color="auto"/>
            </w:tcBorders>
            <w:gridSpan w:val="2"/>
          </w:tcPr>
          <w:p>
            <w:pPr>
              <w:ind w:left="40"/>
              <w:spacing w:after="0" w:line="123" w:lineRule="exact"/>
              <w:rPr>
                <w:sz w:val="20"/>
                <w:szCs w:val="20"/>
                <w:color w:val="auto"/>
              </w:rPr>
            </w:pPr>
            <w:r>
              <w:rPr>
                <w:rFonts w:ascii="Arial" w:cs="Arial" w:eastAsia="Arial" w:hAnsi="Arial"/>
                <w:sz w:val="12"/>
                <w:szCs w:val="12"/>
                <w:color w:val="auto"/>
              </w:rPr>
              <w:t>trésorerie, de l'annexe et du rapport de gestion, et sont établis conformément aux dispositions du CO,</w:t>
            </w:r>
          </w:p>
        </w:tc>
      </w:tr>
      <w:tr>
        <w:trPr>
          <w:trHeight w:val="147"/>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 xml:space="preserve">the CO, particularly of Articles 958 </w:t>
            </w:r>
            <w:r>
              <w:rPr>
                <w:rFonts w:ascii="Arial" w:cs="Arial" w:eastAsia="Arial" w:hAnsi="Arial"/>
                <w:sz w:val="12"/>
                <w:szCs w:val="12"/>
                <w:i w:val="1"/>
                <w:iCs w:val="1"/>
                <w:color w:val="auto"/>
              </w:rPr>
              <w:t>et seq.</w:t>
            </w:r>
            <w:r>
              <w:rPr>
                <w:rFonts w:ascii="Arial" w:cs="Arial" w:eastAsia="Arial" w:hAnsi="Arial"/>
                <w:sz w:val="12"/>
                <w:szCs w:val="12"/>
                <w:color w:val="auto"/>
              </w:rPr>
              <w:t xml:space="preserve"> CO, and the generally accepted commercial principles and</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en particulier des articles 958 ss. CO, et aux principes commerciaux généralement reconnus et aux</w:t>
            </w:r>
          </w:p>
        </w:tc>
      </w:tr>
      <w:tr>
        <w:trPr>
          <w:trHeight w:val="145"/>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customary rules in that business area.</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règles coutumières dans ce secteur d'activité.</w:t>
            </w:r>
          </w:p>
        </w:tc>
      </w:tr>
      <w:tr>
        <w:trPr>
          <w:trHeight w:val="36"/>
        </w:trPr>
        <w:tc>
          <w:tcPr>
            <w:tcW w:w="5540" w:type="dxa"/>
            <w:vAlign w:val="bottom"/>
            <w:tcBorders>
              <w:left w:val="single" w:sz="8" w:color="auto"/>
              <w:bottom w:val="single" w:sz="8" w:color="auto"/>
              <w:right w:val="single" w:sz="8" w:color="auto"/>
            </w:tcBorders>
            <w:gridSpan w:val="2"/>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520" w:type="dxa"/>
            <w:vAlign w:val="bottom"/>
            <w:tcBorders>
              <w:bottom w:val="single" w:sz="8" w:color="auto"/>
              <w:right w:val="single" w:sz="8" w:color="auto"/>
            </w:tcBorders>
            <w:gridSpan w:val="2"/>
          </w:tcPr>
          <w:p>
            <w:pPr>
              <w:spacing w:after="0"/>
              <w:rPr>
                <w:sz w:val="3"/>
                <w:szCs w:val="3"/>
                <w:color w:val="auto"/>
              </w:rPr>
            </w:pPr>
          </w:p>
        </w:tc>
      </w:tr>
      <w:tr>
        <w:trPr>
          <w:trHeight w:val="16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If required by law, the consolidated financial statements shall be drawn in accordance with the</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Si requis par la loi, les états financiers consolidés sont établis en conformité avec les dispositions de</w:t>
            </w:r>
          </w:p>
        </w:tc>
      </w:tr>
      <w:tr>
        <w:trPr>
          <w:trHeight w:val="145"/>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provisions of Article 962 CO.</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l'article 962 CO.</w:t>
            </w:r>
          </w:p>
        </w:tc>
      </w:tr>
      <w:tr>
        <w:trPr>
          <w:trHeight w:val="36"/>
        </w:trPr>
        <w:tc>
          <w:tcPr>
            <w:tcW w:w="5540" w:type="dxa"/>
            <w:vAlign w:val="bottom"/>
            <w:tcBorders>
              <w:left w:val="single" w:sz="8" w:color="auto"/>
              <w:bottom w:val="single" w:sz="8" w:color="auto"/>
              <w:right w:val="single" w:sz="8" w:color="auto"/>
            </w:tcBorders>
            <w:gridSpan w:val="2"/>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020" w:type="dxa"/>
            <w:vAlign w:val="bottom"/>
            <w:tcBorders>
              <w:bottom w:val="single" w:sz="8" w:color="auto"/>
              <w:right w:val="single" w:sz="8" w:color="auto"/>
            </w:tcBorders>
          </w:tcPr>
          <w:p>
            <w:pPr>
              <w:spacing w:after="0"/>
              <w:rPr>
                <w:sz w:val="3"/>
                <w:szCs w:val="3"/>
                <w:color w:val="auto"/>
              </w:rPr>
            </w:pPr>
          </w:p>
        </w:tc>
      </w:tr>
      <w:tr>
        <w:trPr>
          <w:trHeight w:val="17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Art. 44   Allocation of Profits</w:t>
            </w:r>
          </w:p>
        </w:tc>
        <w:tc>
          <w:tcPr>
            <w:tcW w:w="240" w:type="dxa"/>
            <w:vAlign w:val="bottom"/>
            <w:tcBorders>
              <w:right w:val="single" w:sz="8" w:color="auto"/>
            </w:tcBorders>
          </w:tcPr>
          <w:p>
            <w:pPr>
              <w:spacing w:after="0"/>
              <w:rPr>
                <w:sz w:val="15"/>
                <w:szCs w:val="15"/>
                <w:color w:val="auto"/>
              </w:rPr>
            </w:pP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Art. 44</w:t>
            </w:r>
          </w:p>
        </w:tc>
        <w:tc>
          <w:tcPr>
            <w:tcW w:w="5020" w:type="dxa"/>
            <w:vAlign w:val="bottom"/>
            <w:tcBorders>
              <w:right w:val="single" w:sz="8" w:color="auto"/>
            </w:tcBorders>
          </w:tcPr>
          <w:p>
            <w:pPr>
              <w:ind w:left="140"/>
              <w:spacing w:after="0"/>
              <w:rPr>
                <w:sz w:val="20"/>
                <w:szCs w:val="20"/>
                <w:color w:val="auto"/>
              </w:rPr>
            </w:pPr>
            <w:r>
              <w:rPr>
                <w:rFonts w:ascii="Arial" w:cs="Arial" w:eastAsia="Arial" w:hAnsi="Arial"/>
                <w:sz w:val="12"/>
                <w:szCs w:val="12"/>
                <w:b w:val="1"/>
                <w:bCs w:val="1"/>
                <w:color w:val="auto"/>
              </w:rPr>
              <w:t>Répartition des bénéfices</w:t>
            </w:r>
          </w:p>
        </w:tc>
      </w:tr>
      <w:tr>
        <w:trPr>
          <w:trHeight w:val="260"/>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Subject to the legal provisions regarding distribution of profits, the profit as shown on the balance</w:t>
            </w:r>
          </w:p>
        </w:tc>
        <w:tc>
          <w:tcPr>
            <w:tcW w:w="240" w:type="dxa"/>
            <w:vAlign w:val="bottom"/>
            <w:tcBorders>
              <w:right w:val="single" w:sz="8" w:color="auto"/>
            </w:tcBorders>
          </w:tcPr>
          <w:p>
            <w:pPr>
              <w:spacing w:after="0"/>
              <w:rPr>
                <w:sz w:val="22"/>
                <w:szCs w:val="22"/>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Sous réserve des dispositions légales en matière de répartition des bénéfices, le bénéfice comme</w:t>
            </w: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sheet shall be allocated by the General Meeting at its discretion after receipt of the proposals of the</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indiqué sur le bilan doit être alloué à la libre appréciation de l'assemblée générale après réception des</w:t>
            </w:r>
          </w:p>
        </w:tc>
      </w:tr>
      <w:tr>
        <w:trPr>
          <w:trHeight w:val="145"/>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Board of Directors and the Auditors.</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propositions du conseil d'administration et de l'organe de révision.</w:t>
            </w:r>
          </w:p>
        </w:tc>
      </w:tr>
      <w:tr>
        <w:trPr>
          <w:trHeight w:val="36"/>
        </w:trPr>
        <w:tc>
          <w:tcPr>
            <w:tcW w:w="5540" w:type="dxa"/>
            <w:vAlign w:val="bottom"/>
            <w:tcBorders>
              <w:left w:val="single" w:sz="8" w:color="auto"/>
              <w:bottom w:val="single" w:sz="8" w:color="auto"/>
              <w:right w:val="single" w:sz="8" w:color="auto"/>
            </w:tcBorders>
            <w:gridSpan w:val="2"/>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520" w:type="dxa"/>
            <w:vAlign w:val="bottom"/>
            <w:tcBorders>
              <w:bottom w:val="single" w:sz="8" w:color="auto"/>
              <w:right w:val="single" w:sz="8" w:color="auto"/>
            </w:tcBorders>
            <w:gridSpan w:val="2"/>
          </w:tcPr>
          <w:p>
            <w:pPr>
              <w:spacing w:after="0"/>
              <w:rPr>
                <w:sz w:val="3"/>
                <w:szCs w:val="3"/>
                <w:color w:val="auto"/>
              </w:rPr>
            </w:pPr>
          </w:p>
        </w:tc>
      </w:tr>
      <w:tr>
        <w:trPr>
          <w:trHeight w:val="17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In addition to the legal reserves, the General Meeting may create supplemental reserves.</w:t>
            </w:r>
          </w:p>
        </w:tc>
        <w:tc>
          <w:tcPr>
            <w:tcW w:w="240" w:type="dxa"/>
            <w:vAlign w:val="bottom"/>
            <w:tcBorders>
              <w:right w:val="single" w:sz="8" w:color="auto"/>
            </w:tcBorders>
          </w:tcPr>
          <w:p>
            <w:pPr>
              <w:spacing w:after="0"/>
              <w:rPr>
                <w:sz w:val="15"/>
                <w:szCs w:val="15"/>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En plus des réserves légales, l'assemblée générale peut créer des réserves supplémentaires.</w:t>
            </w:r>
          </w:p>
        </w:tc>
      </w:tr>
      <w:tr>
        <w:trPr>
          <w:trHeight w:val="36"/>
        </w:trPr>
        <w:tc>
          <w:tcPr>
            <w:tcW w:w="5540" w:type="dxa"/>
            <w:vAlign w:val="bottom"/>
            <w:tcBorders>
              <w:left w:val="single" w:sz="8" w:color="auto"/>
              <w:bottom w:val="single" w:sz="8" w:color="auto"/>
              <w:right w:val="single" w:sz="8" w:color="auto"/>
            </w:tcBorders>
            <w:gridSpan w:val="2"/>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520" w:type="dxa"/>
            <w:vAlign w:val="bottom"/>
            <w:tcBorders>
              <w:bottom w:val="single" w:sz="8" w:color="auto"/>
              <w:right w:val="single" w:sz="8" w:color="auto"/>
            </w:tcBorders>
            <w:gridSpan w:val="2"/>
          </w:tcPr>
          <w:p>
            <w:pPr>
              <w:spacing w:after="0"/>
              <w:rPr>
                <w:sz w:val="3"/>
                <w:szCs w:val="3"/>
                <w:color w:val="auto"/>
              </w:rPr>
            </w:pPr>
          </w:p>
        </w:tc>
      </w:tr>
      <w:tr>
        <w:trPr>
          <w:trHeight w:val="16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Dividends not claimed within five years after the due date shall remain with the Company and be</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Les dividendes non réclamés dans les cinq ans après la date d'échéance restent avec la société et</w:t>
            </w:r>
          </w:p>
        </w:tc>
      </w:tr>
      <w:tr>
        <w:trPr>
          <w:trHeight w:val="145"/>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allocated to the general reserves.</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sont attribués aux réserves générales.</w:t>
            </w:r>
          </w:p>
        </w:tc>
      </w:tr>
      <w:tr>
        <w:trPr>
          <w:trHeight w:val="36"/>
        </w:trPr>
        <w:tc>
          <w:tcPr>
            <w:tcW w:w="500" w:type="dxa"/>
            <w:vAlign w:val="bottom"/>
            <w:tcBorders>
              <w:left w:val="single" w:sz="8" w:color="auto"/>
              <w:bottom w:val="single" w:sz="8" w:color="auto"/>
            </w:tcBorders>
          </w:tcPr>
          <w:p>
            <w:pPr>
              <w:spacing w:after="0"/>
              <w:rPr>
                <w:sz w:val="3"/>
                <w:szCs w:val="3"/>
                <w:color w:val="auto"/>
              </w:rPr>
            </w:pPr>
          </w:p>
        </w:tc>
        <w:tc>
          <w:tcPr>
            <w:tcW w:w="504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020" w:type="dxa"/>
            <w:vAlign w:val="bottom"/>
            <w:tcBorders>
              <w:bottom w:val="single" w:sz="8" w:color="auto"/>
              <w:right w:val="single" w:sz="8" w:color="auto"/>
            </w:tcBorders>
          </w:tcPr>
          <w:p>
            <w:pPr>
              <w:spacing w:after="0"/>
              <w:rPr>
                <w:sz w:val="3"/>
                <w:szCs w:val="3"/>
                <w:color w:val="auto"/>
              </w:rPr>
            </w:pPr>
          </w:p>
        </w:tc>
      </w:tr>
      <w:tr>
        <w:trPr>
          <w:trHeight w:val="358"/>
        </w:trPr>
        <w:tc>
          <w:tcPr>
            <w:tcW w:w="5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211" w:right="299" w:bottom="1440" w:gutter="0" w:footer="0" w:header="0"/>
        </w:sectPr>
      </w:pPr>
    </w:p>
    <w:bookmarkStart w:id="79" w:name="page80"/>
    <w:bookmarkEnd w:id="79"/>
    <w:p>
      <w:pPr>
        <w:ind w:left="11120"/>
        <w:spacing w:after="0"/>
        <w:rPr>
          <w:sz w:val="20"/>
          <w:szCs w:val="20"/>
          <w:color w:val="auto"/>
        </w:rPr>
      </w:pPr>
      <w:r>
        <w:rPr>
          <w:rFonts w:ascii="Arial" w:cs="Arial" w:eastAsia="Arial" w:hAnsi="Arial"/>
          <w:sz w:val="12"/>
          <w:szCs w:val="12"/>
          <w:color w:val="auto"/>
        </w:rPr>
        <w:t>34</w:t>
      </w:r>
    </w:p>
    <w:p>
      <w:pPr>
        <w:spacing w:after="0" w:line="50"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52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2"/>
                <w:szCs w:val="12"/>
                <w:b w:val="1"/>
                <w:bCs w:val="1"/>
                <w:color w:val="auto"/>
              </w:rPr>
              <w:t>IX.</w:t>
            </w:r>
          </w:p>
        </w:tc>
        <w:tc>
          <w:tcPr>
            <w:tcW w:w="5020" w:type="dxa"/>
            <w:vAlign w:val="bottom"/>
            <w:tcBorders>
              <w:top w:val="single" w:sz="8" w:color="auto"/>
              <w:right w:val="single" w:sz="8" w:color="auto"/>
            </w:tcBorders>
          </w:tcPr>
          <w:p>
            <w:pPr>
              <w:jc w:val="center"/>
              <w:ind w:right="3000"/>
              <w:spacing w:after="0"/>
              <w:rPr>
                <w:sz w:val="20"/>
                <w:szCs w:val="20"/>
                <w:color w:val="auto"/>
              </w:rPr>
            </w:pPr>
            <w:r>
              <w:rPr>
                <w:rFonts w:ascii="Arial" w:cs="Arial" w:eastAsia="Arial" w:hAnsi="Arial"/>
                <w:sz w:val="12"/>
                <w:szCs w:val="12"/>
                <w:b w:val="1"/>
                <w:bCs w:val="1"/>
                <w:color w:val="auto"/>
                <w:w w:val="99"/>
              </w:rPr>
              <w:t>DISSOLUTION AND LIQUIDATION</w:t>
            </w:r>
          </w:p>
        </w:tc>
        <w:tc>
          <w:tcPr>
            <w:tcW w:w="240" w:type="dxa"/>
            <w:vAlign w:val="bottom"/>
            <w:tcBorders>
              <w:top w:val="single" w:sz="8" w:color="auto"/>
              <w:right w:val="single" w:sz="8" w:color="auto"/>
            </w:tcBorders>
          </w:tcPr>
          <w:p>
            <w:pPr>
              <w:spacing w:after="0"/>
              <w:rPr>
                <w:sz w:val="17"/>
                <w:szCs w:val="17"/>
                <w:color w:val="auto"/>
              </w:rPr>
            </w:pPr>
          </w:p>
        </w:tc>
        <w:tc>
          <w:tcPr>
            <w:tcW w:w="520" w:type="dxa"/>
            <w:vAlign w:val="bottom"/>
            <w:tcBorders>
              <w:top w:val="single" w:sz="8" w:color="auto"/>
            </w:tcBorders>
          </w:tcPr>
          <w:p>
            <w:pPr>
              <w:ind w:left="20"/>
              <w:spacing w:after="0"/>
              <w:rPr>
                <w:sz w:val="20"/>
                <w:szCs w:val="20"/>
                <w:color w:val="auto"/>
              </w:rPr>
            </w:pPr>
            <w:r>
              <w:rPr>
                <w:rFonts w:ascii="Arial" w:cs="Arial" w:eastAsia="Arial" w:hAnsi="Arial"/>
                <w:sz w:val="12"/>
                <w:szCs w:val="12"/>
                <w:b w:val="1"/>
                <w:bCs w:val="1"/>
                <w:color w:val="auto"/>
              </w:rPr>
              <w:t>IX.</w:t>
            </w:r>
          </w:p>
        </w:tc>
        <w:tc>
          <w:tcPr>
            <w:tcW w:w="500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2"/>
                <w:szCs w:val="12"/>
                <w:b w:val="1"/>
                <w:bCs w:val="1"/>
                <w:color w:val="auto"/>
              </w:rPr>
              <w:t>DISSOLUTION ET LIQUIDATION</w:t>
            </w:r>
          </w:p>
        </w:tc>
        <w:tc>
          <w:tcPr>
            <w:tcW w:w="0" w:type="dxa"/>
            <w:vAlign w:val="bottom"/>
          </w:tcPr>
          <w:p>
            <w:pPr>
              <w:spacing w:after="0"/>
              <w:rPr>
                <w:sz w:val="1"/>
                <w:szCs w:val="1"/>
                <w:color w:val="auto"/>
              </w:rPr>
            </w:pPr>
          </w:p>
        </w:tc>
      </w:tr>
      <w:tr>
        <w:trPr>
          <w:trHeight w:val="36"/>
        </w:trPr>
        <w:tc>
          <w:tcPr>
            <w:tcW w:w="5540" w:type="dxa"/>
            <w:vAlign w:val="bottom"/>
            <w:tcBorders>
              <w:left w:val="single" w:sz="8" w:color="auto"/>
              <w:bottom w:val="single" w:sz="8" w:color="auto"/>
              <w:right w:val="single" w:sz="8" w:color="auto"/>
            </w:tcBorders>
            <w:gridSpan w:val="2"/>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Art. 45   Dissolution and Liquidation</w:t>
            </w:r>
          </w:p>
        </w:tc>
        <w:tc>
          <w:tcPr>
            <w:tcW w:w="240" w:type="dxa"/>
            <w:vAlign w:val="bottom"/>
            <w:tcBorders>
              <w:right w:val="single" w:sz="8" w:color="auto"/>
            </w:tcBorders>
          </w:tcPr>
          <w:p>
            <w:pPr>
              <w:spacing w:after="0"/>
              <w:rPr>
                <w:sz w:val="15"/>
                <w:szCs w:val="15"/>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Art. 45</w:t>
            </w:r>
          </w:p>
        </w:tc>
        <w:tc>
          <w:tcPr>
            <w:tcW w:w="50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2"/>
                <w:szCs w:val="12"/>
                <w:b w:val="1"/>
                <w:bCs w:val="1"/>
                <w:color w:val="auto"/>
              </w:rPr>
              <w:t>Dissolution et Liquidation</w:t>
            </w:r>
          </w:p>
        </w:tc>
        <w:tc>
          <w:tcPr>
            <w:tcW w:w="0" w:type="dxa"/>
            <w:vAlign w:val="bottom"/>
          </w:tcPr>
          <w:p>
            <w:pPr>
              <w:spacing w:after="0"/>
              <w:rPr>
                <w:sz w:val="1"/>
                <w:szCs w:val="1"/>
                <w:color w:val="auto"/>
              </w:rPr>
            </w:pPr>
          </w:p>
        </w:tc>
      </w:tr>
      <w:tr>
        <w:trPr>
          <w:trHeight w:val="135"/>
        </w:trPr>
        <w:tc>
          <w:tcPr>
            <w:tcW w:w="5540" w:type="dxa"/>
            <w:vAlign w:val="bottom"/>
            <w:tcBorders>
              <w:left w:val="single" w:sz="8" w:color="auto"/>
              <w:right w:val="single" w:sz="8" w:color="auto"/>
            </w:tcBorders>
            <w:gridSpan w:val="2"/>
            <w:vMerge w:val="restart"/>
          </w:tcPr>
          <w:p>
            <w:pPr>
              <w:ind w:left="40"/>
              <w:spacing w:after="0"/>
              <w:rPr>
                <w:sz w:val="20"/>
                <w:szCs w:val="20"/>
                <w:color w:val="auto"/>
              </w:rPr>
            </w:pPr>
            <w:r>
              <w:rPr>
                <w:rFonts w:ascii="Arial" w:cs="Arial" w:eastAsia="Arial" w:hAnsi="Arial"/>
                <w:sz w:val="12"/>
                <w:szCs w:val="12"/>
                <w:color w:val="auto"/>
              </w:rPr>
              <w:t>The dissolution and liquidation of the Company shall take place in accordance with the provisions of</w:t>
            </w:r>
          </w:p>
        </w:tc>
        <w:tc>
          <w:tcPr>
            <w:tcW w:w="240" w:type="dxa"/>
            <w:vAlign w:val="bottom"/>
            <w:tcBorders>
              <w:right w:val="single" w:sz="8" w:color="auto"/>
            </w:tcBorders>
          </w:tcPr>
          <w:p>
            <w:pPr>
              <w:spacing w:after="0"/>
              <w:rPr>
                <w:sz w:val="11"/>
                <w:szCs w:val="11"/>
                <w:color w:val="auto"/>
              </w:rPr>
            </w:pPr>
          </w:p>
        </w:tc>
        <w:tc>
          <w:tcPr>
            <w:tcW w:w="520" w:type="dxa"/>
            <w:vAlign w:val="bottom"/>
            <w:vMerge w:val="continue"/>
          </w:tcPr>
          <w:p>
            <w:pPr>
              <w:spacing w:after="0"/>
              <w:rPr>
                <w:sz w:val="11"/>
                <w:szCs w:val="11"/>
                <w:color w:val="auto"/>
              </w:rPr>
            </w:pPr>
          </w:p>
        </w:tc>
        <w:tc>
          <w:tcPr>
            <w:tcW w:w="50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5540" w:type="dxa"/>
            <w:vAlign w:val="bottom"/>
            <w:tcBorders>
              <w:left w:val="single" w:sz="8" w:color="auto"/>
              <w:right w:val="single" w:sz="8" w:color="auto"/>
            </w:tcBorders>
            <w:gridSpan w:val="2"/>
            <w:vMerge w:val="continue"/>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50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520" w:type="dxa"/>
            <w:vAlign w:val="bottom"/>
            <w:tcBorders>
              <w:left w:val="single" w:sz="8" w:color="auto"/>
            </w:tcBorders>
          </w:tcPr>
          <w:p>
            <w:pPr>
              <w:ind w:left="40"/>
              <w:spacing w:after="0"/>
              <w:rPr>
                <w:sz w:val="20"/>
                <w:szCs w:val="20"/>
                <w:color w:val="auto"/>
              </w:rPr>
            </w:pPr>
            <w:r>
              <w:rPr>
                <w:rFonts w:ascii="Arial" w:cs="Arial" w:eastAsia="Arial" w:hAnsi="Arial"/>
                <w:sz w:val="12"/>
                <w:szCs w:val="12"/>
                <w:color w:val="auto"/>
              </w:rPr>
              <w:t>the CO.</w:t>
            </w:r>
          </w:p>
        </w:tc>
        <w:tc>
          <w:tcPr>
            <w:tcW w:w="5020" w:type="dxa"/>
            <w:vAlign w:val="bottom"/>
            <w:tcBorders>
              <w:right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La dissolution et la liquidation de la société ont lieu en conformité avec les dispositions du CO.</w:t>
            </w:r>
          </w:p>
        </w:tc>
        <w:tc>
          <w:tcPr>
            <w:tcW w:w="0" w:type="dxa"/>
            <w:vAlign w:val="bottom"/>
          </w:tcPr>
          <w:p>
            <w:pPr>
              <w:spacing w:after="0"/>
              <w:rPr>
                <w:sz w:val="1"/>
                <w:szCs w:val="1"/>
                <w:color w:val="auto"/>
              </w:rPr>
            </w:pPr>
          </w:p>
        </w:tc>
      </w:tr>
      <w:tr>
        <w:trPr>
          <w:trHeight w:val="171"/>
        </w:trPr>
        <w:tc>
          <w:tcPr>
            <w:tcW w:w="520" w:type="dxa"/>
            <w:vAlign w:val="bottom"/>
            <w:tcBorders>
              <w:left w:val="single" w:sz="8" w:color="auto"/>
              <w:bottom w:val="single" w:sz="8" w:color="auto"/>
            </w:tcBorders>
          </w:tcPr>
          <w:p>
            <w:pPr>
              <w:spacing w:after="0"/>
              <w:rPr>
                <w:sz w:val="14"/>
                <w:szCs w:val="14"/>
                <w:color w:val="auto"/>
              </w:rPr>
            </w:pPr>
          </w:p>
        </w:tc>
        <w:tc>
          <w:tcPr>
            <w:tcW w:w="5020" w:type="dxa"/>
            <w:vAlign w:val="bottom"/>
            <w:tcBorders>
              <w:bottom w:val="single" w:sz="8" w:color="auto"/>
              <w:right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0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20" w:type="dxa"/>
            <w:vAlign w:val="bottom"/>
            <w:tcBorders>
              <w:left w:val="single" w:sz="8" w:color="auto"/>
            </w:tcBorders>
          </w:tcPr>
          <w:p>
            <w:pPr>
              <w:ind w:left="40"/>
              <w:spacing w:after="0"/>
              <w:rPr>
                <w:sz w:val="20"/>
                <w:szCs w:val="20"/>
                <w:color w:val="auto"/>
              </w:rPr>
            </w:pPr>
            <w:r>
              <w:rPr>
                <w:rFonts w:ascii="Arial" w:cs="Arial" w:eastAsia="Arial" w:hAnsi="Arial"/>
                <w:sz w:val="12"/>
                <w:szCs w:val="12"/>
                <w:b w:val="1"/>
                <w:bCs w:val="1"/>
                <w:color w:val="auto"/>
              </w:rPr>
              <w:t>X.</w:t>
            </w:r>
          </w:p>
        </w:tc>
        <w:tc>
          <w:tcPr>
            <w:tcW w:w="5020" w:type="dxa"/>
            <w:vAlign w:val="bottom"/>
            <w:tcBorders>
              <w:right w:val="single" w:sz="8" w:color="auto"/>
            </w:tcBorders>
          </w:tcPr>
          <w:p>
            <w:pPr>
              <w:ind w:left="160"/>
              <w:spacing w:after="0"/>
              <w:rPr>
                <w:sz w:val="20"/>
                <w:szCs w:val="20"/>
                <w:color w:val="auto"/>
              </w:rPr>
            </w:pPr>
            <w:r>
              <w:rPr>
                <w:rFonts w:ascii="Arial" w:cs="Arial" w:eastAsia="Arial" w:hAnsi="Arial"/>
                <w:sz w:val="12"/>
                <w:szCs w:val="12"/>
                <w:b w:val="1"/>
                <w:bCs w:val="1"/>
                <w:color w:val="auto"/>
              </w:rPr>
              <w:t>NOTICES AND PUBLICATIONS</w:t>
            </w:r>
          </w:p>
        </w:tc>
        <w:tc>
          <w:tcPr>
            <w:tcW w:w="240" w:type="dxa"/>
            <w:vAlign w:val="bottom"/>
            <w:tcBorders>
              <w:right w:val="single" w:sz="8" w:color="auto"/>
            </w:tcBorders>
          </w:tcPr>
          <w:p>
            <w:pPr>
              <w:spacing w:after="0"/>
              <w:rPr>
                <w:sz w:val="15"/>
                <w:szCs w:val="15"/>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X.</w:t>
            </w:r>
          </w:p>
        </w:tc>
        <w:tc>
          <w:tcPr>
            <w:tcW w:w="5000" w:type="dxa"/>
            <w:vAlign w:val="bottom"/>
            <w:tcBorders>
              <w:right w:val="single" w:sz="8" w:color="auto"/>
            </w:tcBorders>
          </w:tcPr>
          <w:p>
            <w:pPr>
              <w:ind w:left="140"/>
              <w:spacing w:after="0"/>
              <w:rPr>
                <w:sz w:val="20"/>
                <w:szCs w:val="20"/>
                <w:color w:val="auto"/>
              </w:rPr>
            </w:pPr>
            <w:r>
              <w:rPr>
                <w:rFonts w:ascii="Arial" w:cs="Arial" w:eastAsia="Arial" w:hAnsi="Arial"/>
                <w:sz w:val="12"/>
                <w:szCs w:val="12"/>
                <w:b w:val="1"/>
                <w:bCs w:val="1"/>
                <w:color w:val="auto"/>
              </w:rPr>
              <w:t>AVIS ET PUBLICATIONS</w:t>
            </w:r>
          </w:p>
        </w:tc>
        <w:tc>
          <w:tcPr>
            <w:tcW w:w="0" w:type="dxa"/>
            <w:vAlign w:val="bottom"/>
          </w:tcPr>
          <w:p>
            <w:pPr>
              <w:spacing w:after="0"/>
              <w:rPr>
                <w:sz w:val="1"/>
                <w:szCs w:val="1"/>
                <w:color w:val="auto"/>
              </w:rPr>
            </w:pPr>
          </w:p>
        </w:tc>
      </w:tr>
      <w:tr>
        <w:trPr>
          <w:trHeight w:val="36"/>
        </w:trPr>
        <w:tc>
          <w:tcPr>
            <w:tcW w:w="520" w:type="dxa"/>
            <w:vAlign w:val="bottom"/>
            <w:tcBorders>
              <w:left w:val="single" w:sz="8" w:color="auto"/>
              <w:bottom w:val="single" w:sz="8" w:color="auto"/>
            </w:tcBorders>
          </w:tcPr>
          <w:p>
            <w:pPr>
              <w:spacing w:after="0"/>
              <w:rPr>
                <w:sz w:val="3"/>
                <w:szCs w:val="3"/>
                <w:color w:val="auto"/>
              </w:rPr>
            </w:pPr>
          </w:p>
        </w:tc>
        <w:tc>
          <w:tcPr>
            <w:tcW w:w="502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520" w:type="dxa"/>
            <w:vAlign w:val="bottom"/>
            <w:tcBorders>
              <w:left w:val="single" w:sz="8" w:color="auto"/>
            </w:tcBorders>
          </w:tcPr>
          <w:p>
            <w:pPr>
              <w:ind w:left="40"/>
              <w:spacing w:after="0"/>
              <w:rPr>
                <w:sz w:val="20"/>
                <w:szCs w:val="20"/>
                <w:color w:val="auto"/>
              </w:rPr>
            </w:pPr>
            <w:r>
              <w:rPr>
                <w:rFonts w:ascii="Arial" w:cs="Arial" w:eastAsia="Arial" w:hAnsi="Arial"/>
                <w:sz w:val="12"/>
                <w:szCs w:val="12"/>
                <w:b w:val="1"/>
                <w:bCs w:val="1"/>
                <w:color w:val="auto"/>
              </w:rPr>
              <w:t>Art. 46</w:t>
            </w:r>
          </w:p>
        </w:tc>
        <w:tc>
          <w:tcPr>
            <w:tcW w:w="5020" w:type="dxa"/>
            <w:vAlign w:val="bottom"/>
            <w:tcBorders>
              <w:right w:val="single" w:sz="8" w:color="auto"/>
            </w:tcBorders>
          </w:tcPr>
          <w:p>
            <w:pPr>
              <w:ind w:left="200"/>
              <w:spacing w:after="0"/>
              <w:rPr>
                <w:sz w:val="20"/>
                <w:szCs w:val="20"/>
                <w:color w:val="auto"/>
              </w:rPr>
            </w:pPr>
            <w:r>
              <w:rPr>
                <w:rFonts w:ascii="Arial" w:cs="Arial" w:eastAsia="Arial" w:hAnsi="Arial"/>
                <w:sz w:val="12"/>
                <w:szCs w:val="12"/>
                <w:b w:val="1"/>
                <w:bCs w:val="1"/>
                <w:color w:val="auto"/>
              </w:rPr>
              <w:t>Notices and Publications</w:t>
            </w:r>
          </w:p>
        </w:tc>
        <w:tc>
          <w:tcPr>
            <w:tcW w:w="240" w:type="dxa"/>
            <w:vAlign w:val="bottom"/>
            <w:tcBorders>
              <w:right w:val="single" w:sz="8" w:color="auto"/>
            </w:tcBorders>
          </w:tcPr>
          <w:p>
            <w:pPr>
              <w:spacing w:after="0"/>
              <w:rPr>
                <w:sz w:val="15"/>
                <w:szCs w:val="15"/>
                <w:color w:val="auto"/>
              </w:rPr>
            </w:pPr>
          </w:p>
        </w:tc>
        <w:tc>
          <w:tcPr>
            <w:tcW w:w="520" w:type="dxa"/>
            <w:vAlign w:val="bottom"/>
          </w:tcPr>
          <w:p>
            <w:pPr>
              <w:ind w:left="40"/>
              <w:spacing w:after="0"/>
              <w:rPr>
                <w:sz w:val="20"/>
                <w:szCs w:val="20"/>
                <w:color w:val="auto"/>
              </w:rPr>
            </w:pPr>
            <w:r>
              <w:rPr>
                <w:rFonts w:ascii="Arial" w:cs="Arial" w:eastAsia="Arial" w:hAnsi="Arial"/>
                <w:sz w:val="12"/>
                <w:szCs w:val="12"/>
                <w:b w:val="1"/>
                <w:bCs w:val="1"/>
                <w:color w:val="auto"/>
              </w:rPr>
              <w:t>Art. 46</w:t>
            </w:r>
          </w:p>
        </w:tc>
        <w:tc>
          <w:tcPr>
            <w:tcW w:w="5000" w:type="dxa"/>
            <w:vAlign w:val="bottom"/>
            <w:tcBorders>
              <w:right w:val="single" w:sz="8" w:color="auto"/>
            </w:tcBorders>
          </w:tcPr>
          <w:p>
            <w:pPr>
              <w:ind w:left="180"/>
              <w:spacing w:after="0"/>
              <w:rPr>
                <w:sz w:val="20"/>
                <w:szCs w:val="20"/>
                <w:color w:val="auto"/>
              </w:rPr>
            </w:pPr>
            <w:r>
              <w:rPr>
                <w:rFonts w:ascii="Arial" w:cs="Arial" w:eastAsia="Arial" w:hAnsi="Arial"/>
                <w:sz w:val="12"/>
                <w:szCs w:val="12"/>
                <w:b w:val="1"/>
                <w:bCs w:val="1"/>
                <w:color w:val="auto"/>
              </w:rPr>
              <w:t>Avis et Publications</w:t>
            </w:r>
          </w:p>
        </w:tc>
        <w:tc>
          <w:tcPr>
            <w:tcW w:w="0" w:type="dxa"/>
            <w:vAlign w:val="bottom"/>
          </w:tcPr>
          <w:p>
            <w:pPr>
              <w:spacing w:after="0"/>
              <w:rPr>
                <w:sz w:val="1"/>
                <w:szCs w:val="1"/>
                <w:color w:val="auto"/>
              </w:rPr>
            </w:pPr>
          </w:p>
        </w:tc>
      </w:tr>
      <w:tr>
        <w:trPr>
          <w:trHeight w:val="270"/>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The Swiss Official Gazette of Commerce is the official publication medium.</w:t>
            </w:r>
          </w:p>
        </w:tc>
        <w:tc>
          <w:tcPr>
            <w:tcW w:w="240" w:type="dxa"/>
            <w:vAlign w:val="bottom"/>
            <w:tcBorders>
              <w:right w:val="single" w:sz="8" w:color="auto"/>
            </w:tcBorders>
          </w:tcPr>
          <w:p>
            <w:pPr>
              <w:spacing w:after="0"/>
              <w:rPr>
                <w:sz w:val="23"/>
                <w:szCs w:val="23"/>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L'organe de publication légal est la Feuille officielle suisse du commerce.</w:t>
            </w:r>
          </w:p>
        </w:tc>
        <w:tc>
          <w:tcPr>
            <w:tcW w:w="0" w:type="dxa"/>
            <w:vAlign w:val="bottom"/>
          </w:tcPr>
          <w:p>
            <w:pPr>
              <w:spacing w:after="0"/>
              <w:rPr>
                <w:sz w:val="1"/>
                <w:szCs w:val="1"/>
                <w:color w:val="auto"/>
              </w:rPr>
            </w:pPr>
          </w:p>
        </w:tc>
      </w:tr>
      <w:tr>
        <w:trPr>
          <w:trHeight w:val="171"/>
        </w:trPr>
        <w:tc>
          <w:tcPr>
            <w:tcW w:w="5540" w:type="dxa"/>
            <w:vAlign w:val="bottom"/>
            <w:tcBorders>
              <w:left w:val="single" w:sz="8" w:color="auto"/>
              <w:bottom w:val="single" w:sz="8" w:color="auto"/>
              <w:right w:val="single" w:sz="8" w:color="auto"/>
            </w:tcBorders>
            <w:gridSpan w:val="2"/>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5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Shareholder communications and notices to the shareholders shall be made by publication in the</w:t>
            </w: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Les communications et avis aux actionnaires sont effectués par publication dans la Feuille officielle</w:t>
            </w:r>
          </w:p>
        </w:tc>
        <w:tc>
          <w:tcPr>
            <w:tcW w:w="0" w:type="dxa"/>
            <w:vAlign w:val="bottom"/>
          </w:tcPr>
          <w:p>
            <w:pPr>
              <w:spacing w:after="0"/>
              <w:rPr>
                <w:sz w:val="1"/>
                <w:szCs w:val="1"/>
                <w:color w:val="auto"/>
              </w:rPr>
            </w:pP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Swiss Official Gazette of Commerce or sent by mail or e-mail to the addresses registered in the share</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suisse du commerce ou envoyés par courrier ou e-mail aux adresses enregistrées dans le registre</w:t>
            </w:r>
          </w:p>
        </w:tc>
        <w:tc>
          <w:tcPr>
            <w:tcW w:w="0" w:type="dxa"/>
            <w:vAlign w:val="bottom"/>
          </w:tcPr>
          <w:p>
            <w:pPr>
              <w:spacing w:after="0"/>
              <w:rPr>
                <w:sz w:val="1"/>
                <w:szCs w:val="1"/>
                <w:color w:val="auto"/>
              </w:rPr>
            </w:pPr>
          </w:p>
        </w:tc>
      </w:tr>
      <w:tr>
        <w:trPr>
          <w:trHeight w:val="145"/>
        </w:trPr>
        <w:tc>
          <w:tcPr>
            <w:tcW w:w="520" w:type="dxa"/>
            <w:vAlign w:val="bottom"/>
            <w:tcBorders>
              <w:left w:val="single" w:sz="8" w:color="auto"/>
            </w:tcBorders>
          </w:tcPr>
          <w:p>
            <w:pPr>
              <w:ind w:left="40"/>
              <w:spacing w:after="0"/>
              <w:rPr>
                <w:sz w:val="20"/>
                <w:szCs w:val="20"/>
                <w:color w:val="auto"/>
              </w:rPr>
            </w:pPr>
            <w:r>
              <w:rPr>
                <w:rFonts w:ascii="Arial" w:cs="Arial" w:eastAsia="Arial" w:hAnsi="Arial"/>
                <w:sz w:val="12"/>
                <w:szCs w:val="12"/>
                <w:color w:val="auto"/>
              </w:rPr>
              <w:t>register.</w:t>
            </w:r>
          </w:p>
        </w:tc>
        <w:tc>
          <w:tcPr>
            <w:tcW w:w="5020" w:type="dxa"/>
            <w:vAlign w:val="bottom"/>
            <w:tcBorders>
              <w:right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des actions.</w:t>
            </w:r>
          </w:p>
        </w:tc>
        <w:tc>
          <w:tcPr>
            <w:tcW w:w="0" w:type="dxa"/>
            <w:vAlign w:val="bottom"/>
          </w:tcPr>
          <w:p>
            <w:pPr>
              <w:spacing w:after="0"/>
              <w:rPr>
                <w:sz w:val="1"/>
                <w:szCs w:val="1"/>
                <w:color w:val="auto"/>
              </w:rPr>
            </w:pPr>
          </w:p>
        </w:tc>
      </w:tr>
      <w:tr>
        <w:trPr>
          <w:trHeight w:val="36"/>
        </w:trPr>
        <w:tc>
          <w:tcPr>
            <w:tcW w:w="520" w:type="dxa"/>
            <w:vAlign w:val="bottom"/>
            <w:tcBorders>
              <w:left w:val="single" w:sz="8" w:color="auto"/>
              <w:bottom w:val="single" w:sz="8" w:color="auto"/>
            </w:tcBorders>
          </w:tcPr>
          <w:p>
            <w:pPr>
              <w:spacing w:after="0"/>
              <w:rPr>
                <w:sz w:val="3"/>
                <w:szCs w:val="3"/>
                <w:color w:val="auto"/>
              </w:rPr>
            </w:pPr>
          </w:p>
        </w:tc>
        <w:tc>
          <w:tcPr>
            <w:tcW w:w="502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5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520" w:type="dxa"/>
            <w:vAlign w:val="bottom"/>
            <w:tcBorders>
              <w:left w:val="single" w:sz="8" w:color="auto"/>
            </w:tcBorders>
          </w:tcPr>
          <w:p>
            <w:pPr>
              <w:spacing w:after="0"/>
              <w:rPr>
                <w:sz w:val="14"/>
                <w:szCs w:val="14"/>
                <w:color w:val="auto"/>
              </w:rPr>
            </w:pPr>
          </w:p>
        </w:tc>
        <w:tc>
          <w:tcPr>
            <w:tcW w:w="5020" w:type="dxa"/>
            <w:vAlign w:val="bottom"/>
            <w:tcBorders>
              <w:right w:val="single" w:sz="8" w:color="auto"/>
            </w:tcBorders>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Sauf si la loi en dispose autrement, les avis seront envoyés aux créanciers par publication dans la</w:t>
            </w:r>
          </w:p>
        </w:tc>
        <w:tc>
          <w:tcPr>
            <w:tcW w:w="0" w:type="dxa"/>
            <w:vAlign w:val="bottom"/>
          </w:tcPr>
          <w:p>
            <w:pPr>
              <w:spacing w:after="0"/>
              <w:rPr>
                <w:sz w:val="1"/>
                <w:szCs w:val="1"/>
                <w:color w:val="auto"/>
              </w:rPr>
            </w:pP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Unless the law provides otherwise, notices shall be given to creditors by publication in the Swiss</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Feuille officielle suisse du commerce. Le conseil d'administration peut prévoir d'autres moyens de</w:t>
            </w:r>
          </w:p>
        </w:tc>
        <w:tc>
          <w:tcPr>
            <w:tcW w:w="0" w:type="dxa"/>
            <w:vAlign w:val="bottom"/>
          </w:tcPr>
          <w:p>
            <w:pPr>
              <w:spacing w:after="0"/>
              <w:rPr>
                <w:sz w:val="1"/>
                <w:szCs w:val="1"/>
                <w:color w:val="auto"/>
              </w:rPr>
            </w:pPr>
          </w:p>
        </w:tc>
      </w:tr>
      <w:tr>
        <w:trPr>
          <w:trHeight w:val="145"/>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Official Gazette of Commerce. The Board of Directors may assign further means of communication.</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communication.</w:t>
            </w:r>
          </w:p>
        </w:tc>
        <w:tc>
          <w:tcPr>
            <w:tcW w:w="0" w:type="dxa"/>
            <w:vAlign w:val="bottom"/>
          </w:tcPr>
          <w:p>
            <w:pPr>
              <w:spacing w:after="0"/>
              <w:rPr>
                <w:sz w:val="1"/>
                <w:szCs w:val="1"/>
                <w:color w:val="auto"/>
              </w:rPr>
            </w:pPr>
          </w:p>
        </w:tc>
      </w:tr>
      <w:tr>
        <w:trPr>
          <w:trHeight w:val="36"/>
        </w:trPr>
        <w:tc>
          <w:tcPr>
            <w:tcW w:w="520" w:type="dxa"/>
            <w:vAlign w:val="bottom"/>
            <w:tcBorders>
              <w:left w:val="single" w:sz="8" w:color="auto"/>
              <w:bottom w:val="single" w:sz="8" w:color="auto"/>
            </w:tcBorders>
          </w:tcPr>
          <w:p>
            <w:pPr>
              <w:spacing w:after="0"/>
              <w:rPr>
                <w:sz w:val="3"/>
                <w:szCs w:val="3"/>
                <w:color w:val="auto"/>
              </w:rPr>
            </w:pPr>
          </w:p>
        </w:tc>
        <w:tc>
          <w:tcPr>
            <w:tcW w:w="502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520" w:type="dxa"/>
            <w:vAlign w:val="bottom"/>
            <w:tcBorders>
              <w:left w:val="single" w:sz="8" w:color="auto"/>
            </w:tcBorders>
          </w:tcPr>
          <w:p>
            <w:pPr>
              <w:ind w:left="40"/>
              <w:spacing w:after="0"/>
              <w:rPr>
                <w:sz w:val="20"/>
                <w:szCs w:val="20"/>
                <w:color w:val="auto"/>
              </w:rPr>
            </w:pPr>
            <w:r>
              <w:rPr>
                <w:rFonts w:ascii="Arial" w:cs="Arial" w:eastAsia="Arial" w:hAnsi="Arial"/>
                <w:sz w:val="12"/>
                <w:szCs w:val="12"/>
                <w:b w:val="1"/>
                <w:bCs w:val="1"/>
                <w:color w:val="auto"/>
              </w:rPr>
              <w:t>XI.</w:t>
            </w:r>
          </w:p>
        </w:tc>
        <w:tc>
          <w:tcPr>
            <w:tcW w:w="5020" w:type="dxa"/>
            <w:vAlign w:val="bottom"/>
            <w:tcBorders>
              <w:right w:val="single" w:sz="8" w:color="auto"/>
            </w:tcBorders>
          </w:tcPr>
          <w:p>
            <w:pPr>
              <w:jc w:val="center"/>
              <w:ind w:right="3000"/>
              <w:spacing w:after="0"/>
              <w:rPr>
                <w:sz w:val="20"/>
                <w:szCs w:val="20"/>
                <w:color w:val="auto"/>
              </w:rPr>
            </w:pPr>
            <w:r>
              <w:rPr>
                <w:rFonts w:ascii="Arial" w:cs="Arial" w:eastAsia="Arial" w:hAnsi="Arial"/>
                <w:sz w:val="12"/>
                <w:szCs w:val="12"/>
                <w:b w:val="1"/>
                <w:bCs w:val="1"/>
                <w:color w:val="auto"/>
              </w:rPr>
              <w:t>TRANSITIONAL PROVISIONS</w:t>
            </w:r>
          </w:p>
        </w:tc>
        <w:tc>
          <w:tcPr>
            <w:tcW w:w="240" w:type="dxa"/>
            <w:vAlign w:val="bottom"/>
            <w:tcBorders>
              <w:right w:val="single" w:sz="8" w:color="auto"/>
            </w:tcBorders>
          </w:tcPr>
          <w:p>
            <w:pPr>
              <w:spacing w:after="0"/>
              <w:rPr>
                <w:sz w:val="15"/>
                <w:szCs w:val="15"/>
                <w:color w:val="auto"/>
              </w:rPr>
            </w:pPr>
          </w:p>
        </w:tc>
        <w:tc>
          <w:tcPr>
            <w:tcW w:w="520" w:type="dxa"/>
            <w:vAlign w:val="bottom"/>
          </w:tcPr>
          <w:p>
            <w:pPr>
              <w:ind w:left="40"/>
              <w:spacing w:after="0"/>
              <w:rPr>
                <w:sz w:val="20"/>
                <w:szCs w:val="20"/>
                <w:color w:val="auto"/>
              </w:rPr>
            </w:pPr>
            <w:r>
              <w:rPr>
                <w:rFonts w:ascii="Arial" w:cs="Arial" w:eastAsia="Arial" w:hAnsi="Arial"/>
                <w:sz w:val="12"/>
                <w:szCs w:val="12"/>
                <w:b w:val="1"/>
                <w:bCs w:val="1"/>
                <w:color w:val="auto"/>
              </w:rPr>
              <w:t>XI.</w:t>
            </w:r>
          </w:p>
        </w:tc>
        <w:tc>
          <w:tcPr>
            <w:tcW w:w="5000" w:type="dxa"/>
            <w:vAlign w:val="bottom"/>
            <w:tcBorders>
              <w:right w:val="single" w:sz="8" w:color="auto"/>
            </w:tcBorders>
          </w:tcPr>
          <w:p>
            <w:pPr>
              <w:ind w:left="120"/>
              <w:spacing w:after="0"/>
              <w:rPr>
                <w:sz w:val="20"/>
                <w:szCs w:val="20"/>
                <w:color w:val="auto"/>
              </w:rPr>
            </w:pPr>
            <w:r>
              <w:rPr>
                <w:rFonts w:ascii="Arial" w:cs="Arial" w:eastAsia="Arial" w:hAnsi="Arial"/>
                <w:sz w:val="12"/>
                <w:szCs w:val="12"/>
                <w:b w:val="1"/>
                <w:bCs w:val="1"/>
                <w:color w:val="auto"/>
              </w:rPr>
              <w:t>DISPOSITIONS TRANSITOIRES</w:t>
            </w:r>
          </w:p>
        </w:tc>
        <w:tc>
          <w:tcPr>
            <w:tcW w:w="0" w:type="dxa"/>
            <w:vAlign w:val="bottom"/>
          </w:tcPr>
          <w:p>
            <w:pPr>
              <w:spacing w:after="0"/>
              <w:rPr>
                <w:sz w:val="1"/>
                <w:szCs w:val="1"/>
                <w:color w:val="auto"/>
              </w:rPr>
            </w:pPr>
          </w:p>
        </w:tc>
      </w:tr>
      <w:tr>
        <w:trPr>
          <w:trHeight w:val="36"/>
        </w:trPr>
        <w:tc>
          <w:tcPr>
            <w:tcW w:w="520" w:type="dxa"/>
            <w:vAlign w:val="bottom"/>
            <w:tcBorders>
              <w:left w:val="single" w:sz="8" w:color="auto"/>
              <w:bottom w:val="single" w:sz="8" w:color="auto"/>
            </w:tcBorders>
          </w:tcPr>
          <w:p>
            <w:pPr>
              <w:spacing w:after="0"/>
              <w:rPr>
                <w:sz w:val="3"/>
                <w:szCs w:val="3"/>
                <w:color w:val="auto"/>
              </w:rPr>
            </w:pPr>
          </w:p>
        </w:tc>
        <w:tc>
          <w:tcPr>
            <w:tcW w:w="502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520" w:type="dxa"/>
            <w:vAlign w:val="bottom"/>
            <w:tcBorders>
              <w:left w:val="single" w:sz="8" w:color="auto"/>
            </w:tcBorders>
          </w:tcPr>
          <w:p>
            <w:pPr>
              <w:ind w:left="40"/>
              <w:spacing w:after="0"/>
              <w:rPr>
                <w:sz w:val="20"/>
                <w:szCs w:val="20"/>
                <w:color w:val="auto"/>
              </w:rPr>
            </w:pPr>
            <w:r>
              <w:rPr>
                <w:rFonts w:ascii="Arial" w:cs="Arial" w:eastAsia="Arial" w:hAnsi="Arial"/>
                <w:sz w:val="12"/>
                <w:szCs w:val="12"/>
                <w:b w:val="1"/>
                <w:bCs w:val="1"/>
                <w:color w:val="auto"/>
              </w:rPr>
              <w:t>Art. 47</w:t>
            </w:r>
          </w:p>
        </w:tc>
        <w:tc>
          <w:tcPr>
            <w:tcW w:w="5020" w:type="dxa"/>
            <w:vAlign w:val="bottom"/>
            <w:tcBorders>
              <w:right w:val="single" w:sz="8" w:color="auto"/>
            </w:tcBorders>
          </w:tcPr>
          <w:p>
            <w:pPr>
              <w:ind w:left="160"/>
              <w:spacing w:after="0"/>
              <w:rPr>
                <w:sz w:val="20"/>
                <w:szCs w:val="20"/>
                <w:color w:val="auto"/>
              </w:rPr>
            </w:pPr>
            <w:r>
              <w:rPr>
                <w:rFonts w:ascii="Arial" w:cs="Arial" w:eastAsia="Arial" w:hAnsi="Arial"/>
                <w:sz w:val="12"/>
                <w:szCs w:val="12"/>
                <w:b w:val="1"/>
                <w:bCs w:val="1"/>
                <w:color w:val="auto"/>
              </w:rPr>
              <w:t>Transitional Provisions concerning the Compensation of the Executive Committee</w:t>
            </w:r>
          </w:p>
        </w:tc>
        <w:tc>
          <w:tcPr>
            <w:tcW w:w="240" w:type="dxa"/>
            <w:vAlign w:val="bottom"/>
            <w:tcBorders>
              <w:right w:val="single" w:sz="8" w:color="auto"/>
            </w:tcBorders>
          </w:tcPr>
          <w:p>
            <w:pPr>
              <w:spacing w:after="0"/>
              <w:rPr>
                <w:sz w:val="15"/>
                <w:szCs w:val="15"/>
                <w:color w:val="auto"/>
              </w:rPr>
            </w:pPr>
          </w:p>
        </w:tc>
        <w:tc>
          <w:tcPr>
            <w:tcW w:w="520" w:type="dxa"/>
            <w:vAlign w:val="bottom"/>
          </w:tcPr>
          <w:p>
            <w:pPr>
              <w:ind w:left="40"/>
              <w:spacing w:after="0"/>
              <w:rPr>
                <w:sz w:val="20"/>
                <w:szCs w:val="20"/>
                <w:color w:val="auto"/>
              </w:rPr>
            </w:pPr>
            <w:r>
              <w:rPr>
                <w:rFonts w:ascii="Arial" w:cs="Arial" w:eastAsia="Arial" w:hAnsi="Arial"/>
                <w:sz w:val="12"/>
                <w:szCs w:val="12"/>
                <w:b w:val="1"/>
                <w:bCs w:val="1"/>
                <w:color w:val="auto"/>
              </w:rPr>
              <w:t>Art. 47</w:t>
            </w:r>
          </w:p>
        </w:tc>
        <w:tc>
          <w:tcPr>
            <w:tcW w:w="5000" w:type="dxa"/>
            <w:vAlign w:val="bottom"/>
            <w:tcBorders>
              <w:right w:val="single" w:sz="8" w:color="auto"/>
            </w:tcBorders>
          </w:tcPr>
          <w:p>
            <w:pPr>
              <w:ind w:left="160"/>
              <w:spacing w:after="0"/>
              <w:rPr>
                <w:sz w:val="20"/>
                <w:szCs w:val="20"/>
                <w:color w:val="auto"/>
              </w:rPr>
            </w:pPr>
            <w:r>
              <w:rPr>
                <w:rFonts w:ascii="Arial" w:cs="Arial" w:eastAsia="Arial" w:hAnsi="Arial"/>
                <w:sz w:val="12"/>
                <w:szCs w:val="12"/>
                <w:b w:val="1"/>
                <w:bCs w:val="1"/>
                <w:color w:val="auto"/>
              </w:rPr>
              <w:t>Dispositions transitoires concernant la rémunération du comité exécutif</w:t>
            </w:r>
          </w:p>
        </w:tc>
        <w:tc>
          <w:tcPr>
            <w:tcW w:w="0" w:type="dxa"/>
            <w:vAlign w:val="bottom"/>
          </w:tcPr>
          <w:p>
            <w:pPr>
              <w:spacing w:after="0"/>
              <w:rPr>
                <w:sz w:val="1"/>
                <w:szCs w:val="1"/>
                <w:color w:val="auto"/>
              </w:rPr>
            </w:pPr>
          </w:p>
        </w:tc>
      </w:tr>
      <w:tr>
        <w:trPr>
          <w:trHeight w:val="260"/>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In the event that no vote was taken prior to the Ordinary General Meeting 2022 with respect to i) and</w:t>
            </w:r>
          </w:p>
        </w:tc>
        <w:tc>
          <w:tcPr>
            <w:tcW w:w="240" w:type="dxa"/>
            <w:vAlign w:val="bottom"/>
            <w:tcBorders>
              <w:right w:val="single" w:sz="8" w:color="auto"/>
            </w:tcBorders>
          </w:tcPr>
          <w:p>
            <w:pPr>
              <w:spacing w:after="0"/>
              <w:rPr>
                <w:sz w:val="22"/>
                <w:szCs w:val="22"/>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Dans l’hypothèse où aucun vote n’a eu lieu avant l'assemblée générale ordinaire 2022 sur les objets</w:t>
            </w:r>
          </w:p>
        </w:tc>
        <w:tc>
          <w:tcPr>
            <w:tcW w:w="0" w:type="dxa"/>
            <w:vAlign w:val="bottom"/>
          </w:tcPr>
          <w:p>
            <w:pPr>
              <w:spacing w:after="0"/>
              <w:rPr>
                <w:sz w:val="1"/>
                <w:szCs w:val="1"/>
                <w:color w:val="auto"/>
              </w:rPr>
            </w:pP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ii) below, the shareholders shall vote, at the Ordinary General Meeting 2022, among other things,</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(i) et (ii) ci-dessous, les actionnaires voteront lors de l'assemblée générale ordinaire 2022, entre</w:t>
            </w:r>
          </w:p>
        </w:tc>
        <w:tc>
          <w:tcPr>
            <w:tcW w:w="0" w:type="dxa"/>
            <w:vAlign w:val="bottom"/>
          </w:tcPr>
          <w:p>
            <w:pPr>
              <w:spacing w:after="0"/>
              <w:rPr>
                <w:sz w:val="1"/>
                <w:szCs w:val="1"/>
                <w:color w:val="auto"/>
              </w:rPr>
            </w:pP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separately on the approval of the proposals of the Board of Directors in relation to (i) the maximum</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autres, séparément sur l'approbation des propositions du conseil d'administration concernant (i) le</w:t>
            </w:r>
          </w:p>
        </w:tc>
        <w:tc>
          <w:tcPr>
            <w:tcW w:w="0" w:type="dxa"/>
            <w:vAlign w:val="bottom"/>
          </w:tcPr>
          <w:p>
            <w:pPr>
              <w:spacing w:after="0"/>
              <w:rPr>
                <w:sz w:val="1"/>
                <w:szCs w:val="1"/>
                <w:color w:val="auto"/>
              </w:rPr>
            </w:pP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aggregate amount of compensation of the Executive Committee for the following financial year 2023 in</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montant global maximum de la rémunération du comité exécutif pour l'exercice suivant 2023</w:t>
            </w:r>
          </w:p>
        </w:tc>
        <w:tc>
          <w:tcPr>
            <w:tcW w:w="0" w:type="dxa"/>
            <w:vAlign w:val="bottom"/>
          </w:tcPr>
          <w:p>
            <w:pPr>
              <w:spacing w:after="0"/>
              <w:rPr>
                <w:sz w:val="1"/>
                <w:szCs w:val="1"/>
                <w:color w:val="auto"/>
              </w:rPr>
            </w:pP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accordance with the amended Articles 8 para. 1 lit. e) and 18 of the Articles of Association approved</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conformément aux articles 8, al. 1 let. e) et 18 des statuts approuvés par l'assemblée générale</w:t>
            </w:r>
          </w:p>
        </w:tc>
        <w:tc>
          <w:tcPr>
            <w:tcW w:w="0" w:type="dxa"/>
            <w:vAlign w:val="bottom"/>
          </w:tcPr>
          <w:p>
            <w:pPr>
              <w:spacing w:after="0"/>
              <w:rPr>
                <w:sz w:val="1"/>
                <w:szCs w:val="1"/>
                <w:color w:val="auto"/>
              </w:rPr>
            </w:pPr>
          </w:p>
        </w:tc>
      </w:tr>
      <w:tr>
        <w:trPr>
          <w:trHeight w:val="135"/>
        </w:trPr>
        <w:tc>
          <w:tcPr>
            <w:tcW w:w="5540" w:type="dxa"/>
            <w:vAlign w:val="bottom"/>
            <w:tcBorders>
              <w:left w:val="single" w:sz="8" w:color="auto"/>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by the Ordinary General Meeting held on 25 June 2021 and the Articles 33 and 35 of the Articles of</w:t>
            </w:r>
          </w:p>
        </w:tc>
        <w:tc>
          <w:tcPr>
            <w:tcW w:w="240" w:type="dxa"/>
            <w:vAlign w:val="bottom"/>
            <w:tcBorders>
              <w:right w:val="single" w:sz="8" w:color="auto"/>
            </w:tcBorders>
          </w:tcPr>
          <w:p>
            <w:pPr>
              <w:spacing w:after="0"/>
              <w:rPr>
                <w:sz w:val="11"/>
                <w:szCs w:val="11"/>
                <w:color w:val="auto"/>
              </w:rPr>
            </w:pPr>
          </w:p>
        </w:tc>
        <w:tc>
          <w:tcPr>
            <w:tcW w:w="55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rPr>
              <w:t>ordinaire du 25 juin 2021 et les articles 33 and 35 des statuts, et (ii) le montant total maximum de la</w:t>
            </w:r>
          </w:p>
        </w:tc>
        <w:tc>
          <w:tcPr>
            <w:tcW w:w="0" w:type="dxa"/>
            <w:vAlign w:val="bottom"/>
          </w:tcPr>
          <w:p>
            <w:pPr>
              <w:spacing w:after="0"/>
              <w:rPr>
                <w:sz w:val="1"/>
                <w:szCs w:val="1"/>
                <w:color w:val="auto"/>
              </w:rPr>
            </w:pPr>
          </w:p>
        </w:tc>
      </w:tr>
      <w:tr>
        <w:trPr>
          <w:trHeight w:val="145"/>
        </w:trPr>
        <w:tc>
          <w:tcPr>
            <w:tcW w:w="5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2"/>
                <w:szCs w:val="12"/>
                <w:color w:val="auto"/>
              </w:rPr>
              <w:t>Association, and (ii) the total maximum amount of compensation of the Executive Committee for</w:t>
            </w:r>
          </w:p>
        </w:tc>
        <w:tc>
          <w:tcPr>
            <w:tcW w:w="240" w:type="dxa"/>
            <w:vAlign w:val="bottom"/>
            <w:tcBorders>
              <w:right w:val="single" w:sz="8" w:color="auto"/>
            </w:tcBorders>
          </w:tcPr>
          <w:p>
            <w:pPr>
              <w:spacing w:after="0"/>
              <w:rPr>
                <w:sz w:val="12"/>
                <w:szCs w:val="12"/>
                <w:color w:val="auto"/>
              </w:rPr>
            </w:pPr>
          </w:p>
        </w:tc>
        <w:tc>
          <w:tcPr>
            <w:tcW w:w="552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rémunération du comité exécutif pour</w:t>
            </w:r>
          </w:p>
        </w:tc>
        <w:tc>
          <w:tcPr>
            <w:tcW w:w="0" w:type="dxa"/>
            <w:vAlign w:val="bottom"/>
          </w:tcPr>
          <w:p>
            <w:pPr>
              <w:spacing w:after="0"/>
              <w:rPr>
                <w:sz w:val="1"/>
                <w:szCs w:val="1"/>
                <w:color w:val="auto"/>
              </w:rPr>
            </w:pPr>
          </w:p>
        </w:tc>
      </w:tr>
      <w:tr>
        <w:trPr>
          <w:trHeight w:val="36"/>
        </w:trPr>
        <w:tc>
          <w:tcPr>
            <w:tcW w:w="520" w:type="dxa"/>
            <w:vAlign w:val="bottom"/>
            <w:tcBorders>
              <w:left w:val="single" w:sz="8" w:color="auto"/>
              <w:bottom w:val="single" w:sz="8" w:color="auto"/>
            </w:tcBorders>
          </w:tcPr>
          <w:p>
            <w:pPr>
              <w:spacing w:after="0"/>
              <w:rPr>
                <w:sz w:val="3"/>
                <w:szCs w:val="3"/>
                <w:color w:val="auto"/>
              </w:rPr>
            </w:pPr>
          </w:p>
        </w:tc>
        <w:tc>
          <w:tcPr>
            <w:tcW w:w="502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93"/>
        </w:trPr>
        <w:tc>
          <w:tcPr>
            <w:tcW w:w="52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211" w:right="299" w:bottom="1440" w:gutter="0" w:footer="0" w:header="0"/>
        </w:sectPr>
      </w:pPr>
    </w:p>
    <w:bookmarkStart w:id="80" w:name="page81"/>
    <w:bookmarkEnd w:id="80"/>
    <w:p>
      <w:pPr>
        <w:ind w:left="11120"/>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44450</wp:posOffset>
            </wp:positionV>
            <wp:extent cx="7178040" cy="10115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1011555"/>
                    </a:xfrm>
                    <a:prstGeom prst="rect">
                      <a:avLst/>
                    </a:prstGeom>
                    <a:noFill/>
                  </pic:spPr>
                </pic:pic>
              </a:graphicData>
            </a:graphic>
          </wp:anchor>
        </w:drawing>
      </w:r>
    </w:p>
    <w:p>
      <w:pPr>
        <w:sectPr>
          <w:pgSz w:w="11900" w:h="16838" w:orient="portrait"/>
          <w:cols w:equalWidth="0" w:num="1">
            <w:col w:w="11260"/>
          </w:cols>
          <w:pgMar w:left="300" w:top="211" w:right="339" w:bottom="1440" w:gutter="0" w:footer="0" w:header="0"/>
        </w:sectPr>
      </w:pPr>
    </w:p>
    <w:p>
      <w:pPr>
        <w:spacing w:after="0" w:line="123" w:lineRule="exact"/>
        <w:rPr>
          <w:sz w:val="20"/>
          <w:szCs w:val="20"/>
          <w:color w:val="auto"/>
        </w:rPr>
      </w:pPr>
    </w:p>
    <w:p>
      <w:pPr>
        <w:ind w:left="260" w:hanging="214"/>
        <w:spacing w:after="0" w:line="246" w:lineRule="auto"/>
        <w:tabs>
          <w:tab w:leader="none" w:pos="298"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non-performance-related compensation of the Executive Committee for the 6-month period starting on 1 July 2022 to 31 December 2022;</w:t>
      </w:r>
    </w:p>
    <w:p>
      <w:pPr>
        <w:spacing w:after="0" w:line="122" w:lineRule="exact"/>
        <w:rPr>
          <w:rFonts w:ascii="Arial" w:cs="Arial" w:eastAsia="Arial" w:hAnsi="Arial"/>
          <w:sz w:val="12"/>
          <w:szCs w:val="12"/>
          <w:color w:val="auto"/>
        </w:rPr>
      </w:pPr>
    </w:p>
    <w:p>
      <w:pPr>
        <w:ind w:left="260" w:hanging="214"/>
        <w:spacing w:after="0" w:line="246" w:lineRule="auto"/>
        <w:tabs>
          <w:tab w:leader="none" w:pos="305"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variable compensation for the Executive Committee for the 12-month period starting on 1 January 2022 to 31 December 2022; and</w:t>
      </w:r>
    </w:p>
    <w:p>
      <w:pPr>
        <w:spacing w:after="0" w:line="122" w:lineRule="exact"/>
        <w:rPr>
          <w:rFonts w:ascii="Arial" w:cs="Arial" w:eastAsia="Arial" w:hAnsi="Arial"/>
          <w:sz w:val="12"/>
          <w:szCs w:val="12"/>
          <w:color w:val="auto"/>
        </w:rPr>
      </w:pPr>
    </w:p>
    <w:p>
      <w:pPr>
        <w:ind w:left="260" w:hanging="214"/>
        <w:spacing w:after="0" w:line="246" w:lineRule="auto"/>
        <w:tabs>
          <w:tab w:leader="none" w:pos="251"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grant of Equity in the Company to the Executive Committee for the 6-month period starting on 1 July 2022 to 31 December 2022,</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2"/>
          <w:szCs w:val="12"/>
          <w:color w:val="auto"/>
        </w:rPr>
        <w:t>in accordance with Articles 18 para. 2 and 3, 33 as well as 35 of the Articles of Association.</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ind w:left="225" w:right="20" w:hanging="225"/>
        <w:spacing w:after="0" w:line="246" w:lineRule="auto"/>
        <w:tabs>
          <w:tab w:leader="none" w:pos="249" w:val="left"/>
        </w:tabs>
        <w:numPr>
          <w:ilvl w:val="0"/>
          <w:numId w:val="18"/>
        </w:numPr>
        <w:rPr>
          <w:rFonts w:ascii="Arial" w:cs="Arial" w:eastAsia="Arial" w:hAnsi="Arial"/>
          <w:sz w:val="12"/>
          <w:szCs w:val="12"/>
          <w:color w:val="auto"/>
        </w:rPr>
      </w:pPr>
      <w:r>
        <w:rPr>
          <w:rFonts w:ascii="Arial" w:cs="Arial" w:eastAsia="Arial" w:hAnsi="Arial"/>
          <w:sz w:val="12"/>
          <w:szCs w:val="12"/>
          <w:color w:val="auto"/>
        </w:rPr>
        <w:t>la rémunération non liée à la performance du comité exécutif pour la période de 6 mois du 1er juillet 2022 au 31 décembre 2022;</w:t>
      </w:r>
    </w:p>
    <w:p>
      <w:pPr>
        <w:spacing w:after="0" w:line="122" w:lineRule="exact"/>
        <w:rPr>
          <w:rFonts w:ascii="Arial" w:cs="Arial" w:eastAsia="Arial" w:hAnsi="Arial"/>
          <w:sz w:val="12"/>
          <w:szCs w:val="12"/>
          <w:color w:val="auto"/>
        </w:rPr>
      </w:pPr>
    </w:p>
    <w:p>
      <w:pPr>
        <w:ind w:left="225" w:right="20" w:hanging="225"/>
        <w:spacing w:after="0" w:line="246" w:lineRule="auto"/>
        <w:tabs>
          <w:tab w:leader="none" w:pos="216" w:val="left"/>
        </w:tabs>
        <w:numPr>
          <w:ilvl w:val="0"/>
          <w:numId w:val="18"/>
        </w:numPr>
        <w:rPr>
          <w:rFonts w:ascii="Arial" w:cs="Arial" w:eastAsia="Arial" w:hAnsi="Arial"/>
          <w:sz w:val="12"/>
          <w:szCs w:val="12"/>
          <w:color w:val="auto"/>
        </w:rPr>
      </w:pPr>
      <w:r>
        <w:rPr>
          <w:rFonts w:ascii="Arial" w:cs="Arial" w:eastAsia="Arial" w:hAnsi="Arial"/>
          <w:sz w:val="12"/>
          <w:szCs w:val="12"/>
          <w:color w:val="auto"/>
        </w:rPr>
        <w:t>la rémunération variable pour le comité exécutif pour la période de 12 mois du 1er janvier 2022 au 31 décembre 2022;</w:t>
      </w:r>
    </w:p>
    <w:p>
      <w:pPr>
        <w:spacing w:after="0" w:line="122" w:lineRule="exact"/>
        <w:rPr>
          <w:rFonts w:ascii="Arial" w:cs="Arial" w:eastAsia="Arial" w:hAnsi="Arial"/>
          <w:sz w:val="12"/>
          <w:szCs w:val="12"/>
          <w:color w:val="auto"/>
        </w:rPr>
      </w:pPr>
    </w:p>
    <w:p>
      <w:pPr>
        <w:ind w:left="225" w:right="20" w:hanging="225"/>
        <w:spacing w:after="0" w:line="246" w:lineRule="auto"/>
        <w:tabs>
          <w:tab w:leader="none" w:pos="216" w:val="left"/>
        </w:tabs>
        <w:numPr>
          <w:ilvl w:val="0"/>
          <w:numId w:val="18"/>
        </w:numPr>
        <w:rPr>
          <w:rFonts w:ascii="Arial" w:cs="Arial" w:eastAsia="Arial" w:hAnsi="Arial"/>
          <w:sz w:val="12"/>
          <w:szCs w:val="12"/>
          <w:color w:val="auto"/>
        </w:rPr>
      </w:pPr>
      <w:r>
        <w:rPr>
          <w:rFonts w:ascii="Arial" w:cs="Arial" w:eastAsia="Arial" w:hAnsi="Arial"/>
          <w:sz w:val="12"/>
          <w:szCs w:val="12"/>
          <w:color w:val="auto"/>
        </w:rPr>
        <w:t>l'octroi de participations dans la société au comité exécutif pour la période de 6 mois du 1er juillet 2022 au 31 décembre 2022,</w:t>
      </w:r>
    </w:p>
    <w:p>
      <w:pPr>
        <w:spacing w:after="0" w:line="122" w:lineRule="exact"/>
        <w:rPr>
          <w:sz w:val="20"/>
          <w:szCs w:val="20"/>
          <w:color w:val="auto"/>
        </w:rPr>
      </w:pPr>
    </w:p>
    <w:p>
      <w:pPr>
        <w:ind w:left="5"/>
        <w:spacing w:after="0"/>
        <w:rPr>
          <w:sz w:val="20"/>
          <w:szCs w:val="20"/>
          <w:color w:val="auto"/>
        </w:rPr>
      </w:pPr>
      <w:r>
        <w:rPr>
          <w:rFonts w:ascii="Arial" w:cs="Arial" w:eastAsia="Arial" w:hAnsi="Arial"/>
          <w:sz w:val="12"/>
          <w:szCs w:val="12"/>
          <w:color w:val="auto"/>
        </w:rPr>
        <w:t>conformément à l'article 18 al. 2 et 3, ainsi que 33 et 35 des statuts.</w:t>
      </w:r>
    </w:p>
    <w:p>
      <w:pPr>
        <w:spacing w:after="0" w:line="200" w:lineRule="exact"/>
        <w:rPr>
          <w:sz w:val="20"/>
          <w:szCs w:val="20"/>
          <w:color w:val="auto"/>
        </w:rPr>
      </w:pPr>
    </w:p>
    <w:p>
      <w:pPr>
        <w:sectPr>
          <w:pgSz w:w="11900" w:h="16838" w:orient="portrait"/>
          <w:cols w:equalWidth="0" w:num="2">
            <w:col w:w="5480" w:space="335"/>
            <w:col w:w="5445"/>
          </w:cols>
          <w:pgMar w:left="300" w:top="211" w:right="339" w:bottom="1440" w:gutter="0" w:footer="0" w:header="0"/>
          <w:type w:val="continuous"/>
        </w:sectPr>
      </w:pPr>
    </w:p>
    <w:p>
      <w:pPr>
        <w:spacing w:after="0" w:line="121" w:lineRule="exact"/>
        <w:rPr>
          <w:sz w:val="20"/>
          <w:szCs w:val="20"/>
          <w:color w:val="auto"/>
        </w:rPr>
      </w:pPr>
    </w:p>
    <w:p>
      <w:pPr>
        <w:ind w:left="20"/>
        <w:spacing w:after="0"/>
        <w:rPr>
          <w:sz w:val="20"/>
          <w:szCs w:val="20"/>
          <w:color w:val="auto"/>
        </w:rPr>
      </w:pPr>
      <w:r>
        <w:rPr>
          <w:rFonts w:ascii="Arial" w:cs="Arial" w:eastAsia="Arial" w:hAnsi="Arial"/>
          <w:sz w:val="12"/>
          <w:szCs w:val="12"/>
          <w:color w:val="auto"/>
        </w:rPr>
        <w:t>Statuts modifiés lors de la séance de l’assemblée générale ordinaire du 25 juin 2021.</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L'atteste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233045</wp:posOffset>
            </wp:positionV>
            <wp:extent cx="717804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sectPr>
      <w:pgSz w:w="11900" w:h="16838" w:orient="portrait"/>
      <w:cols w:equalWidth="0" w:num="1">
        <w:col w:w="11260"/>
      </w:cols>
      <w:pgMar w:left="300" w:top="2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upperLetter"/>
      <w:start w:val="1"/>
    </w:lvl>
  </w:abstractNum>
  <w:abstractNum w:abstractNumId="1">
    <w:nsid w:val="4DB127F8"/>
    <w:multiLevelType w:val="hybridMultilevel"/>
    <w:lvl w:ilvl="0">
      <w:lvlJc w:val="left"/>
      <w:lvlText w:val="%1."/>
      <w:numFmt w:val="upperLetter"/>
      <w:start w:val="3"/>
    </w:lvl>
  </w:abstractNum>
  <w:abstractNum w:abstractNumId="2">
    <w:nsid w:val="216231B"/>
    <w:multiLevelType w:val="hybridMultilevel"/>
    <w:lvl w:ilvl="0">
      <w:lvlJc w:val="left"/>
      <w:lvlText w:val="%1)"/>
      <w:numFmt w:val="lowerLetter"/>
      <w:start w:val="1"/>
    </w:lvl>
  </w:abstractNum>
  <w:abstractNum w:abstractNumId="3">
    <w:nsid w:val="1F16E9E8"/>
    <w:multiLevelType w:val="hybridMultilevel"/>
    <w:lvl w:ilvl="0">
      <w:lvlJc w:val="left"/>
      <w:lvlText w:val="%1)"/>
      <w:numFmt w:val="lowerLetter"/>
      <w:start w:val="1"/>
    </w:lvl>
  </w:abstractNum>
  <w:abstractNum w:abstractNumId="4">
    <w:nsid w:val="1190CDE7"/>
    <w:multiLevelType w:val="hybridMultilevel"/>
    <w:lvl w:ilvl="0">
      <w:lvlJc w:val="left"/>
      <w:lvlText w:val="%1"/>
      <w:numFmt w:val="lowerLetter"/>
      <w:start w:val="1"/>
    </w:lvl>
    <w:lvl w:ilvl="1">
      <w:lvlJc w:val="left"/>
      <w:lvlText w:val="(%2)"/>
      <w:numFmt w:val="lowerLetter"/>
      <w:start w:val="61"/>
    </w:lvl>
    <w:lvl w:ilvl="2">
      <w:lvlJc w:val="left"/>
      <w:lvlText w:val="%3"/>
      <w:numFmt w:val="decimal"/>
      <w:start w:val="1"/>
    </w:lvl>
  </w:abstractNum>
  <w:abstractNum w:abstractNumId="5">
    <w:nsid w:val="66EF438D"/>
    <w:multiLevelType w:val="hybridMultilevel"/>
    <w:lvl w:ilvl="0">
      <w:lvlJc w:val="left"/>
      <w:lvlText w:val="(%1)"/>
      <w:numFmt w:val="lowerLetter"/>
      <w:start w:val="2"/>
    </w:lvl>
    <w:lvl w:ilvl="1">
      <w:lvlJc w:val="left"/>
      <w:lvlText w:val="(%2)"/>
      <w:numFmt w:val="lowerLetter"/>
      <w:start w:val="9"/>
    </w:lvl>
    <w:lvl w:ilvl="2">
      <w:lvlJc w:val="left"/>
      <w:lvlText w:val="(%3)"/>
      <w:numFmt w:val="decimal"/>
      <w:start w:val="1"/>
    </w:lvl>
  </w:abstractNum>
  <w:abstractNum w:abstractNumId="6">
    <w:nsid w:val="140E0F76"/>
    <w:multiLevelType w:val="hybridMultilevel"/>
    <w:lvl w:ilvl="0">
      <w:lvlJc w:val="left"/>
      <w:lvlText w:val="(%1)"/>
      <w:numFmt w:val="lowerRoman"/>
      <w:start w:val="2"/>
    </w:lvl>
  </w:abstractNum>
  <w:abstractNum w:abstractNumId="7">
    <w:nsid w:val="3352255A"/>
    <w:multiLevelType w:val="hybridMultilevel"/>
    <w:lvl w:ilvl="0">
      <w:lvlJc w:val="left"/>
      <w:lvlText w:val="%1"/>
      <w:numFmt w:val="lowerLetter"/>
      <w:start w:val="1"/>
    </w:lvl>
    <w:lvl w:ilvl="1">
      <w:lvlJc w:val="left"/>
      <w:lvlText w:val="(%2)"/>
      <w:numFmt w:val="lowerLetter"/>
      <w:start w:val="61"/>
    </w:lvl>
    <w:lvl w:ilvl="2">
      <w:lvlJc w:val="left"/>
      <w:lvlText w:val="%3"/>
      <w:numFmt w:val="decimal"/>
      <w:start w:val="1"/>
    </w:lvl>
  </w:abstractNum>
  <w:abstractNum w:abstractNumId="8">
    <w:nsid w:val="109CF92E"/>
    <w:multiLevelType w:val="hybridMultilevel"/>
    <w:lvl w:ilvl="0">
      <w:lvlJc w:val="left"/>
      <w:lvlText w:val="(%1)"/>
      <w:numFmt w:val="lowerLetter"/>
      <w:start w:val="2"/>
    </w:lvl>
    <w:lvl w:ilvl="1">
      <w:lvlJc w:val="left"/>
      <w:lvlText w:val="(%2)"/>
      <w:numFmt w:val="lowerLetter"/>
      <w:start w:val="9"/>
    </w:lvl>
    <w:lvl w:ilvl="2">
      <w:lvlJc w:val="left"/>
      <w:lvlText w:val="(%3)"/>
      <w:numFmt w:val="decimal"/>
      <w:start w:val="1"/>
    </w:lvl>
  </w:abstractNum>
  <w:abstractNum w:abstractNumId="9">
    <w:nsid w:val="DED7263"/>
    <w:multiLevelType w:val="hybridMultilevel"/>
    <w:lvl w:ilvl="0">
      <w:lvlJc w:val="left"/>
      <w:lvlText w:val="(%1)"/>
      <w:numFmt w:val="lowerRoman"/>
      <w:start w:val="2"/>
    </w:lvl>
  </w:abstractNum>
  <w:abstractNum w:abstractNumId="10">
    <w:nsid w:val="7FDCC233"/>
    <w:multiLevelType w:val="hybridMultilevel"/>
    <w:lvl w:ilvl="0">
      <w:lvlJc w:val="left"/>
      <w:lvlText w:val="%1)"/>
      <w:numFmt w:val="lowerLetter"/>
      <w:start w:val="3"/>
    </w:lvl>
  </w:abstractNum>
  <w:abstractNum w:abstractNumId="11">
    <w:nsid w:val="1BEFD79F"/>
    <w:multiLevelType w:val="hybridMultilevel"/>
    <w:lvl w:ilvl="0">
      <w:lvlJc w:val="left"/>
      <w:lvlText w:val="%1)"/>
      <w:numFmt w:val="lowerLetter"/>
      <w:start w:val="4"/>
    </w:lvl>
  </w:abstractNum>
  <w:abstractNum w:abstractNumId="12">
    <w:nsid w:val="41A7C4C9"/>
    <w:multiLevelType w:val="hybridMultilevel"/>
    <w:lvl w:ilvl="0">
      <w:lvlJc w:val="left"/>
      <w:lvlText w:val="%1)"/>
      <w:numFmt w:val="lowerLetter"/>
      <w:start w:val="5"/>
    </w:lvl>
  </w:abstractNum>
  <w:abstractNum w:abstractNumId="13">
    <w:nsid w:val="6B68079A"/>
    <w:multiLevelType w:val="hybridMultilevel"/>
    <w:lvl w:ilvl="0">
      <w:lvlJc w:val="left"/>
      <w:lvlText w:val="%1)"/>
      <w:numFmt w:val="lowerLetter"/>
      <w:start w:val="6"/>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lowerLetter"/>
      <w:start w:val="1"/>
    </w:lvl>
    <w:lvl w:ilvl="1">
      <w:lvlJc w:val="left"/>
      <w:lvlText w:val="à"/>
      <w:numFmt w:val="bullet"/>
      <w:start w:val="1"/>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2021-06-25T15:42:39Z</dcterms:created>
  <dcterms:modified xsi:type="dcterms:W3CDTF">2021-06-25T15:42:39Z</dcterms:modified>
</cp:coreProperties>
</file>