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4, 2018</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422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35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8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5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of Registrant’s Principal Executive Offices)</w:t>
      </w:r>
    </w:p>
    <w:p>
      <w:pPr>
        <w:spacing w:after="0" w:line="203"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East 40th Street, 10th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Agent For Service)</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Derek J. Dostal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Richard D. Truesdell, Jr.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ind w:left="5580" w:hanging="428"/>
        <w:spacing w:after="0"/>
        <w:tabs>
          <w:tab w:leader="none" w:pos="5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450-4000</w:t>
      </w:r>
    </w:p>
    <w:p>
      <w:pPr>
        <w:spacing w:after="0" w:line="9" w:lineRule="exact"/>
        <w:rPr>
          <w:rFonts w:ascii="Times New Roman" w:cs="Times New Roman" w:eastAsia="Times New Roman" w:hAnsi="Times New Roman"/>
          <w:sz w:val="18"/>
          <w:szCs w:val="18"/>
          <w:b w:val="1"/>
          <w:bCs w:val="1"/>
          <w:color w:val="auto"/>
        </w:rPr>
      </w:pPr>
    </w:p>
    <w:p>
      <w:pPr>
        <w:ind w:left="3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only securities being registered on this Form are being offered pursuant to dividend or interest reinvestment plans, please check the following box.</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9"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6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3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1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3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97"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420"/>
          </w:cols>
          <w:pgMar w:left="240" w:top="468" w:right="239" w:bottom="0" w:gutter="0" w:footer="0" w:header="0"/>
        </w:sectPr>
      </w:pPr>
    </w:p>
    <w:bookmarkStart w:id="1" w:name="page2"/>
    <w:bookmarkEnd w:id="1"/>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0"/>
          <w:szCs w:val="20"/>
          <w:color w:val="auto"/>
        </w:rPr>
      </w:pPr>
    </w:p>
    <w:p>
      <w:pPr>
        <w:ind w:right="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ind w:right="220" w:firstLine="332"/>
        <w:spacing w:after="0" w:line="261" w:lineRule="auto"/>
        <w:tabs>
          <w:tab w:leader="none" w:pos="4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ind w:left="32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ectPr>
          <w:pgSz w:w="11900" w:h="16838" w:orient="portrait"/>
          <w:cols w:equalWidth="0" w:num="1">
            <w:col w:w="11340"/>
          </w:cols>
          <w:pgMar w:left="240" w:top="12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5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74"/>
        </w:trPr>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640" w:type="dxa"/>
            <w:vAlign w:val="bottom"/>
          </w:tcPr>
          <w:p>
            <w:pPr>
              <w:spacing w:after="0"/>
              <w:rPr>
                <w:sz w:val="15"/>
                <w:szCs w:val="15"/>
                <w:color w:val="auto"/>
              </w:rPr>
            </w:pPr>
          </w:p>
        </w:tc>
      </w:tr>
      <w:tr>
        <w:trPr>
          <w:trHeight w:val="216"/>
        </w:trPr>
        <w:tc>
          <w:tcPr>
            <w:tcW w:w="45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Title of Each Class of</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Maximum Aggregate Maximum Aggregate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45"/>
        </w:trPr>
        <w:tc>
          <w:tcPr>
            <w:tcW w:w="45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Securities to be Registered</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Registered(1)</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Unit(2)</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Offering Price(3)</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 Fee(3)</w:t>
            </w:r>
          </w:p>
        </w:tc>
      </w:tr>
      <w:tr>
        <w:trPr>
          <w:trHeight w:val="216"/>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Shares, par value CHF 0.02 per share</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Contracts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Subscription Rights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$350,000,000</w:t>
            </w: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$350,000,000</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$43,575.00</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179" w:lineRule="exact"/>
        <w:rPr>
          <w:sz w:val="20"/>
          <w:szCs w:val="20"/>
          <w:color w:val="auto"/>
        </w:rPr>
      </w:pPr>
    </w:p>
    <w:p>
      <w:pPr>
        <w:ind w:left="340" w:right="30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securities of each identified class being registered as may be sold by the registrant from time to time at indeterminate prices, with any initial aggregate public offering price not to exceed $350,000,000.</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of each class of securities will be determined from time to time by the registrant in connection with the offer and sale of the securities registered hereunder and is not specified as to each class of securities pursuant to the General Instruction II.C. of Form F-3 under the Securities Act of 1933.</w:t>
      </w:r>
    </w:p>
    <w:p>
      <w:pPr>
        <w:spacing w:after="0" w:line="176" w:lineRule="exact"/>
        <w:rPr>
          <w:rFonts w:ascii="Times New Roman" w:cs="Times New Roman" w:eastAsia="Times New Roman" w:hAnsi="Times New Roman"/>
          <w:sz w:val="18"/>
          <w:szCs w:val="18"/>
          <w:color w:val="auto"/>
        </w:rPr>
      </w:pPr>
    </w:p>
    <w:p>
      <w:pPr>
        <w:ind w:left="340" w:right="100" w:hanging="332"/>
        <w:spacing w:after="0" w:line="25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457(o) under the Securities Act of 1933 with respect to the securities to be sold by the registrant. In no event will the aggregate offering price of all securities sold from time to time pursuant to this registration statement exceed $350,000,000.</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3"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both"/>
        <w:ind w:right="200"/>
        <w:spacing w:after="0" w:line="255"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May 4,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$350,000,000</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in Switzerland)</w:t>
      </w:r>
    </w:p>
    <w:p>
      <w:pPr>
        <w:spacing w:after="0" w:line="205"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7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26.</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 On May 3, 2018, the last sale price of our common shares as reported by the NASDAQ Global Market was $10.46 per common share. As of May 1, 2018, the aggregate market value of our outstanding common shares held by non-affiliates was approximately $235,540,298 based on approximately 57,394,315 shares of outstanding common shares, of which approximately 23,274,733 shares were held by non-affiliates. We have not offered any securities pursuant to General Instruction I.B.5 of Form F-3 during the prior 12 calendar month period that ends on, and includes, the date of this prospectus.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4 of this prospectus.</w:t>
      </w:r>
    </w:p>
    <w:p>
      <w:pPr>
        <w:spacing w:after="0" w:line="22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840" w:type="dxa"/>
            <w:vAlign w:val="bottom"/>
          </w:tcPr>
          <w:p>
            <w:pPr>
              <w:jc w:val="right"/>
              <w:ind w:right="4090"/>
              <w:spacing w:after="0"/>
              <w:rPr>
                <w:sz w:val="20"/>
                <w:szCs w:val="20"/>
                <w:color w:val="auto"/>
              </w:rPr>
            </w:pPr>
            <w:r>
              <w:rPr>
                <w:rFonts w:ascii="Times New Roman" w:cs="Times New Roman" w:eastAsia="Times New Roman" w:hAnsi="Times New Roman"/>
                <w:sz w:val="18"/>
                <w:szCs w:val="18"/>
                <w:b w:val="1"/>
                <w:bCs w:val="1"/>
                <w:color w:val="auto"/>
              </w:rPr>
              <w:t>, 2018.</w:t>
            </w:r>
          </w:p>
        </w:tc>
      </w:tr>
      <w:tr>
        <w:trPr>
          <w:trHeight w:val="567"/>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20" w:type="dxa"/>
            <w:vAlign w:val="bottom"/>
          </w:tcPr>
          <w:p>
            <w:pPr>
              <w:ind w:left="45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9220" w:type="dxa"/>
            <w:vAlign w:val="bottom"/>
          </w:tcPr>
          <w:p>
            <w:pPr>
              <w:ind w:left="4040"/>
              <w:spacing w:after="0"/>
              <w:rPr>
                <w:sz w:val="20"/>
                <w:szCs w:val="20"/>
                <w:color w:val="auto"/>
              </w:rPr>
            </w:pPr>
            <w:r>
              <w:rPr>
                <w:rFonts w:ascii="Times New Roman" w:cs="Times New Roman" w:eastAsia="Times New Roman" w:hAnsi="Times New Roman"/>
                <w:sz w:val="22"/>
                <w:szCs w:val="22"/>
                <w:b w:val="1"/>
                <w:bCs w:val="1"/>
                <w:color w:val="auto"/>
              </w:rPr>
              <w:t>_______________________________</w:t>
            </w:r>
          </w:p>
        </w:tc>
        <w:tc>
          <w:tcPr>
            <w:tcW w:w="2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164"/>
        </w:trPr>
        <w:tc>
          <w:tcPr>
            <w:tcW w:w="92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18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AC Immune SA</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 and Articles of Association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Comparison of Swiss Law and Delaware Law</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Purchase Contracts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Units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Subscription Rights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Enforcement of Judgments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1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1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Undertakings</w:t>
            </w:r>
          </w:p>
        </w:tc>
        <w:tc>
          <w:tcPr>
            <w:tcW w:w="1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II-2</w:t>
            </w:r>
          </w:p>
        </w:tc>
        <w:tc>
          <w:tcPr>
            <w:tcW w:w="0" w:type="dxa"/>
            <w:vAlign w:val="bottom"/>
          </w:tcPr>
          <w:p>
            <w:pPr>
              <w:spacing w:after="0"/>
              <w:rPr>
                <w:sz w:val="1"/>
                <w:szCs w:val="1"/>
                <w:color w:val="auto"/>
              </w:rPr>
            </w:pPr>
          </w:p>
        </w:tc>
      </w:tr>
      <w:tr>
        <w:trPr>
          <w:trHeight w:val="567"/>
        </w:trPr>
        <w:tc>
          <w:tcPr>
            <w:tcW w:w="9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8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58"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4" w:lineRule="exact"/>
        <w:rPr>
          <w:sz w:val="20"/>
          <w:szCs w:val="20"/>
          <w:color w:val="auto"/>
        </w:rPr>
      </w:pPr>
    </w:p>
    <w:p>
      <w:pPr>
        <w:ind w:left="660" w:right="3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Morphomer proprietary technology platform and its success in building additional product candidates for our pipeline;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and not infringe on third parties’,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Food and Drug Administration’s and applicable foreign regulatory authorities’ acceptance of data from studies we conduct outside the United States in the future;</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United States;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our most recent Annual Report on Form 20-F.</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92"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neurodegenerative diseases with four product candidates in clinical trials. We leverage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86" w:lineRule="exact"/>
        <w:rPr>
          <w:sz w:val="20"/>
          <w:szCs w:val="20"/>
          <w:color w:val="auto"/>
        </w:rPr>
      </w:pPr>
    </w:p>
    <w:p>
      <w:pPr>
        <w:ind w:right="460" w:firstLine="324"/>
        <w:spacing w:after="0" w:line="259"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8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c>
          <w:tcPr>
            <w:tcW w:w="1080" w:type="dxa"/>
            <w:vAlign w:val="bottom"/>
            <w:tcBorders>
              <w:bottom w:val="single" w:sz="8" w:color="auto"/>
            </w:tcBorders>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27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64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4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shd w:val="clear" w:color="auto" w:fill="D5EAEA"/>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5EAEA"/>
          </w:tcPr>
          <w:p>
            <w:pPr>
              <w:jc w:val="right"/>
              <w:ind w:right="390"/>
              <w:spacing w:after="0"/>
              <w:rPr>
                <w:sz w:val="20"/>
                <w:szCs w:val="20"/>
                <w:color w:val="auto"/>
              </w:rPr>
            </w:pPr>
            <w:r>
              <w:rPr>
                <w:rFonts w:ascii="Times New Roman" w:cs="Times New Roman" w:eastAsia="Times New Roman" w:hAnsi="Times New Roman"/>
                <w:sz w:val="18"/>
                <w:szCs w:val="18"/>
                <w:color w:val="auto"/>
              </w:rPr>
              <w:t>1,062</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9" w:lineRule="exact"/>
        <w:rPr>
          <w:sz w:val="20"/>
          <w:szCs w:val="20"/>
          <w:color w:val="auto"/>
        </w:rPr>
      </w:pPr>
    </w:p>
    <w:p>
      <w:pPr>
        <w:ind w:right="280" w:firstLine="332"/>
        <w:spacing w:after="0" w:line="282" w:lineRule="auto"/>
        <w:tabs>
          <w:tab w:leader="none" w:pos="4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earnings were insufficient to cover fixed charges of CHF 174 thousand and CHF 27 thousand for the years ended December 31, 2017 and 2016, respectively.</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ratios in the table above, earnings consist of pre-tax income/(loss) from continuing operations plus fixed charges. Fixed charges consist of relevant interest expenses and an estimate of the interest expense (5% for all periods) within rental expense.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from our sale of the securities will be used for general corporate purposes and other business opportunities.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issued share capital is CHF 1,147,253.80, consisting of 57,362,690 common shares. We have no dividend rights certificates (</w:t>
      </w:r>
      <w:r>
        <w:rPr>
          <w:rFonts w:ascii="Times New Roman" w:cs="Times New Roman" w:eastAsia="Times New Roman" w:hAnsi="Times New Roman"/>
          <w:sz w:val="18"/>
          <w:szCs w:val="18"/>
          <w:i w:val="1"/>
          <w:iCs w:val="1"/>
          <w:color w:val="auto"/>
        </w:rPr>
        <w:t>bons de jouissance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On March 26, 2018, we adopted the articles of association and when we refer to our articles of association in this prospectus, we refer to the articles of association as filed as Exhibit 4.1 hereto.</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its subsidiaries and supply guarantees.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Authorized and Conditional Share Capital</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85"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74" w:lineRule="exact"/>
        <w:rPr>
          <w:sz w:val="20"/>
          <w:szCs w:val="20"/>
          <w:color w:val="auto"/>
        </w:rPr>
      </w:pPr>
    </w:p>
    <w:p>
      <w:pPr>
        <w:ind w:left="660" w:right="1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180" w:lineRule="exact"/>
        <w:rPr>
          <w:rFonts w:ascii="Times New Roman" w:cs="Times New Roman" w:eastAsia="Times New Roman" w:hAnsi="Times New Roman"/>
          <w:sz w:val="18"/>
          <w:szCs w:val="18"/>
          <w:color w:val="auto"/>
        </w:rPr>
      </w:pPr>
    </w:p>
    <w:p>
      <w:pPr>
        <w:ind w:left="660" w:right="4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capital (</w:t>
      </w:r>
      <w:r>
        <w:rPr>
          <w:rFonts w:ascii="Times New Roman" w:cs="Times New Roman" w:eastAsia="Times New Roman" w:hAnsi="Times New Roman"/>
          <w:sz w:val="18"/>
          <w:szCs w:val="18"/>
          <w:i w:val="1"/>
          <w:iCs w:val="1"/>
          <w:color w:val="auto"/>
        </w:rPr>
        <w:t>capital-actions autorisé</w:t>
      </w:r>
      <w:r>
        <w:rPr>
          <w:rFonts w:ascii="Times New Roman" w:cs="Times New Roman" w:eastAsia="Times New Roman" w:hAnsi="Times New Roman"/>
          <w:sz w:val="18"/>
          <w:szCs w:val="18"/>
          <w:color w:val="auto"/>
        </w:rPr>
        <w:t>) to be utilized by the board of directors within a period determined by the shareholders but not exceeding two years from the date of the shareholder approval.</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7"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color w:val="auto"/>
        </w:rPr>
        <w:t>Pursuant to the CO, shareholders have pre-emptive subscription rights (</w:t>
      </w:r>
      <w:r>
        <w:rPr>
          <w:rFonts w:ascii="Times New Roman" w:cs="Times New Roman" w:eastAsia="Times New Roman" w:hAnsi="Times New Roman"/>
          <w:sz w:val="18"/>
          <w:szCs w:val="18"/>
          <w:i w:val="1"/>
          <w:iCs w:val="1"/>
          <w:color w:val="auto"/>
        </w:rPr>
        <w:t>droits de souscription</w:t>
      </w:r>
      <w:r>
        <w:rPr>
          <w:rFonts w:ascii="Times New Roman" w:cs="Times New Roman" w:eastAsia="Times New Roman" w:hAnsi="Times New Roman"/>
          <w:sz w:val="18"/>
          <w:szCs w:val="18"/>
          <w:color w:val="auto"/>
        </w:rPr>
        <w:t>) to subscribe for new issuances of shares. With respect to conditional capital in connection with the issuance of conversion rights, convertible bonds or similar debt instruments, shareholders have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 for the subscription of conversion rights, convertible bonds or similar debt instruments.</w:t>
      </w:r>
    </w:p>
    <w:p>
      <w:pPr>
        <w:spacing w:after="0" w:line="1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pre-emptive subscription rights as it elects.</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authorization previously granted to the board of directors to issue share capital has expired. A valid authorization to issue share capital in the articles of association of a Swiss stock corporation would typically provide for the withdrawal or limitation of preemptive subscription rights of shareholders, and their allocation to third parties or to the company, in the event that the newly issued shares are used for the following purposes:</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of the CO.</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Authorized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Article 3a of our articles of association, the authorization granted to our board of directors to increase our nominal share capital has expired.</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Bonds and Similar Debt Instruments</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Under Article 3b of our articles of association, 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When issuing convertible bonds, the board of directors is authorized to withdraw or to limit the advance subscription right of shareholders to subscribe to the convertible bond issuance:</w:t>
      </w:r>
    </w:p>
    <w:p>
      <w:pPr>
        <w:spacing w:after="0" w:line="162" w:lineRule="exact"/>
        <w:rPr>
          <w:sz w:val="20"/>
          <w:szCs w:val="20"/>
          <w:color w:val="auto"/>
        </w:rPr>
      </w:pPr>
    </w:p>
    <w:p>
      <w:pPr>
        <w:ind w:left="660" w:right="2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financing or refinancing the acquisition of enterprises, divisions thereof, or of participations or of newly planned investments of the Company;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issuance occurs in domestic or international capital markets, including private placements.</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nominal share capital may, to the exclusion of the pre-emptive subscription rights of shareholders, be increased by a maximum aggregate amount of CHF 57,073.04 through the issuance of not more than 2,853,652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 intermédiés</w:t>
      </w:r>
      <w:r>
        <w:rPr>
          <w:rFonts w:ascii="Times New Roman" w:cs="Times New Roman" w:eastAsia="Times New Roman" w:hAnsi="Times New Roman"/>
          <w:sz w:val="18"/>
          <w:szCs w:val="18"/>
          <w:color w:val="auto"/>
        </w:rPr>
        <w:t>, within the meaning of the FISA). In accordance with Article 973c of the CO, we will maintain a non-public register of uncertificated securities (</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the members of the board of directors, the chairman of the board of directors, the members of the compensation committee, the auditors and the independent proxy;</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compensation (basis, bonus and equity) of members of the board of directors and executive management, which under Swiss law is not necessarily limited to the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discharging the members of the board of directors and executive management from liability with respect to their tenure in the previous financial year;</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matters reserved to the general meeting of shareholders by law or the articles of association or presented to it by the board of directors.</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cancelling shares with preference rights or amending rights attached to such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amending the transfer restrictions of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authorized or conditional share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specific assets and granting specific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suppressing shareholder’s pre-emptive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alleviating or withdrawing of restrictions upon the transfer of registered shares and the removal of the voting cap of 331⁄3%;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registered shares into bearer shares and vice versa;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2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92" w:right="31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180" w:lineRule="exact"/>
        <w:rPr>
          <w:sz w:val="20"/>
          <w:szCs w:val="20"/>
          <w:color w:val="auto"/>
        </w:rPr>
      </w:pPr>
    </w:p>
    <w:p>
      <w:pPr>
        <w:ind w:left="660" w:right="3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the share register, of the shareholder proposing such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required under the applicable laws and stock exchange rules.</w:t>
      </w:r>
    </w:p>
    <w:p>
      <w:pPr>
        <w:spacing w:after="0" w:line="22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8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In the event that a shareholder should exceed the 331⁄3% ownership threshold, the registered shares exceeding the limit of 331⁄3%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7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Under Swiss law, we may pay dividends only if we have sufficient distributable profits brought forward from the previous business years (</w:t>
      </w:r>
      <w:r>
        <w:rPr>
          <w:rFonts w:ascii="Times New Roman" w:cs="Times New Roman" w:eastAsia="Times New Roman" w:hAnsi="Times New Roman"/>
          <w:sz w:val="18"/>
          <w:szCs w:val="18"/>
          <w:i w:val="1"/>
          <w:iCs w:val="1"/>
          <w:color w:val="auto"/>
        </w:rPr>
        <w:t>report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bénéfices</w:t>
      </w:r>
      <w:r>
        <w:rPr>
          <w:rFonts w:ascii="Times New Roman" w:cs="Times New Roman" w:eastAsia="Times New Roman" w:hAnsi="Times New Roman"/>
          <w:sz w:val="18"/>
          <w:szCs w:val="18"/>
          <w:color w:val="auto"/>
        </w:rPr>
        <w:t>), or if we have distributable reserves (</w:t>
      </w:r>
      <w:r>
        <w:rPr>
          <w:rFonts w:ascii="Times New Roman" w:cs="Times New Roman" w:eastAsia="Times New Roman" w:hAnsi="Times New Roman"/>
          <w:sz w:val="18"/>
          <w:szCs w:val="18"/>
          <w:i w:val="1"/>
          <w:iCs w:val="1"/>
          <w:color w:val="auto"/>
        </w:rPr>
        <w:t>réserves à libre disposition</w:t>
      </w:r>
      <w:r>
        <w:rPr>
          <w:rFonts w:ascii="Times New Roman" w:cs="Times New Roman" w:eastAsia="Times New Roman" w:hAnsi="Times New Roman"/>
          <w:sz w:val="18"/>
          <w:szCs w:val="18"/>
          <w:color w:val="auto"/>
        </w:rPr>
        <w:t>), each as evidenced by our audited stand-alone statutory balance sheet prepared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0"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3" w:name="page14"/>
    <w:bookmarkEnd w:id="13"/>
    <w:p>
      <w:pPr>
        <w:ind w:firstLine="324"/>
        <w:spacing w:after="0" w:line="254"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Voting rights may be exercised only after a shareholder has been entered in our share register (</w:t>
      </w:r>
      <w:r>
        <w:rPr>
          <w:rFonts w:ascii="Times New Roman" w:cs="Times New Roman" w:eastAsia="Times New Roman" w:hAnsi="Times New Roman"/>
          <w:sz w:val="18"/>
          <w:szCs w:val="18"/>
          <w:i w:val="1"/>
          <w:iCs w:val="1"/>
          <w:color w:val="auto"/>
        </w:rPr>
        <w:t>registre des actions</w:t>
      </w:r>
      <w:r>
        <w:rPr>
          <w:rFonts w:ascii="Times New Roman" w:cs="Times New Roman" w:eastAsia="Times New Roman" w:hAnsi="Times New Roman"/>
          <w:sz w:val="18"/>
          <w:szCs w:val="18"/>
          <w:color w:val="auto"/>
        </w:rPr>
        <w:t>) with his or her name and address (in the case of legal entities, the registered office) as a shareholder with voting rights. 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except if such individual or legal entity has submitted a tender offer to all shareholders. In the event that a shareholder should exceed the 331⁄3% ownership threshold, the registered shares exceeding the limit of 331⁄3% shall be entered in our share registered as shares without voting rights. Additional voting caps apply to shareholders acquiring shares for other persons (nominees).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Investigation</w:t>
      </w:r>
    </w:p>
    <w:p>
      <w:pPr>
        <w:spacing w:after="0" w:line="22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76"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If a transaction under the Swiss Merger Act receives all of the necessary consents, there are no appraisal rights and all shareholders are compelled to participate in such transaction.</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62"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jc w:val="both"/>
        <w:ind w:right="80" w:firstLine="324"/>
        <w:spacing w:after="0" w:line="313" w:lineRule="auto"/>
        <w:rPr>
          <w:sz w:val="20"/>
          <w:szCs w:val="20"/>
          <w:color w:val="auto"/>
        </w:rPr>
      </w:pPr>
      <w:r>
        <w:rPr>
          <w:rFonts w:ascii="Times New Roman" w:cs="Times New Roman" w:eastAsia="Times New Roman" w:hAnsi="Times New Roman"/>
          <w:sz w:val="17"/>
          <w:szCs w:val="17"/>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direction of the business of the Company and issuing of the relevant directives;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laying down the organization of the Company;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2" w:right="299" w:bottom="1440" w:gutter="0" w:footer="0" w:header="0"/>
        </w:sectPr>
      </w:pPr>
    </w:p>
    <w:bookmarkStart w:id="15" w:name="page16"/>
    <w:bookmarkEnd w:id="15"/>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accounting procedures, financial controls and financial planning;</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removing persons entrusted with the management and representation of the Company and regulating the power to sign for the Company;</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the annual report and the compensation report, and preparing for the general meeting of shareholders and carrying out its resolutions;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the court in case of over-indebtedness.</w:t>
      </w:r>
    </w:p>
    <w:p>
      <w:pPr>
        <w:spacing w:after="0" w:line="22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Indemnification of Executive Management and Directors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entered into indemnification agreements with each of the members of our board of directors and executive management.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8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23" w:right="319" w:bottom="1440" w:gutter="0" w:footer="0" w:header="0"/>
        </w:sectPr>
      </w:pPr>
    </w:p>
    <w:bookmarkStart w:id="16" w:name="page17"/>
    <w:bookmarkEnd w:id="16"/>
    <w:p>
      <w:pPr>
        <w:ind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5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225"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in 2016, the general meeting of shareholders will annually vote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board of directors for the subsequent term of office;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submit for approval at the general meeting of shareholders deviating or additional proposals relating to the same or different periods.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96" w:right="339" w:bottom="1440" w:gutter="0" w:footer="0" w:header="0"/>
        </w:sectPr>
      </w:pPr>
    </w:p>
    <w:bookmarkStart w:id="17" w:name="page18"/>
    <w:bookmarkEnd w:id="1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84"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2" w:right="29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SWISS LAW AND DELAWARE LAW</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Times New Roman" w:cs="Times New Roman" w:eastAsia="Times New Roman" w:hAnsi="Times New Roman"/>
          <w:sz w:val="18"/>
          <w:szCs w:val="18"/>
          <w:i w:val="1"/>
          <w:iCs w:val="1"/>
          <w:color w:val="auto"/>
        </w:rPr>
        <w:t>Code des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Suisse</w:t>
      </w:r>
      <w:r>
        <w:rPr>
          <w:rFonts w:ascii="Times New Roman" w:cs="Times New Roman" w:eastAsia="Times New Roman" w:hAnsi="Times New Roman"/>
          <w:sz w:val="18"/>
          <w:szCs w:val="18"/>
          <w:color w:val="auto"/>
        </w:rPr>
        <w:t>) and the Swiss Ordinance against excessive compensation in listed stock corporations applicable to our Company, as implemented by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184" w:lineRule="exact"/>
        <w:rPr>
          <w:sz w:val="20"/>
          <w:szCs w:val="20"/>
          <w:color w:val="auto"/>
        </w:rPr>
      </w:pPr>
    </w:p>
    <w:p>
      <w:pPr>
        <w:ind w:left="1480"/>
        <w:spacing w:after="0"/>
        <w:tabs>
          <w:tab w:leader="none" w:pos="750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ectPr>
          <w:pgSz w:w="11900" w:h="16838" w:orient="portrait"/>
          <w:cols w:equalWidth="0" w:num="1">
            <w:col w:w="11400"/>
          </w:cols>
          <w:pgMar w:left="240" w:top="1009" w:right="259" w:bottom="1440" w:gutter="0" w:footer="0" w:header="0"/>
        </w:sectPr>
      </w:pP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Times New Roman" w:cs="Times New Roman" w:eastAsia="Times New Roman" w:hAnsi="Times New Roman"/>
          <w:sz w:val="18"/>
          <w:szCs w:val="18"/>
          <w:i w:val="1"/>
          <w:iCs w:val="1"/>
          <w:color w:val="auto"/>
        </w:rPr>
        <w:t>Loi sur la fusion</w:t>
      </w:r>
      <w:r>
        <w:rPr>
          <w:rFonts w:ascii="Times New Roman" w:cs="Times New Roman" w:eastAsia="Times New Roman" w:hAnsi="Times New Roman"/>
          <w:sz w:val="18"/>
          <w:szCs w:val="18"/>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197" w:lineRule="exact"/>
        <w:rPr>
          <w:sz w:val="20"/>
          <w:szCs w:val="20"/>
          <w:color w:val="auto"/>
        </w:rPr>
      </w:pPr>
    </w:p>
    <w:p>
      <w:pPr>
        <w:sectPr>
          <w:pgSz w:w="11900" w:h="16838" w:orient="portrait"/>
          <w:cols w:equalWidth="0" w:num="2">
            <w:col w:w="5600" w:space="220"/>
            <w:col w:w="5580"/>
          </w:cols>
          <w:pgMar w:left="240" w:top="1009"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Shareholders’ suits</w:t>
      </w:r>
    </w:p>
    <w:p>
      <w:pPr>
        <w:sectPr>
          <w:pgSz w:w="11900" w:h="16838" w:orient="portrait"/>
          <w:cols w:equalWidth="0" w:num="1">
            <w:col w:w="11400"/>
          </w:cols>
          <w:pgMar w:left="240" w:top="1009" w:right="259" w:bottom="1440" w:gutter="0" w:footer="0" w:header="0"/>
          <w:type w:val="continuous"/>
        </w:sectPr>
      </w:pPr>
    </w:p>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580" w:space="240"/>
            <w:col w:w="5580"/>
          </w:cols>
          <w:pgMar w:left="240" w:top="1009" w:right="259" w:bottom="1440" w:gutter="0" w:footer="0" w:header="0"/>
          <w:type w:val="continuous"/>
        </w:sectPr>
      </w:pP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09" w:right="259" w:bottom="1440" w:gutter="0" w:footer="0" w:header="0"/>
          <w:type w:val="continuous"/>
        </w:sectPr>
      </w:pPr>
    </w:p>
    <w:bookmarkStart w:id="19" w:name="page20"/>
    <w:bookmarkEnd w:id="19"/>
    <w:p>
      <w:pPr>
        <w:ind w:left="1480"/>
        <w:spacing w:after="0"/>
        <w:tabs>
          <w:tab w:leader="none" w:pos="750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Shareholder vote on board and management compensation</w:t>
      </w:r>
    </w:p>
    <w:p>
      <w:pPr>
        <w:sectPr>
          <w:pgSz w:w="11900" w:h="16838" w:orient="portrait"/>
          <w:cols w:equalWidth="0" w:num="1">
            <w:col w:w="11400"/>
          </w:cols>
          <w:pgMar w:left="240" w:top="792" w:right="259" w:bottom="1440" w:gutter="0" w:footer="0" w:header="0"/>
        </w:sect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Swiss Ordinance against excessive compensation in listed stock corporations (</w:t>
      </w:r>
      <w:r>
        <w:rPr>
          <w:rFonts w:ascii="Times New Roman" w:cs="Times New Roman" w:eastAsia="Times New Roman" w:hAnsi="Times New Roman"/>
          <w:sz w:val="18"/>
          <w:szCs w:val="18"/>
          <w:i w:val="1"/>
          <w:iCs w:val="1"/>
          <w:color w:val="auto"/>
        </w:rPr>
        <w:t>Ordonnance contre les rémunérations abusives dans 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sociétés anonymes cotées en bourse</w:t>
      </w:r>
      <w:r>
        <w:rPr>
          <w:rFonts w:ascii="Times New Roman" w:cs="Times New Roman" w:eastAsia="Times New Roman" w:hAnsi="Times New Roman"/>
          <w:sz w:val="18"/>
          <w:szCs w:val="18"/>
          <w:color w:val="auto"/>
        </w:rPr>
        <w:t>), the general meeting of shareholders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non-transferable right, amongst others, to vote on the fixed and on the variable compensation of the members of the board of directors, of the executive management and of the advisory boards.</w:t>
      </w:r>
    </w:p>
    <w:p>
      <w:pPr>
        <w:spacing w:after="0" w:line="186" w:lineRule="exact"/>
        <w:rPr>
          <w:sz w:val="20"/>
          <w:szCs w:val="20"/>
          <w:color w:val="auto"/>
        </w:rPr>
      </w:pPr>
    </w:p>
    <w:p>
      <w:pPr>
        <w:sectPr>
          <w:pgSz w:w="11900" w:h="16838" w:orient="portrait"/>
          <w:cols w:equalWidth="0" w:num="2">
            <w:col w:w="5520" w:space="300"/>
            <w:col w:w="5580"/>
          </w:cols>
          <w:pgMar w:left="240" w:top="792"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Annual vote on board renewal</w:t>
      </w:r>
    </w:p>
    <w:p>
      <w:pPr>
        <w:sectPr>
          <w:pgSz w:w="11900" w:h="16838" w:orient="portrait"/>
          <w:cols w:equalWidth="0" w:num="1">
            <w:col w:w="11400"/>
          </w:cols>
          <w:pgMar w:left="240" w:top="792" w:right="259" w:bottom="1440" w:gutter="0" w:footer="0" w:header="0"/>
          <w:type w:val="continuous"/>
        </w:sectPr>
      </w:pPr>
    </w:p>
    <w:p>
      <w:pPr>
        <w:spacing w:after="0" w:line="2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587" w:lineRule="exact"/>
        <w:rPr>
          <w:sz w:val="20"/>
          <w:szCs w:val="20"/>
          <w:color w:val="auto"/>
        </w:rPr>
      </w:pPr>
    </w:p>
    <w:p>
      <w:pPr>
        <w:sectPr>
          <w:pgSz w:w="11900" w:h="16838" w:orient="portrait"/>
          <w:cols w:equalWidth="0" w:num="2">
            <w:col w:w="5480" w:space="340"/>
            <w:col w:w="5580"/>
          </w:cols>
          <w:pgMar w:left="240" w:top="792" w:right="259" w:bottom="1440" w:gutter="0" w:footer="0" w:header="0"/>
          <w:type w:val="continuous"/>
        </w:sectPr>
      </w:pP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Indemnification of directors and executive management and limitation of liability</w:t>
      </w:r>
    </w:p>
    <w:p>
      <w:pPr>
        <w:sectPr>
          <w:pgSz w:w="11900" w:h="16838" w:orient="portrait"/>
          <w:cols w:equalWidth="0" w:num="1">
            <w:col w:w="11400"/>
          </w:cols>
          <w:pgMar w:left="240" w:top="792" w:right="259" w:bottom="1440" w:gutter="0" w:footer="0" w:header="0"/>
          <w:type w:val="continuous"/>
        </w:sectPr>
      </w:pPr>
    </w:p>
    <w:p>
      <w:pPr>
        <w:spacing w:after="0" w:line="2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88" w:lineRule="exact"/>
        <w:rPr>
          <w:sz w:val="20"/>
          <w:szCs w:val="20"/>
          <w:color w:val="auto"/>
        </w:rPr>
      </w:pPr>
    </w:p>
    <w:p>
      <w:pPr>
        <w:ind w:left="160" w:right="760" w:hanging="152"/>
        <w:spacing w:after="0" w:line="282" w:lineRule="auto"/>
        <w:tabs>
          <w:tab w:leader="none" w:pos="1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 director’s duty of loyalty to the corporation or its shareholders;</w:t>
      </w:r>
    </w:p>
    <w:p>
      <w:pPr>
        <w:spacing w:after="0" w:line="161" w:lineRule="exact"/>
        <w:rPr>
          <w:rFonts w:ascii="Times New Roman" w:cs="Times New Roman" w:eastAsia="Times New Roman" w:hAnsi="Times New Roman"/>
          <w:sz w:val="18"/>
          <w:szCs w:val="18"/>
          <w:color w:val="auto"/>
        </w:rPr>
      </w:pPr>
    </w:p>
    <w:p>
      <w:pPr>
        <w:ind w:left="160" w:hanging="152"/>
        <w:spacing w:after="0" w:line="282" w:lineRule="auto"/>
        <w:tabs>
          <w:tab w:leader="none" w:pos="1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61" w:lineRule="exact"/>
        <w:rPr>
          <w:rFonts w:ascii="Times New Roman" w:cs="Times New Roman" w:eastAsia="Times New Roman" w:hAnsi="Times New Roman"/>
          <w:sz w:val="18"/>
          <w:szCs w:val="18"/>
          <w:color w:val="auto"/>
        </w:rPr>
      </w:pPr>
    </w:p>
    <w:p>
      <w:pPr>
        <w:ind w:left="160" w:right="360" w:hanging="152"/>
        <w:spacing w:after="0" w:line="282" w:lineRule="auto"/>
        <w:tabs>
          <w:tab w:leader="none" w:pos="1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liability for unlawful payment of dividends or unlawful stock purchase or redemption; or</w:t>
      </w:r>
    </w:p>
    <w:p>
      <w:pPr>
        <w:spacing w:after="0" w:line="161" w:lineRule="exact"/>
        <w:rPr>
          <w:rFonts w:ascii="Times New Roman" w:cs="Times New Roman" w:eastAsia="Times New Roman" w:hAnsi="Times New Roman"/>
          <w:sz w:val="18"/>
          <w:szCs w:val="18"/>
          <w:color w:val="auto"/>
        </w:rPr>
      </w:pPr>
    </w:p>
    <w:p>
      <w:pPr>
        <w:ind w:left="160" w:right="440" w:hanging="152"/>
        <w:spacing w:after="0" w:line="282" w:lineRule="auto"/>
        <w:tabs>
          <w:tab w:leader="none" w:pos="1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may cover negligent acts as well.</w:t>
      </w:r>
    </w:p>
    <w:p>
      <w:pPr>
        <w:spacing w:after="0" w:line="824" w:lineRule="exact"/>
        <w:rPr>
          <w:sz w:val="20"/>
          <w:szCs w:val="20"/>
          <w:color w:val="auto"/>
        </w:rPr>
      </w:pPr>
    </w:p>
    <w:p>
      <w:pPr>
        <w:sectPr>
          <w:pgSz w:w="11900" w:h="16838" w:orient="portrait"/>
          <w:cols w:equalWidth="0" w:num="2">
            <w:col w:w="5580" w:space="240"/>
            <w:col w:w="5580"/>
          </w:cols>
          <w:pgMar w:left="240" w:top="792" w:right="259" w:bottom="1440" w:gutter="0" w:footer="0" w:header="0"/>
          <w:type w:val="continuous"/>
        </w:sectPr>
      </w:pP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type w:val="continuous"/>
        </w:sectPr>
      </w:pPr>
    </w:p>
    <w:bookmarkStart w:id="20" w:name="page21"/>
    <w:bookmarkEnd w:id="20"/>
    <w:p>
      <w:pPr>
        <w:ind w:left="1480"/>
        <w:spacing w:after="0"/>
        <w:tabs>
          <w:tab w:leader="none" w:pos="750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ectPr>
          <w:pgSz w:w="11900" w:h="16838" w:orient="portrait"/>
          <w:cols w:equalWidth="0" w:num="1">
            <w:col w:w="11420"/>
          </w:cols>
          <w:pgMar w:left="240" w:top="792" w:right="239" w:bottom="1440" w:gutter="0" w:footer="0" w:header="0"/>
        </w:sectPr>
      </w:pP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162" w:lineRule="exact"/>
        <w:rPr>
          <w:sz w:val="20"/>
          <w:szCs w:val="20"/>
          <w:color w:val="auto"/>
        </w:rPr>
      </w:pPr>
    </w:p>
    <w:p>
      <w:pPr>
        <w:ind w:left="280" w:hanging="14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225" w:lineRule="exact"/>
        <w:rPr>
          <w:rFonts w:ascii="Times New Roman" w:cs="Times New Roman" w:eastAsia="Times New Roman" w:hAnsi="Times New Roman"/>
          <w:sz w:val="18"/>
          <w:szCs w:val="18"/>
          <w:color w:val="auto"/>
        </w:rPr>
      </w:pPr>
    </w:p>
    <w:p>
      <w:pPr>
        <w:ind w:left="280" w:hanging="14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5"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84" w:lineRule="exact"/>
        <w:rPr>
          <w:sz w:val="20"/>
          <w:szCs w:val="20"/>
          <w:color w:val="auto"/>
        </w:rPr>
      </w:pPr>
    </w:p>
    <w:p>
      <w:pPr>
        <w:ind w:left="165" w:right="120" w:hanging="165"/>
        <w:spacing w:after="0" w:line="282" w:lineRule="auto"/>
        <w:tabs>
          <w:tab w:leader="none" w:pos="1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spacing w:after="0" w:line="161" w:lineRule="exact"/>
        <w:rPr>
          <w:rFonts w:ascii="Times New Roman" w:cs="Times New Roman" w:eastAsia="Times New Roman" w:hAnsi="Times New Roman"/>
          <w:sz w:val="18"/>
          <w:szCs w:val="18"/>
          <w:color w:val="auto"/>
        </w:rPr>
      </w:pPr>
    </w:p>
    <w:p>
      <w:pPr>
        <w:ind w:left="145" w:hanging="145"/>
        <w:spacing w:after="0"/>
        <w:tabs>
          <w:tab w:leader="none" w:pos="1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corporation’s organization;</w:t>
      </w:r>
    </w:p>
    <w:p>
      <w:pPr>
        <w:spacing w:after="0" w:line="225" w:lineRule="exact"/>
        <w:rPr>
          <w:rFonts w:ascii="Times New Roman" w:cs="Times New Roman" w:eastAsia="Times New Roman" w:hAnsi="Times New Roman"/>
          <w:sz w:val="18"/>
          <w:szCs w:val="18"/>
          <w:color w:val="auto"/>
        </w:rPr>
      </w:pPr>
    </w:p>
    <w:p>
      <w:pPr>
        <w:ind w:left="165" w:right="80" w:hanging="165"/>
        <w:spacing w:after="0" w:line="282" w:lineRule="auto"/>
        <w:tabs>
          <w:tab w:leader="none" w:pos="1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corporation;</w:t>
      </w:r>
    </w:p>
    <w:p>
      <w:pPr>
        <w:spacing w:after="0" w:line="161" w:lineRule="exact"/>
        <w:rPr>
          <w:rFonts w:ascii="Times New Roman" w:cs="Times New Roman" w:eastAsia="Times New Roman" w:hAnsi="Times New Roman"/>
          <w:sz w:val="18"/>
          <w:szCs w:val="18"/>
          <w:color w:val="auto"/>
        </w:rPr>
      </w:pPr>
    </w:p>
    <w:p>
      <w:pPr>
        <w:ind w:left="165" w:right="360" w:hanging="165"/>
        <w:spacing w:after="0" w:line="282" w:lineRule="auto"/>
        <w:tabs>
          <w:tab w:leader="none" w:pos="1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corporation;</w:t>
      </w:r>
    </w:p>
    <w:p>
      <w:pPr>
        <w:spacing w:after="0" w:line="161" w:lineRule="exact"/>
        <w:rPr>
          <w:rFonts w:ascii="Times New Roman" w:cs="Times New Roman" w:eastAsia="Times New Roman" w:hAnsi="Times New Roman"/>
          <w:sz w:val="18"/>
          <w:szCs w:val="18"/>
          <w:color w:val="auto"/>
        </w:rPr>
      </w:pPr>
    </w:p>
    <w:p>
      <w:pPr>
        <w:jc w:val="both"/>
        <w:ind w:left="165" w:right="20" w:hanging="165"/>
        <w:spacing w:after="0" w:line="266" w:lineRule="auto"/>
        <w:tabs>
          <w:tab w:leader="none" w:pos="1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supervision of the persons entrusted with managing the corporation, in particular with regard to compliance with the law, articles of association, operational regulations and directives;</w:t>
      </w:r>
    </w:p>
    <w:p>
      <w:pPr>
        <w:spacing w:after="0" w:line="176" w:lineRule="exact"/>
        <w:rPr>
          <w:rFonts w:ascii="Times New Roman" w:cs="Times New Roman" w:eastAsia="Times New Roman" w:hAnsi="Times New Roman"/>
          <w:sz w:val="18"/>
          <w:szCs w:val="18"/>
          <w:color w:val="auto"/>
        </w:rPr>
      </w:pPr>
    </w:p>
    <w:p>
      <w:pPr>
        <w:ind w:left="165" w:right="220" w:hanging="165"/>
        <w:spacing w:after="0" w:line="282" w:lineRule="auto"/>
        <w:tabs>
          <w:tab w:leader="none" w:pos="1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the compensation report and implementation of its resolutions; and</w:t>
      </w:r>
    </w:p>
    <w:p>
      <w:pPr>
        <w:spacing w:after="0" w:line="161" w:lineRule="exact"/>
        <w:rPr>
          <w:rFonts w:ascii="Times New Roman" w:cs="Times New Roman" w:eastAsia="Times New Roman" w:hAnsi="Times New Roman"/>
          <w:sz w:val="18"/>
          <w:szCs w:val="18"/>
          <w:color w:val="auto"/>
        </w:rPr>
      </w:pPr>
    </w:p>
    <w:p>
      <w:pPr>
        <w:ind w:left="145" w:hanging="145"/>
        <w:spacing w:after="0"/>
        <w:tabs>
          <w:tab w:leader="none" w:pos="1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the court in the event that the company is overindebted.</w:t>
      </w:r>
    </w:p>
    <w:p>
      <w:pPr>
        <w:spacing w:after="0" w:line="225" w:lineRule="exact"/>
        <w:rPr>
          <w:sz w:val="20"/>
          <w:szCs w:val="20"/>
          <w:color w:val="auto"/>
        </w:rPr>
      </w:pPr>
    </w:p>
    <w:p>
      <w:pPr>
        <w:ind w:left="5" w:right="80"/>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176" w:lineRule="exact"/>
        <w:rPr>
          <w:sz w:val="20"/>
          <w:szCs w:val="20"/>
          <w:color w:val="auto"/>
        </w:rPr>
      </w:pPr>
    </w:p>
    <w:p>
      <w:pPr>
        <w:ind w:left="5" w:firstLine="324"/>
        <w:spacing w:after="0" w:line="282" w:lineRule="auto"/>
        <w:rPr>
          <w:sz w:val="20"/>
          <w:szCs w:val="20"/>
          <w:color w:val="auto"/>
        </w:rPr>
      </w:pPr>
      <w:r>
        <w:rPr>
          <w:rFonts w:ascii="Times New Roman" w:cs="Times New Roman" w:eastAsia="Times New Roman" w:hAnsi="Times New Roman"/>
          <w:sz w:val="18"/>
          <w:szCs w:val="18"/>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560" w:space="255"/>
            <w:col w:w="5605"/>
          </w:cols>
          <w:pgMar w:left="240" w:top="792"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Shareholder action by written consent</w:t>
      </w:r>
    </w:p>
    <w:p>
      <w:pPr>
        <w:sectPr>
          <w:pgSz w:w="11900" w:h="16838" w:orient="portrait"/>
          <w:cols w:equalWidth="0" w:num="1">
            <w:col w:w="11420"/>
          </w:cols>
          <w:pgMar w:left="240" w:top="792" w:right="239" w:bottom="1440" w:gutter="0" w:footer="0" w:header="0"/>
          <w:type w:val="continuous"/>
        </w:sect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200" w:lineRule="exact"/>
        <w:rPr>
          <w:sz w:val="20"/>
          <w:szCs w:val="20"/>
          <w:color w:val="auto"/>
        </w:rPr>
      </w:pPr>
    </w:p>
    <w:p>
      <w:pPr>
        <w:sectPr>
          <w:pgSz w:w="11900" w:h="16838" w:orient="portrait"/>
          <w:cols w:equalWidth="0" w:num="2">
            <w:col w:w="5540" w:space="280"/>
            <w:col w:w="5600"/>
          </w:cols>
          <w:pgMar w:left="240" w:top="792" w:right="239" w:bottom="1440" w:gutter="0" w:footer="0" w:header="0"/>
          <w:type w:val="continuous"/>
        </w:sectPr>
      </w:pPr>
    </w:p>
    <w:p>
      <w:pPr>
        <w:spacing w:after="0" w:line="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21" w:name="page22"/>
    <w:bookmarkEnd w:id="21"/>
    <w:p>
      <w:pPr>
        <w:ind w:left="1480"/>
        <w:spacing w:after="0"/>
        <w:tabs>
          <w:tab w:leader="none" w:pos="750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ectPr>
          <w:pgSz w:w="11900" w:h="16838" w:orient="portrait"/>
          <w:cols w:equalWidth="0" w:num="1">
            <w:col w:w="11380"/>
          </w:cols>
          <w:pgMar w:left="240" w:top="792" w:right="279" w:bottom="1440" w:gutter="0" w:footer="0" w:header="0"/>
        </w:sectPr>
      </w:pP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5"/>
        <w:spacing w:after="0" w:line="258"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4" w:lineRule="exact"/>
        <w:rPr>
          <w:sz w:val="20"/>
          <w:szCs w:val="20"/>
          <w:color w:val="auto"/>
        </w:rPr>
      </w:pPr>
    </w:p>
    <w:p>
      <w:pPr>
        <w:ind w:left="165" w:right="260" w:hanging="165"/>
        <w:spacing w:after="0" w:line="266" w:lineRule="auto"/>
        <w:tabs>
          <w:tab w:leader="none" w:pos="1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at least 10% of the share capital may demand that a general meeting of shareholders be called for specific agenda items and specific proposals; and</w:t>
      </w:r>
    </w:p>
    <w:p>
      <w:pPr>
        <w:spacing w:after="0" w:line="176" w:lineRule="exact"/>
        <w:rPr>
          <w:rFonts w:ascii="Times New Roman" w:cs="Times New Roman" w:eastAsia="Times New Roman" w:hAnsi="Times New Roman"/>
          <w:sz w:val="18"/>
          <w:szCs w:val="18"/>
          <w:color w:val="auto"/>
        </w:rPr>
      </w:pPr>
    </w:p>
    <w:p>
      <w:pPr>
        <w:ind w:left="165" w:right="20" w:hanging="165"/>
        <w:spacing w:after="0" w:line="261" w:lineRule="auto"/>
        <w:tabs>
          <w:tab w:leader="none" w:pos="1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0" w:lineRule="exact"/>
        <w:rPr>
          <w:sz w:val="20"/>
          <w:szCs w:val="20"/>
          <w:color w:val="auto"/>
        </w:rPr>
      </w:pPr>
    </w:p>
    <w:p>
      <w:pPr>
        <w:ind w:left="5" w:right="40" w:firstLine="324"/>
        <w:spacing w:after="0" w:line="266"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provided that the election of board members and the names of the candidates have been included as an agenda item.</w:t>
      </w:r>
    </w:p>
    <w:p>
      <w:pPr>
        <w:spacing w:after="0" w:line="176" w:lineRule="exact"/>
        <w:rPr>
          <w:sz w:val="20"/>
          <w:szCs w:val="20"/>
          <w:color w:val="auto"/>
        </w:rPr>
      </w:pPr>
    </w:p>
    <w:p>
      <w:pPr>
        <w:ind w:left="5" w:right="60"/>
        <w:spacing w:after="0" w:line="255" w:lineRule="auto"/>
        <w:rPr>
          <w:sz w:val="20"/>
          <w:szCs w:val="20"/>
          <w:color w:val="auto"/>
        </w:rPr>
      </w:pPr>
      <w:r>
        <w:rPr>
          <w:rFonts w:ascii="Times New Roman" w:cs="Times New Roman" w:eastAsia="Times New Roman" w:hAnsi="Times New Roman"/>
          <w:sz w:val="18"/>
          <w:szCs w:val="18"/>
          <w:color w:val="auto"/>
        </w:rPr>
        <w:t>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(iii) request to convene an extraordinary general meeting or (iv) to carry out a special audit and to appoint an auditor at the request of a shareholder.</w:t>
      </w:r>
    </w:p>
    <w:p>
      <w:pPr>
        <w:spacing w:after="0" w:line="187" w:lineRule="exact"/>
        <w:rPr>
          <w:sz w:val="20"/>
          <w:szCs w:val="20"/>
          <w:color w:val="auto"/>
        </w:rPr>
      </w:pPr>
    </w:p>
    <w:p>
      <w:pPr>
        <w:sectPr>
          <w:pgSz w:w="11900" w:h="16838" w:orient="portrait"/>
          <w:cols w:equalWidth="0" w:num="2">
            <w:col w:w="5560" w:space="255"/>
            <w:col w:w="5565"/>
          </w:cols>
          <w:pgMar w:left="240" w:top="792" w:right="2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Cumulative voting</w:t>
      </w:r>
    </w:p>
    <w:p>
      <w:pPr>
        <w:sectPr>
          <w:pgSz w:w="11900" w:h="16838" w:orient="portrait"/>
          <w:cols w:equalWidth="0" w:num="1">
            <w:col w:w="11380"/>
          </w:cols>
          <w:pgMar w:left="240" w:top="792" w:right="279" w:bottom="1440" w:gutter="0" w:footer="0" w:header="0"/>
          <w:type w:val="continuous"/>
        </w:sect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84" w:lineRule="exact"/>
        <w:rPr>
          <w:sz w:val="20"/>
          <w:szCs w:val="20"/>
          <w:color w:val="auto"/>
        </w:rPr>
      </w:pPr>
    </w:p>
    <w:p>
      <w:pPr>
        <w:sectPr>
          <w:pgSz w:w="11900" w:h="16838" w:orient="portrait"/>
          <w:cols w:equalWidth="0" w:num="2">
            <w:col w:w="5400" w:space="420"/>
            <w:col w:w="5560"/>
          </w:cols>
          <w:pgMar w:left="240" w:top="792"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Removal of directors</w:t>
      </w:r>
    </w:p>
    <w:p>
      <w:pPr>
        <w:sectPr>
          <w:pgSz w:w="11900" w:h="16838" w:orient="portrait"/>
          <w:cols w:equalWidth="0" w:num="1">
            <w:col w:w="11380"/>
          </w:cols>
          <w:pgMar w:left="240" w:top="792" w:right="27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Swiss corporation may remove, with or without cause, any director at any time with a resolution passed by a simple majority of the shares represented at a general meeting of shareholders concerned. The articles of association may require the approval by a qualified majority of the shares represented at a meeting for the removal of a director.</w:t>
      </w:r>
    </w:p>
    <w:p>
      <w:pPr>
        <w:spacing w:after="0" w:line="200" w:lineRule="exact"/>
        <w:rPr>
          <w:sz w:val="20"/>
          <w:szCs w:val="20"/>
          <w:color w:val="auto"/>
        </w:rPr>
      </w:pPr>
    </w:p>
    <w:p>
      <w:pPr>
        <w:sectPr>
          <w:pgSz w:w="11900" w:h="16838" w:orient="portrait"/>
          <w:cols w:equalWidth="0" w:num="2">
            <w:col w:w="5300" w:space="520"/>
            <w:col w:w="5560"/>
          </w:cols>
          <w:pgMar w:left="240" w:top="792" w:right="27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2" w:right="279" w:bottom="1440" w:gutter="0" w:footer="0" w:header="0"/>
          <w:type w:val="continuous"/>
        </w:sectPr>
      </w:pPr>
    </w:p>
    <w:bookmarkStart w:id="22" w:name="page23"/>
    <w:bookmarkEnd w:id="22"/>
    <w:p>
      <w:pPr>
        <w:ind w:left="1480"/>
        <w:spacing w:after="0"/>
        <w:tabs>
          <w:tab w:leader="none" w:pos="750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ectPr>
          <w:pgSz w:w="11900" w:h="16838" w:orient="portrait"/>
          <w:cols w:equalWidth="0" w:num="1">
            <w:col w:w="11420"/>
          </w:cols>
          <w:pgMar w:left="240" w:top="792" w:right="239" w:bottom="1440" w:gutter="0" w:footer="0" w:header="0"/>
        </w:sectPr>
      </w:pP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such rule applies to a Swiss corporation.</w:t>
      </w:r>
    </w:p>
    <w:p>
      <w:pPr>
        <w:spacing w:after="0" w:line="1315" w:lineRule="exact"/>
        <w:rPr>
          <w:sz w:val="20"/>
          <w:szCs w:val="20"/>
          <w:color w:val="auto"/>
        </w:rPr>
      </w:pPr>
    </w:p>
    <w:p>
      <w:pPr>
        <w:sectPr>
          <w:pgSz w:w="11900" w:h="16838" w:orient="portrait"/>
          <w:cols w:equalWidth="0" w:num="2">
            <w:col w:w="5420" w:space="400"/>
            <w:col w:w="5600"/>
          </w:cols>
          <w:pgMar w:left="240" w:top="792"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Dissolution; Winding up</w:t>
      </w:r>
    </w:p>
    <w:p>
      <w:pPr>
        <w:sectPr>
          <w:pgSz w:w="11900" w:h="16838" w:orient="portrait"/>
          <w:cols w:equalWidth="0" w:num="1">
            <w:col w:w="11420"/>
          </w:cols>
          <w:pgMar w:left="240" w:top="792" w:right="239" w:bottom="1440" w:gutter="0" w:footer="0" w:header="0"/>
          <w:type w:val="continuous"/>
        </w:sectPr>
      </w:pPr>
    </w:p>
    <w:p>
      <w:pPr>
        <w:spacing w:after="0" w:line="2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613" w:lineRule="exact"/>
        <w:rPr>
          <w:sz w:val="20"/>
          <w:szCs w:val="20"/>
          <w:color w:val="auto"/>
        </w:rPr>
      </w:pPr>
    </w:p>
    <w:p>
      <w:pPr>
        <w:sectPr>
          <w:pgSz w:w="11900" w:h="16838" w:orient="portrait"/>
          <w:cols w:equalWidth="0" w:num="2">
            <w:col w:w="5600" w:space="220"/>
            <w:col w:w="5600"/>
          </w:cols>
          <w:pgMar w:left="240" w:top="792"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Variation of rights of shares</w:t>
      </w:r>
    </w:p>
    <w:p>
      <w:pPr>
        <w:sectPr>
          <w:pgSz w:w="11900" w:h="16838" w:orient="portrait"/>
          <w:cols w:equalWidth="0" w:num="1">
            <w:col w:w="11420"/>
          </w:cols>
          <w:pgMar w:left="240" w:top="792" w:right="23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Shares with preferential voting rights are not regarded a special class for these purposes.</w:t>
      </w:r>
    </w:p>
    <w:p>
      <w:pPr>
        <w:spacing w:after="0" w:line="160" w:lineRule="exact"/>
        <w:rPr>
          <w:sz w:val="20"/>
          <w:szCs w:val="20"/>
          <w:color w:val="auto"/>
        </w:rPr>
      </w:pPr>
    </w:p>
    <w:p>
      <w:pPr>
        <w:sectPr>
          <w:pgSz w:w="11900" w:h="16838" w:orient="portrait"/>
          <w:cols w:equalWidth="0" w:num="2">
            <w:col w:w="5220" w:space="600"/>
            <w:col w:w="5600"/>
          </w:cols>
          <w:pgMar w:left="240" w:top="792"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Amendment of governing documents</w:t>
      </w:r>
    </w:p>
    <w:p>
      <w:pPr>
        <w:sectPr>
          <w:pgSz w:w="11900" w:h="16838" w:orient="portrait"/>
          <w:cols w:equalWidth="0" w:num="1">
            <w:col w:w="11420"/>
          </w:cols>
          <w:pgMar w:left="240" w:top="792" w:right="23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simple majority of the shares represented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200" w:lineRule="exact"/>
        <w:rPr>
          <w:sz w:val="20"/>
          <w:szCs w:val="20"/>
          <w:color w:val="auto"/>
        </w:rPr>
      </w:pPr>
    </w:p>
    <w:p>
      <w:pPr>
        <w:sectPr>
          <w:pgSz w:w="11900" w:h="16838" w:orient="portrait"/>
          <w:cols w:equalWidth="0" w:num="2">
            <w:col w:w="5380" w:space="440"/>
            <w:col w:w="5600"/>
          </w:cols>
          <w:pgMar w:left="240" w:top="792" w:right="239" w:bottom="1440" w:gutter="0" w:footer="0" w:header="0"/>
          <w:type w:val="continuous"/>
        </w:sectPr>
      </w:pPr>
    </w:p>
    <w:p>
      <w:pPr>
        <w:spacing w:after="0" w:line="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23" w:name="page24"/>
    <w:bookmarkEnd w:id="23"/>
    <w:p>
      <w:pPr>
        <w:ind w:left="1480"/>
        <w:spacing w:after="0"/>
        <w:tabs>
          <w:tab w:leader="none" w:pos="750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ectPr>
          <w:pgSz w:w="11900" w:h="16838" w:orient="portrait"/>
          <w:cols w:equalWidth="0" w:num="1">
            <w:col w:w="11360"/>
          </w:cols>
          <w:pgMar w:left="240" w:top="792" w:right="299" w:bottom="1440" w:gutter="0" w:footer="0" w:header="0"/>
        </w:sectPr>
      </w:pP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3" w:lineRule="exact"/>
        <w:rPr>
          <w:sz w:val="20"/>
          <w:szCs w:val="20"/>
          <w:color w:val="auto"/>
        </w:rPr>
      </w:pPr>
    </w:p>
    <w:p>
      <w:pPr>
        <w:sectPr>
          <w:pgSz w:w="11900" w:h="16838" w:orient="portrait"/>
          <w:cols w:equalWidth="0" w:num="2">
            <w:col w:w="5560" w:space="260"/>
            <w:col w:w="5540"/>
          </w:cols>
          <w:pgMar w:left="240" w:top="792"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Payment of dividends</w:t>
      </w:r>
    </w:p>
    <w:p>
      <w:pPr>
        <w:sectPr>
          <w:pgSz w:w="11900" w:h="16838" w:orient="portrait"/>
          <w:cols w:equalWidth="0" w:num="1">
            <w:col w:w="11360"/>
          </w:cols>
          <w:pgMar w:left="240" w:top="792" w:right="299" w:bottom="1440" w:gutter="0" w:footer="0" w:header="0"/>
          <w:type w:val="continuous"/>
        </w:sectPr>
      </w:pPr>
    </w:p>
    <w:p>
      <w:pPr>
        <w:spacing w:after="0" w:line="2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0"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225" w:lineRule="exact"/>
        <w:rPr>
          <w:rFonts w:ascii="Times New Roman" w:cs="Times New Roman" w:eastAsia="Times New Roman" w:hAnsi="Times New Roman"/>
          <w:sz w:val="18"/>
          <w:szCs w:val="18"/>
          <w:color w:val="auto"/>
        </w:rPr>
      </w:pPr>
    </w:p>
    <w:p>
      <w:pPr>
        <w:ind w:left="160" w:right="220" w:hanging="152"/>
        <w:spacing w:after="0" w:line="282" w:lineRule="auto"/>
        <w:tabs>
          <w:tab w:leader="none" w:pos="1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Dividend payments are subject to the approval of the general meeting of shareholders. The board of directors may propose to shareholders that a dividend shall be paid but cannot itself authorize the distribution.</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13" w:lineRule="exact"/>
        <w:rPr>
          <w:sz w:val="20"/>
          <w:szCs w:val="20"/>
          <w:color w:val="auto"/>
        </w:rPr>
      </w:pPr>
    </w:p>
    <w:p>
      <w:pPr>
        <w:sectPr>
          <w:pgSz w:w="11900" w:h="16838" w:orient="portrait"/>
          <w:cols w:equalWidth="0" w:num="2">
            <w:col w:w="5600" w:space="220"/>
            <w:col w:w="5540"/>
          </w:cols>
          <w:pgMar w:left="240" w:top="792" w:right="299" w:bottom="1440" w:gutter="0" w:footer="0" w:header="0"/>
          <w:type w:val="continuous"/>
        </w:sectPr>
      </w:pP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Creation and issuance of new shares</w:t>
      </w:r>
    </w:p>
    <w:p>
      <w:pPr>
        <w:sectPr>
          <w:pgSz w:w="11900" w:h="16838" w:orient="portrait"/>
          <w:cols w:equalWidth="0" w:num="1">
            <w:col w:w="11360"/>
          </w:cols>
          <w:pgMar w:left="240" w:top="792" w:right="29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200" w:lineRule="exact"/>
        <w:rPr>
          <w:sz w:val="20"/>
          <w:szCs w:val="20"/>
          <w:color w:val="auto"/>
        </w:rPr>
      </w:pPr>
    </w:p>
    <w:p>
      <w:pPr>
        <w:sectPr>
          <w:pgSz w:w="11900" w:h="16838" w:orient="portrait"/>
          <w:cols w:equalWidth="0" w:num="2">
            <w:col w:w="5420" w:space="400"/>
            <w:col w:w="5540"/>
          </w:cols>
          <w:pgMar w:left="240" w:top="792" w:right="29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2" w:right="299" w:bottom="1440" w:gutter="0" w:footer="0" w:header="0"/>
          <w:type w:val="continuous"/>
        </w:sectPr>
      </w:pPr>
    </w:p>
    <w:bookmarkStart w:id="24" w:name="page25"/>
    <w:bookmarkEnd w:id="2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2" w:right="37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2" w:right="299" w:bottom="1440" w:gutter="0" w:footer="0" w:header="0"/>
        </w:sectPr>
      </w:pPr>
    </w:p>
    <w:bookmarkStart w:id="26" w:name="page27"/>
    <w:bookmarkEnd w:id="26"/>
    <w:p>
      <w:pPr>
        <w:ind w:left="384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purchase contracts for the purchase or sale of:</w:t>
      </w:r>
    </w:p>
    <w:p>
      <w:pPr>
        <w:spacing w:after="0" w:line="225" w:lineRule="exact"/>
        <w:rPr>
          <w:sz w:val="20"/>
          <w:szCs w:val="20"/>
          <w:color w:val="auto"/>
        </w:rPr>
      </w:pPr>
    </w:p>
    <w:p>
      <w:pPr>
        <w:ind w:left="660" w:right="8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or equity securities issued by us or securities of third parties, a basket of such securities, an index or indices or such securities or any combination of the above as specified in the applicable prospectus supplement;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commodities.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27" w:name="page28"/>
    <w:bookmarkEnd w:id="27"/>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common shares, debt securities, warrants or any combination of such securities.</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792" w:right="659" w:bottom="1440" w:gutter="0" w:footer="0" w:header="0"/>
        </w:sectPr>
      </w:pPr>
    </w:p>
    <w:bookmarkStart w:id="28" w:name="page29"/>
    <w:bookmarkEnd w:id="2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specific terms of any offering of subscription rights for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common shares or warrants for those securities will be offered under the shareholder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security upon the exercise of the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Standby Arrangements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92" w:right="359" w:bottom="1440" w:gutter="0" w:footer="0" w:header="0"/>
        </w:sectPr>
      </w:pPr>
    </w:p>
    <w:bookmarkStart w:id="29" w:name="page30"/>
    <w:bookmarkEnd w:id="2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340" w:right="2380" w:firstLine="316"/>
        <w:spacing w:after="0" w:line="501" w:lineRule="auto"/>
        <w:tabs>
          <w:tab w:leader="none" w:pos="9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 The prospectus supplement will state the terms of the offering of the securities, including:</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underwriters are used in in the sale, the securities will be acquired by the underwriters for their own account and may be resold from time to time in one or more transactions, including:</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2" w:right="379" w:bottom="1440" w:gutter="0" w:footer="0" w:header="0"/>
        </w:sectPr>
      </w:pPr>
    </w:p>
    <w:bookmarkStart w:id="30" w:name="page31"/>
    <w:bookmarkEnd w:id="30"/>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Underwriters and agents may be customers of, engage in transactions with, or perform services for us and our affiliates in the ordinary course of business.</w:t>
      </w:r>
    </w:p>
    <w:p>
      <w:pPr>
        <w:spacing w:after="0" w:line="23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2017 Annual Report on Form 20-F for the fiscal year ended December 31, 2017;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on Form 6-K furnished to the SEC on March 20, 2018 (only with respect to “Item 1.C—2017 Board Compensation” and “Item 2.C— 2017 Executive Compensation” of Exhibit 99.3), March 22, 2018, March 26, 2018, April 27, 2018, and May 2, 2018 (only with respect to Exhibits 99.1 and 99.2).</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1" w:name="page32"/>
    <w:bookmarkEnd w:id="31"/>
    <w:p>
      <w:pPr>
        <w:ind w:right="80"/>
        <w:spacing w:after="0" w:line="256" w:lineRule="auto"/>
        <w:rPr>
          <w:sz w:val="20"/>
          <w:szCs w:val="20"/>
          <w:color w:val="auto"/>
        </w:rPr>
      </w:pPr>
      <w:r>
        <w:rPr>
          <w:rFonts w:ascii="Times New Roman" w:cs="Times New Roman" w:eastAsia="Times New Roman" w:hAnsi="Times New Roman"/>
          <w:sz w:val="18"/>
          <w:szCs w:val="18"/>
          <w:color w:val="auto"/>
        </w:rPr>
        <w:t>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40" w:firstLine="324"/>
        <w:spacing w:after="0" w:line="313" w:lineRule="auto"/>
        <w:rPr>
          <w:sz w:val="20"/>
          <w:szCs w:val="20"/>
          <w:color w:val="auto"/>
        </w:rPr>
      </w:pPr>
      <w:r>
        <w:rPr>
          <w:rFonts w:ascii="Times New Roman" w:cs="Times New Roman" w:eastAsia="Times New Roman" w:hAnsi="Times New Roman"/>
          <w:sz w:val="17"/>
          <w:szCs w:val="17"/>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Paid</w:t>
      </w:r>
    </w:p>
    <w:p>
      <w:pPr>
        <w:spacing w:after="0" w:line="9" w:lineRule="exact"/>
        <w:rPr>
          <w:sz w:val="20"/>
          <w:szCs w:val="20"/>
          <w:color w:val="auto"/>
        </w:rPr>
      </w:pPr>
    </w:p>
    <w:p>
      <w:pPr>
        <w:jc w:val="both"/>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43,575.00</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53,000.00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0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1"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08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8440" w:space="720"/>
            <w:col w:w="2260"/>
          </w:cols>
          <w:pgMar w:left="240" w:top="79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-151130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 prospectus supplement or as an exhibit to a Report on Form 6-K that is incorporated by reference into this prospectus.</w:t>
      </w:r>
    </w:p>
    <w:p>
      <w:pPr>
        <w:spacing w:after="0" w:line="221" w:lineRule="exact"/>
        <w:rPr>
          <w:rFonts w:ascii="Times New Roman" w:cs="Times New Roman" w:eastAsia="Times New Roman" w:hAnsi="Times New Roman"/>
          <w:sz w:val="18"/>
          <w:szCs w:val="18"/>
          <w:color w:val="auto"/>
        </w:rPr>
      </w:pPr>
    </w:p>
    <w:p>
      <w:pPr>
        <w:ind w:left="4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validity of our common shares and certain other matters of Swiss law will be passed upon for us by Vischer AG, Zurich, Switzerland. Certain matters of U.S. federal and New York State law will be passed upon for us by Davis Polk &amp; Wardwell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address of Ernst &amp; Young AG is Route de Chancy 59, 1213 Petit-Lancy, Switzerland.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2841625</wp:posOffset>
            </wp:positionH>
            <wp:positionV relativeFrom="page">
              <wp:posOffset>972185</wp:posOffset>
            </wp:positionV>
            <wp:extent cx="1878330" cy="488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8783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Subscription Rights</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700405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1506855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entered or will enter into indemnification agreements with each of the members of our board of directors and executive management.</w:t>
      </w:r>
    </w:p>
    <w:p>
      <w:pPr>
        <w:spacing w:after="0" w:line="2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part of this registration statement: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Form of Underwriting Agreement</w:t>
      </w:r>
    </w:p>
    <w:p>
      <w:pPr>
        <w:spacing w:after="0" w:line="225" w:lineRule="exact"/>
        <w:rPr>
          <w:sz w:val="20"/>
          <w:szCs w:val="20"/>
          <w:color w:val="auto"/>
        </w:rPr>
      </w:pPr>
    </w:p>
    <w:p>
      <w:pPr>
        <w:ind w:left="660" w:hanging="647"/>
        <w:spacing w:after="0" w:line="282" w:lineRule="auto"/>
        <w:tabs>
          <w:tab w:leader="none" w:pos="640" w:val="left"/>
        </w:tabs>
        <w:rPr>
          <w:rFonts w:ascii="Times New Roman" w:cs="Times New Roman" w:eastAsia="Times New Roman" w:hAnsi="Times New Roman"/>
          <w:sz w:val="18"/>
          <w:szCs w:val="18"/>
          <w:u w:val="single" w:color="auto"/>
          <w:color w:val="0000EE"/>
        </w:rPr>
      </w:pPr>
      <w:hyperlink r:id="rId60">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60">
        <w:r>
          <w:rPr>
            <w:rFonts w:ascii="Times New Roman" w:cs="Times New Roman" w:eastAsia="Times New Roman" w:hAnsi="Times New Roman"/>
            <w:sz w:val="18"/>
            <w:szCs w:val="18"/>
            <w:u w:val="single" w:color="auto"/>
            <w:color w:val="0000EE"/>
          </w:rPr>
          <w:t>Articles of Association (incorporated herein by reference to Exhibit 99.2 to the Company’s Report of Foreign Private Issuer on Form 6-K filed with</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the SEC on April 27, 2018)</w:t>
        </w:r>
      </w:hyperlink>
    </w:p>
    <w:p>
      <w:pPr>
        <w:spacing w:after="0" w:line="337"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8"/>
          <w:szCs w:val="18"/>
          <w:u w:val="single" w:color="auto"/>
          <w:color w:val="0000EE"/>
        </w:rPr>
        <w:t>Form of Senior Indenture</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4.3</w:t>
      </w:r>
      <w:r>
        <w:rPr>
          <w:sz w:val="20"/>
          <w:szCs w:val="20"/>
          <w:color w:val="auto"/>
        </w:rPr>
        <w:tab/>
      </w:r>
      <w:r>
        <w:rPr>
          <w:rFonts w:ascii="Times New Roman" w:cs="Times New Roman" w:eastAsia="Times New Roman" w:hAnsi="Times New Roman"/>
          <w:sz w:val="17"/>
          <w:szCs w:val="17"/>
          <w:u w:val="single" w:color="auto"/>
          <w:color w:val="0000EE"/>
        </w:rPr>
        <w:t>Form of Subordinated Indenture</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Form of Senior Note</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Form of Subordinated Note</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Form of Warrant Agreement</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Form of Purchase Contract</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Form of Unit Agreement</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Form of Subscription Rights Agreement (including form of Subscription Rights Certificate)</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Vischer AG, Swiss Counsel of AC Immune SA</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5.2</w:t>
      </w:r>
      <w:r>
        <w:rPr>
          <w:sz w:val="20"/>
          <w:szCs w:val="20"/>
          <w:color w:val="auto"/>
        </w:rPr>
        <w:tab/>
      </w:r>
      <w:r>
        <w:rPr>
          <w:rFonts w:ascii="Times New Roman" w:cs="Times New Roman" w:eastAsia="Times New Roman" w:hAnsi="Times New Roman"/>
          <w:sz w:val="17"/>
          <w:szCs w:val="17"/>
          <w:u w:val="single" w:color="auto"/>
          <w:color w:val="0000EE"/>
        </w:rPr>
        <w:t>Opinion of Davis Polk &amp; Wardwell LLP</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AG</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Vischer AG, Swiss counsel of AC Immune SA (included in exhibit 5.1)</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7"/>
          <w:szCs w:val="17"/>
          <w:u w:val="single" w:color="auto"/>
          <w:color w:val="0000EE"/>
        </w:rPr>
        <w:t>Consent of Davis Polk &amp; Wardwell LLP (included in exhibit 5.2)</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40" w:val="left"/>
        </w:tabs>
        <w:rPr>
          <w:rFonts w:ascii="Times New Roman" w:cs="Times New Roman" w:eastAsia="Times New Roman" w:hAnsi="Times New Roman"/>
          <w:sz w:val="17"/>
          <w:szCs w:val="17"/>
          <w:u w:val="single" w:color="auto"/>
          <w:color w:val="0000EE"/>
        </w:rPr>
      </w:pPr>
      <w:hyperlink w:anchor="page38">
        <w:r>
          <w:rPr>
            <w:rFonts w:ascii="Times New Roman" w:cs="Times New Roman" w:eastAsia="Times New Roman" w:hAnsi="Times New Roman"/>
            <w:sz w:val="18"/>
            <w:szCs w:val="18"/>
            <w:u w:val="single" w:color="auto"/>
            <w:color w:val="0000EE"/>
          </w:rPr>
          <w:t>24.1</w:t>
        </w:r>
      </w:hyperlink>
      <w:r>
        <w:rPr>
          <w:rFonts w:ascii="Times New Roman" w:cs="Times New Roman" w:eastAsia="Times New Roman" w:hAnsi="Times New Roman"/>
          <w:sz w:val="18"/>
          <w:szCs w:val="18"/>
          <w:u w:val="single" w:color="auto"/>
          <w:color w:val="0000EE"/>
        </w:rPr>
        <w:tab/>
      </w:r>
      <w:hyperlink w:anchor="page38">
        <w:r>
          <w:rPr>
            <w:rFonts w:ascii="Times New Roman" w:cs="Times New Roman" w:eastAsia="Times New Roman" w:hAnsi="Times New Roman"/>
            <w:sz w:val="17"/>
            <w:szCs w:val="17"/>
            <w:u w:val="single" w:color="auto"/>
            <w:color w:val="0000EE"/>
          </w:rPr>
          <w:t>Powers of attorney (included on signature page to the registration statement)</w:t>
        </w:r>
      </w:hyperlink>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Statement of Eligibility on Form T-1 for Senior Indenture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7"/>
          <w:szCs w:val="17"/>
          <w:color w:val="auto"/>
        </w:rPr>
        <w:t>Statement of Eligibility on Form T-1 for Subordinated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if necessary, by amendment</w:t>
      </w: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2" w:right="379" w:bottom="1440" w:gutter="0" w:footer="0" w:header="0"/>
        </w:sectPr>
      </w:pPr>
    </w:p>
    <w:bookmarkStart w:id="34" w:name="page35"/>
    <w:bookmarkEnd w:id="34"/>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252" w:hanging="252"/>
        <w:spacing w:after="0"/>
        <w:tabs>
          <w:tab w:leader="none" w:pos="2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572" w:hanging="248"/>
        <w:spacing w:after="0"/>
        <w:tabs>
          <w:tab w:leader="none" w:pos="5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332" w:right="220" w:firstLine="316"/>
        <w:spacing w:after="0" w:line="255" w:lineRule="auto"/>
        <w:tabs>
          <w:tab w:leader="none" w:pos="921"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89" w:lineRule="exact"/>
        <w:rPr>
          <w:rFonts w:ascii="Times New Roman" w:cs="Times New Roman" w:eastAsia="Times New Roman" w:hAnsi="Times New Roman"/>
          <w:sz w:val="18"/>
          <w:szCs w:val="18"/>
          <w:color w:val="auto"/>
        </w:rPr>
      </w:pPr>
    </w:p>
    <w:p>
      <w:pPr>
        <w:ind w:left="332" w:right="60" w:firstLine="316"/>
        <w:spacing w:after="0" w:line="282" w:lineRule="auto"/>
        <w:tabs>
          <w:tab w:leader="none" w:pos="971"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227" w:lineRule="exact"/>
        <w:rPr>
          <w:sz w:val="20"/>
          <w:szCs w:val="20"/>
          <w:color w:val="auto"/>
        </w:rPr>
      </w:pPr>
    </w:p>
    <w:p>
      <w:pPr>
        <w:ind w:left="652" w:firstLine="320"/>
        <w:spacing w:after="0" w:line="261" w:lineRule="auto"/>
        <w:tabs>
          <w:tab w:leader="none" w:pos="12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and (a)(1)(ii) of this section do not apply if the registration statement is on Form S-8 (§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p>
      <w:pPr>
        <w:spacing w:after="0" w:line="180" w:lineRule="exact"/>
        <w:rPr>
          <w:rFonts w:ascii="Times New Roman" w:cs="Times New Roman" w:eastAsia="Times New Roman" w:hAnsi="Times New Roman"/>
          <w:sz w:val="18"/>
          <w:szCs w:val="18"/>
          <w:color w:val="auto"/>
        </w:rPr>
      </w:pPr>
    </w:p>
    <w:p>
      <w:pPr>
        <w:ind w:left="652" w:right="160" w:firstLine="320"/>
        <w:spacing w:after="0" w:line="258" w:lineRule="auto"/>
        <w:tabs>
          <w:tab w:leader="none" w:pos="12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(a)(1)(ii) and (a)(1)(iii) of this section do not apply if the registration statement is on Form S-3 (§ 239.13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w:t>
      </w:r>
    </w:p>
    <w:p>
      <w:pPr>
        <w:spacing w:after="0" w:line="183" w:lineRule="exact"/>
        <w:rPr>
          <w:rFonts w:ascii="Times New Roman" w:cs="Times New Roman" w:eastAsia="Times New Roman" w:hAnsi="Times New Roman"/>
          <w:sz w:val="18"/>
          <w:szCs w:val="18"/>
          <w:color w:val="auto"/>
        </w:rPr>
      </w:pPr>
    </w:p>
    <w:p>
      <w:pPr>
        <w:ind w:left="652" w:right="80" w:firstLine="320"/>
        <w:spacing w:after="0" w:line="266" w:lineRule="auto"/>
        <w:tabs>
          <w:tab w:leader="none" w:pos="12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further, however, that paragraphs (a)(1)(i) and (a)(1)(ii) do not apply if the registration statement is for an offering of asset-backed securities on Form S-1 (§ 239.11 of this chapter) or Form S-3 (§ 239.13 of this chapter), and the information required to be included in a post-effective amendment is provided pursuant to Item 1100(c) of Regulation AB (§ 229.1100(c)).</w:t>
      </w:r>
    </w:p>
    <w:p>
      <w:pPr>
        <w:spacing w:after="0" w:line="176" w:lineRule="exact"/>
        <w:rPr>
          <w:rFonts w:ascii="Times New Roman" w:cs="Times New Roman" w:eastAsia="Times New Roman" w:hAnsi="Times New Roman"/>
          <w:sz w:val="18"/>
          <w:szCs w:val="18"/>
          <w:color w:val="auto"/>
        </w:rPr>
      </w:pPr>
    </w:p>
    <w:p>
      <w:pPr>
        <w:ind w:left="-8" w:right="120" w:firstLine="332"/>
        <w:spacing w:after="0" w:line="266" w:lineRule="auto"/>
        <w:tabs>
          <w:tab w:leader="none" w:pos="5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left="-8" w:right="60" w:firstLine="332"/>
        <w:spacing w:after="0" w:line="282" w:lineRule="auto"/>
        <w:tabs>
          <w:tab w:leader="none" w:pos="5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 w:right="80" w:firstLine="332"/>
        <w:spacing w:after="0" w:line="255" w:lineRule="auto"/>
        <w:tabs>
          <w:tab w:leader="none" w:pos="5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 239.33 of this chapter), a post-effective amendment need not be filed to include financial statements and information required by Section 10(a)(3) of the Act or §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9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792" w:right="259" w:bottom="1440" w:gutter="0" w:footer="0" w:header="0"/>
        </w:sectPr>
      </w:pPr>
    </w:p>
    <w:bookmarkStart w:id="35" w:name="page36"/>
    <w:bookmarkEnd w:id="35"/>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340" w:right="80" w:firstLine="316"/>
        <w:spacing w:after="0" w:line="282" w:lineRule="auto"/>
        <w:tabs>
          <w:tab w:leader="none" w:pos="9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340" w:right="20" w:firstLine="316"/>
        <w:spacing w:after="0" w:line="253" w:lineRule="auto"/>
        <w:tabs>
          <w:tab w:leader="none" w:pos="94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2" w:lineRule="exact"/>
        <w:rPr>
          <w:rFonts w:ascii="Times New Roman" w:cs="Times New Roman" w:eastAsia="Times New Roman" w:hAnsi="Times New Roman"/>
          <w:sz w:val="18"/>
          <w:szCs w:val="18"/>
          <w:color w:val="auto"/>
        </w:rPr>
      </w:pPr>
    </w:p>
    <w:p>
      <w:pPr>
        <w:ind w:right="540" w:firstLine="332"/>
        <w:spacing w:after="0" w:line="282"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62"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8" w:lineRule="exact"/>
        <w:rPr>
          <w:sz w:val="20"/>
          <w:szCs w:val="20"/>
          <w:color w:val="auto"/>
        </w:rPr>
      </w:pPr>
    </w:p>
    <w:p>
      <w:pPr>
        <w:ind w:left="880" w:hanging="224"/>
        <w:spacing w:after="0"/>
        <w:tabs>
          <w:tab w:leader="none" w:pos="8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340" w:right="820" w:firstLine="316"/>
        <w:spacing w:after="0" w:line="282" w:lineRule="auto"/>
        <w:tabs>
          <w:tab w:leader="none" w:pos="9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40" w:right="200" w:firstLine="316"/>
        <w:spacing w:after="0" w:line="282" w:lineRule="auto"/>
        <w:tabs>
          <w:tab w:leader="none" w:pos="97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firstLine="8"/>
        <w:spacing w:after="0" w:line="258"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36" w:name="page37"/>
    <w:bookmarkEnd w:id="36"/>
    <w:p>
      <w:pPr>
        <w:ind w:left="-8" w:right="100" w:firstLine="8"/>
        <w:spacing w:after="0" w:line="255" w:lineRule="auto"/>
        <w:tabs>
          <w:tab w:leader="none" w:pos="2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5"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rFonts w:ascii="Times New Roman" w:cs="Times New Roman" w:eastAsia="Times New Roman" w:hAnsi="Times New Roman"/>
          <w:sz w:val="18"/>
          <w:szCs w:val="18"/>
          <w:color w:val="auto"/>
        </w:rPr>
      </w:pPr>
    </w:p>
    <w:p>
      <w:pPr>
        <w:jc w:val="both"/>
        <w:ind w:left="-8" w:right="200" w:firstLine="332"/>
        <w:spacing w:after="0" w:line="266" w:lineRule="auto"/>
        <w:tabs>
          <w:tab w:leader="none" w:pos="5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6" w:lineRule="exact"/>
        <w:rPr>
          <w:rFonts w:ascii="Times New Roman" w:cs="Times New Roman" w:eastAsia="Times New Roman" w:hAnsi="Times New Roman"/>
          <w:sz w:val="18"/>
          <w:szCs w:val="18"/>
          <w:color w:val="auto"/>
        </w:rPr>
      </w:pPr>
    </w:p>
    <w:p>
      <w:pPr>
        <w:jc w:val="both"/>
        <w:ind w:left="-8" w:firstLine="332"/>
        <w:spacing w:after="0" w:line="266" w:lineRule="auto"/>
        <w:tabs>
          <w:tab w:leader="none" w:pos="5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left="-8" w:right="120" w:firstLine="8"/>
        <w:spacing w:after="0" w:line="266" w:lineRule="auto"/>
        <w:tabs>
          <w:tab w:leader="none" w:pos="2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28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796" w:right="27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Lausanne, Switzerland on May 4, 2018.</w:t>
      </w:r>
    </w:p>
    <w:p>
      <w:pPr>
        <w:spacing w:after="0" w:line="17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AC IMMUNE SA</w:t>
      </w:r>
    </w:p>
    <w:p>
      <w:pPr>
        <w:spacing w:after="0" w:line="200" w:lineRule="exact"/>
        <w:rPr>
          <w:sz w:val="20"/>
          <w:szCs w:val="20"/>
          <w:color w:val="auto"/>
        </w:rPr>
      </w:pPr>
    </w:p>
    <w:p>
      <w:pPr>
        <w:spacing w:after="0" w:line="241"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 Pfeifer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Andrea Pfeifer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Joerg Hornstein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Joerg Hornstein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Andrea Pfeifer and Joerg Hornstein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8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1"/>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34"/>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Andrea Pfeifer</w:t>
            </w:r>
          </w:p>
        </w:tc>
        <w:tc>
          <w:tcPr>
            <w:tcW w:w="24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2018</w:t>
            </w:r>
          </w:p>
        </w:tc>
      </w:tr>
      <w:tr>
        <w:trPr>
          <w:trHeight w:val="22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Andrea Pfeifer</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9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Joerg Hornstein</w:t>
            </w:r>
          </w:p>
        </w:tc>
        <w:tc>
          <w:tcPr>
            <w:tcW w:w="24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2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2018</w:t>
            </w:r>
          </w:p>
        </w:tc>
      </w:tr>
      <w:tr>
        <w:trPr>
          <w:trHeight w:val="22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Joerg Hornstein</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4"/>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Martin Velasco</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2018</w:t>
            </w:r>
          </w:p>
        </w:tc>
      </w:tr>
      <w:tr>
        <w:trPr>
          <w:trHeight w:val="22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Martin Velasco</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4"/>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Detlev Riesner</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2018</w:t>
            </w:r>
          </w:p>
        </w:tc>
      </w:tr>
      <w:tr>
        <w:trPr>
          <w:trHeight w:val="22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Detlev Riesner</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4"/>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Graney</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2018</w:t>
            </w:r>
          </w:p>
        </w:tc>
      </w:tr>
      <w:tr>
        <w:trPr>
          <w:trHeight w:val="22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Graney</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4"/>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Bollman</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2018</w:t>
            </w:r>
          </w:p>
        </w:tc>
      </w:tr>
      <w:tr>
        <w:trPr>
          <w:trHeight w:val="22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Bollman</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Douglas E. Williams</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2018</w:t>
            </w:r>
          </w:p>
        </w:tc>
      </w:tr>
      <w:tr>
        <w:trPr>
          <w:trHeight w:val="228"/>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E. Williams</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Colleen A. De Vries</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4, 2018</w:t>
            </w:r>
          </w:p>
        </w:tc>
      </w:tr>
      <w:tr>
        <w:trPr>
          <w:trHeight w:val="211"/>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Colleen A. De Vries</w:t>
            </w:r>
          </w:p>
        </w:tc>
        <w:tc>
          <w:tcPr>
            <w:tcW w:w="2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r>
    </w:tbl>
    <w:p>
      <w:pPr>
        <w:ind w:left="620"/>
        <w:spacing w:after="0"/>
        <w:rPr>
          <w:sz w:val="20"/>
          <w:szCs w:val="20"/>
          <w:color w:val="auto"/>
        </w:rPr>
      </w:pPr>
      <w:r>
        <w:rPr>
          <w:rFonts w:ascii="Times New Roman" w:cs="Times New Roman" w:eastAsia="Times New Roman" w:hAnsi="Times New Roman"/>
          <w:sz w:val="18"/>
          <w:szCs w:val="18"/>
          <w:color w:val="auto"/>
        </w:rPr>
        <w:t>SVP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200025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color w:val="auto"/>
        </w:rPr>
        <w:t>AC IMMUNE SA</w:t>
      </w:r>
    </w:p>
    <w:p>
      <w:pPr>
        <w:spacing w:after="0" w:line="24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as the Company</w:t>
      </w:r>
    </w:p>
    <w:p>
      <w:pPr>
        <w:spacing w:after="0" w:line="2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176530</wp:posOffset>
            </wp:positionV>
            <wp:extent cx="39535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889635</wp:posOffset>
            </wp:positionH>
            <wp:positionV relativeFrom="paragraph">
              <wp:posOffset>193675</wp:posOffset>
            </wp:positionV>
            <wp:extent cx="39535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Senior Indenture</w:t>
      </w:r>
    </w:p>
    <w:p>
      <w:pPr>
        <w:spacing w:after="0" w:line="2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339725</wp:posOffset>
            </wp:positionV>
            <wp:extent cx="39535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889635</wp:posOffset>
            </wp:positionH>
            <wp:positionV relativeFrom="paragraph">
              <wp:posOffset>356870</wp:posOffset>
            </wp:positionV>
            <wp:extent cx="39535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845820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862965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1265555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03"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62"/>
        </w:trPr>
        <w:tc>
          <w:tcPr>
            <w:tcW w:w="2720" w:type="dxa"/>
            <w:vAlign w:val="bottom"/>
          </w:tcPr>
          <w:p>
            <w:pPr>
              <w:spacing w:after="0"/>
              <w:rPr>
                <w:sz w:val="22"/>
                <w:szCs w:val="22"/>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2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720" w:type="dxa"/>
            <w:vAlign w:val="bottom"/>
          </w:tcPr>
          <w:p>
            <w:pPr>
              <w:spacing w:after="0"/>
              <w:rPr>
                <w:sz w:val="21"/>
                <w:szCs w:val="21"/>
                <w:color w:val="auto"/>
              </w:rPr>
            </w:pPr>
          </w:p>
        </w:tc>
        <w:tc>
          <w:tcPr>
            <w:tcW w:w="6020" w:type="dxa"/>
            <w:vAlign w:val="bottom"/>
            <w:tcBorders>
              <w:bottom w:val="single" w:sz="8" w:color="auto"/>
            </w:tcBorders>
          </w:tcPr>
          <w:p>
            <w:pPr>
              <w:spacing w:after="0"/>
              <w:rPr>
                <w:sz w:val="21"/>
                <w:szCs w:val="21"/>
                <w:color w:val="auto"/>
              </w:rPr>
            </w:pPr>
          </w:p>
        </w:tc>
        <w:tc>
          <w:tcPr>
            <w:tcW w:w="2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1</w:t>
            </w:r>
          </w:p>
        </w:tc>
        <w:tc>
          <w:tcPr>
            <w:tcW w:w="2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60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DEFINITIONS AND INCORPORATION BY REFERENCE</w:t>
            </w:r>
          </w:p>
        </w:tc>
        <w:tc>
          <w:tcPr>
            <w:tcW w:w="2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Incorporation by Reference of Trust Indenture Act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4"/>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2</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SECURITIES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Amount Unlimited; Issuable in Series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Denomination and Date of Securities; Payments of Interest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Registrar and Paying Agent; Agents Generally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Paying Agent to Hold Money in Trust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Transfer and Exchange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Replacement Securities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Outstanding Securities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Temporary Securities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CUSIP Numbers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Defaulted Interest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Series May Include Tranches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4"/>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3</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Applicability of Article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Notice of Redemption; Partial Redemptions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Payment Of Securities Called For Redemption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Exclusion of Certain Securities from Eligibility for Selection for Redemption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Mandatory and Optional Sinking Funds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4"/>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4</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COVENANTS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Securities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Securityholders’ Lists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Certificate to Trustee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Reports by the Company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4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Additional Amounts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00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5</w:t>
            </w:r>
          </w:p>
        </w:tc>
        <w:tc>
          <w:tcPr>
            <w:tcW w:w="1420" w:type="dxa"/>
            <w:vAlign w:val="bottom"/>
          </w:tcPr>
          <w:p>
            <w:pPr>
              <w:spacing w:after="0"/>
              <w:rPr>
                <w:sz w:val="24"/>
                <w:szCs w:val="24"/>
                <w:color w:val="auto"/>
              </w:rPr>
            </w:pPr>
          </w:p>
        </w:tc>
      </w:tr>
      <w:tr>
        <w:trPr>
          <w:trHeight w:val="234"/>
        </w:trPr>
        <w:tc>
          <w:tcPr>
            <w:tcW w:w="100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SUCCESSOR CORPORATION</w:t>
            </w:r>
          </w:p>
        </w:tc>
        <w:tc>
          <w:tcPr>
            <w:tcW w:w="1420" w:type="dxa"/>
            <w:vAlign w:val="bottom"/>
          </w:tcPr>
          <w:p>
            <w:pPr>
              <w:spacing w:after="0"/>
              <w:rPr>
                <w:sz w:val="20"/>
                <w:szCs w:val="20"/>
                <w:color w:val="auto"/>
              </w:rPr>
            </w:pPr>
          </w:p>
        </w:tc>
      </w:tr>
      <w:tr>
        <w:trPr>
          <w:trHeight w:val="412"/>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When Company May Merge,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Successor Substituted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100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6</w:t>
            </w:r>
          </w:p>
        </w:tc>
        <w:tc>
          <w:tcPr>
            <w:tcW w:w="1420" w:type="dxa"/>
            <w:vAlign w:val="bottom"/>
          </w:tcPr>
          <w:p>
            <w:pPr>
              <w:spacing w:after="0"/>
              <w:rPr>
                <w:sz w:val="24"/>
                <w:szCs w:val="24"/>
                <w:color w:val="auto"/>
              </w:rPr>
            </w:pPr>
          </w:p>
        </w:tc>
      </w:tr>
      <w:tr>
        <w:trPr>
          <w:trHeight w:val="234"/>
        </w:trPr>
        <w:tc>
          <w:tcPr>
            <w:tcW w:w="100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DEFAULT AND REMEDIES</w:t>
            </w:r>
          </w:p>
        </w:tc>
        <w:tc>
          <w:tcPr>
            <w:tcW w:w="1420" w:type="dxa"/>
            <w:vAlign w:val="bottom"/>
          </w:tcPr>
          <w:p>
            <w:pPr>
              <w:spacing w:after="0"/>
              <w:rPr>
                <w:sz w:val="20"/>
                <w:szCs w:val="20"/>
                <w:color w:val="auto"/>
              </w:rPr>
            </w:pPr>
          </w:p>
        </w:tc>
      </w:tr>
      <w:tr>
        <w:trPr>
          <w:trHeight w:val="412"/>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Past Defaults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Control by Majority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to Receive Payment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Application of Proceeds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Restoration of Rights and Remedies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Undertaking for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Rights and Remedies Cumulative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Delay or Omission not Waiver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00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7</w:t>
            </w:r>
          </w:p>
        </w:tc>
        <w:tc>
          <w:tcPr>
            <w:tcW w:w="1420" w:type="dxa"/>
            <w:vAlign w:val="bottom"/>
          </w:tcPr>
          <w:p>
            <w:pPr>
              <w:spacing w:after="0"/>
              <w:rPr>
                <w:sz w:val="24"/>
                <w:szCs w:val="24"/>
                <w:color w:val="auto"/>
              </w:rPr>
            </w:pPr>
          </w:p>
        </w:tc>
      </w:tr>
      <w:tr>
        <w:trPr>
          <w:trHeight w:val="234"/>
        </w:trPr>
        <w:tc>
          <w:tcPr>
            <w:tcW w:w="100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TRUSTEE</w:t>
            </w:r>
          </w:p>
        </w:tc>
        <w:tc>
          <w:tcPr>
            <w:tcW w:w="1420" w:type="dxa"/>
            <w:vAlign w:val="bottom"/>
          </w:tcPr>
          <w:p>
            <w:pPr>
              <w:spacing w:after="0"/>
              <w:rPr>
                <w:sz w:val="20"/>
                <w:szCs w:val="20"/>
                <w:color w:val="auto"/>
              </w:rPr>
            </w:pPr>
          </w:p>
        </w:tc>
      </w:tr>
      <w:tr>
        <w:trPr>
          <w:trHeight w:val="412"/>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General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Certain Rights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Reports by Trustee to 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Acceptance of Appointment by Successor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Successor Trustee By Merger,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Eligibility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Money Held in Trust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100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8</w:t>
            </w:r>
          </w:p>
        </w:tc>
        <w:tc>
          <w:tcPr>
            <w:tcW w:w="1420" w:type="dxa"/>
            <w:vAlign w:val="bottom"/>
          </w:tcPr>
          <w:p>
            <w:pPr>
              <w:spacing w:after="0"/>
              <w:rPr>
                <w:sz w:val="24"/>
                <w:szCs w:val="24"/>
                <w:color w:val="auto"/>
              </w:rPr>
            </w:pPr>
          </w:p>
        </w:tc>
      </w:tr>
      <w:tr>
        <w:trPr>
          <w:trHeight w:val="234"/>
        </w:trPr>
        <w:tc>
          <w:tcPr>
            <w:tcW w:w="100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SATISFACTION AND DISCHARGE OF INDENTURE; UNCLAIMED MONEYS</w:t>
            </w:r>
          </w:p>
        </w:tc>
        <w:tc>
          <w:tcPr>
            <w:tcW w:w="1420" w:type="dxa"/>
            <w:vAlign w:val="bottom"/>
          </w:tcPr>
          <w:p>
            <w:pPr>
              <w:spacing w:after="0"/>
              <w:rPr>
                <w:sz w:val="20"/>
                <w:szCs w:val="20"/>
                <w:color w:val="auto"/>
              </w:rPr>
            </w:pPr>
          </w:p>
        </w:tc>
      </w:tr>
      <w:tr>
        <w:trPr>
          <w:trHeight w:val="412"/>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Satisfaction and Discharge of Indenture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Application by Trustee of Funds Deposited for Payment of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Repayment of Moneys Held by Paying Agent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Return of Moneys Held by Trustee and Paying Agent Unclaimed for Two Years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Defeasance and Discharge of Indenture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Defeasance of Certain Obligations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Reinstatement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Indemnity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Excess Funds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Qualifying Trustee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97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A</w:t>
            </w:r>
            <w:r>
              <w:rPr>
                <w:rFonts w:ascii="Times New Roman" w:cs="Times New Roman" w:eastAsia="Times New Roman" w:hAnsi="Times New Roman"/>
                <w:sz w:val="12"/>
                <w:szCs w:val="12"/>
                <w:color w:val="auto"/>
                <w:w w:val="99"/>
              </w:rPr>
              <w:t>RTICLE</w:t>
            </w:r>
            <w:r>
              <w:rPr>
                <w:rFonts w:ascii="Times New Roman" w:cs="Times New Roman" w:eastAsia="Times New Roman" w:hAnsi="Times New Roman"/>
                <w:sz w:val="18"/>
                <w:szCs w:val="18"/>
                <w:color w:val="auto"/>
                <w:w w:val="99"/>
              </w:rPr>
              <w:t xml:space="preserve"> 9</w:t>
            </w:r>
          </w:p>
        </w:tc>
        <w:tc>
          <w:tcPr>
            <w:tcW w:w="1700" w:type="dxa"/>
            <w:vAlign w:val="bottom"/>
          </w:tcPr>
          <w:p>
            <w:pPr>
              <w:spacing w:after="0"/>
              <w:rPr>
                <w:sz w:val="24"/>
                <w:szCs w:val="24"/>
                <w:color w:val="auto"/>
              </w:rPr>
            </w:pPr>
          </w:p>
        </w:tc>
      </w:tr>
      <w:tr>
        <w:trPr>
          <w:trHeight w:val="234"/>
        </w:trPr>
        <w:tc>
          <w:tcPr>
            <w:tcW w:w="972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AMENDMENTS, SUPPLEMENTS AND WAIVERS</w:t>
            </w:r>
          </w:p>
        </w:tc>
        <w:tc>
          <w:tcPr>
            <w:tcW w:w="1700" w:type="dxa"/>
            <w:vAlign w:val="bottom"/>
          </w:tcPr>
          <w:p>
            <w:pPr>
              <w:spacing w:after="0"/>
              <w:rPr>
                <w:sz w:val="20"/>
                <w:szCs w:val="20"/>
                <w:color w:val="auto"/>
              </w:rPr>
            </w:pPr>
          </w:p>
        </w:tc>
      </w:tr>
      <w:tr>
        <w:trPr>
          <w:trHeight w:val="412"/>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Revocation and Effect of Consent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Securities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Conformity with Trust Indenture Act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972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10</w:t>
            </w:r>
          </w:p>
        </w:tc>
        <w:tc>
          <w:tcPr>
            <w:tcW w:w="1700" w:type="dxa"/>
            <w:vAlign w:val="bottom"/>
          </w:tcPr>
          <w:p>
            <w:pPr>
              <w:spacing w:after="0"/>
              <w:rPr>
                <w:sz w:val="24"/>
                <w:szCs w:val="24"/>
                <w:color w:val="auto"/>
              </w:rPr>
            </w:pPr>
          </w:p>
        </w:tc>
      </w:tr>
      <w:tr>
        <w:trPr>
          <w:trHeight w:val="234"/>
        </w:trPr>
        <w:tc>
          <w:tcPr>
            <w:tcW w:w="972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MISCELLANEOUS</w:t>
            </w:r>
          </w:p>
        </w:tc>
        <w:tc>
          <w:tcPr>
            <w:tcW w:w="1700" w:type="dxa"/>
            <w:vAlign w:val="bottom"/>
          </w:tcPr>
          <w:p>
            <w:pPr>
              <w:spacing w:after="0"/>
              <w:rPr>
                <w:sz w:val="20"/>
                <w:szCs w:val="20"/>
                <w:color w:val="auto"/>
              </w:rPr>
            </w:pPr>
          </w:p>
        </w:tc>
      </w:tr>
      <w:tr>
        <w:trPr>
          <w:trHeight w:val="412"/>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Trust Indenture Act of 1939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Notices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Certificate and Opinion as to Conditions Precedent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Statements Required in Certificate or Opinion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Ownership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Rules by Trustee, Paying Agent or Registrar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i w:val="1"/>
                <w:iCs w:val="1"/>
                <w:color w:val="auto"/>
              </w:rPr>
              <w:t>Payment Date Other Than a Business Day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i w:val="1"/>
                <w:iCs w:val="1"/>
                <w:color w:val="auto"/>
              </w:rPr>
              <w:t>Governing Law</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i w:val="1"/>
                <w:iCs w:val="1"/>
                <w:color w:val="auto"/>
              </w:rPr>
              <w:t>No Adverse Interpretation of Other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i w:val="1"/>
                <w:iCs w:val="1"/>
                <w:color w:val="auto"/>
              </w:rPr>
              <w:t>Successors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i w:val="1"/>
                <w:iCs w:val="1"/>
                <w:color w:val="auto"/>
              </w:rPr>
              <w:t>Duplicate Originals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i w:val="1"/>
                <w:iCs w:val="1"/>
                <w:color w:val="auto"/>
              </w:rPr>
              <w:t>Separability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i w:val="1"/>
                <w:iCs w:val="1"/>
                <w:color w:val="auto"/>
              </w:rPr>
              <w:t>Table of Contents, Headings, Etc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i w:val="1"/>
                <w:iCs w:val="1"/>
                <w:color w:val="auto"/>
              </w:rPr>
              <w:t>Incorporators, Stockholders, Officers and Directors of Company Exempt from Individual Liability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i w:val="1"/>
                <w:iCs w:val="1"/>
                <w:color w:val="auto"/>
              </w:rPr>
              <w:t>Judgment Currency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i w:val="1"/>
                <w:iCs w:val="1"/>
                <w:color w:val="auto"/>
              </w:rPr>
              <w:t>Waiver of Jury Trial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i w:val="1"/>
                <w:iCs w:val="1"/>
                <w:color w:val="auto"/>
              </w:rPr>
              <w:t>Force Majeure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51"/>
        </w:trPr>
        <w:tc>
          <w:tcPr>
            <w:tcW w:w="9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8" w:right="239" w:bottom="1440" w:gutter="0" w:footer="0" w:header="0"/>
        </w:sectPr>
      </w:pPr>
    </w:p>
    <w:bookmarkStart w:id="42" w:name="page43"/>
    <w:bookmarkEnd w:id="42"/>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SENIOR INDENTURE, dated as of , 20 , between AC Immune SA, a Swiss stock corporation organized under the laws of Switzerland, as the Company, and , as Trustee.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has duly authorized the issue from time to time of its senior debentures, notes or other evidences of indebtedness to be issued in one or more series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Registrar, Paying Agent, transfer agent or Authenticating Agent.</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spacing w:after="0" w:line="155" w:lineRule="exact"/>
        <w:rPr>
          <w:sz w:val="20"/>
          <w:szCs w:val="20"/>
          <w:color w:val="auto"/>
        </w:rPr>
      </w:pPr>
    </w:p>
    <w:p>
      <w:pPr>
        <w:ind w:right="5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3" w:name="page44"/>
    <w:bookmarkEnd w:id="43"/>
    <w:p>
      <w:pPr>
        <w:ind w:right="140"/>
        <w:spacing w:after="0" w:line="282" w:lineRule="auto"/>
        <w:rPr>
          <w:sz w:val="20"/>
          <w:szCs w:val="20"/>
          <w:color w:val="auto"/>
        </w:rPr>
      </w:pPr>
      <w:r>
        <w:rPr>
          <w:rFonts w:ascii="Times New Roman" w:cs="Times New Roman" w:eastAsia="Times New Roman" w:hAnsi="Times New Roman"/>
          <w:sz w:val="18"/>
          <w:szCs w:val="18"/>
          <w:color w:val="auto"/>
        </w:rPr>
        <w:t>deposits in London, or with respect to Securities denominated in a specified currency other than United States dollars, in the principal financial center of the country of the specified currency.</w:t>
      </w:r>
    </w:p>
    <w:p>
      <w:pPr>
        <w:spacing w:after="0" w:line="15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party named as such in the first paragraph of this Indenture until a successor replaces it pursuant to Article 5 of this Indenture and thereafter means the successor.</w:t>
      </w:r>
    </w:p>
    <w:p>
      <w:pPr>
        <w:spacing w:after="0" w:line="15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office of the Trustee at which the corporate trust business of the Trustee shall, at any particular time, be administered, which office is, at the date of this Indenture, located at Attention: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each Person who is then a Depositary hereunder, and if at any time there is more than one such Person,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as used with respect to the Securities of any such series shall mean the Depositary with respect to the Registered Global Securities of that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means the registered holder of any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as issued by the International Accounting Standards Board, as in effect as of the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spacing w:after="0" w:line="171"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4" w:name="page45"/>
    <w:bookmarkEnd w:id="44"/>
    <w:p>
      <w:pPr>
        <w:jc w:val="both"/>
        <w:ind w:right="2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in the name of the Company (i) by the chairman of the board of directors, the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spacing w:after="0" w:line="177"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spacing w:after="0" w:line="171"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spacing w:after="0" w:line="15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Discount Security</w:t>
      </w:r>
      <w:r>
        <w:rPr>
          <w:rFonts w:ascii="Times New Roman" w:cs="Times New Roman" w:eastAsia="Times New Roman" w:hAnsi="Times New Roman"/>
          <w:sz w:val="18"/>
          <w:szCs w:val="18"/>
          <w:color w:val="auto"/>
        </w:rPr>
        <w:t>” means any Security that provides for an amount less than the principal amount thereof to be due and payable upon a declaration of acceleration of the maturity thereof pursuant to Section 6.02.</w:t>
      </w:r>
    </w:p>
    <w:p>
      <w:pPr>
        <w:spacing w:after="0" w:line="15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Offering</w:t>
      </w:r>
      <w:r>
        <w:rPr>
          <w:rFonts w:ascii="Times New Roman" w:cs="Times New Roman" w:eastAsia="Times New Roman" w:hAnsi="Times New Roman"/>
          <w:sz w:val="18"/>
          <w:szCs w:val="18"/>
          <w:color w:val="auto"/>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spacing w:after="0" w:line="171"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Principal</w:t>
      </w:r>
      <w:r>
        <w:rPr>
          <w:rFonts w:ascii="Times New Roman" w:cs="Times New Roman" w:eastAsia="Times New Roman" w:hAnsi="Times New Roman"/>
          <w:sz w:val="17"/>
          <w:szCs w:val="17"/>
          <w:color w:val="auto"/>
        </w:rPr>
        <w:t>” of a Security means the principal amount of, and, unless the context indicates otherwise, includes any premium payable on, the Security.</w:t>
      </w:r>
    </w:p>
    <w:p>
      <w:pPr>
        <w:spacing w:after="0" w:line="237"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Global Security</w:t>
      </w:r>
      <w:r>
        <w:rPr>
          <w:rFonts w:ascii="Times New Roman" w:cs="Times New Roman" w:eastAsia="Times New Roman" w:hAnsi="Times New Roman"/>
          <w:sz w:val="18"/>
          <w:szCs w:val="18"/>
          <w:color w:val="auto"/>
        </w:rPr>
        <w:t>” means a Security evidencing all or a part of a series of Securities, issued to the Depositary for such series in accordance with Section 2.02, and bearing the legend prescribed in Section 2.02.</w:t>
      </w:r>
    </w:p>
    <w:p>
      <w:pPr>
        <w:spacing w:after="0" w:line="15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spacing w:after="0" w:line="17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of the securities, as defined in the first paragraph of the recitals hereof, that are authenticated and delivered under this Indenture.</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71"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(15 U.S. Code §§ 77aaa-77bbbb), as it may be amended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Obligations</w:t>
      </w:r>
      <w:r>
        <w:rPr>
          <w:rFonts w:ascii="Times New Roman" w:cs="Times New Roman" w:eastAsia="Times New Roman" w:hAnsi="Times New Roman"/>
          <w:sz w:val="18"/>
          <w:szCs w:val="18"/>
          <w:color w:val="auto"/>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spacing w:after="0" w:line="180"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Yield to Maturity</w:t>
      </w:r>
      <w:r>
        <w:rPr>
          <w:rFonts w:ascii="Times New Roman" w:cs="Times New Roman" w:eastAsia="Times New Roman" w:hAnsi="Times New Roman"/>
          <w:sz w:val="18"/>
          <w:szCs w:val="18"/>
          <w:color w:val="auto"/>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 xml:space="preserve"> Each of the following terms is defined in the section set forth opposite such term: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5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1"/>
        </w:trPr>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Authenticating Agent</w:t>
            </w:r>
          </w:p>
        </w:tc>
        <w:tc>
          <w:tcPr>
            <w:tcW w:w="5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Transaction</w:t>
            </w:r>
          </w:p>
        </w:tc>
        <w:tc>
          <w:tcPr>
            <w:tcW w:w="7400" w:type="dxa"/>
            <w:vAlign w:val="bottom"/>
            <w:gridSpan w:val="3"/>
          </w:tcPr>
          <w:p>
            <w:pPr>
              <w:jc w:val="center"/>
              <w:ind w:left="503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7400" w:type="dxa"/>
            <w:vAlign w:val="bottom"/>
            <w:gridSpan w:val="3"/>
          </w:tcPr>
          <w:p>
            <w:pPr>
              <w:jc w:val="center"/>
              <w:ind w:left="503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7400" w:type="dxa"/>
            <w:vAlign w:val="bottom"/>
            <w:gridSpan w:val="3"/>
          </w:tcPr>
          <w:p>
            <w:pPr>
              <w:jc w:val="center"/>
              <w:ind w:left="503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Judgment Currency</w:t>
            </w:r>
          </w:p>
        </w:tc>
        <w:tc>
          <w:tcPr>
            <w:tcW w:w="5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mandatory sinking fund payment</w:t>
            </w:r>
          </w:p>
        </w:tc>
        <w:tc>
          <w:tcPr>
            <w:tcW w:w="7400" w:type="dxa"/>
            <w:vAlign w:val="bottom"/>
            <w:gridSpan w:val="3"/>
          </w:tcPr>
          <w:p>
            <w:pPr>
              <w:jc w:val="center"/>
              <w:ind w:left="503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optional sinking fund payment</w:t>
            </w:r>
          </w:p>
        </w:tc>
        <w:tc>
          <w:tcPr>
            <w:tcW w:w="7400" w:type="dxa"/>
            <w:vAlign w:val="bottom"/>
            <w:gridSpan w:val="3"/>
          </w:tcPr>
          <w:p>
            <w:pPr>
              <w:jc w:val="center"/>
              <w:ind w:left="5030"/>
              <w:spacing w:after="0"/>
              <w:rPr>
                <w:sz w:val="20"/>
                <w:szCs w:val="20"/>
                <w:color w:val="auto"/>
              </w:rPr>
            </w:pPr>
            <w:r>
              <w:rPr>
                <w:rFonts w:ascii="Times New Roman" w:cs="Times New Roman" w:eastAsia="Times New Roman" w:hAnsi="Times New Roman"/>
                <w:sz w:val="18"/>
                <w:szCs w:val="18"/>
                <w:color w:val="auto"/>
              </w:rPr>
              <w:t>3.05</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7400" w:type="dxa"/>
            <w:vAlign w:val="bottom"/>
            <w:gridSpan w:val="3"/>
          </w:tcPr>
          <w:p>
            <w:pPr>
              <w:jc w:val="center"/>
              <w:ind w:left="5030"/>
              <w:spacing w:after="0"/>
              <w:rPr>
                <w:sz w:val="20"/>
                <w:szCs w:val="20"/>
                <w:color w:val="auto"/>
              </w:rPr>
            </w:pPr>
            <w:r>
              <w:rPr>
                <w:rFonts w:ascii="Times New Roman" w:cs="Times New Roman" w:eastAsia="Times New Roman" w:hAnsi="Times New Roman"/>
                <w:sz w:val="18"/>
                <w:szCs w:val="18"/>
                <w:color w:val="auto"/>
              </w:rPr>
              <w:t>2.05</w:t>
            </w:r>
          </w:p>
        </w:tc>
      </w:tr>
      <w:tr>
        <w:trPr>
          <w:trHeight w:val="324"/>
        </w:trPr>
        <w:tc>
          <w:tcPr>
            <w:tcW w:w="40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jc w:val="right"/>
              <w:ind w:right="331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4640" w:type="dxa"/>
            <w:vAlign w:val="bottom"/>
          </w:tcPr>
          <w:p>
            <w:pPr>
              <w:jc w:val="center"/>
              <w:ind w:left="395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Registrar</w:t>
            </w:r>
          </w:p>
        </w:tc>
        <w:tc>
          <w:tcPr>
            <w:tcW w:w="4640" w:type="dxa"/>
            <w:vAlign w:val="bottom"/>
          </w:tcPr>
          <w:p>
            <w:pPr>
              <w:jc w:val="center"/>
              <w:ind w:left="395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Required Currency</w:t>
            </w:r>
          </w:p>
        </w:tc>
        <w:tc>
          <w:tcPr>
            <w:tcW w:w="4640" w:type="dxa"/>
            <w:vAlign w:val="bottom"/>
          </w:tcPr>
          <w:p>
            <w:pPr>
              <w:jc w:val="center"/>
              <w:ind w:left="3950"/>
              <w:spacing w:after="0"/>
              <w:rPr>
                <w:sz w:val="20"/>
                <w:szCs w:val="20"/>
                <w:color w:val="auto"/>
              </w:rPr>
            </w:pPr>
            <w:r>
              <w:rPr>
                <w:rFonts w:ascii="Times New Roman" w:cs="Times New Roman" w:eastAsia="Times New Roman" w:hAnsi="Times New Roman"/>
                <w:sz w:val="18"/>
                <w:szCs w:val="18"/>
                <w:color w:val="auto"/>
                <w:w w:val="99"/>
              </w:rPr>
              <w:t>10.15(a)</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Security Register</w:t>
            </w:r>
          </w:p>
        </w:tc>
        <w:tc>
          <w:tcPr>
            <w:tcW w:w="4640" w:type="dxa"/>
            <w:vAlign w:val="bottom"/>
          </w:tcPr>
          <w:p>
            <w:pPr>
              <w:jc w:val="center"/>
              <w:ind w:left="395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self-liquidating paper</w:t>
            </w:r>
          </w:p>
        </w:tc>
        <w:tc>
          <w:tcPr>
            <w:tcW w:w="4640" w:type="dxa"/>
            <w:vAlign w:val="bottom"/>
          </w:tcPr>
          <w:p>
            <w:pPr>
              <w:jc w:val="center"/>
              <w:ind w:left="395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sinking fund payment date</w:t>
            </w:r>
          </w:p>
        </w:tc>
        <w:tc>
          <w:tcPr>
            <w:tcW w:w="4640" w:type="dxa"/>
            <w:vAlign w:val="bottom"/>
          </w:tcPr>
          <w:p>
            <w:pPr>
              <w:jc w:val="center"/>
              <w:ind w:left="395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4640" w:type="dxa"/>
            <w:vAlign w:val="bottom"/>
          </w:tcPr>
          <w:p>
            <w:pPr>
              <w:jc w:val="center"/>
              <w:ind w:left="3950"/>
              <w:spacing w:after="0"/>
              <w:rPr>
                <w:sz w:val="20"/>
                <w:szCs w:val="20"/>
                <w:color w:val="auto"/>
              </w:rPr>
            </w:pPr>
            <w:r>
              <w:rPr>
                <w:rFonts w:ascii="Times New Roman" w:cs="Times New Roman" w:eastAsia="Times New Roman" w:hAnsi="Times New Roman"/>
                <w:sz w:val="18"/>
                <w:szCs w:val="18"/>
                <w:color w:val="auto"/>
              </w:rPr>
              <w:t>5.01(a)</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tranche</w:t>
            </w:r>
          </w:p>
        </w:tc>
        <w:tc>
          <w:tcPr>
            <w:tcW w:w="4640" w:type="dxa"/>
            <w:vAlign w:val="bottom"/>
          </w:tcPr>
          <w:p>
            <w:pPr>
              <w:jc w:val="center"/>
              <w:ind w:left="3950"/>
              <w:spacing w:after="0"/>
              <w:rPr>
                <w:sz w:val="20"/>
                <w:szCs w:val="20"/>
                <w:color w:val="auto"/>
              </w:rPr>
            </w:pPr>
            <w:r>
              <w:rPr>
                <w:rFonts w:ascii="Times New Roman" w:cs="Times New Roman" w:eastAsia="Times New Roman" w:hAnsi="Times New Roman"/>
                <w:sz w:val="18"/>
                <w:szCs w:val="18"/>
                <w:color w:val="auto"/>
              </w:rPr>
              <w:t>2.14</w:t>
            </w:r>
          </w:p>
        </w:tc>
      </w:tr>
    </w:tbl>
    <w:p>
      <w:pPr>
        <w:spacing w:after="0" w:line="196"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Incorporation by Reference of Trust Indenture Act.</w:t>
      </w:r>
      <w:r>
        <w:rPr>
          <w:rFonts w:ascii="Times New Roman" w:cs="Times New Roman" w:eastAsia="Times New Roman" w:hAnsi="Times New Roman"/>
          <w:sz w:val="18"/>
          <w:szCs w:val="18"/>
          <w:color w:val="auto"/>
        </w:rPr>
        <w:t xml:space="preserve">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security holder</w:t>
      </w:r>
      <w:r>
        <w:rPr>
          <w:rFonts w:ascii="Times New Roman" w:cs="Times New Roman" w:eastAsia="Times New Roman" w:hAnsi="Times New Roman"/>
          <w:sz w:val="18"/>
          <w:szCs w:val="18"/>
          <w:color w:val="auto"/>
        </w:rPr>
        <w:t>” means a Holder or a Securityholder;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institutional trustee</w:t>
      </w:r>
      <w:r>
        <w:rPr>
          <w:rFonts w:ascii="Times New Roman" w:cs="Times New Roman" w:eastAsia="Times New Roman" w:hAnsi="Times New Roman"/>
          <w:sz w:val="18"/>
          <w:szCs w:val="18"/>
          <w:color w:val="auto"/>
        </w:rPr>
        <w:t>” means the Trustee;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on the indenture securities means the Company or any other obligor on the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xml:space="preserve"> Unless the context otherwise requires:</w:t>
      </w:r>
    </w:p>
    <w:p>
      <w:pPr>
        <w:spacing w:after="0" w:line="227" w:lineRule="exact"/>
        <w:rPr>
          <w:sz w:val="20"/>
          <w:szCs w:val="20"/>
          <w:color w:val="auto"/>
        </w:rPr>
      </w:pPr>
    </w:p>
    <w:p>
      <w:pPr>
        <w:ind w:left="1360" w:hanging="509"/>
        <w:spacing w:after="0"/>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IFRS;</w:t>
      </w:r>
    </w:p>
    <w:p>
      <w:pPr>
        <w:spacing w:after="0" w:line="225"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225" w:lineRule="exact"/>
        <w:rPr>
          <w:rFonts w:ascii="Times New Roman" w:cs="Times New Roman" w:eastAsia="Times New Roman" w:hAnsi="Times New Roman"/>
          <w:sz w:val="18"/>
          <w:szCs w:val="18"/>
          <w:color w:val="auto"/>
        </w:rPr>
      </w:pPr>
    </w:p>
    <w:p>
      <w:pPr>
        <w:ind w:left="1420" w:hanging="56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w:t>
      </w:r>
    </w:p>
    <w:p>
      <w:pPr>
        <w:spacing w:after="0" w:line="206"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Sections or Articles refer to Sections or Articles of this Indenture unless otherwise indicated; and</w:t>
      </w:r>
    </w:p>
    <w:p>
      <w:pPr>
        <w:spacing w:after="0" w:line="225" w:lineRule="exact"/>
        <w:rPr>
          <w:rFonts w:ascii="Times New Roman" w:cs="Times New Roman" w:eastAsia="Times New Roman" w:hAnsi="Times New Roman"/>
          <w:sz w:val="18"/>
          <w:szCs w:val="18"/>
          <w:color w:val="auto"/>
        </w:rPr>
      </w:pPr>
    </w:p>
    <w:p>
      <w:pPr>
        <w:ind w:right="60" w:firstLine="851"/>
        <w:spacing w:after="0" w:line="282" w:lineRule="auto"/>
        <w:tabs>
          <w:tab w:leader="none" w:pos="13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masculine, feminine or neuter pronouns should not be deemed a limitation, and the use of any such pronouns should be construed to include, where appropriate, the other pronouns.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05"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 xml:space="preserve">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spacing w:after="0" w:line="18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r>
        <w:rPr>
          <w:rFonts w:ascii="Times New Roman" w:cs="Times New Roman" w:eastAsia="Times New Roman" w:hAnsi="Times New Roman"/>
          <w:sz w:val="18"/>
          <w:szCs w:val="18"/>
          <w:color w:val="auto"/>
        </w:rPr>
        <w:t xml:space="preserve"> Two Officers shall execute the Securities for the Company by facsimile or manual signature in the name and on behalf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221"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The Trustee, at the expense of the Company, may appoint an authenticating agent (the “</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to authenticate Securities. The Authenticating Agent may authenticate Securities whenever the Trustee may do so. Each reference in this Indenture to authentication by the Trustee includes authentication by such Authenticating Agent.</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the Trustee or Authenticating Agent manually signs the certificate of authentication on the Security. The signature shall be conclusive evidence that the Security has been authenticated under this Indenture.</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spacing w:after="0" w:line="184" w:lineRule="exact"/>
        <w:rPr>
          <w:sz w:val="20"/>
          <w:szCs w:val="20"/>
          <w:color w:val="auto"/>
        </w:rPr>
      </w:pPr>
    </w:p>
    <w:p>
      <w:pPr>
        <w:ind w:right="120" w:firstLine="851"/>
        <w:spacing w:after="0" w:line="282" w:lineRule="auto"/>
        <w:tabs>
          <w:tab w:leader="none" w:pos="13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Board Resolution and/or executed supplemental indenture referred to in Sections 2.01 and 2.03 by or pursuant to which the forms and terms of the Securities of that series were established;</w:t>
      </w:r>
    </w:p>
    <w:p>
      <w:pPr>
        <w:spacing w:after="0" w:line="161" w:lineRule="exact"/>
        <w:rPr>
          <w:rFonts w:ascii="Times New Roman" w:cs="Times New Roman" w:eastAsia="Times New Roman" w:hAnsi="Times New Roman"/>
          <w:sz w:val="18"/>
          <w:szCs w:val="18"/>
          <w:color w:val="auto"/>
        </w:rPr>
      </w:pPr>
    </w:p>
    <w:p>
      <w:pPr>
        <w:ind w:firstLine="851"/>
        <w:spacing w:after="0" w:line="282" w:lineRule="auto"/>
        <w:tabs>
          <w:tab w:leader="none" w:pos="13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setting forth the form or forms and terms of the Securities, stating that the form or forms and terms of the Securities of such series have been, or, in the case of a Periodic Offering, will be when established in accordance with</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such procedures as shall be referred to therein, established in compliance with this Indenture; and</w:t>
      </w:r>
    </w:p>
    <w:p>
      <w:pPr>
        <w:spacing w:after="0" w:line="225" w:lineRule="exact"/>
        <w:rPr>
          <w:sz w:val="20"/>
          <w:szCs w:val="20"/>
          <w:color w:val="auto"/>
        </w:rPr>
      </w:pPr>
    </w:p>
    <w:p>
      <w:pPr>
        <w:ind w:right="60" w:firstLine="851"/>
        <w:spacing w:after="0" w:line="255" w:lineRule="auto"/>
        <w:tabs>
          <w:tab w:leader="none" w:pos="13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spacing w:after="0" w:line="18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spacing w:after="0" w:line="176" w:lineRule="exact"/>
        <w:rPr>
          <w:sz w:val="20"/>
          <w:szCs w:val="20"/>
          <w:color w:val="auto"/>
        </w:rPr>
      </w:pPr>
    </w:p>
    <w:p>
      <w:pPr>
        <w:jc w:val="both"/>
        <w:ind w:right="100" w:firstLine="648"/>
        <w:spacing w:after="0" w:line="270" w:lineRule="auto"/>
        <w:rPr>
          <w:sz w:val="20"/>
          <w:szCs w:val="20"/>
          <w:color w:val="auto"/>
        </w:rPr>
      </w:pPr>
      <w:r>
        <w:rPr>
          <w:rFonts w:ascii="Times New Roman" w:cs="Times New Roman" w:eastAsia="Times New Roman" w:hAnsi="Times New Roman"/>
          <w:sz w:val="17"/>
          <w:szCs w:val="17"/>
          <w:color w:val="auto"/>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w:t>
      </w:r>
    </w:p>
    <w:p>
      <w:pPr>
        <w:spacing w:after="0" w:line="3" w:lineRule="exact"/>
        <w:rPr>
          <w:sz w:val="20"/>
          <w:szCs w:val="20"/>
          <w:color w:val="auto"/>
        </w:rPr>
      </w:pPr>
    </w:p>
    <w:p>
      <w:pPr>
        <w:ind w:right="120" w:firstLine="8"/>
        <w:spacing w:after="0" w:line="255"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9" w:name="page50"/>
    <w:bookmarkEnd w:id="49"/>
    <w:p>
      <w:pPr>
        <w:ind w:right="100"/>
        <w:spacing w:after="0" w:line="282" w:lineRule="auto"/>
        <w:rPr>
          <w:sz w:val="20"/>
          <w:szCs w:val="20"/>
          <w:color w:val="auto"/>
        </w:rPr>
      </w:pPr>
      <w:r>
        <w:rPr>
          <w:rFonts w:ascii="Times New Roman" w:cs="Times New Roman" w:eastAsia="Times New Roman" w:hAnsi="Times New Roman"/>
          <w:sz w:val="18"/>
          <w:szCs w:val="18"/>
          <w:color w:val="auto"/>
        </w:rPr>
        <w:t>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Amount Unlimited; Issuable in Series.</w:t>
      </w:r>
      <w:r>
        <w:rPr>
          <w:rFonts w:ascii="Times New Roman" w:cs="Times New Roman" w:eastAsia="Times New Roman" w:hAnsi="Times New Roman"/>
          <w:sz w:val="18"/>
          <w:szCs w:val="18"/>
          <w:color w:val="auto"/>
        </w:rPr>
        <w:t xml:space="preserve"> The aggregate principal amount of Securities which may be authenticated and delivered under this Indenture is unlimited.</w:t>
      </w:r>
    </w:p>
    <w:p>
      <w:pPr>
        <w:spacing w:after="0" w:line="158"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Securities may be issued in one or more series and each such series shall rank equally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unsecured and unsubordinated debt of the Company. There shall be established in or pursuant to Board Resolution or one or more indentures supplemental hereto, prior to the initial issuance of Securities of any series, subject to the last sentence of this Section 2.03,</w:t>
      </w:r>
    </w:p>
    <w:p>
      <w:pPr>
        <w:spacing w:after="0" w:line="176" w:lineRule="exact"/>
        <w:rPr>
          <w:sz w:val="20"/>
          <w:szCs w:val="20"/>
          <w:color w:val="auto"/>
        </w:rPr>
      </w:pPr>
    </w:p>
    <w:p>
      <w:pPr>
        <w:ind w:left="1360" w:hanging="509"/>
        <w:spacing w:after="0"/>
        <w:tabs>
          <w:tab w:leader="none" w:pos="1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Securities of the series, which shall distinguish the Securities of the series from the Securities of all other series;</w:t>
      </w:r>
    </w:p>
    <w:p>
      <w:pPr>
        <w:spacing w:after="0" w:line="225" w:lineRule="exact"/>
        <w:rPr>
          <w:rFonts w:ascii="Times New Roman" w:cs="Times New Roman" w:eastAsia="Times New Roman" w:hAnsi="Times New Roman"/>
          <w:sz w:val="18"/>
          <w:szCs w:val="18"/>
          <w:color w:val="auto"/>
        </w:rPr>
      </w:pPr>
    </w:p>
    <w:p>
      <w:pPr>
        <w:jc w:val="both"/>
        <w:ind w:firstLine="851"/>
        <w:spacing w:after="0" w:line="261" w:lineRule="auto"/>
        <w:tabs>
          <w:tab w:leader="none" w:pos="13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spacing w:after="0" w:line="180"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(which date or dates may be fixed or extendible);</w:t>
      </w:r>
    </w:p>
    <w:p>
      <w:pPr>
        <w:spacing w:after="0" w:line="225" w:lineRule="exact"/>
        <w:rPr>
          <w:rFonts w:ascii="Times New Roman" w:cs="Times New Roman" w:eastAsia="Times New Roman" w:hAnsi="Times New Roman"/>
          <w:sz w:val="18"/>
          <w:szCs w:val="18"/>
          <w:color w:val="auto"/>
        </w:rPr>
      </w:pPr>
    </w:p>
    <w:p>
      <w:pPr>
        <w:jc w:val="both"/>
        <w:ind w:right="40" w:firstLine="851"/>
        <w:spacing w:after="0" w:line="266" w:lineRule="auto"/>
        <w:tabs>
          <w:tab w:leader="none" w:pos="13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spacing w:after="0" w:line="176" w:lineRule="exact"/>
        <w:rPr>
          <w:rFonts w:ascii="Times New Roman" w:cs="Times New Roman" w:eastAsia="Times New Roman" w:hAnsi="Times New Roman"/>
          <w:sz w:val="18"/>
          <w:szCs w:val="18"/>
          <w:color w:val="auto"/>
        </w:rPr>
      </w:pPr>
    </w:p>
    <w:p>
      <w:pPr>
        <w:ind w:right="100" w:firstLine="851"/>
        <w:spacing w:after="0" w:line="266" w:lineRule="auto"/>
        <w:tabs>
          <w:tab w:leader="none" w:pos="13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as provided in Section 4.02, the place or places where the principal of and any interest on Securities of the series shall be payable, any Securities of the series may be surrendered for exchange, notices, demands to or upon the Company in respect of the Securities of the series and this Indenture may be served;</w:t>
      </w:r>
    </w:p>
    <w:p>
      <w:pPr>
        <w:spacing w:after="0" w:line="176" w:lineRule="exact"/>
        <w:rPr>
          <w:rFonts w:ascii="Times New Roman" w:cs="Times New Roman" w:eastAsia="Times New Roman" w:hAnsi="Times New Roman"/>
          <w:sz w:val="18"/>
          <w:szCs w:val="18"/>
          <w:color w:val="auto"/>
        </w:rPr>
      </w:pPr>
    </w:p>
    <w:p>
      <w:pPr>
        <w:jc w:val="both"/>
        <w:ind w:right="60" w:firstLine="851"/>
        <w:spacing w:after="0" w:line="313" w:lineRule="auto"/>
        <w:tabs>
          <w:tab w:leader="none" w:pos="133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spacing w:after="0" w:line="138" w:lineRule="exact"/>
        <w:rPr>
          <w:rFonts w:ascii="Times New Roman" w:cs="Times New Roman" w:eastAsia="Times New Roman" w:hAnsi="Times New Roman"/>
          <w:sz w:val="17"/>
          <w:szCs w:val="17"/>
          <w:color w:val="auto"/>
        </w:rPr>
      </w:pPr>
    </w:p>
    <w:p>
      <w:pPr>
        <w:jc w:val="both"/>
        <w:ind w:right="60" w:firstLine="851"/>
        <w:spacing w:after="0" w:line="266" w:lineRule="auto"/>
        <w:tabs>
          <w:tab w:leader="none" w:pos="13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of the series shall be redeemed, purchased or repaid, in whole or in part, pursuant to such obligation;</w:t>
      </w:r>
    </w:p>
    <w:p>
      <w:pPr>
        <w:spacing w:after="0" w:line="225" w:lineRule="exact"/>
        <w:rPr>
          <w:sz w:val="20"/>
          <w:szCs w:val="20"/>
          <w:color w:val="auto"/>
        </w:rPr>
      </w:pPr>
    </w:p>
    <w:p>
      <w:pPr>
        <w:ind w:left="1380" w:hanging="529"/>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higher integral multiple of $1,000, the denominations in which Securities of the series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issuable;</w:t>
      </w:r>
    </w:p>
    <w:p>
      <w:pPr>
        <w:spacing w:after="0" w:line="206" w:lineRule="exact"/>
        <w:rPr>
          <w:rFonts w:ascii="Times New Roman" w:cs="Times New Roman" w:eastAsia="Times New Roman" w:hAnsi="Times New Roman"/>
          <w:sz w:val="18"/>
          <w:szCs w:val="18"/>
          <w:color w:val="auto"/>
        </w:rPr>
      </w:pPr>
    </w:p>
    <w:p>
      <w:pPr>
        <w:ind w:right="560" w:firstLine="851"/>
        <w:spacing w:after="0" w:line="282" w:lineRule="auto"/>
        <w:tabs>
          <w:tab w:leader="none" w:pos="13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w:t>
      </w:r>
    </w:p>
    <w:p>
      <w:pPr>
        <w:spacing w:after="0" w:line="161" w:lineRule="exact"/>
        <w:rPr>
          <w:rFonts w:ascii="Times New Roman" w:cs="Times New Roman" w:eastAsia="Times New Roman" w:hAnsi="Times New Roman"/>
          <w:sz w:val="18"/>
          <w:szCs w:val="18"/>
          <w:color w:val="auto"/>
        </w:rPr>
      </w:pPr>
    </w:p>
    <w:p>
      <w:pPr>
        <w:ind w:firstLine="851"/>
        <w:spacing w:after="0" w:line="261" w:lineRule="auto"/>
        <w:tabs>
          <w:tab w:leader="none" w:pos="13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spacing w:after="0" w:line="180" w:lineRule="exact"/>
        <w:rPr>
          <w:rFonts w:ascii="Times New Roman" w:cs="Times New Roman" w:eastAsia="Times New Roman" w:hAnsi="Times New Roman"/>
          <w:sz w:val="18"/>
          <w:szCs w:val="18"/>
          <w:color w:val="auto"/>
        </w:rPr>
      </w:pPr>
    </w:p>
    <w:p>
      <w:pPr>
        <w:ind w:right="20" w:firstLine="851"/>
        <w:spacing w:after="0" w:line="266" w:lineRule="auto"/>
        <w:tabs>
          <w:tab w:leader="none" w:pos="13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spacing w:after="0" w:line="176" w:lineRule="exact"/>
        <w:rPr>
          <w:rFonts w:ascii="Times New Roman" w:cs="Times New Roman" w:eastAsia="Times New Roman" w:hAnsi="Times New Roman"/>
          <w:sz w:val="18"/>
          <w:szCs w:val="18"/>
          <w:color w:val="auto"/>
        </w:rPr>
      </w:pPr>
    </w:p>
    <w:p>
      <w:pPr>
        <w:ind w:left="1340" w:hanging="489"/>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or any portion thereof will be issuable as Global Securities;</w:t>
      </w:r>
    </w:p>
    <w:p>
      <w:pPr>
        <w:spacing w:after="0" w:line="225" w:lineRule="exact"/>
        <w:rPr>
          <w:rFonts w:ascii="Times New Roman" w:cs="Times New Roman" w:eastAsia="Times New Roman" w:hAnsi="Times New Roman"/>
          <w:sz w:val="18"/>
          <w:szCs w:val="18"/>
          <w:color w:val="auto"/>
        </w:rPr>
      </w:pPr>
    </w:p>
    <w:p>
      <w:pPr>
        <w:ind w:left="1420" w:hanging="56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may be exchangeable for and/or convertible into the common stock of the Company or any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w:t>
      </w:r>
    </w:p>
    <w:p>
      <w:pPr>
        <w:spacing w:after="0" w:line="206" w:lineRule="exact"/>
        <w:rPr>
          <w:rFonts w:ascii="Times New Roman" w:cs="Times New Roman" w:eastAsia="Times New Roman" w:hAnsi="Times New Roman"/>
          <w:sz w:val="18"/>
          <w:szCs w:val="18"/>
          <w:color w:val="auto"/>
        </w:rPr>
      </w:pPr>
    </w:p>
    <w:p>
      <w:pPr>
        <w:ind w:firstLine="851"/>
        <w:spacing w:after="0" w:line="266" w:lineRule="auto"/>
        <w:tabs>
          <w:tab w:leader="none" w:pos="13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spacing w:after="0" w:line="176" w:lineRule="exact"/>
        <w:rPr>
          <w:rFonts w:ascii="Times New Roman" w:cs="Times New Roman" w:eastAsia="Times New Roman" w:hAnsi="Times New Roman"/>
          <w:sz w:val="18"/>
          <w:szCs w:val="18"/>
          <w:color w:val="auto"/>
        </w:rPr>
      </w:pPr>
    </w:p>
    <w:p>
      <w:pPr>
        <w:jc w:val="both"/>
        <w:ind w:right="20" w:firstLine="851"/>
        <w:spacing w:after="0" w:line="266" w:lineRule="auto"/>
        <w:tabs>
          <w:tab w:leader="none" w:pos="13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76"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depositaries, authenticating or paying agents, transfer agents or the registrar or any other agents with respect to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series;</w:t>
      </w:r>
    </w:p>
    <w:p>
      <w:pPr>
        <w:spacing w:after="0" w:line="206" w:lineRule="exact"/>
        <w:rPr>
          <w:rFonts w:ascii="Times New Roman" w:cs="Times New Roman" w:eastAsia="Times New Roman" w:hAnsi="Times New Roman"/>
          <w:sz w:val="18"/>
          <w:szCs w:val="18"/>
          <w:color w:val="auto"/>
        </w:rPr>
      </w:pPr>
    </w:p>
    <w:p>
      <w:pPr>
        <w:jc w:val="both"/>
        <w:ind w:right="20" w:firstLine="851"/>
        <w:spacing w:after="0" w:line="313" w:lineRule="auto"/>
        <w:tabs>
          <w:tab w:leader="none" w:pos="136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ind w:right="160" w:firstLine="851"/>
        <w:spacing w:after="0" w:line="282" w:lineRule="auto"/>
        <w:tabs>
          <w:tab w:leader="none" w:pos="133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issuable in whole or in part as one or more Registered Global Securities, the identity of the Depositary or common Depositary for such Registered Global Security or Securities;</w:t>
      </w:r>
    </w:p>
    <w:p>
      <w:pPr>
        <w:spacing w:after="0" w:line="161"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Events of Default or covenants with respect to the Securities of the series; and</w:t>
      </w:r>
    </w:p>
    <w:p>
      <w:pPr>
        <w:spacing w:after="0" w:line="225" w:lineRule="exact"/>
        <w:rPr>
          <w:rFonts w:ascii="Times New Roman" w:cs="Times New Roman" w:eastAsia="Times New Roman" w:hAnsi="Times New Roman"/>
          <w:sz w:val="18"/>
          <w:szCs w:val="18"/>
          <w:color w:val="auto"/>
        </w:rPr>
      </w:pPr>
    </w:p>
    <w:p>
      <w:pPr>
        <w:ind w:left="1340" w:hanging="489"/>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terms shall not be inconsistent with the provisions of this Indenture).</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spacing w:after="0" w:line="18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Denomination and Date of Securities; Payments of Interest.</w:t>
      </w:r>
      <w:r>
        <w:rPr>
          <w:rFonts w:ascii="Times New Roman" w:cs="Times New Roman" w:eastAsia="Times New Roman" w:hAnsi="Times New Roman"/>
          <w:sz w:val="18"/>
          <w:szCs w:val="18"/>
          <w:color w:val="auto"/>
        </w:rPr>
        <w:t xml:space="preserve">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spacing w:after="0" w:line="18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as used with respect to any interest payment date (except a date for payment of defaulted interest) for the Securities of any series shall mean the date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ind w:right="280"/>
        <w:spacing w:after="0" w:line="282" w:lineRule="auto"/>
        <w:rPr>
          <w:sz w:val="20"/>
          <w:szCs w:val="20"/>
          <w:color w:val="auto"/>
        </w:rPr>
      </w:pPr>
      <w:r>
        <w:rPr>
          <w:rFonts w:ascii="Times New Roman" w:cs="Times New Roman" w:eastAsia="Times New Roman" w:hAnsi="Times New Roman"/>
          <w:sz w:val="18"/>
          <w:szCs w:val="18"/>
          <w:color w:val="auto"/>
        </w:rPr>
        <w:t>specified as such in the terms of the Securities of such series established as contemplated by Section 2.03, or, if no such date is so established, the fifteenth day next preceding such interest payment date, whether or not such record date is a Business Day.</w:t>
      </w:r>
    </w:p>
    <w:p>
      <w:pPr>
        <w:spacing w:after="0" w:line="16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Registrar and Paying Agent; Agents Generally.</w:t>
      </w:r>
      <w:r>
        <w:rPr>
          <w:rFonts w:ascii="Times New Roman" w:cs="Times New Roman" w:eastAsia="Times New Roman" w:hAnsi="Times New Roman"/>
          <w:sz w:val="18"/>
          <w:szCs w:val="18"/>
          <w:color w:val="auto"/>
        </w:rPr>
        <w:t xml:space="preserve"> The Company shall maintain an office or agency where Securities may be presented for registration, registration of 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and an office or agency where Securities may be presented for payment (the “</w:t>
      </w:r>
      <w:r>
        <w:rPr>
          <w:rFonts w:ascii="Times New Roman" w:cs="Times New Roman" w:eastAsia="Times New Roman" w:hAnsi="Times New Roman"/>
          <w:sz w:val="18"/>
          <w:szCs w:val="18"/>
          <w:b w:val="1"/>
          <w:b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which shall be in the Borough of Manhattan, The City of New York. The Company shall cause the Registrar to keep a register of the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their registration, transfer and exchange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The Company may have one or more additional Paying Agents or transfer agents with respect to any series.</w:t>
      </w:r>
    </w:p>
    <w:p>
      <w:pPr>
        <w:spacing w:after="0" w:line="18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an affiliate of the Company shall act as Paying Agent in connection with the defeasance of the Securities or the discharge of this Indenture under Article 8.</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spacing w:after="0" w:line="1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Paying Agent to Hold Money in Trust.</w:t>
      </w:r>
      <w:r>
        <w:rPr>
          <w:rFonts w:ascii="Times New Roman" w:cs="Times New Roman" w:eastAsia="Times New Roman" w:hAnsi="Times New Roman"/>
          <w:sz w:val="18"/>
          <w:szCs w:val="18"/>
          <w:color w:val="auto"/>
        </w:rPr>
        <w:t xml:space="preserve">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3" w:name="page54"/>
    <w:bookmarkEnd w:id="53"/>
    <w:p>
      <w:pPr>
        <w:ind w:right="60"/>
        <w:spacing w:after="0" w:line="258" w:lineRule="auto"/>
        <w:rPr>
          <w:sz w:val="20"/>
          <w:szCs w:val="20"/>
          <w:color w:val="auto"/>
        </w:rPr>
      </w:pPr>
      <w:r>
        <w:rPr>
          <w:rFonts w:ascii="Times New Roman" w:cs="Times New Roman" w:eastAsia="Times New Roman" w:hAnsi="Times New Roman"/>
          <w:sz w:val="18"/>
          <w:szCs w:val="18"/>
          <w:color w:val="auto"/>
        </w:rPr>
        <w:t>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Transfer and Exchange.</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require payment of a sum sufficient to cover any tax or other governmental charge that may be imposed in connection with any exchange or registration of transfer of Securities. No service charge shall be made for any such transaction.</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4" w:name="page55"/>
    <w:bookmarkEnd w:id="54"/>
    <w:p>
      <w:pPr>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4"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spacing w:after="0" w:line="17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spacing w:after="0" w:line="180" w:lineRule="exact"/>
        <w:rPr>
          <w:sz w:val="20"/>
          <w:szCs w:val="20"/>
          <w:color w:val="auto"/>
        </w:rPr>
      </w:pPr>
    </w:p>
    <w:p>
      <w:pPr>
        <w:ind w:right="160" w:firstLine="851"/>
        <w:spacing w:after="0" w:line="266" w:lineRule="auto"/>
        <w:tabs>
          <w:tab w:leader="none" w:pos="13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spacing w:after="0" w:line="176" w:lineRule="exact"/>
        <w:rPr>
          <w:rFonts w:ascii="Times New Roman" w:cs="Times New Roman" w:eastAsia="Times New Roman" w:hAnsi="Times New Roman"/>
          <w:sz w:val="18"/>
          <w:szCs w:val="18"/>
          <w:color w:val="auto"/>
        </w:rPr>
      </w:pPr>
    </w:p>
    <w:p>
      <w:pPr>
        <w:jc w:val="both"/>
        <w:ind w:right="20" w:firstLine="851"/>
        <w:spacing w:after="0" w:line="282" w:lineRule="auto"/>
        <w:tabs>
          <w:tab w:leader="none" w:pos="13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5" w:name="page56"/>
    <w:bookmarkEnd w:id="55"/>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spacing w:after="0" w:line="160" w:lineRule="exact"/>
        <w:rPr>
          <w:sz w:val="20"/>
          <w:szCs w:val="20"/>
          <w:color w:val="auto"/>
        </w:rPr>
      </w:pPr>
    </w:p>
    <w:p>
      <w:pPr>
        <w:ind w:right="4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Replacement Securities.</w:t>
      </w:r>
      <w:r>
        <w:rPr>
          <w:rFonts w:ascii="Times New Roman" w:cs="Times New Roman" w:eastAsia="Times New Roman" w:hAnsi="Times New Roman"/>
          <w:sz w:val="18"/>
          <w:szCs w:val="18"/>
          <w:color w:val="auto"/>
        </w:rPr>
        <w:t xml:space="preserve">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spacing w:after="0" w:line="184"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7"/>
          <w:szCs w:val="17"/>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3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or in exchange for any mutilated Security shall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6" w:name="page57"/>
    <w:bookmarkEnd w:id="56"/>
    <w:p>
      <w:pPr>
        <w:ind w:right="280"/>
        <w:spacing w:after="0" w:line="266" w:lineRule="auto"/>
        <w:rPr>
          <w:sz w:val="20"/>
          <w:szCs w:val="20"/>
          <w:color w:val="auto"/>
        </w:rPr>
      </w:pPr>
      <w:r>
        <w:rPr>
          <w:rFonts w:ascii="Times New Roman" w:cs="Times New Roman" w:eastAsia="Times New Roman" w:hAnsi="Times New Roman"/>
          <w:sz w:val="18"/>
          <w:szCs w:val="18"/>
          <w:color w:val="auto"/>
        </w:rPr>
        <w:t>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any other rights and remedies with respect to the replacement or payment of mutilated, destroyed, lost or stolen Securities.</w:t>
      </w:r>
    </w:p>
    <w:p>
      <w:pPr>
        <w:spacing w:after="0" w:line="16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Outstanding Securities.</w:t>
      </w:r>
      <w:r>
        <w:rPr>
          <w:rFonts w:ascii="Times New Roman" w:cs="Times New Roman" w:eastAsia="Times New Roman" w:hAnsi="Times New Roman"/>
          <w:sz w:val="18"/>
          <w:szCs w:val="18"/>
          <w:color w:val="auto"/>
        </w:rPr>
        <w:t xml:space="preserve"> 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2.08, it ceases to be outstanding unless and until the Trustee and the Company receive proof satisfactory to them that the replaced Security is held by a holder in due course.</w:t>
      </w:r>
    </w:p>
    <w:p>
      <w:pPr>
        <w:spacing w:after="0" w:line="162"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spacing w:after="0" w:line="1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Security does not cease to be outstanding because the Company or one of its affiliates holds such Security,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Temporary Securities.</w:t>
      </w:r>
      <w:r>
        <w:rPr>
          <w:rFonts w:ascii="Times New Roman" w:cs="Times New Roman" w:eastAsia="Times New Roman" w:hAnsi="Times New Roman"/>
          <w:sz w:val="18"/>
          <w:szCs w:val="18"/>
          <w:color w:val="auto"/>
        </w:rPr>
        <w:t xml:space="preserve">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definitive Securities of such series to be prepared without unreasonable delay. After the preparation of definitive</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spacing w:after="0" w:line="18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xml:space="preserve">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xml:space="preserve">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spacing w:after="0" w:line="18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xml:space="preserve">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spacing w:after="0" w:line="18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Series May Include Tranches.</w:t>
      </w:r>
      <w:r>
        <w:rPr>
          <w:rFonts w:ascii="Times New Roman" w:cs="Times New Roman" w:eastAsia="Times New Roman" w:hAnsi="Times New Roman"/>
          <w:sz w:val="18"/>
          <w:szCs w:val="18"/>
          <w:color w:val="auto"/>
        </w:rPr>
        <w:t xml:space="preserve"> A series of Securities may include one or more tranches (each a “</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of Securities, including Securities issued in a Periodic Offering. The Securities of different tranches may have one or more different terms, including authentication dates and public offering prices, but all the Securities</w:t>
      </w: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58" w:name="page59"/>
    <w:bookmarkEnd w:id="58"/>
    <w:p>
      <w:pPr>
        <w:ind w:right="140"/>
        <w:spacing w:after="0" w:line="255" w:lineRule="auto"/>
        <w:rPr>
          <w:sz w:val="20"/>
          <w:szCs w:val="20"/>
          <w:color w:val="auto"/>
        </w:rPr>
      </w:pPr>
      <w:r>
        <w:rPr>
          <w:rFonts w:ascii="Times New Roman" w:cs="Times New Roman" w:eastAsia="Times New Roman" w:hAnsi="Times New Roman"/>
          <w:sz w:val="18"/>
          <w:szCs w:val="18"/>
          <w:color w:val="auto"/>
        </w:rPr>
        <w:t>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REDEMPTION</w:t>
      </w:r>
    </w:p>
    <w:p>
      <w:pPr>
        <w:spacing w:after="0" w:line="20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7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Notice of Redemption; Partial Redemptions.</w:t>
      </w:r>
      <w:r>
        <w:rPr>
          <w:rFonts w:ascii="Times New Roman" w:cs="Times New Roman" w:eastAsia="Times New Roman" w:hAnsi="Times New Roman"/>
          <w:sz w:val="18"/>
          <w:szCs w:val="18"/>
          <w:color w:val="auto"/>
        </w:rPr>
        <w:t xml:space="preserve">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of such Security, a new Security or Securities of such series and tenor in principal amount equal to the unredeemed portion thereof will be issued.</w:t>
      </w:r>
    </w:p>
    <w:p>
      <w:pPr>
        <w:spacing w:after="0" w:line="22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16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86"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Payment Of Securities Called For Redemption.</w:t>
      </w:r>
      <w:r>
        <w:rPr>
          <w:rFonts w:ascii="Times New Roman" w:cs="Times New Roman" w:eastAsia="Times New Roman" w:hAnsi="Times New Roman"/>
          <w:sz w:val="18"/>
          <w:szCs w:val="18"/>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60" w:name="page61"/>
    <w:bookmarkEnd w:id="60"/>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Company at the applicable redemption price, together with interest accrued thereon to the date fixed for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interest becoming due on or prior to the date fixed for redemption shall be payable to the Holders registered as such on the relevant record date subject to the terms and provisions of Sections 2.04 and 2.13 hereof.</w:t>
      </w:r>
    </w:p>
    <w:p>
      <w:pPr>
        <w:spacing w:after="0" w:line="18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spacing w:after="0" w:line="17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Exclusion of Certain Securities from Eligibility for Selection for Redemption.</w:t>
      </w:r>
      <w:r>
        <w:rPr>
          <w:rFonts w:ascii="Times New Roman" w:cs="Times New Roman" w:eastAsia="Times New Roman" w:hAnsi="Times New Roman"/>
          <w:sz w:val="18"/>
          <w:szCs w:val="18"/>
          <w:color w:val="auto"/>
        </w:rPr>
        <w:t xml:space="preserve">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Mandatory and Optional Sinking Funds.</w:t>
      </w:r>
      <w:r>
        <w:rPr>
          <w:rFonts w:ascii="Times New Roman" w:cs="Times New Roman" w:eastAsia="Times New Roman" w:hAnsi="Times New Roman"/>
          <w:sz w:val="18"/>
          <w:szCs w:val="18"/>
          <w:color w:val="auto"/>
        </w:rPr>
        <w:t xml:space="preserve"> The minimum amount of any sinking fund payment provided for by the terms of Securities of any series is herein referred to as a “</w:t>
      </w:r>
      <w:r>
        <w:rPr>
          <w:rFonts w:ascii="Times New Roman" w:cs="Times New Roman" w:eastAsia="Times New Roman" w:hAnsi="Times New Roman"/>
          <w:sz w:val="18"/>
          <w:szCs w:val="18"/>
          <w:b w:val="1"/>
          <w:bCs w:val="1"/>
          <w:color w:val="auto"/>
        </w:rPr>
        <w:t>mandatory sinking fund payment</w:t>
      </w:r>
      <w:r>
        <w:rPr>
          <w:rFonts w:ascii="Times New Roman" w:cs="Times New Roman" w:eastAsia="Times New Roman" w:hAnsi="Times New Roman"/>
          <w:sz w:val="18"/>
          <w:szCs w:val="18"/>
          <w:color w:val="auto"/>
        </w:rPr>
        <w:t>”, and any payment in excess of such minimum amount provided for by the terms of the Securities of any series is herein referred to as an “</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The date on which a sinking fund payment is to be made is herein referred to as the “</w:t>
      </w:r>
      <w:r>
        <w:rPr>
          <w:rFonts w:ascii="Times New Roman" w:cs="Times New Roman" w:eastAsia="Times New Roman" w:hAnsi="Times New Roman"/>
          <w:sz w:val="18"/>
          <w:szCs w:val="18"/>
          <w:b w:val="1"/>
          <w:bCs w:val="1"/>
          <w:color w:val="auto"/>
        </w:rPr>
        <w:t>sinking fund payment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1" w:name="page62"/>
    <w:bookmarkEnd w:id="61"/>
    <w:p>
      <w:pPr>
        <w:ind w:right="80"/>
        <w:spacing w:after="0" w:line="261" w:lineRule="auto"/>
        <w:rPr>
          <w:sz w:val="20"/>
          <w:szCs w:val="20"/>
          <w:color w:val="auto"/>
        </w:rPr>
      </w:pPr>
      <w:r>
        <w:rPr>
          <w:rFonts w:ascii="Times New Roman" w:cs="Times New Roman" w:eastAsia="Times New Roman" w:hAnsi="Times New Roman"/>
          <w:sz w:val="18"/>
          <w:szCs w:val="18"/>
          <w:color w:val="auto"/>
        </w:rPr>
        <w:t>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spacing w:after="0" w:line="18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19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2" w:name="page63"/>
    <w:bookmarkEnd w:id="62"/>
    <w:p>
      <w:pPr>
        <w:spacing w:after="0" w:line="253" w:lineRule="auto"/>
        <w:rPr>
          <w:sz w:val="20"/>
          <w:szCs w:val="20"/>
          <w:color w:val="auto"/>
        </w:rPr>
      </w:pPr>
      <w:r>
        <w:rPr>
          <w:rFonts w:ascii="Times New Roman" w:cs="Times New Roman" w:eastAsia="Times New Roman" w:hAnsi="Times New Roman"/>
          <w:sz w:val="18"/>
          <w:szCs w:val="18"/>
          <w:color w:val="auto"/>
        </w:rPr>
        <w:t>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91"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7"/>
          <w:szCs w:val="17"/>
          <w:color w:val="auto"/>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spacing w:after="0" w:line="13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Securities.</w:t>
      </w:r>
      <w:r>
        <w:rPr>
          <w:rFonts w:ascii="Times New Roman" w:cs="Times New Roman" w:eastAsia="Times New Roman" w:hAnsi="Times New Roman"/>
          <w:sz w:val="18"/>
          <w:szCs w:val="18"/>
          <w:color w:val="auto"/>
        </w:rPr>
        <w:t xml:space="preserve">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spacing w:after="0" w:line="182"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7"/>
          <w:szCs w:val="17"/>
          <w:color w:val="auto"/>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spacing w:after="0" w:line="18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interest on overdue Principal, and interest on overdue installments of interest, to the extent lawful, at the rate per annum specified in the Securities.</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xml:space="preserve">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 located in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spacing w:after="0" w:line="17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Securityholders’ Lists.</w:t>
      </w:r>
      <w:r>
        <w:rPr>
          <w:rFonts w:ascii="Times New Roman" w:cs="Times New Roman" w:eastAsia="Times New Roman" w:hAnsi="Times New Roman"/>
          <w:sz w:val="18"/>
          <w:szCs w:val="18"/>
          <w:color w:val="auto"/>
        </w:rPr>
        <w:t xml:space="preserve"> The Company will furnish or cause to be furnished to the Trustee a list in such form as the Trustee may reasonably require of the names and addresses of the holders of the Securities pursuant to Section 312 of the Trust Indenture Act of 1939 (a) semi-annually not more than 15 days after each record date for the payment of semi-annual interest on the Securities, as hereinabove specified, as of such record date, and</w:t>
      </w:r>
    </w:p>
    <w:p>
      <w:pPr>
        <w:spacing w:after="0" w:line="1" w:lineRule="exact"/>
        <w:rPr>
          <w:sz w:val="20"/>
          <w:szCs w:val="20"/>
          <w:color w:val="auto"/>
        </w:rPr>
      </w:pPr>
    </w:p>
    <w:p>
      <w:pPr>
        <w:ind w:firstLine="8"/>
        <w:spacing w:after="0" w:line="261"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thirty days after receipt by the Company of any such request as of a date not more than 15 days prior to the time such information is furnished.</w:t>
      </w:r>
    </w:p>
    <w:p>
      <w:pPr>
        <w:spacing w:after="0" w:line="17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Certificate to Trustee.</w:t>
      </w:r>
      <w:r>
        <w:rPr>
          <w:rFonts w:ascii="Times New Roman" w:cs="Times New Roman" w:eastAsia="Times New Roman" w:hAnsi="Times New Roman"/>
          <w:sz w:val="18"/>
          <w:szCs w:val="18"/>
          <w:color w:val="auto"/>
        </w:rPr>
        <w:t xml:space="preserve">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spacing w:after="0" w:line="180"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Reports by the Company.</w:t>
      </w:r>
      <w:r>
        <w:rPr>
          <w:rFonts w:ascii="Times New Roman" w:cs="Times New Roman" w:eastAsia="Times New Roman" w:hAnsi="Times New Roman"/>
          <w:sz w:val="18"/>
          <w:szCs w:val="18"/>
          <w:color w:val="auto"/>
        </w:rPr>
        <w:t xml:space="preserve">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spacing w:after="0" w:line="17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xml:space="preserve">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w:t>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5" w:name="page66"/>
    <w:bookmarkEnd w:id="65"/>
    <w:p>
      <w:pPr>
        <w:ind w:right="120"/>
        <w:spacing w:after="0" w:line="266" w:lineRule="auto"/>
        <w:rPr>
          <w:sz w:val="20"/>
          <w:szCs w:val="20"/>
          <w:color w:val="auto"/>
        </w:rPr>
      </w:pPr>
      <w:r>
        <w:rPr>
          <w:rFonts w:ascii="Times New Roman" w:cs="Times New Roman" w:eastAsia="Times New Roman" w:hAnsi="Times New Roman"/>
          <w:sz w:val="18"/>
          <w:szCs w:val="18"/>
          <w:color w:val="auto"/>
        </w:rPr>
        <w:t>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 CORPORATION</w:t>
      </w:r>
    </w:p>
    <w:p>
      <w:pPr>
        <w:spacing w:after="0" w:line="20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When Company May Merge, Etc.</w:t>
      </w:r>
      <w:r>
        <w:rPr>
          <w:rFonts w:ascii="Times New Roman" w:cs="Times New Roman" w:eastAsia="Times New Roman" w:hAnsi="Times New Roman"/>
          <w:sz w:val="18"/>
          <w:szCs w:val="18"/>
          <w:color w:val="auto"/>
        </w:rPr>
        <w:t xml:space="preserve">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spacing w:after="0" w:line="176" w:lineRule="exact"/>
        <w:rPr>
          <w:sz w:val="20"/>
          <w:szCs w:val="20"/>
          <w:color w:val="auto"/>
        </w:rPr>
      </w:pPr>
    </w:p>
    <w:p>
      <w:pPr>
        <w:ind w:right="80" w:firstLine="851"/>
        <w:spacing w:after="0" w:line="266" w:lineRule="auto"/>
        <w:tabs>
          <w:tab w:leader="none" w:pos="13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the continuing Person or, if the Company is not the continuing Person, the resulting, surviving or transferee Person (the “</w:t>
      </w:r>
      <w:r>
        <w:rPr>
          <w:rFonts w:ascii="Times New Roman" w:cs="Times New Roman" w:eastAsia="Times New Roman" w:hAnsi="Times New Roman"/>
          <w:sz w:val="18"/>
          <w:szCs w:val="18"/>
          <w:b w:val="1"/>
          <w:bCs w:val="1"/>
          <w:color w:val="auto"/>
        </w:rPr>
        <w:t>Surviving Entity</w:t>
      </w:r>
      <w:r>
        <w:rPr>
          <w:rFonts w:ascii="Times New Roman" w:cs="Times New Roman" w:eastAsia="Times New Roman" w:hAnsi="Times New Roman"/>
          <w:sz w:val="18"/>
          <w:szCs w:val="18"/>
          <w:color w:val="auto"/>
        </w:rPr>
        <w:t>”) is a company organized and existing under the laws of any member state of the European Union or the United States of America or any State or territory thereof;</w:t>
      </w:r>
    </w:p>
    <w:p>
      <w:pPr>
        <w:spacing w:after="0" w:line="176" w:lineRule="exact"/>
        <w:rPr>
          <w:rFonts w:ascii="Times New Roman" w:cs="Times New Roman" w:eastAsia="Times New Roman" w:hAnsi="Times New Roman"/>
          <w:sz w:val="18"/>
          <w:szCs w:val="18"/>
          <w:color w:val="auto"/>
        </w:rPr>
      </w:pPr>
    </w:p>
    <w:p>
      <w:pPr>
        <w:ind w:right="80" w:firstLine="851"/>
        <w:spacing w:after="0" w:line="266" w:lineRule="auto"/>
        <w:tabs>
          <w:tab w:leader="none" w:pos="13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spacing w:after="0" w:line="176"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or series of transactions on a pro forma basis, no Default has occurred and is continuing;</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7"/>
          <w:szCs w:val="17"/>
          <w:color w:val="auto"/>
        </w:rPr>
      </w:pPr>
    </w:p>
    <w:p>
      <w:pPr>
        <w:ind w:firstLine="851"/>
        <w:spacing w:after="0" w:line="258" w:lineRule="auto"/>
        <w:tabs>
          <w:tab w:leader="none" w:pos="13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6" w:name="page67"/>
    <w:bookmarkEnd w:id="66"/>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Successor Substituted.</w:t>
      </w:r>
      <w:r>
        <w:rPr>
          <w:rFonts w:ascii="Times New Roman" w:cs="Times New Roman" w:eastAsia="Times New Roman" w:hAnsi="Times New Roman"/>
          <w:sz w:val="18"/>
          <w:szCs w:val="18"/>
          <w:color w:val="auto"/>
        </w:rPr>
        <w:t xml:space="preserve">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 AND REMEDIES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occur with respect to the Securities of any series if:</w:t>
      </w:r>
    </w:p>
    <w:p>
      <w:pPr>
        <w:spacing w:after="0" w:line="229" w:lineRule="exact"/>
        <w:rPr>
          <w:sz w:val="20"/>
          <w:szCs w:val="20"/>
          <w:color w:val="auto"/>
        </w:rPr>
      </w:pPr>
    </w:p>
    <w:p>
      <w:pPr>
        <w:ind w:right="140" w:firstLine="851"/>
        <w:spacing w:after="0" w:line="282" w:lineRule="auto"/>
        <w:tabs>
          <w:tab w:leader="none" w:pos="13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any Security of such series when the same becomes due and payable at maturity, upon acceleration, redemption or mandatory repurchase, including as a sinking fund installment, or otherwise;</w:t>
      </w:r>
    </w:p>
    <w:p>
      <w:pPr>
        <w:spacing w:after="0" w:line="161" w:lineRule="exact"/>
        <w:rPr>
          <w:rFonts w:ascii="Times New Roman" w:cs="Times New Roman" w:eastAsia="Times New Roman" w:hAnsi="Times New Roman"/>
          <w:sz w:val="18"/>
          <w:szCs w:val="18"/>
          <w:color w:val="auto"/>
        </w:rPr>
      </w:pPr>
    </w:p>
    <w:p>
      <w:pPr>
        <w:ind w:right="80" w:firstLine="851"/>
        <w:spacing w:after="0" w:line="282" w:lineRule="auto"/>
        <w:tabs>
          <w:tab w:leader="none" w:pos="13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interest on any Security of such series when the same becomes due and payable, and such default continues for a period of 30 days;</w:t>
      </w:r>
    </w:p>
    <w:p>
      <w:pPr>
        <w:spacing w:after="0" w:line="161" w:lineRule="exact"/>
        <w:rPr>
          <w:rFonts w:ascii="Times New Roman" w:cs="Times New Roman" w:eastAsia="Times New Roman" w:hAnsi="Times New Roman"/>
          <w:sz w:val="18"/>
          <w:szCs w:val="18"/>
          <w:color w:val="auto"/>
        </w:rPr>
      </w:pPr>
    </w:p>
    <w:p>
      <w:pPr>
        <w:ind w:firstLine="851"/>
        <w:spacing w:after="0" w:line="258" w:lineRule="auto"/>
        <w:tabs>
          <w:tab w:leader="none" w:pos="13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spacing w:after="0" w:line="183" w:lineRule="exact"/>
        <w:rPr>
          <w:rFonts w:ascii="Times New Roman" w:cs="Times New Roman" w:eastAsia="Times New Roman" w:hAnsi="Times New Roman"/>
          <w:sz w:val="18"/>
          <w:szCs w:val="18"/>
          <w:color w:val="auto"/>
        </w:rPr>
      </w:pPr>
    </w:p>
    <w:p>
      <w:pPr>
        <w:ind w:right="240" w:firstLine="851"/>
        <w:spacing w:after="0" w:line="261" w:lineRule="auto"/>
        <w:tabs>
          <w:tab w:leader="none" w:pos="13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spacing w:after="0" w:line="180" w:lineRule="exact"/>
        <w:rPr>
          <w:rFonts w:ascii="Times New Roman" w:cs="Times New Roman" w:eastAsia="Times New Roman" w:hAnsi="Times New Roman"/>
          <w:sz w:val="18"/>
          <w:szCs w:val="18"/>
          <w:color w:val="auto"/>
        </w:rPr>
      </w:pPr>
    </w:p>
    <w:p>
      <w:pPr>
        <w:ind w:right="120" w:firstLine="851"/>
        <w:spacing w:after="0" w:line="282" w:lineRule="auto"/>
        <w:tabs>
          <w:tab w:leader="none" w:pos="13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commences a voluntary case under any applicable bankruptcy, insolvency or other similar law now or hereafter in effect, or consents to the entry of an order for relief in an involuntary case under any such law, (ii) consents to the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67" w:name="page68"/>
    <w:bookmarkEnd w:id="67"/>
    <w:p>
      <w:pPr>
        <w:ind w:right="660"/>
        <w:spacing w:after="0" w:line="282" w:lineRule="auto"/>
        <w:rPr>
          <w:sz w:val="20"/>
          <w:szCs w:val="20"/>
          <w:color w:val="auto"/>
        </w:rPr>
      </w:pPr>
      <w:r>
        <w:rPr>
          <w:rFonts w:ascii="Times New Roman" w:cs="Times New Roman" w:eastAsia="Times New Roman" w:hAnsi="Times New Roman"/>
          <w:sz w:val="18"/>
          <w:szCs w:val="18"/>
          <w:color w:val="auto"/>
        </w:rPr>
        <w:t>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spacing w:after="0" w:line="162" w:lineRule="exact"/>
        <w:rPr>
          <w:sz w:val="20"/>
          <w:szCs w:val="20"/>
          <w:color w:val="auto"/>
        </w:rPr>
      </w:pPr>
    </w:p>
    <w:p>
      <w:pPr>
        <w:ind w:left="1340" w:hanging="489"/>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established pursuant to Section 2.03 with respect to the Securities of such series occurs.</w:t>
      </w:r>
    </w:p>
    <w:p>
      <w:pPr>
        <w:spacing w:after="0" w:line="22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xml:space="preserve"> i)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spacing w:after="0" w:line="187" w:lineRule="exact"/>
        <w:rPr>
          <w:sz w:val="20"/>
          <w:szCs w:val="20"/>
          <w:color w:val="auto"/>
        </w:rPr>
      </w:pPr>
    </w:p>
    <w:p>
      <w:pPr>
        <w:ind w:right="160" w:firstLine="851"/>
        <w:spacing w:after="0" w:line="261" w:lineRule="auto"/>
        <w:tabs>
          <w:tab w:leader="none" w:pos="13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8" w:name="page69"/>
    <w:bookmarkEnd w:id="68"/>
    <w:p>
      <w:pPr>
        <w:ind w:right="60"/>
        <w:spacing w:after="0" w:line="258" w:lineRule="auto"/>
        <w:rPr>
          <w:sz w:val="20"/>
          <w:szCs w:val="20"/>
          <w:color w:val="auto"/>
        </w:rPr>
      </w:pPr>
      <w:r>
        <w:rPr>
          <w:rFonts w:ascii="Times New Roman" w:cs="Times New Roman" w:eastAsia="Times New Roman" w:hAnsi="Times New Roman"/>
          <w:sz w:val="18"/>
          <w:szCs w:val="18"/>
          <w:color w:val="auto"/>
        </w:rPr>
        <w:t>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86"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r>
        <w:rPr>
          <w:rFonts w:ascii="Times New Roman" w:cs="Times New Roman" w:eastAsia="Times New Roman" w:hAnsi="Times New Roman"/>
          <w:sz w:val="18"/>
          <w:szCs w:val="18"/>
          <w:color w:val="auto"/>
        </w:rPr>
        <w:t xml:space="preserve">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Securities or does not produce any of them in the proceeding.</w:t>
      </w:r>
    </w:p>
    <w:p>
      <w:pPr>
        <w:spacing w:after="0" w:line="22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xml:space="preserve">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spacing w:after="0" w:line="185"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Control by Majority.</w:t>
      </w:r>
      <w:r>
        <w:rPr>
          <w:rFonts w:ascii="Times New Roman" w:cs="Times New Roman" w:eastAsia="Times New Roman" w:hAnsi="Times New Roman"/>
          <w:sz w:val="18"/>
          <w:szCs w:val="18"/>
          <w:color w:val="auto"/>
        </w:rPr>
        <w:t xml:space="preserve"> Subject to Sections 7.01 and 7.02(e), the Holders of at least a majority in aggregate principal amount (or, if any Securities are Original Issue Discount Securities, such portion of the principal as is then accelerable</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ind w:right="20"/>
        <w:spacing w:after="0" w:line="256" w:lineRule="auto"/>
        <w:rPr>
          <w:sz w:val="20"/>
          <w:szCs w:val="20"/>
          <w:color w:val="auto"/>
        </w:rPr>
      </w:pPr>
      <w:r>
        <w:rPr>
          <w:rFonts w:ascii="Times New Roman" w:cs="Times New Roman" w:eastAsia="Times New Roman" w:hAnsi="Times New Roman"/>
          <w:sz w:val="18"/>
          <w:szCs w:val="18"/>
          <w:color w:val="auto"/>
        </w:rPr>
        <w:t>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provided,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r>
        <w:rPr>
          <w:rFonts w:ascii="Times New Roman" w:cs="Times New Roman" w:eastAsia="Times New Roman" w:hAnsi="Times New Roman"/>
          <w:sz w:val="18"/>
          <w:szCs w:val="18"/>
          <w:color w:val="auto"/>
        </w:rPr>
        <w:t xml:space="preserve"> No Holder of any Security of any series may institute any proceeding, judicial or otherwise, with respect to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the Securities of such series, or for the appointment of a receiver or trustee, or for any other remedy hereunder, unless:</w:t>
      </w:r>
    </w:p>
    <w:p>
      <w:pPr>
        <w:spacing w:after="0" w:line="207" w:lineRule="exact"/>
        <w:rPr>
          <w:sz w:val="20"/>
          <w:szCs w:val="20"/>
          <w:color w:val="auto"/>
        </w:rPr>
      </w:pPr>
    </w:p>
    <w:p>
      <w:pPr>
        <w:ind w:left="1360" w:hanging="509"/>
        <w:spacing w:after="0"/>
        <w:tabs>
          <w:tab w:leader="none" w:pos="1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written notice of a continuing Event of Default with respect to the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right="360" w:firstLine="851"/>
        <w:spacing w:after="0" w:line="282" w:lineRule="auto"/>
        <w:tabs>
          <w:tab w:leader="none" w:pos="13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outstanding Securities of all such series affected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firstLine="851"/>
        <w:spacing w:after="0" w:line="282" w:lineRule="auto"/>
        <w:tabs>
          <w:tab w:leader="none" w:pos="13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reasonably satisfactory to the Trustee against any costs, liabilities or expenses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right="40" w:firstLine="851"/>
        <w:spacing w:after="0" w:line="282" w:lineRule="auto"/>
        <w:tabs>
          <w:tab w:leader="none" w:pos="13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the outstanding Securities of all such affected series have not given the Trustee a direction that is inconsistent with such written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may not use this Indenture to prejudice the rights of another Holder or to obtain a preference or priority over such other Holder.</w:t>
      </w:r>
    </w:p>
    <w:p>
      <w:pPr>
        <w:spacing w:after="0" w:line="223"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to Receive Payment.</w:t>
      </w:r>
      <w:r>
        <w:rPr>
          <w:rFonts w:ascii="Times New Roman" w:cs="Times New Roman" w:eastAsia="Times New Roman" w:hAnsi="Times New Roman"/>
          <w:sz w:val="18"/>
          <w:szCs w:val="18"/>
          <w:color w:val="auto"/>
        </w:rPr>
        <w:t xml:space="preserve">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spacing w:after="0" w:line="174"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r>
        <w:rPr>
          <w:rFonts w:ascii="Times New Roman" w:cs="Times New Roman" w:eastAsia="Times New Roman" w:hAnsi="Times New Roman"/>
          <w:sz w:val="18"/>
          <w:szCs w:val="18"/>
          <w:color w:val="auto"/>
        </w:rPr>
        <w:t xml:space="preserve"> If an Event of Default with respect to the Securities of any series in payment of Principal or interest specified in clause (a) or (b) of Section 6.01 occurs and is continuing, the Trustee may recover judgment in its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70" w:name="page71"/>
    <w:bookmarkEnd w:id="70"/>
    <w:p>
      <w:pPr>
        <w:spacing w:after="0" w:line="258" w:lineRule="auto"/>
        <w:rPr>
          <w:sz w:val="20"/>
          <w:szCs w:val="20"/>
          <w:color w:val="auto"/>
        </w:rPr>
      </w:pPr>
      <w:r>
        <w:rPr>
          <w:rFonts w:ascii="Times New Roman" w:cs="Times New Roman" w:eastAsia="Times New Roman" w:hAnsi="Times New Roman"/>
          <w:sz w:val="18"/>
          <w:szCs w:val="18"/>
          <w:color w:val="auto"/>
        </w:rPr>
        <w:t>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xml:space="preserve"> 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9"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Application of Proceeds.</w:t>
      </w:r>
      <w:r>
        <w:rPr>
          <w:rFonts w:ascii="Times New Roman" w:cs="Times New Roman" w:eastAsia="Times New Roman" w:hAnsi="Times New Roman"/>
          <w:sz w:val="18"/>
          <w:szCs w:val="18"/>
          <w:color w:val="auto"/>
        </w:rPr>
        <w:t xml:space="preserve">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spacing w:after="0" w:line="182" w:lineRule="exact"/>
        <w:rPr>
          <w:sz w:val="20"/>
          <w:szCs w:val="20"/>
          <w:color w:val="auto"/>
        </w:rPr>
      </w:pPr>
    </w:p>
    <w:p>
      <w:pPr>
        <w:ind w:left="660" w:right="360" w:firstLine="648"/>
        <w:spacing w:after="0" w:line="282" w:lineRule="auto"/>
        <w:rPr>
          <w:sz w:val="20"/>
          <w:szCs w:val="20"/>
          <w:color w:val="auto"/>
        </w:rPr>
      </w:pPr>
      <w:r>
        <w:rPr>
          <w:rFonts w:ascii="Times New Roman" w:cs="Times New Roman" w:eastAsia="Times New Roman" w:hAnsi="Times New Roman"/>
          <w:sz w:val="18"/>
          <w:szCs w:val="18"/>
          <w:color w:val="auto"/>
        </w:rPr>
        <w:t>FIRST: To the payment of all amounts due the Trustee under Section 7.07 applicable to the Securities of such series in respect of which moneys have been collected;</w:t>
      </w:r>
    </w:p>
    <w:p>
      <w:pPr>
        <w:spacing w:after="0" w:line="162" w:lineRule="exact"/>
        <w:rPr>
          <w:sz w:val="20"/>
          <w:szCs w:val="20"/>
          <w:color w:val="auto"/>
        </w:rPr>
      </w:pPr>
    </w:p>
    <w:p>
      <w:pPr>
        <w:jc w:val="both"/>
        <w:ind w:left="660" w:right="160" w:firstLine="648"/>
        <w:spacing w:after="0" w:line="261" w:lineRule="auto"/>
        <w:rPr>
          <w:sz w:val="20"/>
          <w:szCs w:val="20"/>
          <w:color w:val="auto"/>
        </w:rPr>
      </w:pPr>
      <w:r>
        <w:rPr>
          <w:rFonts w:ascii="Times New Roman" w:cs="Times New Roman" w:eastAsia="Times New Roman" w:hAnsi="Times New Roman"/>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such payments to be made ratably to the persons entitled thereto, without discrimination or preference;</w:t>
      </w:r>
    </w:p>
    <w:p>
      <w:pPr>
        <w:spacing w:after="0" w:line="225"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FOURTH: To the payment of the remainder, if any, to the Company or any other person lawfully entitled thereto.</w:t>
      </w:r>
    </w:p>
    <w:p>
      <w:pPr>
        <w:spacing w:after="0" w:line="223"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xml:space="preserve">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xml:space="preserve">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spacing w:after="0" w:line="183" w:lineRule="exact"/>
        <w:rPr>
          <w:sz w:val="20"/>
          <w:szCs w:val="20"/>
          <w:color w:val="auto"/>
        </w:rPr>
      </w:pPr>
    </w:p>
    <w:p>
      <w:pPr>
        <w:jc w:val="both"/>
        <w:ind w:right="2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Rights and Remedies Cumulative.</w:t>
      </w:r>
      <w:r>
        <w:rPr>
          <w:rFonts w:ascii="Times New Roman" w:cs="Times New Roman" w:eastAsia="Times New Roman" w:hAnsi="Times New Roman"/>
          <w:sz w:val="18"/>
          <w:szCs w:val="18"/>
          <w:color w:val="auto"/>
        </w:rPr>
        <w:t xml:space="preserve">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ind w:right="260"/>
        <w:spacing w:after="0" w:line="282" w:lineRule="auto"/>
        <w:rPr>
          <w:sz w:val="20"/>
          <w:szCs w:val="20"/>
          <w:color w:val="auto"/>
        </w:rPr>
      </w:pPr>
      <w:r>
        <w:rPr>
          <w:rFonts w:ascii="Times New Roman" w:cs="Times New Roman" w:eastAsia="Times New Roman" w:hAnsi="Times New Roman"/>
          <w:sz w:val="18"/>
          <w:szCs w:val="18"/>
          <w:color w:val="auto"/>
        </w:rPr>
        <w:t>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xml:space="preserve">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Certain Rights of Trustee.</w:t>
      </w:r>
      <w:r>
        <w:rPr>
          <w:rFonts w:ascii="Times New Roman" w:cs="Times New Roman" w:eastAsia="Times New Roman" w:hAnsi="Times New Roman"/>
          <w:sz w:val="18"/>
          <w:szCs w:val="18"/>
          <w:color w:val="auto"/>
        </w:rPr>
        <w:t xml:space="preserve"> Subject to Trust Indenture Act Sections 315(a) through (d):</w:t>
      </w:r>
    </w:p>
    <w:p>
      <w:pPr>
        <w:spacing w:after="0" w:line="227" w:lineRule="exact"/>
        <w:rPr>
          <w:sz w:val="20"/>
          <w:szCs w:val="20"/>
          <w:color w:val="auto"/>
        </w:rPr>
      </w:pPr>
    </w:p>
    <w:p>
      <w:pPr>
        <w:ind w:right="80" w:firstLine="851"/>
        <w:spacing w:after="0" w:line="258" w:lineRule="auto"/>
        <w:tabs>
          <w:tab w:leader="none" w:pos="13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spacing w:after="0" w:line="183" w:lineRule="exact"/>
        <w:rPr>
          <w:rFonts w:ascii="Times New Roman" w:cs="Times New Roman" w:eastAsia="Times New Roman" w:hAnsi="Times New Roman"/>
          <w:sz w:val="18"/>
          <w:szCs w:val="18"/>
          <w:color w:val="auto"/>
        </w:rPr>
      </w:pPr>
    </w:p>
    <w:p>
      <w:pPr>
        <w:ind w:right="100" w:firstLine="851"/>
        <w:spacing w:after="0" w:line="256" w:lineRule="auto"/>
        <w:tabs>
          <w:tab w:leader="none" w:pos="13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ind w:right="200"/>
        <w:spacing w:after="0" w:line="282" w:lineRule="auto"/>
        <w:rPr>
          <w:sz w:val="20"/>
          <w:szCs w:val="20"/>
          <w:color w:val="auto"/>
        </w:rPr>
      </w:pPr>
      <w:r>
        <w:rPr>
          <w:rFonts w:ascii="Times New Roman" w:cs="Times New Roman" w:eastAsia="Times New Roman" w:hAnsi="Times New Roman"/>
          <w:sz w:val="18"/>
          <w:szCs w:val="18"/>
          <w:color w:val="auto"/>
        </w:rPr>
        <w:t>and such certificate, in the absence of negligence or bad faith on the part of the Trustee, shall be full warrant to the Trustee for any action taken, suffered or omitted by it under the provisions of this Indenture upon the faith thereof;</w:t>
      </w:r>
    </w:p>
    <w:p>
      <w:pPr>
        <w:spacing w:after="0" w:line="162" w:lineRule="exact"/>
        <w:rPr>
          <w:sz w:val="20"/>
          <w:szCs w:val="20"/>
          <w:color w:val="auto"/>
        </w:rPr>
      </w:pPr>
    </w:p>
    <w:p>
      <w:pPr>
        <w:ind w:right="680" w:firstLine="851"/>
        <w:spacing w:after="0" w:line="282" w:lineRule="auto"/>
        <w:tabs>
          <w:tab w:leader="none" w:pos="13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not regularly in its employ and shall not be responsible for the misconduct or negligence of any agent or attorney appointed with due care;</w:t>
      </w:r>
    </w:p>
    <w:p>
      <w:pPr>
        <w:spacing w:after="0" w:line="161" w:lineRule="exact"/>
        <w:rPr>
          <w:rFonts w:ascii="Times New Roman" w:cs="Times New Roman" w:eastAsia="Times New Roman" w:hAnsi="Times New Roman"/>
          <w:sz w:val="18"/>
          <w:szCs w:val="18"/>
          <w:color w:val="auto"/>
        </w:rPr>
      </w:pPr>
    </w:p>
    <w:p>
      <w:pPr>
        <w:ind w:right="400" w:firstLine="851"/>
        <w:spacing w:after="0" w:line="266" w:lineRule="auto"/>
        <w:tabs>
          <w:tab w:leader="none" w:pos="13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6" w:lineRule="exact"/>
        <w:rPr>
          <w:rFonts w:ascii="Times New Roman" w:cs="Times New Roman" w:eastAsia="Times New Roman" w:hAnsi="Times New Roman"/>
          <w:sz w:val="18"/>
          <w:szCs w:val="18"/>
          <w:color w:val="auto"/>
        </w:rPr>
      </w:pPr>
    </w:p>
    <w:p>
      <w:pPr>
        <w:jc w:val="both"/>
        <w:ind w:right="600" w:firstLine="851"/>
        <w:spacing w:after="0" w:line="266" w:lineRule="auto"/>
        <w:tabs>
          <w:tab w:leader="none" w:pos="13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Holders, unless such Holders shall have offered to the Trustee reasonable security or indemnity against the costs, expenses and liabilities that might be incurred by it in compliance with such request or direction;</w:t>
      </w:r>
    </w:p>
    <w:p>
      <w:pPr>
        <w:spacing w:after="0" w:line="176" w:lineRule="exact"/>
        <w:rPr>
          <w:rFonts w:ascii="Times New Roman" w:cs="Times New Roman" w:eastAsia="Times New Roman" w:hAnsi="Times New Roman"/>
          <w:sz w:val="18"/>
          <w:szCs w:val="18"/>
          <w:color w:val="auto"/>
        </w:rPr>
      </w:pPr>
    </w:p>
    <w:p>
      <w:pPr>
        <w:ind w:right="60" w:firstLine="851"/>
        <w:spacing w:after="0" w:line="261" w:lineRule="auto"/>
        <w:tabs>
          <w:tab w:leader="none" w:pos="13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0" w:lineRule="exact"/>
        <w:rPr>
          <w:rFonts w:ascii="Times New Roman" w:cs="Times New Roman" w:eastAsia="Times New Roman" w:hAnsi="Times New Roman"/>
          <w:sz w:val="18"/>
          <w:szCs w:val="18"/>
          <w:color w:val="auto"/>
        </w:rPr>
      </w:pPr>
    </w:p>
    <w:p>
      <w:pPr>
        <w:ind w:right="660" w:firstLine="851"/>
        <w:spacing w:after="0" w:line="282" w:lineRule="auto"/>
        <w:tabs>
          <w:tab w:leader="none" w:pos="13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spacing w:after="0" w:line="161" w:lineRule="exact"/>
        <w:rPr>
          <w:rFonts w:ascii="Times New Roman" w:cs="Times New Roman" w:eastAsia="Times New Roman" w:hAnsi="Times New Roman"/>
          <w:sz w:val="18"/>
          <w:szCs w:val="18"/>
          <w:color w:val="auto"/>
        </w:rPr>
      </w:pPr>
    </w:p>
    <w:p>
      <w:pPr>
        <w:ind w:firstLine="851"/>
        <w:spacing w:after="0" w:line="255" w:lineRule="auto"/>
        <w:tabs>
          <w:tab w:leader="none" w:pos="13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spacing w:after="0" w:line="187"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r>
        <w:rPr>
          <w:rFonts w:ascii="Times New Roman" w:cs="Times New Roman" w:eastAsia="Times New Roman" w:hAnsi="Times New Roman"/>
          <w:sz w:val="18"/>
          <w:szCs w:val="18"/>
          <w:color w:val="auto"/>
        </w:rPr>
        <w:t xml:space="preserve"> The Trustee, in its individual or any other capacity, may become the owner or pledgee of Securities and may otherwise deal</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74" w:name="page75"/>
    <w:bookmarkEnd w:id="74"/>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w:t>
      </w:r>
    </w:p>
    <w:p>
      <w:pPr>
        <w:spacing w:after="0" w:line="172" w:lineRule="exact"/>
        <w:rPr>
          <w:sz w:val="20"/>
          <w:szCs w:val="20"/>
          <w:color w:val="auto"/>
        </w:rPr>
      </w:pPr>
    </w:p>
    <w:p>
      <w:pPr>
        <w:ind w:right="180" w:firstLine="851"/>
        <w:spacing w:after="0" w:line="286" w:lineRule="auto"/>
        <w:tabs>
          <w:tab w:leader="none" w:pos="13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transaction</w:t>
      </w:r>
      <w:r>
        <w:rPr>
          <w:rFonts w:ascii="Times New Roman" w:cs="Times New Roman" w:eastAsia="Times New Roman" w:hAnsi="Times New Roman"/>
          <w:sz w:val="18"/>
          <w:szCs w:val="18"/>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154" w:lineRule="exact"/>
        <w:rPr>
          <w:rFonts w:ascii="Times New Roman" w:cs="Times New Roman" w:eastAsia="Times New Roman" w:hAnsi="Times New Roman"/>
          <w:sz w:val="18"/>
          <w:szCs w:val="18"/>
          <w:color w:val="auto"/>
        </w:rPr>
      </w:pPr>
    </w:p>
    <w:p>
      <w:pPr>
        <w:ind w:right="20" w:firstLine="851"/>
        <w:spacing w:after="0" w:line="278" w:lineRule="auto"/>
        <w:tabs>
          <w:tab w:leader="none" w:pos="136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self-liquidating paper</w:t>
      </w:r>
      <w:r>
        <w:rPr>
          <w:rFonts w:ascii="Times New Roman" w:cs="Times New Roman" w:eastAsia="Times New Roman" w:hAnsi="Times New Roman"/>
          <w:sz w:val="17"/>
          <w:szCs w:val="17"/>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xml:space="preserve">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w:t>
      </w:r>
      <w:r>
        <w:rPr>
          <w:rFonts w:ascii="Times New Roman" w:cs="Times New Roman" w:eastAsia="Times New Roman" w:hAnsi="Times New Roman"/>
          <w:sz w:val="18"/>
          <w:szCs w:val="18"/>
          <w:color w:val="auto"/>
        </w:rPr>
        <w:t xml:space="preserve"> If any Default with respect to the Securities of any series occurs and is continuing and if such Default is known to the actual knowledge of a Responsible Officer with the Corporate Trust Department of the Trustee, the Trustee shall give to each Holder of Securities of such series notice of such Default within 90 days after it occurs to all Holders of Securities of such series in the manner and to the extent provided in Section 313(c) of the Trust Indenture Act, unless such Default shall have been cured or waived before the mailing or publication of such notice; provided, however,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Reports by Trustee to Holders.</w:t>
      </w:r>
      <w:r>
        <w:rPr>
          <w:rFonts w:ascii="Times New Roman" w:cs="Times New Roman" w:eastAsia="Times New Roman" w:hAnsi="Times New Roman"/>
          <w:sz w:val="18"/>
          <w:szCs w:val="18"/>
          <w:color w:val="auto"/>
        </w:rPr>
        <w:t xml:space="preserve">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75" w:name="page76"/>
    <w:bookmarkEnd w:id="75"/>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17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r>
        <w:rPr>
          <w:rFonts w:ascii="Times New Roman" w:cs="Times New Roman" w:eastAsia="Times New Roman" w:hAnsi="Times New Roman"/>
          <w:sz w:val="18"/>
          <w:szCs w:val="18"/>
          <w:color w:val="auto"/>
        </w:rPr>
        <w:t xml:space="preserve"> 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spacing w:after="0" w:line="18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spacing w:after="0" w:line="183"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r>
        <w:rPr>
          <w:rFonts w:ascii="Times New Roman" w:cs="Times New Roman" w:eastAsia="Times New Roman" w:hAnsi="Times New Roman"/>
          <w:sz w:val="18"/>
          <w:szCs w:val="18"/>
          <w:color w:val="auto"/>
        </w:rPr>
        <w:t xml:space="preserve"> A resignation or removal of the Trustee as Trustee with respect to the Securities of any series and appointment of a successor</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ind w:right="20"/>
        <w:spacing w:after="0" w:line="282" w:lineRule="auto"/>
        <w:rPr>
          <w:sz w:val="20"/>
          <w:szCs w:val="20"/>
          <w:color w:val="auto"/>
        </w:rPr>
      </w:pPr>
      <w:r>
        <w:rPr>
          <w:rFonts w:ascii="Times New Roman" w:cs="Times New Roman" w:eastAsia="Times New Roman" w:hAnsi="Times New Roman"/>
          <w:sz w:val="18"/>
          <w:szCs w:val="18"/>
          <w:color w:val="auto"/>
        </w:rPr>
        <w:t>Trustee as Trustee with respect to the Securities of any series shall become effective only upon the successor Trustee’s acceptance of appointment as provided in this Section 7.08.</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Trustee is adjudged a bankrupt or insolvent; (iii) a receiver or other public officer takes charge of the Trustee or its property; or (iv) the Trustee becomes incapable of acting.</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spacing w:after="0" w:line="176"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Notwithstanding replacement of the Trustee with respect to the Securities of any series pursuant to this Section 7.08 and Section 7.09, the Company’s obligations under Section 7.07 shall continue for the benefit of the retiring Trustee.</w:t>
      </w:r>
    </w:p>
    <w:p>
      <w:pPr>
        <w:spacing w:after="0" w:line="16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Acceptance of Appointment by Successor.</w:t>
      </w:r>
      <w:r>
        <w:rPr>
          <w:rFonts w:ascii="Times New Roman" w:cs="Times New Roman" w:eastAsia="Times New Roman" w:hAnsi="Times New Roman"/>
          <w:sz w:val="18"/>
          <w:szCs w:val="18"/>
          <w:color w:val="auto"/>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retiring Trustee and shall duly assign, transfer and deliver to such successor Trustee all property and money held by such retiring Trustee hereunder.</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97"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eligible under this Article and qualified under Section 310(b) of the Trust Indenture Act.</w:t>
      </w:r>
    </w:p>
    <w:p>
      <w:pPr>
        <w:spacing w:after="0" w:line="160"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Successor Trustee By Merger, Etc.</w:t>
      </w:r>
      <w:r>
        <w:rPr>
          <w:rFonts w:ascii="Times New Roman" w:cs="Times New Roman" w:eastAsia="Times New Roman" w:hAnsi="Times New Roman"/>
          <w:sz w:val="18"/>
          <w:szCs w:val="18"/>
          <w:color w:val="auto"/>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xml:space="preserve"> This Indenture shall always have a Trustee who satisfies the requirements of Trust Indenture Act Section 310(a). The Trustee shall have a combined capital and surplus of at least $25,000,000 as set forth in its most recent published annual report of condition.</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Money Held in Trust.</w:t>
      </w:r>
      <w:r>
        <w:rPr>
          <w:rFonts w:ascii="Times New Roman" w:cs="Times New Roman" w:eastAsia="Times New Roman" w:hAnsi="Times New Roman"/>
          <w:sz w:val="18"/>
          <w:szCs w:val="18"/>
          <w:color w:val="auto"/>
        </w:rPr>
        <w:t xml:space="preserve">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OF INDENTURE; UNCLAIMED MONEYS</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 xml:space="preserve">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79" w:name="page80"/>
    <w:bookmarkEnd w:id="79"/>
    <w:p>
      <w:pPr>
        <w:spacing w:after="0" w:line="274" w:lineRule="auto"/>
        <w:rPr>
          <w:sz w:val="20"/>
          <w:szCs w:val="20"/>
          <w:color w:val="auto"/>
        </w:rPr>
      </w:pPr>
      <w:r>
        <w:rPr>
          <w:rFonts w:ascii="Times New Roman" w:cs="Times New Roman" w:eastAsia="Times New Roman" w:hAnsi="Times New Roman"/>
          <w:sz w:val="17"/>
          <w:szCs w:val="17"/>
          <w:color w:val="auto"/>
        </w:rPr>
        <w:t>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72"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Application by Trustee of Funds Deposited for Payment of Securities.</w:t>
      </w:r>
      <w:r>
        <w:rPr>
          <w:rFonts w:ascii="Times New Roman" w:cs="Times New Roman" w:eastAsia="Times New Roman" w:hAnsi="Times New Roman"/>
          <w:sz w:val="18"/>
          <w:szCs w:val="18"/>
          <w:color w:val="auto"/>
        </w:rPr>
        <w:t xml:space="preserve">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Repayment of Moneys Held by Paying Agent.</w:t>
      </w:r>
      <w:r>
        <w:rPr>
          <w:rFonts w:ascii="Times New Roman" w:cs="Times New Roman" w:eastAsia="Times New Roman" w:hAnsi="Times New Roman"/>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Return of Moneys Held by Trustee and Paying Agent Unclaimed for Two Years.</w:t>
      </w:r>
      <w:r>
        <w:rPr>
          <w:rFonts w:ascii="Times New Roman" w:cs="Times New Roman" w:eastAsia="Times New Roman" w:hAnsi="Times New Roman"/>
          <w:sz w:val="18"/>
          <w:szCs w:val="18"/>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Defeasance and Discharge of Indenture.</w:t>
      </w:r>
      <w:r>
        <w:rPr>
          <w:rFonts w:ascii="Times New Roman" w:cs="Times New Roman" w:eastAsia="Times New Roman" w:hAnsi="Times New Roman"/>
          <w:sz w:val="18"/>
          <w:szCs w:val="18"/>
          <w:color w:val="auto"/>
        </w:rPr>
        <w:t xml:space="preserve">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ii) rights of Holders of the</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spacing w:after="0" w:line="255" w:lineRule="auto"/>
        <w:rPr>
          <w:sz w:val="20"/>
          <w:szCs w:val="20"/>
          <w:color w:val="auto"/>
        </w:rPr>
      </w:pPr>
      <w:r>
        <w:rPr>
          <w:rFonts w:ascii="Times New Roman" w:cs="Times New Roman" w:eastAsia="Times New Roman" w:hAnsi="Times New Roman"/>
          <w:sz w:val="18"/>
          <w:szCs w:val="18"/>
          <w:color w:val="auto"/>
        </w:rPr>
        <w:t>Securities of such series to receive payments of principal thereof, premium thereto, and interest thereon, upon the original stated due dates therefor, iii)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iv) the rights, obligations and immunities of the Trustee hereunder, and</w:t>
      </w:r>
    </w:p>
    <w:p>
      <w:pPr>
        <w:spacing w:after="0" w:line="3" w:lineRule="exact"/>
        <w:rPr>
          <w:sz w:val="20"/>
          <w:szCs w:val="20"/>
          <w:color w:val="auto"/>
        </w:rPr>
      </w:pPr>
    </w:p>
    <w:p>
      <w:pPr>
        <w:ind w:left="200" w:hanging="192"/>
        <w:spacing w:after="0"/>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contained in Article 8 of this Indenture; provided that the following conditions shall have been satisfied:</w:t>
      </w:r>
    </w:p>
    <w:p>
      <w:pPr>
        <w:spacing w:after="0" w:line="206" w:lineRule="exact"/>
        <w:rPr>
          <w:rFonts w:ascii="Times New Roman" w:cs="Times New Roman" w:eastAsia="Times New Roman" w:hAnsi="Times New Roman"/>
          <w:sz w:val="18"/>
          <w:szCs w:val="18"/>
          <w:color w:val="auto"/>
        </w:rPr>
      </w:pPr>
    </w:p>
    <w:p>
      <w:pPr>
        <w:jc w:val="both"/>
        <w:ind w:left="660" w:right="40" w:firstLine="969"/>
        <w:spacing w:after="0" w:line="272" w:lineRule="auto"/>
        <w:tabs>
          <w:tab w:leader="none" w:pos="211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reference to this Section 8.05 the Company irrevocably has deposited or caused to be deposited with the Trustee (or another qualifying trustee satisfying the requirements of Section 7.11) as trust funds in trust, for the purposes of making the following payments, specifically pledged as security for, and dedicated solely to, the benefit of the Holders of the Securities of such series, (A) money in an amount, (B) U.S.</w:t>
      </w:r>
    </w:p>
    <w:p>
      <w:pPr>
        <w:spacing w:after="0" w:line="1" w:lineRule="exact"/>
        <w:rPr>
          <w:rFonts w:ascii="Times New Roman" w:cs="Times New Roman" w:eastAsia="Times New Roman" w:hAnsi="Times New Roman"/>
          <w:sz w:val="17"/>
          <w:szCs w:val="17"/>
          <w:color w:val="auto"/>
        </w:rPr>
      </w:pPr>
    </w:p>
    <w:p>
      <w:pPr>
        <w:ind w:left="660" w:right="12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spacing w:after="0" w:line="177" w:lineRule="exact"/>
        <w:rPr>
          <w:rFonts w:ascii="Times New Roman" w:cs="Times New Roman" w:eastAsia="Times New Roman" w:hAnsi="Times New Roman"/>
          <w:sz w:val="17"/>
          <w:szCs w:val="17"/>
          <w:color w:val="auto"/>
        </w:rPr>
      </w:pPr>
    </w:p>
    <w:p>
      <w:pPr>
        <w:ind w:left="660" w:right="180" w:firstLine="969"/>
        <w:spacing w:after="0" w:line="261" w:lineRule="auto"/>
        <w:tabs>
          <w:tab w:leader="none" w:pos="216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Opinion of Counsel to the effect that, under then applicable U.S. federal income tax law,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w:t>
      </w:r>
    </w:p>
    <w:p>
      <w:pPr>
        <w:spacing w:after="0" w:line="180" w:lineRule="exact"/>
        <w:rPr>
          <w:rFonts w:ascii="Times New Roman" w:cs="Times New Roman" w:eastAsia="Times New Roman" w:hAnsi="Times New Roman"/>
          <w:sz w:val="18"/>
          <w:szCs w:val="18"/>
          <w:color w:val="auto"/>
        </w:rPr>
      </w:pPr>
    </w:p>
    <w:p>
      <w:pPr>
        <w:ind w:left="2220" w:hanging="591"/>
        <w:spacing w:after="0"/>
        <w:tabs>
          <w:tab w:leader="none" w:pos="2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either clause (d) or clause (e) of Section 6.01 shall have occurred and be continuing at such time;</w:t>
      </w:r>
    </w:p>
    <w:p>
      <w:pPr>
        <w:spacing w:after="0" w:line="225" w:lineRule="exact"/>
        <w:rPr>
          <w:rFonts w:ascii="Times New Roman" w:cs="Times New Roman" w:eastAsia="Times New Roman" w:hAnsi="Times New Roman"/>
          <w:sz w:val="18"/>
          <w:szCs w:val="18"/>
          <w:color w:val="auto"/>
        </w:rPr>
      </w:pPr>
    </w:p>
    <w:p>
      <w:pPr>
        <w:ind w:left="660" w:right="520" w:firstLine="969"/>
        <w:spacing w:after="0" w:line="282" w:lineRule="auto"/>
        <w:tabs>
          <w:tab w:leader="none" w:pos="220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such time the Securities of such series are listed on a national securities exchange, the Company has delivered to the Trustee an Opinion of</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Counsel to the effect that the Securities of such series will not be delisted as a result of such deposit, defeasance and discharge;</w:t>
      </w:r>
    </w:p>
    <w:p>
      <w:pPr>
        <w:spacing w:after="0" w:line="225" w:lineRule="exact"/>
        <w:rPr>
          <w:sz w:val="20"/>
          <w:szCs w:val="20"/>
          <w:color w:val="auto"/>
        </w:rPr>
      </w:pPr>
    </w:p>
    <w:p>
      <w:pPr>
        <w:ind w:left="660" w:right="580" w:firstLine="969"/>
        <w:spacing w:after="0" w:line="282" w:lineRule="auto"/>
        <w:tabs>
          <w:tab w:leader="none" w:pos="215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and discharge under this Section have been complied with; and</w:t>
      </w:r>
    </w:p>
    <w:p>
      <w:pPr>
        <w:spacing w:after="0" w:line="161" w:lineRule="exact"/>
        <w:rPr>
          <w:rFonts w:ascii="Times New Roman" w:cs="Times New Roman" w:eastAsia="Times New Roman" w:hAnsi="Times New Roman"/>
          <w:sz w:val="18"/>
          <w:szCs w:val="18"/>
          <w:color w:val="auto"/>
        </w:rPr>
      </w:pPr>
    </w:p>
    <w:p>
      <w:pPr>
        <w:ind w:left="660" w:right="60" w:firstLine="969"/>
        <w:spacing w:after="0" w:line="266" w:lineRule="auto"/>
        <w:tabs>
          <w:tab w:leader="none" w:pos="22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Defeasance of Certain Obligations.</w:t>
      </w:r>
      <w:r>
        <w:rPr>
          <w:rFonts w:ascii="Times New Roman" w:cs="Times New Roman" w:eastAsia="Times New Roman" w:hAnsi="Times New Roman"/>
          <w:sz w:val="18"/>
          <w:szCs w:val="18"/>
          <w:color w:val="auto"/>
        </w:rPr>
        <w:t xml:space="preserve"> The Company may omit to comply with any term, provision or condition set forth in, and this Indenture will no longer be in effect with respect to, any covenant established pursuant to Section 2.03(r) and clause (c) and clause (f) (with respect to any covenants established pursuant to Section 2.03(s)) of Section 6.01 shall be deemed not to constitute a Default or an Event of Default with respect to Securities of any series, if</w:t>
      </w:r>
    </w:p>
    <w:p>
      <w:pPr>
        <w:spacing w:after="0" w:line="182" w:lineRule="exact"/>
        <w:rPr>
          <w:sz w:val="20"/>
          <w:szCs w:val="20"/>
          <w:color w:val="auto"/>
        </w:rPr>
      </w:pPr>
    </w:p>
    <w:p>
      <w:pPr>
        <w:ind w:firstLine="851"/>
        <w:spacing w:after="0" w:line="253" w:lineRule="auto"/>
        <w:tabs>
          <w:tab w:leader="none" w:pos="13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spacing w:after="0" w:line="190" w:lineRule="exact"/>
        <w:rPr>
          <w:rFonts w:ascii="Times New Roman" w:cs="Times New Roman" w:eastAsia="Times New Roman" w:hAnsi="Times New Roman"/>
          <w:sz w:val="18"/>
          <w:szCs w:val="18"/>
          <w:color w:val="auto"/>
        </w:rPr>
      </w:pPr>
    </w:p>
    <w:p>
      <w:pPr>
        <w:jc w:val="both"/>
        <w:ind w:right="140" w:firstLine="851"/>
        <w:spacing w:after="0" w:line="266" w:lineRule="auto"/>
        <w:tabs>
          <w:tab w:leader="none" w:pos="13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2" w:name="page83"/>
    <w:bookmarkEnd w:id="82"/>
    <w:p>
      <w:pPr>
        <w:ind w:right="540" w:firstLine="851"/>
        <w:spacing w:after="0" w:line="282" w:lineRule="auto"/>
        <w:tabs>
          <w:tab w:leader="none" w:pos="13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Securities of such series shall have occurred and be continuing at the time of such deposit immediately after giving effect to such deposit;</w:t>
      </w:r>
    </w:p>
    <w:p>
      <w:pPr>
        <w:spacing w:after="0" w:line="161" w:lineRule="exact"/>
        <w:rPr>
          <w:rFonts w:ascii="Times New Roman" w:cs="Times New Roman" w:eastAsia="Times New Roman" w:hAnsi="Times New Roman"/>
          <w:sz w:val="18"/>
          <w:szCs w:val="18"/>
          <w:color w:val="auto"/>
        </w:rPr>
      </w:pPr>
    </w:p>
    <w:p>
      <w:pPr>
        <w:ind w:right="560" w:firstLine="851"/>
        <w:spacing w:after="0" w:line="282" w:lineRule="auto"/>
        <w:tabs>
          <w:tab w:leader="none" w:pos="13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61" w:lineRule="exact"/>
        <w:rPr>
          <w:rFonts w:ascii="Times New Roman" w:cs="Times New Roman" w:eastAsia="Times New Roman" w:hAnsi="Times New Roman"/>
          <w:sz w:val="18"/>
          <w:szCs w:val="18"/>
          <w:color w:val="auto"/>
        </w:rPr>
      </w:pPr>
    </w:p>
    <w:p>
      <w:pPr>
        <w:ind w:right="600" w:firstLine="851"/>
        <w:spacing w:after="0" w:line="282" w:lineRule="auto"/>
        <w:tabs>
          <w:tab w:leader="none" w:pos="13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under this Section have been complied with; and</w:t>
      </w:r>
    </w:p>
    <w:p>
      <w:pPr>
        <w:spacing w:after="0" w:line="161" w:lineRule="exact"/>
        <w:rPr>
          <w:rFonts w:ascii="Times New Roman" w:cs="Times New Roman" w:eastAsia="Times New Roman" w:hAnsi="Times New Roman"/>
          <w:sz w:val="18"/>
          <w:szCs w:val="18"/>
          <w:color w:val="auto"/>
        </w:rPr>
      </w:pPr>
    </w:p>
    <w:p>
      <w:pPr>
        <w:ind w:right="160" w:firstLine="851"/>
        <w:spacing w:after="0" w:line="266" w:lineRule="auto"/>
        <w:tabs>
          <w:tab w:leader="none" w:pos="133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xml:space="preserve">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spacing w:after="0" w:line="18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xml:space="preserve"> The Company shall pay and indemnify the Trustee (or other qualifying trustee, collectively for purposes of this Section 8.08 and Section 8.02,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spacing w:after="0" w:line="18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Excess Funds.</w:t>
      </w:r>
      <w:r>
        <w:rPr>
          <w:rFonts w:ascii="Times New Roman" w:cs="Times New Roman" w:eastAsia="Times New Roman" w:hAnsi="Times New Roman"/>
          <w:sz w:val="18"/>
          <w:szCs w:val="18"/>
          <w:color w:val="auto"/>
        </w:rPr>
        <w:t xml:space="preserve">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Qualifying Trustee.</w:t>
      </w:r>
      <w:r>
        <w:rPr>
          <w:rFonts w:ascii="Times New Roman" w:cs="Times New Roman" w:eastAsia="Times New Roman" w:hAnsi="Times New Roman"/>
          <w:sz w:val="18"/>
          <w:szCs w:val="18"/>
          <w:color w:val="auto"/>
        </w:rPr>
        <w:t xml:space="preserve">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 SUPPLEMENTS AND WAIVERS</w:t>
      </w:r>
    </w:p>
    <w:p>
      <w:pPr>
        <w:spacing w:after="0" w:line="205"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w:t>
      </w:r>
      <w:r>
        <w:rPr>
          <w:rFonts w:ascii="Times New Roman" w:cs="Times New Roman" w:eastAsia="Times New Roman" w:hAnsi="Times New Roman"/>
          <w:sz w:val="18"/>
          <w:szCs w:val="18"/>
          <w:color w:val="auto"/>
        </w:rPr>
        <w:t xml:space="preserve"> The Company and the Trustee may amend or supplement this Indenture or the Securities of any series without notice to or the consent of any Holder:</w:t>
      </w:r>
    </w:p>
    <w:p>
      <w:pPr>
        <w:spacing w:after="0" w:line="160" w:lineRule="exact"/>
        <w:rPr>
          <w:sz w:val="20"/>
          <w:szCs w:val="20"/>
          <w:color w:val="auto"/>
        </w:rPr>
      </w:pPr>
    </w:p>
    <w:p>
      <w:pPr>
        <w:ind w:left="1360" w:hanging="509"/>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this Indenture;</w:t>
      </w:r>
    </w:p>
    <w:p>
      <w:pPr>
        <w:spacing w:after="0" w:line="225"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5;</w:t>
      </w:r>
    </w:p>
    <w:p>
      <w:pPr>
        <w:spacing w:after="0" w:line="225"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in connection with the qualification of this Indenture under the Trust Indenture Act;</w:t>
      </w:r>
    </w:p>
    <w:p>
      <w:pPr>
        <w:spacing w:after="0" w:line="225" w:lineRule="exact"/>
        <w:rPr>
          <w:rFonts w:ascii="Times New Roman" w:cs="Times New Roman" w:eastAsia="Times New Roman" w:hAnsi="Times New Roman"/>
          <w:sz w:val="18"/>
          <w:szCs w:val="18"/>
          <w:color w:val="auto"/>
        </w:rPr>
      </w:pPr>
    </w:p>
    <w:p>
      <w:pPr>
        <w:ind w:right="460" w:firstLine="851"/>
        <w:spacing w:after="0" w:line="266" w:lineRule="auto"/>
        <w:tabs>
          <w:tab w:leader="none" w:pos="13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spacing w:after="0" w:line="176"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Securities of any series as permitted by Section 2.03;</w:t>
      </w:r>
    </w:p>
    <w:p>
      <w:pPr>
        <w:spacing w:after="0" w:line="225" w:lineRule="exact"/>
        <w:rPr>
          <w:rFonts w:ascii="Times New Roman" w:cs="Times New Roman" w:eastAsia="Times New Roman" w:hAnsi="Times New Roman"/>
          <w:sz w:val="18"/>
          <w:szCs w:val="18"/>
          <w:color w:val="auto"/>
        </w:rPr>
      </w:pPr>
    </w:p>
    <w:p>
      <w:pPr>
        <w:ind w:left="1340" w:hanging="489"/>
        <w:spacing w:after="0"/>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and to make all appropriate changes for such purpose;</w:t>
      </w:r>
    </w:p>
    <w:p>
      <w:pPr>
        <w:spacing w:after="0" w:line="225"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to the applicable corresponding provision set forth in the offering document for the offering of such series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w:t>
      </w:r>
    </w:p>
    <w:p>
      <w:pPr>
        <w:spacing w:after="0" w:line="206"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materially and adversely affect the rights of any Holder.</w:t>
      </w:r>
    </w:p>
    <w:p>
      <w:pPr>
        <w:spacing w:after="0" w:line="22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w:t>
      </w:r>
      <w:r>
        <w:rPr>
          <w:rFonts w:ascii="Times New Roman" w:cs="Times New Roman" w:eastAsia="Times New Roman" w:hAnsi="Times New Roman"/>
          <w:sz w:val="18"/>
          <w:szCs w:val="18"/>
          <w:color w:val="auto"/>
        </w:rPr>
        <w:t xml:space="preserve">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waive future compliance by the Company with any provision of this Indenture or the Securities of such series.</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9.02, without the consent of each Holder affected thereby, an amendment or waiver, including a waiver pursuant to Section 6.04, may not:</w:t>
      </w:r>
    </w:p>
    <w:p>
      <w:pPr>
        <w:spacing w:after="0" w:line="162" w:lineRule="exact"/>
        <w:rPr>
          <w:sz w:val="20"/>
          <w:szCs w:val="20"/>
          <w:color w:val="auto"/>
        </w:rPr>
      </w:pPr>
    </w:p>
    <w:p>
      <w:pPr>
        <w:ind w:left="1360" w:hanging="509"/>
        <w:spacing w:after="0"/>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sinking fund obligation or any installment of interest on, such Holder’s Security,</w:t>
      </w:r>
    </w:p>
    <w:p>
      <w:pPr>
        <w:spacing w:after="0" w:line="225"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(including any amount in respect of original issue discount);</w:t>
      </w:r>
    </w:p>
    <w:p>
      <w:pPr>
        <w:spacing w:after="0" w:line="225" w:lineRule="exact"/>
        <w:rPr>
          <w:rFonts w:ascii="Times New Roman" w:cs="Times New Roman" w:eastAsia="Times New Roman" w:hAnsi="Times New Roman"/>
          <w:sz w:val="18"/>
          <w:szCs w:val="18"/>
          <w:color w:val="auto"/>
        </w:rPr>
      </w:pPr>
    </w:p>
    <w:p>
      <w:pPr>
        <w:ind w:right="160" w:firstLine="851"/>
        <w:spacing w:after="0" w:line="282" w:lineRule="auto"/>
        <w:tabs>
          <w:tab w:leader="none" w:pos="13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above stated percentage of outstanding Securities the consent of whose holders is necessary to modify or amend the Indenture with respect to the Securities of the relevant series; and</w:t>
      </w:r>
    </w:p>
    <w:p>
      <w:pPr>
        <w:spacing w:after="0" w:line="161" w:lineRule="exact"/>
        <w:rPr>
          <w:rFonts w:ascii="Times New Roman" w:cs="Times New Roman" w:eastAsia="Times New Roman" w:hAnsi="Times New Roman"/>
          <w:sz w:val="18"/>
          <w:szCs w:val="18"/>
          <w:color w:val="auto"/>
        </w:rPr>
      </w:pPr>
    </w:p>
    <w:p>
      <w:pPr>
        <w:ind w:right="60" w:firstLine="851"/>
        <w:spacing w:after="0" w:line="266" w:lineRule="auto"/>
        <w:tabs>
          <w:tab w:leader="none" w:pos="13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76"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any Holder under this Section 9.02 to approve the particular form of any proposed amendment, supplement or waiver, but it shall be sufficient if such consent approves the substance thereof.</w:t>
      </w:r>
    </w:p>
    <w:p>
      <w:pPr>
        <w:spacing w:after="0" w:line="162"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spacing w:after="0" w:line="15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Revocation and Effect of Consent.</w:t>
      </w:r>
      <w:r>
        <w:rPr>
          <w:rFonts w:ascii="Times New Roman" w:cs="Times New Roman" w:eastAsia="Times New Roman" w:hAnsi="Times New Roman"/>
          <w:sz w:val="18"/>
          <w:szCs w:val="18"/>
          <w:color w:val="auto"/>
        </w:rPr>
        <w:t xml:space="preserve">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5" w:name="page86"/>
    <w:bookmarkEnd w:id="85"/>
    <w:p>
      <w:pPr>
        <w:ind w:right="520"/>
        <w:spacing w:after="0" w:line="282" w:lineRule="auto"/>
        <w:rPr>
          <w:sz w:val="20"/>
          <w:szCs w:val="20"/>
          <w:color w:val="auto"/>
        </w:rPr>
      </w:pPr>
      <w:r>
        <w:rPr>
          <w:rFonts w:ascii="Times New Roman" w:cs="Times New Roman" w:eastAsia="Times New Roman" w:hAnsi="Times New Roman"/>
          <w:sz w:val="18"/>
          <w:szCs w:val="18"/>
          <w:color w:val="auto"/>
        </w:rPr>
        <w:t>become effective with respect to any Securities affected thereby on receipt by the Trustee of written consents from the requisite Holders of outstanding Securities affected thereby.</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spacing w:after="0" w:line="178"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Securities.</w:t>
      </w:r>
      <w:r>
        <w:rPr>
          <w:rFonts w:ascii="Times New Roman" w:cs="Times New Roman" w:eastAsia="Times New Roman" w:hAnsi="Times New Roman"/>
          <w:sz w:val="18"/>
          <w:szCs w:val="18"/>
          <w:color w:val="auto"/>
        </w:rPr>
        <w:t xml:space="preserve">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r>
        <w:rPr>
          <w:rFonts w:ascii="Times New Roman" w:cs="Times New Roman" w:eastAsia="Times New Roman" w:hAnsi="Times New Roman"/>
          <w:sz w:val="18"/>
          <w:szCs w:val="18"/>
          <w:color w:val="auto"/>
        </w:rPr>
        <w:t xml:space="preserve">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spacing w:after="0" w:line="183" w:lineRule="exact"/>
        <w:rPr>
          <w:sz w:val="20"/>
          <w:szCs w:val="20"/>
          <w:color w:val="auto"/>
        </w:rPr>
      </w:pPr>
    </w:p>
    <w:p>
      <w:pPr>
        <w:ind w:right="8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Conformity with Trust Indenture Act.</w:t>
      </w:r>
      <w:r>
        <w:rPr>
          <w:rFonts w:ascii="Times New Roman" w:cs="Times New Roman" w:eastAsia="Times New Roman" w:hAnsi="Times New Roman"/>
          <w:sz w:val="18"/>
          <w:szCs w:val="18"/>
          <w:color w:val="auto"/>
        </w:rPr>
        <w:t xml:space="preserve"> Every supplemental indenture executed pursuant to this Article 9 shall conform to the requirements of the Trust Indenture Act as then in effect.</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Trust Indenture Act of 1939.</w:t>
      </w:r>
      <w:r>
        <w:rPr>
          <w:rFonts w:ascii="Times New Roman" w:cs="Times New Roman" w:eastAsia="Times New Roman" w:hAnsi="Times New Roman"/>
          <w:sz w:val="18"/>
          <w:szCs w:val="18"/>
          <w:color w:val="auto"/>
        </w:rPr>
        <w:t xml:space="preserve"> This Indenture shall incorporate and be governed by the provisions of the Trust Indenture Act that are required to be part of and to govern indentures qualified under the Trust Indenture Act.</w:t>
      </w:r>
    </w:p>
    <w:p>
      <w:pPr>
        <w:spacing w:after="0" w:line="158" w:lineRule="exact"/>
        <w:rPr>
          <w:sz w:val="20"/>
          <w:szCs w:val="20"/>
          <w:color w:val="auto"/>
        </w:rPr>
      </w:pPr>
    </w:p>
    <w:p>
      <w:pPr>
        <w:ind w:right="4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 Immune SA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EPFL Innovation Park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Building 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CH-1015 Lausanne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or the Trustee by written notice to the other may designate additional or different addresses for subsequent notices or communications.</w:t>
      </w:r>
    </w:p>
    <w:p>
      <w:pPr>
        <w:spacing w:after="0" w:line="23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case it shall be impracticable to give notice as herein contemplated, then such notification as shall be made with the approval of the Trustee shall constitute a sufficient notification for every purpose hereunder.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7" w:name="page88"/>
    <w:bookmarkEnd w:id="87"/>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Certificate and Opinion as to Conditions Precedent.</w:t>
      </w:r>
      <w:r>
        <w:rPr>
          <w:rFonts w:ascii="Times New Roman" w:cs="Times New Roman" w:eastAsia="Times New Roman" w:hAnsi="Times New Roman"/>
          <w:sz w:val="18"/>
          <w:szCs w:val="18"/>
          <w:color w:val="auto"/>
        </w:rPr>
        <w:t xml:space="preserve"> Upon any request or application by the Company to the Trustee to take any action under this Indenture, the Company shall furnish to the Trustee:</w:t>
      </w:r>
    </w:p>
    <w:p>
      <w:pPr>
        <w:spacing w:after="0" w:line="160" w:lineRule="exact"/>
        <w:rPr>
          <w:sz w:val="20"/>
          <w:szCs w:val="20"/>
          <w:color w:val="auto"/>
        </w:rPr>
      </w:pPr>
    </w:p>
    <w:p>
      <w:pPr>
        <w:ind w:right="160" w:firstLine="851"/>
        <w:spacing w:after="0" w:line="282" w:lineRule="auto"/>
        <w:tabs>
          <w:tab w:leader="none" w:pos="13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23"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Statements Required in Certificate or Opinion.</w:t>
      </w:r>
      <w:r>
        <w:rPr>
          <w:rFonts w:ascii="Times New Roman" w:cs="Times New Roman" w:eastAsia="Times New Roman" w:hAnsi="Times New Roman"/>
          <w:sz w:val="18"/>
          <w:szCs w:val="18"/>
          <w:color w:val="auto"/>
        </w:rPr>
        <w:t xml:space="preserve"> Each certificate or opinion with respect to compliance with a condition or covenant provided for in this Indenture (other than the certificate required by Section 4.04) shall include:</w:t>
      </w:r>
    </w:p>
    <w:p>
      <w:pPr>
        <w:spacing w:after="0" w:line="160" w:lineRule="exact"/>
        <w:rPr>
          <w:sz w:val="20"/>
          <w:szCs w:val="20"/>
          <w:color w:val="auto"/>
        </w:rPr>
      </w:pPr>
    </w:p>
    <w:p>
      <w:pPr>
        <w:ind w:left="1360" w:hanging="509"/>
        <w:spacing w:after="0"/>
        <w:tabs>
          <w:tab w:leader="none" w:pos="1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person signing such certificate or opinion has read such covenant or condition and the definitions herein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right="400" w:firstLine="851"/>
        <w:spacing w:after="0" w:line="282" w:lineRule="auto"/>
        <w:tabs>
          <w:tab w:leader="none" w:pos="13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 or opinion contained in such certificate or opinion is based;</w:t>
      </w:r>
    </w:p>
    <w:p>
      <w:pPr>
        <w:spacing w:after="0" w:line="161" w:lineRule="exact"/>
        <w:rPr>
          <w:rFonts w:ascii="Times New Roman" w:cs="Times New Roman" w:eastAsia="Times New Roman" w:hAnsi="Times New Roman"/>
          <w:sz w:val="18"/>
          <w:szCs w:val="18"/>
          <w:color w:val="auto"/>
        </w:rPr>
      </w:pPr>
    </w:p>
    <w:p>
      <w:pPr>
        <w:ind w:firstLine="851"/>
        <w:spacing w:after="0" w:line="282" w:lineRule="auto"/>
        <w:tabs>
          <w:tab w:leader="none" w:pos="13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159" w:lineRule="exact"/>
        <w:rPr>
          <w:rFonts w:ascii="Times New Roman" w:cs="Times New Roman" w:eastAsia="Times New Roman" w:hAnsi="Times New Roman"/>
          <w:sz w:val="18"/>
          <w:szCs w:val="18"/>
          <w:color w:val="auto"/>
        </w:rPr>
      </w:pPr>
    </w:p>
    <w:p>
      <w:pPr>
        <w:ind w:right="640" w:firstLine="851"/>
        <w:spacing w:after="0" w:line="284" w:lineRule="auto"/>
        <w:tabs>
          <w:tab w:leader="none" w:pos="13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as to whether or not, in the opinion of each such person, such condition or covenant has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matters of fact, an Opinion of Counsel may rely on an Officers’ Certificate or certificates of public officials.</w:t>
      </w:r>
    </w:p>
    <w:p>
      <w:pPr>
        <w:spacing w:after="0" w:line="158"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Ownership.</w:t>
      </w:r>
      <w:r>
        <w:rPr>
          <w:rFonts w:ascii="Times New Roman" w:cs="Times New Roman" w:eastAsia="Times New Roman" w:hAnsi="Times New Roman"/>
          <w:sz w:val="18"/>
          <w:szCs w:val="18"/>
          <w:color w:val="auto"/>
        </w:rPr>
        <w:t xml:space="preserve">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spacing w:after="0" w:line="180"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Rules by Trustee, Paying Agent or Registrar.</w:t>
      </w:r>
      <w:r>
        <w:rPr>
          <w:rFonts w:ascii="Times New Roman" w:cs="Times New Roman" w:eastAsia="Times New Roman" w:hAnsi="Times New Roman"/>
          <w:sz w:val="18"/>
          <w:szCs w:val="18"/>
          <w:color w:val="auto"/>
        </w:rPr>
        <w:t xml:space="preserve"> The Trustee may make reasonable rules for action by or at a meeting of Holders. The Paying Agent or Registrar may make reasonable rules for its functions.</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i w:val="1"/>
          <w:iCs w:val="1"/>
          <w:color w:val="auto"/>
        </w:rPr>
        <w:t>Payment Date Other Than a Business Day.</w:t>
      </w:r>
      <w:r>
        <w:rPr>
          <w:rFonts w:ascii="Times New Roman" w:cs="Times New Roman" w:eastAsia="Times New Roman" w:hAnsi="Times New Roman"/>
          <w:sz w:val="18"/>
          <w:szCs w:val="18"/>
          <w:color w:val="auto"/>
        </w:rPr>
        <w:t xml:space="preserve"> Except as otherwise provided with respect to a series of Securities, if any date for payment of Principal or interest on any Security shall not be a Business Day at any place of payment, then</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88" w:name="page89"/>
    <w:bookmarkEnd w:id="88"/>
    <w:p>
      <w:pPr>
        <w:spacing w:after="0" w:line="266" w:lineRule="auto"/>
        <w:rPr>
          <w:sz w:val="20"/>
          <w:szCs w:val="20"/>
          <w:color w:val="auto"/>
        </w:rPr>
      </w:pPr>
      <w:r>
        <w:rPr>
          <w:rFonts w:ascii="Times New Roman" w:cs="Times New Roman" w:eastAsia="Times New Roman" w:hAnsi="Times New Roman"/>
          <w:sz w:val="18"/>
          <w:szCs w:val="18"/>
          <w:color w:val="auto"/>
        </w:rPr>
        <w:t>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The laws of the State of New York shall govern this Indenture and the Securities.</w:t>
      </w:r>
    </w:p>
    <w:p>
      <w:pPr>
        <w:spacing w:after="0" w:line="225"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 xml:space="preserve"> This Indenture may not be used to interpret another indenture or loan or debt agreement of the Company or any Subsidiary of the Company. Any such indenture or agreement may not be used to interpret this Indenture.</w:t>
      </w:r>
    </w:p>
    <w:p>
      <w:pPr>
        <w:spacing w:after="0" w:line="158"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xml:space="preserve"> All agreements of the Company in this Indenture and the Securities shall bind its successors. All agreements of the Trustee in this Indenture shall bind its successors.</w:t>
      </w:r>
    </w:p>
    <w:p>
      <w:pPr>
        <w:spacing w:after="0" w:line="158"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i w:val="1"/>
          <w:iCs w:val="1"/>
          <w:color w:val="auto"/>
        </w:rPr>
        <w:t>Duplicate Originals.</w:t>
      </w:r>
      <w:r>
        <w:rPr>
          <w:rFonts w:ascii="Times New Roman" w:cs="Times New Roman" w:eastAsia="Times New Roman" w:hAnsi="Times New Roman"/>
          <w:sz w:val="18"/>
          <w:szCs w:val="18"/>
          <w:color w:val="auto"/>
        </w:rPr>
        <w:t xml:space="preserve"> The parties may sign any number of copies of this Indenture. Each signed copy shall be an original, but all of them together represent the same agreement.</w:t>
      </w:r>
    </w:p>
    <w:p>
      <w:pPr>
        <w:spacing w:after="0" w:line="15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i w:val="1"/>
          <w:iCs w:val="1"/>
          <w:color w:val="auto"/>
        </w:rPr>
        <w:t>Separability.</w:t>
      </w:r>
      <w:r>
        <w:rPr>
          <w:rFonts w:ascii="Times New Roman" w:cs="Times New Roman" w:eastAsia="Times New Roman" w:hAnsi="Times New Roman"/>
          <w:sz w:val="18"/>
          <w:szCs w:val="18"/>
          <w:color w:val="auto"/>
        </w:rPr>
        <w:t xml:space="preserve"> In case any provision in this Indenture or in the Securities shall be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xml:space="preserve"> The Table of Contents and headings of the Articles and Sections of this Indenture have been inserted for convenience of reference only, are not to be considered a part hereof and shall in no way modify or restrict any of the terms and provisions hereof.</w:t>
      </w:r>
    </w:p>
    <w:p>
      <w:pPr>
        <w:spacing w:after="0" w:line="15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i w:val="1"/>
          <w:iCs w:val="1"/>
          <w:color w:val="auto"/>
        </w:rPr>
        <w:t>Incorporators, Stockholders, Officers and Directors of Company Exempt from Individual Liability.</w:t>
      </w:r>
      <w:r>
        <w:rPr>
          <w:rFonts w:ascii="Times New Roman" w:cs="Times New Roman" w:eastAsia="Times New Roman" w:hAnsi="Times New Roman"/>
          <w:sz w:val="18"/>
          <w:szCs w:val="18"/>
          <w:color w:val="auto"/>
        </w:rPr>
        <w:t xml:space="preserve">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8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xml:space="preserve"> 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Times New Roman" w:cs="Times New Roman" w:eastAsia="Times New Roman" w:hAnsi="Times New Roman"/>
          <w:sz w:val="18"/>
          <w:szCs w:val="18"/>
          <w:b w:val="1"/>
          <w:b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the rate of exchange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spacing w:after="0" w:line="270" w:lineRule="auto"/>
        <w:rPr>
          <w:sz w:val="20"/>
          <w:szCs w:val="20"/>
          <w:color w:val="auto"/>
        </w:rPr>
      </w:pPr>
      <w:r>
        <w:rPr>
          <w:rFonts w:ascii="Times New Roman" w:cs="Times New Roman" w:eastAsia="Times New Roman" w:hAnsi="Times New Roman"/>
          <w:sz w:val="17"/>
          <w:szCs w:val="17"/>
          <w:color w:val="auto"/>
        </w:rPr>
        <w:t>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w:t>
      </w:r>
    </w:p>
    <w:p>
      <w:pPr>
        <w:spacing w:after="0" w:line="3"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this Indenture to make payments in the Required Currency (i) shall not be discharged or satisfied by any tender, or any recovery</w:t>
      </w:r>
    </w:p>
    <w:p>
      <w:pPr>
        <w:spacing w:after="0" w:line="9"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8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spacing w:after="0" w:line="174"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6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 Immune 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Attest:</w:t>
            </w:r>
          </w:p>
        </w:tc>
        <w:tc>
          <w:tcPr>
            <w:tcW w:w="6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as the Company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61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6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6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(SEAL)</w:t>
            </w:r>
          </w:p>
        </w:tc>
        <w:tc>
          <w:tcPr>
            <w:tcW w:w="900" w:type="dxa"/>
            <w:vAlign w:val="bottom"/>
          </w:tcPr>
          <w:p>
            <w:pPr>
              <w:spacing w:after="0"/>
              <w:rPr>
                <w:sz w:val="20"/>
                <w:szCs w:val="20"/>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61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as the Trustee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Attest:</w:t>
            </w:r>
          </w:p>
        </w:tc>
        <w:tc>
          <w:tcPr>
            <w:tcW w:w="6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61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6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6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5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200025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AC IMMUNE SA</w:t>
      </w:r>
    </w:p>
    <w:p>
      <w:pPr>
        <w:spacing w:after="0" w:line="2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as the Company</w:t>
      </w:r>
    </w:p>
    <w:p>
      <w:pPr>
        <w:spacing w:after="0" w:line="2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176530</wp:posOffset>
            </wp:positionV>
            <wp:extent cx="39535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889635</wp:posOffset>
            </wp:positionH>
            <wp:positionV relativeFrom="paragraph">
              <wp:posOffset>193675</wp:posOffset>
            </wp:positionV>
            <wp:extent cx="39535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color w:val="auto"/>
        </w:rPr>
        <w:t>Subordinated Indenture</w:t>
      </w:r>
    </w:p>
    <w:p>
      <w:pPr>
        <w:spacing w:after="0" w:line="2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176530</wp:posOffset>
            </wp:positionV>
            <wp:extent cx="39535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889635</wp:posOffset>
            </wp:positionH>
            <wp:positionV relativeFrom="paragraph">
              <wp:posOffset>193675</wp:posOffset>
            </wp:positionV>
            <wp:extent cx="39535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682625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699770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1094105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87"/>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6020" w:type="dxa"/>
            <w:vAlign w:val="bottom"/>
            <w:tcBorders>
              <w:bottom w:val="single" w:sz="8" w:color="auto"/>
            </w:tcBorders>
          </w:tcPr>
          <w:p>
            <w:pPr>
              <w:spacing w:after="0"/>
              <w:rPr>
                <w:sz w:val="21"/>
                <w:szCs w:val="21"/>
                <w:color w:val="auto"/>
              </w:rPr>
            </w:pPr>
          </w:p>
        </w:tc>
        <w:tc>
          <w:tcPr>
            <w:tcW w:w="2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399"/>
        </w:trPr>
        <w:tc>
          <w:tcPr>
            <w:tcW w:w="27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1</w:t>
            </w:r>
          </w:p>
        </w:tc>
        <w:tc>
          <w:tcPr>
            <w:tcW w:w="2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DEFINITIONS AND INCORPORATION BY REFERENCE</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Incorporation by Reference of Trust Indenture Act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52"/>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2</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SECURITIES</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Amount Unlimited; Issuable in Series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Denomination and Date of Securities; Payments of Interest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Registrar and Paying Agent; Agents Generally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Paying Agent to Hold Money in Trust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Transfer and Exchange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Replacement Securities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Outstanding Securities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Temporary Securities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CUSIP Numbers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Defaulted Interest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Series May Include Tranches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52"/>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3</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REDEMPTION</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Applicability of Article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Notice of Redemption; Partial Redemptions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Payment Of Securities Called For Redemption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Exclusion of Certain Securities from Eligibility for Selection for Redemption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Mandatory and Optional Sinking Funds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52"/>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4</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72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COVENANTS</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Securities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Securityholders’ Lists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Certificate to Trustee</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Reports by the Company</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Additional Amounts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52"/>
        </w:trPr>
        <w:tc>
          <w:tcPr>
            <w:tcW w:w="10160" w:type="dxa"/>
            <w:vAlign w:val="bottom"/>
          </w:tcPr>
          <w:p>
            <w:pPr>
              <w:jc w:val="center"/>
              <w:ind w:left="1188"/>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5</w:t>
            </w:r>
          </w:p>
        </w:tc>
        <w:tc>
          <w:tcPr>
            <w:tcW w:w="1260" w:type="dxa"/>
            <w:vAlign w:val="bottom"/>
          </w:tcPr>
          <w:p>
            <w:pPr>
              <w:spacing w:after="0"/>
              <w:rPr>
                <w:sz w:val="24"/>
                <w:szCs w:val="24"/>
                <w:color w:val="auto"/>
              </w:rPr>
            </w:pPr>
          </w:p>
        </w:tc>
      </w:tr>
      <w:tr>
        <w:trPr>
          <w:trHeight w:val="446"/>
        </w:trPr>
        <w:tc>
          <w:tcPr>
            <w:tcW w:w="10160" w:type="dxa"/>
            <w:vAlign w:val="bottom"/>
          </w:tcPr>
          <w:p>
            <w:pPr>
              <w:jc w:val="center"/>
              <w:ind w:left="1168"/>
              <w:spacing w:after="0"/>
              <w:rPr>
                <w:sz w:val="20"/>
                <w:szCs w:val="20"/>
                <w:color w:val="auto"/>
              </w:rPr>
            </w:pPr>
            <w:r>
              <w:rPr>
                <w:rFonts w:ascii="Times New Roman" w:cs="Times New Roman" w:eastAsia="Times New Roman" w:hAnsi="Times New Roman"/>
                <w:sz w:val="20"/>
                <w:szCs w:val="20"/>
                <w:color w:val="auto"/>
                <w:w w:val="98"/>
              </w:rPr>
              <w:t>SUCCESSOR CORPORATION</w:t>
            </w:r>
          </w:p>
        </w:tc>
        <w:tc>
          <w:tcPr>
            <w:tcW w:w="1260" w:type="dxa"/>
            <w:vAlign w:val="bottom"/>
          </w:tcPr>
          <w:p>
            <w:pPr>
              <w:spacing w:after="0"/>
              <w:rPr>
                <w:sz w:val="24"/>
                <w:szCs w:val="24"/>
                <w:color w:val="auto"/>
              </w:rPr>
            </w:pPr>
          </w:p>
        </w:tc>
      </w:tr>
      <w:tr>
        <w:trPr>
          <w:trHeight w:val="40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When Company May Merge, Etc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Successor Substituted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52"/>
        </w:trPr>
        <w:tc>
          <w:tcPr>
            <w:tcW w:w="10160" w:type="dxa"/>
            <w:vAlign w:val="bottom"/>
          </w:tcPr>
          <w:p>
            <w:pPr>
              <w:jc w:val="center"/>
              <w:ind w:left="1188"/>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6</w:t>
            </w:r>
          </w:p>
        </w:tc>
        <w:tc>
          <w:tcPr>
            <w:tcW w:w="1260" w:type="dxa"/>
            <w:vAlign w:val="bottom"/>
          </w:tcPr>
          <w:p>
            <w:pPr>
              <w:spacing w:after="0"/>
              <w:rPr>
                <w:sz w:val="24"/>
                <w:szCs w:val="24"/>
                <w:color w:val="auto"/>
              </w:rPr>
            </w:pPr>
          </w:p>
        </w:tc>
      </w:tr>
      <w:tr>
        <w:trPr>
          <w:trHeight w:val="446"/>
        </w:trPr>
        <w:tc>
          <w:tcPr>
            <w:tcW w:w="10160" w:type="dxa"/>
            <w:vAlign w:val="bottom"/>
          </w:tcPr>
          <w:p>
            <w:pPr>
              <w:jc w:val="center"/>
              <w:ind w:left="1168"/>
              <w:spacing w:after="0"/>
              <w:rPr>
                <w:sz w:val="20"/>
                <w:szCs w:val="20"/>
                <w:color w:val="auto"/>
              </w:rPr>
            </w:pPr>
            <w:r>
              <w:rPr>
                <w:rFonts w:ascii="Times New Roman" w:cs="Times New Roman" w:eastAsia="Times New Roman" w:hAnsi="Times New Roman"/>
                <w:sz w:val="20"/>
                <w:szCs w:val="20"/>
                <w:color w:val="auto"/>
                <w:w w:val="97"/>
              </w:rPr>
              <w:t>DEFAULT AND REMEDIES</w:t>
            </w:r>
          </w:p>
        </w:tc>
        <w:tc>
          <w:tcPr>
            <w:tcW w:w="1260" w:type="dxa"/>
            <w:vAlign w:val="bottom"/>
          </w:tcPr>
          <w:p>
            <w:pPr>
              <w:spacing w:after="0"/>
              <w:rPr>
                <w:sz w:val="24"/>
                <w:szCs w:val="24"/>
                <w:color w:val="auto"/>
              </w:rPr>
            </w:pPr>
          </w:p>
        </w:tc>
      </w:tr>
      <w:tr>
        <w:trPr>
          <w:trHeight w:val="40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Past Defaults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Control by Majority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to Receive Payment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Application of Proceeds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Restoration of Rights and 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Undertaking for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Rights and Remedies Cumulative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Delay or Omission not Waiver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52"/>
        </w:trPr>
        <w:tc>
          <w:tcPr>
            <w:tcW w:w="10160" w:type="dxa"/>
            <w:vAlign w:val="bottom"/>
          </w:tcPr>
          <w:p>
            <w:pPr>
              <w:jc w:val="center"/>
              <w:ind w:left="1188"/>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7</w:t>
            </w:r>
          </w:p>
        </w:tc>
        <w:tc>
          <w:tcPr>
            <w:tcW w:w="1260" w:type="dxa"/>
            <w:vAlign w:val="bottom"/>
          </w:tcPr>
          <w:p>
            <w:pPr>
              <w:spacing w:after="0"/>
              <w:rPr>
                <w:sz w:val="24"/>
                <w:szCs w:val="24"/>
                <w:color w:val="auto"/>
              </w:rPr>
            </w:pPr>
          </w:p>
        </w:tc>
      </w:tr>
      <w:tr>
        <w:trPr>
          <w:trHeight w:val="446"/>
        </w:trPr>
        <w:tc>
          <w:tcPr>
            <w:tcW w:w="10160" w:type="dxa"/>
            <w:vAlign w:val="bottom"/>
          </w:tcPr>
          <w:p>
            <w:pPr>
              <w:jc w:val="center"/>
              <w:ind w:left="1168"/>
              <w:spacing w:after="0"/>
              <w:rPr>
                <w:sz w:val="20"/>
                <w:szCs w:val="20"/>
                <w:color w:val="auto"/>
              </w:rPr>
            </w:pPr>
            <w:r>
              <w:rPr>
                <w:rFonts w:ascii="Times New Roman" w:cs="Times New Roman" w:eastAsia="Times New Roman" w:hAnsi="Times New Roman"/>
                <w:sz w:val="20"/>
                <w:szCs w:val="20"/>
                <w:color w:val="auto"/>
                <w:w w:val="97"/>
              </w:rPr>
              <w:t>TRUSTEE</w:t>
            </w:r>
          </w:p>
        </w:tc>
        <w:tc>
          <w:tcPr>
            <w:tcW w:w="1260" w:type="dxa"/>
            <w:vAlign w:val="bottom"/>
          </w:tcPr>
          <w:p>
            <w:pPr>
              <w:spacing w:after="0"/>
              <w:rPr>
                <w:sz w:val="24"/>
                <w:szCs w:val="24"/>
                <w:color w:val="auto"/>
              </w:rPr>
            </w:pPr>
          </w:p>
        </w:tc>
      </w:tr>
      <w:tr>
        <w:trPr>
          <w:trHeight w:val="40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General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Certain Rights of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Reports by Trustee to 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Acceptance of Appointment by Successor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Successor Trustee By Merger, Etc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Eligibility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Money Held in Trust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52"/>
        </w:trPr>
        <w:tc>
          <w:tcPr>
            <w:tcW w:w="10160" w:type="dxa"/>
            <w:vAlign w:val="bottom"/>
          </w:tcPr>
          <w:p>
            <w:pPr>
              <w:jc w:val="center"/>
              <w:ind w:left="1188"/>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8</w:t>
            </w:r>
          </w:p>
        </w:tc>
        <w:tc>
          <w:tcPr>
            <w:tcW w:w="1260" w:type="dxa"/>
            <w:vAlign w:val="bottom"/>
          </w:tcPr>
          <w:p>
            <w:pPr>
              <w:spacing w:after="0"/>
              <w:rPr>
                <w:sz w:val="24"/>
                <w:szCs w:val="24"/>
                <w:color w:val="auto"/>
              </w:rPr>
            </w:pPr>
          </w:p>
        </w:tc>
      </w:tr>
      <w:tr>
        <w:trPr>
          <w:trHeight w:val="446"/>
        </w:trPr>
        <w:tc>
          <w:tcPr>
            <w:tcW w:w="10160" w:type="dxa"/>
            <w:vAlign w:val="bottom"/>
          </w:tcPr>
          <w:p>
            <w:pPr>
              <w:jc w:val="center"/>
              <w:ind w:left="1168"/>
              <w:spacing w:after="0"/>
              <w:rPr>
                <w:sz w:val="20"/>
                <w:szCs w:val="20"/>
                <w:color w:val="auto"/>
              </w:rPr>
            </w:pPr>
            <w:r>
              <w:rPr>
                <w:rFonts w:ascii="Times New Roman" w:cs="Times New Roman" w:eastAsia="Times New Roman" w:hAnsi="Times New Roman"/>
                <w:sz w:val="20"/>
                <w:szCs w:val="20"/>
                <w:color w:val="auto"/>
                <w:w w:val="98"/>
              </w:rPr>
              <w:t>SATISFACTION AND DISCHARGE OF INDENTURE; UNCLAIMED MONEYS</w:t>
            </w:r>
          </w:p>
        </w:tc>
        <w:tc>
          <w:tcPr>
            <w:tcW w:w="1260" w:type="dxa"/>
            <w:vAlign w:val="bottom"/>
          </w:tcPr>
          <w:p>
            <w:pPr>
              <w:spacing w:after="0"/>
              <w:rPr>
                <w:sz w:val="24"/>
                <w:szCs w:val="24"/>
                <w:color w:val="auto"/>
              </w:rPr>
            </w:pPr>
          </w:p>
        </w:tc>
      </w:tr>
      <w:tr>
        <w:trPr>
          <w:trHeight w:val="40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Satisfaction and Discharge of Indenture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Application by Trustee of Funds Deposited for Payment of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Repayment of Moneys Held by Paying Agent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Return of Moneys Held by Trustee and Paying Agent Unclaimed for Two Years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Defeasance and Discharge of Indenture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Defeasance of Certain Obligations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Reinstatement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Indemnity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Excess Funds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Qualifying Trustee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52"/>
        </w:trPr>
        <w:tc>
          <w:tcPr>
            <w:tcW w:w="9720" w:type="dxa"/>
            <w:vAlign w:val="bottom"/>
          </w:tcPr>
          <w:p>
            <w:pPr>
              <w:jc w:val="center"/>
              <w:ind w:left="1629"/>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9</w:t>
            </w:r>
          </w:p>
        </w:tc>
        <w:tc>
          <w:tcPr>
            <w:tcW w:w="1700" w:type="dxa"/>
            <w:vAlign w:val="bottom"/>
          </w:tcPr>
          <w:p>
            <w:pPr>
              <w:spacing w:after="0"/>
              <w:rPr>
                <w:sz w:val="24"/>
                <w:szCs w:val="24"/>
                <w:color w:val="auto"/>
              </w:rPr>
            </w:pPr>
          </w:p>
        </w:tc>
      </w:tr>
      <w:tr>
        <w:trPr>
          <w:trHeight w:val="446"/>
        </w:trPr>
        <w:tc>
          <w:tcPr>
            <w:tcW w:w="9720" w:type="dxa"/>
            <w:vAlign w:val="bottom"/>
          </w:tcPr>
          <w:p>
            <w:pPr>
              <w:jc w:val="center"/>
              <w:ind w:left="1609"/>
              <w:spacing w:after="0"/>
              <w:rPr>
                <w:sz w:val="20"/>
                <w:szCs w:val="20"/>
                <w:color w:val="auto"/>
              </w:rPr>
            </w:pPr>
            <w:r>
              <w:rPr>
                <w:rFonts w:ascii="Times New Roman" w:cs="Times New Roman" w:eastAsia="Times New Roman" w:hAnsi="Times New Roman"/>
                <w:sz w:val="20"/>
                <w:szCs w:val="20"/>
                <w:color w:val="auto"/>
                <w:w w:val="98"/>
              </w:rPr>
              <w:t>AMENDMENTS, SUPPLEMENTS AND WAIVERS</w:t>
            </w:r>
          </w:p>
        </w:tc>
        <w:tc>
          <w:tcPr>
            <w:tcW w:w="1700" w:type="dxa"/>
            <w:vAlign w:val="bottom"/>
          </w:tcPr>
          <w:p>
            <w:pPr>
              <w:spacing w:after="0"/>
              <w:rPr>
                <w:sz w:val="24"/>
                <w:szCs w:val="24"/>
                <w:color w:val="auto"/>
              </w:rPr>
            </w:pPr>
          </w:p>
        </w:tc>
      </w:tr>
      <w:tr>
        <w:trPr>
          <w:trHeight w:val="40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Revocation and Effect of Consent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Securities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Conformity with Trust Indenture Act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52"/>
        </w:trPr>
        <w:tc>
          <w:tcPr>
            <w:tcW w:w="9720" w:type="dxa"/>
            <w:vAlign w:val="bottom"/>
          </w:tcPr>
          <w:p>
            <w:pPr>
              <w:jc w:val="center"/>
              <w:ind w:left="1609"/>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RTICLE</w:t>
            </w:r>
            <w:r>
              <w:rPr>
                <w:rFonts w:ascii="Times New Roman" w:cs="Times New Roman" w:eastAsia="Times New Roman" w:hAnsi="Times New Roman"/>
                <w:sz w:val="20"/>
                <w:szCs w:val="20"/>
                <w:color w:val="auto"/>
              </w:rPr>
              <w:t xml:space="preserve"> 10</w:t>
            </w:r>
          </w:p>
        </w:tc>
        <w:tc>
          <w:tcPr>
            <w:tcW w:w="1700" w:type="dxa"/>
            <w:vAlign w:val="bottom"/>
          </w:tcPr>
          <w:p>
            <w:pPr>
              <w:spacing w:after="0"/>
              <w:rPr>
                <w:sz w:val="24"/>
                <w:szCs w:val="24"/>
                <w:color w:val="auto"/>
              </w:rPr>
            </w:pPr>
          </w:p>
        </w:tc>
      </w:tr>
      <w:tr>
        <w:trPr>
          <w:trHeight w:val="446"/>
        </w:trPr>
        <w:tc>
          <w:tcPr>
            <w:tcW w:w="9720" w:type="dxa"/>
            <w:vAlign w:val="bottom"/>
          </w:tcPr>
          <w:p>
            <w:pPr>
              <w:jc w:val="center"/>
              <w:ind w:left="1609"/>
              <w:spacing w:after="0"/>
              <w:rPr>
                <w:sz w:val="20"/>
                <w:szCs w:val="20"/>
                <w:color w:val="auto"/>
              </w:rPr>
            </w:pPr>
            <w:r>
              <w:rPr>
                <w:rFonts w:ascii="Times New Roman" w:cs="Times New Roman" w:eastAsia="Times New Roman" w:hAnsi="Times New Roman"/>
                <w:sz w:val="20"/>
                <w:szCs w:val="20"/>
                <w:color w:val="auto"/>
                <w:w w:val="99"/>
              </w:rPr>
              <w:t>MISCELLANEOUS</w:t>
            </w:r>
          </w:p>
        </w:tc>
        <w:tc>
          <w:tcPr>
            <w:tcW w:w="1700" w:type="dxa"/>
            <w:vAlign w:val="bottom"/>
          </w:tcPr>
          <w:p>
            <w:pPr>
              <w:spacing w:after="0"/>
              <w:rPr>
                <w:sz w:val="24"/>
                <w:szCs w:val="24"/>
                <w:color w:val="auto"/>
              </w:rPr>
            </w:pPr>
          </w:p>
        </w:tc>
      </w:tr>
      <w:tr>
        <w:trPr>
          <w:trHeight w:val="40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Trust Indenture Act of 1939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Notices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Certificate and Opinion as to Conditions Precedent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Statements Required in Certificate or Opinion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Ownership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Rules by Trustee, Paying Agent or Registrar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i w:val="1"/>
                <w:iCs w:val="1"/>
                <w:color w:val="auto"/>
              </w:rPr>
              <w:t>Payment Date Other Than a Business Day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i w:val="1"/>
                <w:iCs w:val="1"/>
                <w:color w:val="auto"/>
              </w:rPr>
              <w:t>Governing Law</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i w:val="1"/>
                <w:iCs w:val="1"/>
                <w:color w:val="auto"/>
              </w:rPr>
              <w:t>No Adverse Interpretation of Other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i w:val="1"/>
                <w:iCs w:val="1"/>
                <w:color w:val="auto"/>
              </w:rPr>
              <w:t>Successors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i w:val="1"/>
                <w:iCs w:val="1"/>
                <w:color w:val="auto"/>
              </w:rPr>
              <w:t>Duplicate Originals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i w:val="1"/>
                <w:iCs w:val="1"/>
                <w:color w:val="auto"/>
              </w:rPr>
              <w:t>Separability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i w:val="1"/>
                <w:iCs w:val="1"/>
                <w:color w:val="auto"/>
              </w:rPr>
              <w:t>Table of Contents, Headings, Etc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i w:val="1"/>
                <w:iCs w:val="1"/>
                <w:color w:val="auto"/>
              </w:rPr>
              <w:t>Incorporators, Stockholders, Officers and Directors of Company Exempt from Individual Liability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i w:val="1"/>
                <w:iCs w:val="1"/>
                <w:color w:val="auto"/>
              </w:rPr>
              <w:t>Judgment Currency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i w:val="1"/>
                <w:iCs w:val="1"/>
                <w:color w:val="auto"/>
              </w:rPr>
              <w:t>Waiver of Jury Trial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i w:val="1"/>
                <w:iCs w:val="1"/>
                <w:color w:val="auto"/>
              </w:rPr>
              <w:t>Force Majeure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52"/>
        </w:trPr>
        <w:tc>
          <w:tcPr>
            <w:tcW w:w="9720" w:type="dxa"/>
            <w:vAlign w:val="bottom"/>
          </w:tcPr>
          <w:p>
            <w:pPr>
              <w:jc w:val="center"/>
              <w:ind w:left="1629"/>
              <w:spacing w:after="0"/>
              <w:rPr>
                <w:sz w:val="20"/>
                <w:szCs w:val="20"/>
                <w:color w:val="auto"/>
              </w:rPr>
            </w:pPr>
            <w:r>
              <w:rPr>
                <w:rFonts w:ascii="Times New Roman" w:cs="Times New Roman" w:eastAsia="Times New Roman" w:hAnsi="Times New Roman"/>
                <w:sz w:val="20"/>
                <w:szCs w:val="20"/>
                <w:color w:val="auto"/>
                <w:w w:val="98"/>
              </w:rPr>
              <w:t>A</w:t>
            </w:r>
            <w:r>
              <w:rPr>
                <w:rFonts w:ascii="Times New Roman" w:cs="Times New Roman" w:eastAsia="Times New Roman" w:hAnsi="Times New Roman"/>
                <w:sz w:val="13"/>
                <w:szCs w:val="13"/>
                <w:color w:val="auto"/>
                <w:w w:val="98"/>
              </w:rPr>
              <w:t>RTICLE</w:t>
            </w:r>
            <w:r>
              <w:rPr>
                <w:rFonts w:ascii="Times New Roman" w:cs="Times New Roman" w:eastAsia="Times New Roman" w:hAnsi="Times New Roman"/>
                <w:sz w:val="20"/>
                <w:szCs w:val="20"/>
                <w:color w:val="auto"/>
                <w:w w:val="98"/>
              </w:rPr>
              <w:t xml:space="preserve"> 11</w:t>
            </w:r>
          </w:p>
        </w:tc>
        <w:tc>
          <w:tcPr>
            <w:tcW w:w="1700" w:type="dxa"/>
            <w:vAlign w:val="bottom"/>
          </w:tcPr>
          <w:p>
            <w:pPr>
              <w:spacing w:after="0"/>
              <w:rPr>
                <w:sz w:val="24"/>
                <w:szCs w:val="24"/>
                <w:color w:val="auto"/>
              </w:rPr>
            </w:pPr>
          </w:p>
        </w:tc>
      </w:tr>
      <w:tr>
        <w:trPr>
          <w:trHeight w:val="446"/>
        </w:trPr>
        <w:tc>
          <w:tcPr>
            <w:tcW w:w="9720" w:type="dxa"/>
            <w:vAlign w:val="bottom"/>
          </w:tcPr>
          <w:p>
            <w:pPr>
              <w:jc w:val="center"/>
              <w:ind w:left="1629"/>
              <w:spacing w:after="0"/>
              <w:rPr>
                <w:sz w:val="20"/>
                <w:szCs w:val="20"/>
                <w:color w:val="auto"/>
              </w:rPr>
            </w:pPr>
            <w:r>
              <w:rPr>
                <w:rFonts w:ascii="Times New Roman" w:cs="Times New Roman" w:eastAsia="Times New Roman" w:hAnsi="Times New Roman"/>
                <w:sz w:val="20"/>
                <w:szCs w:val="20"/>
                <w:color w:val="auto"/>
                <w:w w:val="98"/>
              </w:rPr>
              <w:t>SUBORDINATION OF SECURITIES</w:t>
            </w:r>
          </w:p>
        </w:tc>
        <w:tc>
          <w:tcPr>
            <w:tcW w:w="1700" w:type="dxa"/>
            <w:vAlign w:val="bottom"/>
          </w:tcPr>
          <w:p>
            <w:pPr>
              <w:spacing w:after="0"/>
              <w:rPr>
                <w:sz w:val="24"/>
                <w:szCs w:val="24"/>
                <w:color w:val="auto"/>
              </w:rPr>
            </w:pPr>
          </w:p>
        </w:tc>
      </w:tr>
      <w:tr>
        <w:trPr>
          <w:trHeight w:val="40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Agreement to Subordinate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Payments to Securityholders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Subrogation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Authorization by Securityholders</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Notice to Trustee</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Trustee’s Relation to Senior Indebtedness</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No Impairment of Subordination</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96" w:name="page97"/>
    <w:bookmarkEnd w:id="96"/>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SUBORDINATED INDENTURE, dated as of , 20 , between AC Immune SA, a Swiss stock corporation organized under the laws of Switzerland, as the Company, and , as Trustee.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has duly authorized the issue from time to time of its subordinated debentures, notes or other evidences of indebtedness to be issued in one or more series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p>
      <w:pPr>
        <w:spacing w:after="0" w:line="22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Registrar, Paying Agent, transfer agent or Authenticating Agent.</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spacing w:after="0" w:line="155" w:lineRule="exact"/>
        <w:rPr>
          <w:sz w:val="20"/>
          <w:szCs w:val="20"/>
          <w:color w:val="auto"/>
        </w:rPr>
      </w:pPr>
    </w:p>
    <w:p>
      <w:pPr>
        <w:ind w:right="5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7" w:name="page98"/>
    <w:bookmarkEnd w:id="97"/>
    <w:p>
      <w:pPr>
        <w:ind w:right="140"/>
        <w:spacing w:after="0" w:line="282" w:lineRule="auto"/>
        <w:rPr>
          <w:sz w:val="20"/>
          <w:szCs w:val="20"/>
          <w:color w:val="auto"/>
        </w:rPr>
      </w:pPr>
      <w:r>
        <w:rPr>
          <w:rFonts w:ascii="Times New Roman" w:cs="Times New Roman" w:eastAsia="Times New Roman" w:hAnsi="Times New Roman"/>
          <w:sz w:val="18"/>
          <w:szCs w:val="18"/>
          <w:color w:val="auto"/>
        </w:rPr>
        <w:t>deposits in London, or with respect to Securities denominated in a specified currency other than United States dollars, in the principal financial center of the country of the specified currency.</w:t>
      </w:r>
    </w:p>
    <w:p>
      <w:pPr>
        <w:spacing w:after="0" w:line="15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party named as such in the first paragraph of this Indenture until a successor replaces it pursuant to Article 5 of this Indenture and thereafter means the successor.</w:t>
      </w:r>
    </w:p>
    <w:p>
      <w:pPr>
        <w:spacing w:after="0" w:line="15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office of the Trustee at which the corporate trust business of the Trustee shall, at any particular time, be administered, which office is, at the date of this Indenture, located at Attention: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each Person who is then a Depositary hereunder, and if at any time there is more than one such Person,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as used with respect to the Securities of any such series shall mean the Depositary with respect to the Registered Global Securities of that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by any Person means any obligation, contingent or otherwise, of such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(whether arising by virtue of partnership arrangements, by agreement to keep well, to purchase assets, goods, securities or services, to take-or-pay, or to maintain financial statement conditions or otherwise) or (ii) entered into for the purpose of assuring in any other manner the obligee of such Indebtedness or other obligation of the payment thereof or to protect such obligee against loss in respect thereof (in whole or in part), provided that the term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shall not include endorsements for collection or deposit in the ordinary course of business. The term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when used as a verb has a corresponding meaning.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means the registered holder of any Security.</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as issued by the International Accounting Standards Board, as in effect as of the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at any date, without duplication (i) all obligations of such Person for borrowed money, (ii) all obligations of such Person evidenced by bonds, debentures, notes or similar instruments, (iii) all obligations of such Person in respect of letters of credit or other similar instruments (or reimbursement obligations with respect thereto), (iv) all obligations of such Person to pay the deferred purchase price of property or services, except Trade Payables, (v) all obligations of such Person as a lessee under capital leases, (vi) all Indebtedness of others secured by a lien on any asset of such Person, whether or not such Indebtedness is assumed by such Person, (vii) all Indebtedness of others Guaranteed by such Person.</w:t>
      </w:r>
    </w:p>
    <w:p>
      <w:pPr>
        <w:spacing w:after="0" w:line="180"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spacing w:after="0" w:line="171"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spacing w:after="0" w:line="171" w:lineRule="exact"/>
        <w:rPr>
          <w:sz w:val="20"/>
          <w:szCs w:val="20"/>
          <w:color w:val="auto"/>
        </w:rPr>
      </w:pPr>
    </w:p>
    <w:p>
      <w:pPr>
        <w:jc w:val="both"/>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in the name of the Company (i) by the chairman of the board of directors, the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spacing w:after="0" w:line="177"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Discount Security</w:t>
      </w:r>
      <w:r>
        <w:rPr>
          <w:rFonts w:ascii="Times New Roman" w:cs="Times New Roman" w:eastAsia="Times New Roman" w:hAnsi="Times New Roman"/>
          <w:sz w:val="18"/>
          <w:szCs w:val="18"/>
          <w:color w:val="auto"/>
        </w:rPr>
        <w:t>” means any Security that provides for an amount less than the principal amount thereof to be due and payable upon a declaration of acceleration of the maturity thereof pursuant to Section 6.02.</w:t>
      </w:r>
    </w:p>
    <w:p>
      <w:pPr>
        <w:spacing w:after="0" w:line="15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Offering</w:t>
      </w:r>
      <w:r>
        <w:rPr>
          <w:rFonts w:ascii="Times New Roman" w:cs="Times New Roman" w:eastAsia="Times New Roman" w:hAnsi="Times New Roman"/>
          <w:sz w:val="18"/>
          <w:szCs w:val="18"/>
          <w:color w:val="auto"/>
        </w:rPr>
        <w:t>” means an offering of Securities of a series from time to time, the specific terms of which Securities, including, without limitation, the rate or rates of</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76" w:right="319" w:bottom="1440" w:gutter="0" w:footer="0" w:header="0"/>
        </w:sectPr>
      </w:pPr>
    </w:p>
    <w:bookmarkStart w:id="99" w:name="page100"/>
    <w:bookmarkEnd w:id="99"/>
    <w:p>
      <w:pPr>
        <w:ind w:right="500"/>
        <w:spacing w:after="0" w:line="282" w:lineRule="auto"/>
        <w:rPr>
          <w:sz w:val="20"/>
          <w:szCs w:val="20"/>
          <w:color w:val="auto"/>
        </w:rPr>
      </w:pPr>
      <w:r>
        <w:rPr>
          <w:rFonts w:ascii="Times New Roman" w:cs="Times New Roman" w:eastAsia="Times New Roman" w:hAnsi="Times New Roman"/>
          <w:sz w:val="18"/>
          <w:szCs w:val="18"/>
          <w:color w:val="auto"/>
        </w:rPr>
        <w:t>interest, if any, thereon, the stated maturity or maturities thereof and the redemption provisions, if any, with respect thereto, are to be determined by the Company or its agents upon the issuance of such Securities.</w:t>
      </w:r>
    </w:p>
    <w:p>
      <w:pPr>
        <w:spacing w:after="0" w:line="158"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Principal</w:t>
      </w:r>
      <w:r>
        <w:rPr>
          <w:rFonts w:ascii="Times New Roman" w:cs="Times New Roman" w:eastAsia="Times New Roman" w:hAnsi="Times New Roman"/>
          <w:sz w:val="17"/>
          <w:szCs w:val="17"/>
          <w:color w:val="auto"/>
        </w:rPr>
        <w:t>” of a Security means the principal amount of, and, unless the context indicates otherwise, includes any premium payable on, the Security.</w:t>
      </w:r>
    </w:p>
    <w:p>
      <w:pPr>
        <w:spacing w:after="0" w:line="237"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Global Security</w:t>
      </w:r>
      <w:r>
        <w:rPr>
          <w:rFonts w:ascii="Times New Roman" w:cs="Times New Roman" w:eastAsia="Times New Roman" w:hAnsi="Times New Roman"/>
          <w:sz w:val="18"/>
          <w:szCs w:val="18"/>
          <w:color w:val="auto"/>
        </w:rPr>
        <w:t>” means a Security evidencing all or a part of a series of Securities, issued to the Depositary for such series in accordance with Section 2.02, and bearing the legend prescribed in Section 2.02.</w:t>
      </w:r>
    </w:p>
    <w:p>
      <w:pPr>
        <w:spacing w:after="0" w:line="15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spacing w:after="0" w:line="17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of the securities, as defined in the first paragraph of the recitals hereof, that are authenticated and delivered under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means all Indebtedness of the Company (other than the Securities) including principal and interest (including, without limitation, any interest that would accrue but for the filing of a petition initiating any proceeding referred to in Section 11.02 hereof) on such Indebtedness, created, incurred or assumed on or after the date of the first issuance of any Securities, unless such Indebtedness, but its terms or the terms of the instrument creating or evidencing it, is subordinate in right of payment to, or pari passu with, the Securities; provided, that the term Senior Indebtedness shall not include</w:t>
      </w:r>
    </w:p>
    <w:p>
      <w:pPr>
        <w:ind w:right="160" w:firstLine="8"/>
        <w:spacing w:after="0" w:line="255"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the Company which, when incurred and without respect to any election under Section 111(b) of Title II, United States Code, with or without recourse to the Company, (b) any Indebtedness of the Company to a Subsidiary, (c) Indebtedness to any employee of the Company and (d) Trade Payables.</w:t>
      </w:r>
    </w:p>
    <w:p>
      <w:pPr>
        <w:spacing w:after="0" w:line="182"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71" w:lineRule="exact"/>
        <w:rPr>
          <w:sz w:val="20"/>
          <w:szCs w:val="20"/>
          <w:color w:val="auto"/>
        </w:rPr>
      </w:pPr>
    </w:p>
    <w:p>
      <w:pPr>
        <w:jc w:val="both"/>
        <w:ind w:right="4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Payables</w:t>
      </w:r>
      <w:r>
        <w:rPr>
          <w:rFonts w:ascii="Times New Roman" w:cs="Times New Roman" w:eastAsia="Times New Roman" w:hAnsi="Times New Roman"/>
          <w:sz w:val="18"/>
          <w:szCs w:val="18"/>
          <w:color w:val="auto"/>
        </w:rPr>
        <w:t>”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0" w:name="page101"/>
    <w:bookmarkEnd w:id="100"/>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(15 U.S. Code §§ 77aaa-77bbbb), as it may be amended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Obligations</w:t>
      </w:r>
      <w:r>
        <w:rPr>
          <w:rFonts w:ascii="Times New Roman" w:cs="Times New Roman" w:eastAsia="Times New Roman" w:hAnsi="Times New Roman"/>
          <w:sz w:val="18"/>
          <w:szCs w:val="18"/>
          <w:color w:val="auto"/>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spacing w:after="0" w:line="180"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Yield to Maturity</w:t>
      </w:r>
      <w:r>
        <w:rPr>
          <w:rFonts w:ascii="Times New Roman" w:cs="Times New Roman" w:eastAsia="Times New Roman" w:hAnsi="Times New Roman"/>
          <w:sz w:val="18"/>
          <w:szCs w:val="18"/>
          <w:color w:val="auto"/>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 Each of the following terms is defined in the section set forth opposite such term: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4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1"/>
        </w:trPr>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Authenticating Agent</w:t>
            </w:r>
          </w:p>
        </w:tc>
        <w:tc>
          <w:tcPr>
            <w:tcW w:w="4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Transaction</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Judgment Currency</w:t>
            </w: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mandatory sinking fund payment</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optional sinking fund payment</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Registrar</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Required Currency</w:t>
            </w: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Security Register</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self-liquidating paper</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sinking fund payment date</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4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5.01(a)</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tranche</w:t>
            </w:r>
          </w:p>
        </w:tc>
        <w:tc>
          <w:tcPr>
            <w:tcW w:w="740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color w:val="auto"/>
              </w:rPr>
              <w:t>2.14</w:t>
            </w:r>
          </w:p>
        </w:tc>
      </w:tr>
      <w:tr>
        <w:trPr>
          <w:trHeight w:val="324"/>
        </w:trPr>
        <w:tc>
          <w:tcPr>
            <w:tcW w:w="40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1" w:name="page102"/>
    <w:bookmarkEnd w:id="101"/>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Incorporation by Reference of Trust Indenture Act</w:t>
      </w:r>
      <w:r>
        <w:rPr>
          <w:rFonts w:ascii="Times New Roman" w:cs="Times New Roman" w:eastAsia="Times New Roman" w:hAnsi="Times New Roman"/>
          <w:sz w:val="18"/>
          <w:szCs w:val="18"/>
          <w:color w:val="auto"/>
        </w:rPr>
        <w:t>.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security holder</w:t>
      </w:r>
      <w:r>
        <w:rPr>
          <w:rFonts w:ascii="Times New Roman" w:cs="Times New Roman" w:eastAsia="Times New Roman" w:hAnsi="Times New Roman"/>
          <w:sz w:val="18"/>
          <w:szCs w:val="18"/>
          <w:color w:val="auto"/>
        </w:rPr>
        <w:t>” means a Holder or a Securityholder;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trustee</w:t>
      </w:r>
      <w:r>
        <w:rPr>
          <w:rFonts w:ascii="Times New Roman" w:cs="Times New Roman" w:eastAsia="Times New Roman" w:hAnsi="Times New Roman"/>
          <w:sz w:val="18"/>
          <w:szCs w:val="18"/>
          <w:color w:val="auto"/>
        </w:rPr>
        <w:t>” or “institutional trustee” means the Trustee;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on the indenture securities means the Company or any other obligor on the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Unless the context otherwise requires:</w:t>
      </w:r>
    </w:p>
    <w:p>
      <w:pPr>
        <w:spacing w:after="0" w:line="227" w:lineRule="exact"/>
        <w:rPr>
          <w:sz w:val="20"/>
          <w:szCs w:val="20"/>
          <w:color w:val="auto"/>
        </w:rPr>
      </w:pPr>
    </w:p>
    <w:p>
      <w:pPr>
        <w:ind w:left="1360" w:hanging="509"/>
        <w:spacing w:after="0"/>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IFRS;</w:t>
      </w:r>
    </w:p>
    <w:p>
      <w:pPr>
        <w:spacing w:after="0" w:line="225"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225"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w:t>
      </w:r>
    </w:p>
    <w:p>
      <w:pPr>
        <w:spacing w:after="0" w:line="206"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Sections or Articles refer to Sections or Articles of this Indenture unless otherwise indicated; and</w:t>
      </w:r>
    </w:p>
    <w:p>
      <w:pPr>
        <w:spacing w:after="0" w:line="225" w:lineRule="exact"/>
        <w:rPr>
          <w:rFonts w:ascii="Times New Roman" w:cs="Times New Roman" w:eastAsia="Times New Roman" w:hAnsi="Times New Roman"/>
          <w:sz w:val="18"/>
          <w:szCs w:val="18"/>
          <w:color w:val="auto"/>
        </w:rPr>
      </w:pPr>
    </w:p>
    <w:p>
      <w:pPr>
        <w:ind w:right="60" w:firstLine="851"/>
        <w:spacing w:after="0" w:line="282" w:lineRule="auto"/>
        <w:tabs>
          <w:tab w:leader="none" w:pos="13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masculine, feminine or neuter pronouns should not be deemed a limitation, and the use of any such pronouns should be construed to include, where appropriate, the other pronouns.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0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02" w:name="page103"/>
    <w:bookmarkEnd w:id="102"/>
    <w:p>
      <w:pPr>
        <w:ind w:right="60"/>
        <w:spacing w:after="0" w:line="282" w:lineRule="auto"/>
        <w:rPr>
          <w:sz w:val="20"/>
          <w:szCs w:val="20"/>
          <w:color w:val="auto"/>
        </w:rPr>
      </w:pPr>
      <w:r>
        <w:rPr>
          <w:rFonts w:ascii="Times New Roman" w:cs="Times New Roman" w:eastAsia="Times New Roman" w:hAnsi="Times New Roman"/>
          <w:sz w:val="18"/>
          <w:szCs w:val="18"/>
          <w:color w:val="auto"/>
        </w:rPr>
        <w:t>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spacing w:after="0" w:line="16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r>
        <w:rPr>
          <w:rFonts w:ascii="Times New Roman" w:cs="Times New Roman" w:eastAsia="Times New Roman" w:hAnsi="Times New Roman"/>
          <w:sz w:val="18"/>
          <w:szCs w:val="18"/>
          <w:color w:val="auto"/>
        </w:rPr>
        <w:t>.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Trustee, at the expense of the Company, may appoint an authenticating agent (the “Authenticating Agent”) to authenticate Securities. The Authenticating Agent may authenticate Securities whenever the Trustee may do so. Each reference in this Indenture to authentication by the Trustee includes authentication by such Authenticating Agent.</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the Trustee or Authenticating Agent manually signs the certificate of authentication on the Security. The signature shall be conclusive evidence that the Security has been authenticated under this Indenture.</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spacing w:after="0" w:line="184" w:lineRule="exact"/>
        <w:rPr>
          <w:sz w:val="20"/>
          <w:szCs w:val="20"/>
          <w:color w:val="auto"/>
        </w:rPr>
      </w:pPr>
    </w:p>
    <w:p>
      <w:pPr>
        <w:ind w:right="120" w:firstLine="851"/>
        <w:spacing w:after="0" w:line="282" w:lineRule="auto"/>
        <w:tabs>
          <w:tab w:leader="none" w:pos="13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Board Resolution and/or executed supplemental indenture referred to in Sections 2.01 and 2.03 by or pursuant to which the forms and terms of the Securities of that series were established;</w:t>
      </w:r>
    </w:p>
    <w:p>
      <w:pPr>
        <w:spacing w:after="0" w:line="161" w:lineRule="exact"/>
        <w:rPr>
          <w:rFonts w:ascii="Times New Roman" w:cs="Times New Roman" w:eastAsia="Times New Roman" w:hAnsi="Times New Roman"/>
          <w:sz w:val="18"/>
          <w:szCs w:val="18"/>
          <w:color w:val="auto"/>
        </w:rPr>
      </w:pPr>
    </w:p>
    <w:p>
      <w:pPr>
        <w:ind w:firstLine="851"/>
        <w:spacing w:after="0" w:line="266" w:lineRule="auto"/>
        <w:tabs>
          <w:tab w:leader="none" w:pos="13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spacing w:after="0" w:line="176" w:lineRule="exact"/>
        <w:rPr>
          <w:rFonts w:ascii="Times New Roman" w:cs="Times New Roman" w:eastAsia="Times New Roman" w:hAnsi="Times New Roman"/>
          <w:sz w:val="18"/>
          <w:szCs w:val="18"/>
          <w:color w:val="auto"/>
        </w:rPr>
      </w:pPr>
    </w:p>
    <w:p>
      <w:pPr>
        <w:ind w:right="80" w:firstLine="851"/>
        <w:spacing w:after="0" w:line="258" w:lineRule="auto"/>
        <w:tabs>
          <w:tab w:leader="none" w:pos="13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3" w:name="page104"/>
    <w:bookmarkEnd w:id="103"/>
    <w:p>
      <w:pPr>
        <w:ind w:right="460"/>
        <w:spacing w:after="0" w:line="282" w:lineRule="auto"/>
        <w:rPr>
          <w:sz w:val="20"/>
          <w:szCs w:val="20"/>
          <w:color w:val="auto"/>
        </w:rPr>
      </w:pPr>
      <w:r>
        <w:rPr>
          <w:rFonts w:ascii="Times New Roman" w:cs="Times New Roman" w:eastAsia="Times New Roman" w:hAnsi="Times New Roman"/>
          <w:sz w:val="18"/>
          <w:szCs w:val="18"/>
          <w:color w:val="auto"/>
        </w:rPr>
        <w:t>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spacing w:after="0" w:line="18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spacing w:after="0" w:line="176" w:lineRule="exact"/>
        <w:rPr>
          <w:sz w:val="20"/>
          <w:szCs w:val="20"/>
          <w:color w:val="auto"/>
        </w:rPr>
      </w:pPr>
    </w:p>
    <w:p>
      <w:pPr>
        <w:jc w:val="both"/>
        <w:ind w:right="120" w:firstLine="648"/>
        <w:spacing w:after="0" w:line="270" w:lineRule="auto"/>
        <w:rPr>
          <w:sz w:val="20"/>
          <w:szCs w:val="20"/>
          <w:color w:val="auto"/>
        </w:rPr>
      </w:pPr>
      <w:r>
        <w:rPr>
          <w:rFonts w:ascii="Times New Roman" w:cs="Times New Roman" w:eastAsia="Times New Roman" w:hAnsi="Times New Roman"/>
          <w:sz w:val="17"/>
          <w:szCs w:val="17"/>
          <w:color w:val="auto"/>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w:t>
      </w:r>
    </w:p>
    <w:p>
      <w:pPr>
        <w:spacing w:after="0" w:line="3" w:lineRule="exact"/>
        <w:rPr>
          <w:sz w:val="20"/>
          <w:szCs w:val="20"/>
          <w:color w:val="auto"/>
        </w:rPr>
      </w:pPr>
    </w:p>
    <w:p>
      <w:pPr>
        <w:ind w:firstLine="8"/>
        <w:spacing w:after="0" w:line="253" w:lineRule="auto"/>
        <w:tabs>
          <w:tab w:leader="none" w:pos="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Securities may be issued in one or more series and each such series shall rank equally and pari passu with the Securities of each other series, but all Securities hereunder shall be subordinate and junior in right of payment, to the extent and manner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4" w:name="page105"/>
    <w:bookmarkEnd w:id="104"/>
    <w:p>
      <w:pPr>
        <w:ind w:right="520"/>
        <w:spacing w:after="0" w:line="282" w:lineRule="auto"/>
        <w:rPr>
          <w:sz w:val="20"/>
          <w:szCs w:val="20"/>
          <w:color w:val="auto"/>
        </w:rPr>
      </w:pPr>
      <w:r>
        <w:rPr>
          <w:rFonts w:ascii="Times New Roman" w:cs="Times New Roman" w:eastAsia="Times New Roman" w:hAnsi="Times New Roman"/>
          <w:sz w:val="18"/>
          <w:szCs w:val="18"/>
          <w:color w:val="auto"/>
        </w:rPr>
        <w:t>set forth in Article 11, to all Senior Indebtedness. There shall be established in or pursuant to Board Resolution or one or more indentures supplemental hereto, prior to the initial issuance of Securities of any series, subject to the last sentence of this Section 2.03,</w:t>
      </w:r>
    </w:p>
    <w:p>
      <w:pPr>
        <w:spacing w:after="0" w:line="162" w:lineRule="exact"/>
        <w:rPr>
          <w:sz w:val="20"/>
          <w:szCs w:val="20"/>
          <w:color w:val="auto"/>
        </w:rPr>
      </w:pPr>
    </w:p>
    <w:p>
      <w:pPr>
        <w:ind w:left="1360" w:hanging="509"/>
        <w:spacing w:after="0"/>
        <w:tabs>
          <w:tab w:leader="none" w:pos="1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Securities of the series, which shall distinguish the Securities of the series from the Securities of all other series;</w:t>
      </w:r>
    </w:p>
    <w:p>
      <w:pPr>
        <w:spacing w:after="0" w:line="225" w:lineRule="exact"/>
        <w:rPr>
          <w:rFonts w:ascii="Times New Roman" w:cs="Times New Roman" w:eastAsia="Times New Roman" w:hAnsi="Times New Roman"/>
          <w:sz w:val="18"/>
          <w:szCs w:val="18"/>
          <w:color w:val="auto"/>
        </w:rPr>
      </w:pPr>
    </w:p>
    <w:p>
      <w:pPr>
        <w:jc w:val="both"/>
        <w:ind w:firstLine="851"/>
        <w:spacing w:after="0" w:line="261" w:lineRule="auto"/>
        <w:tabs>
          <w:tab w:leader="none" w:pos="13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spacing w:after="0" w:line="180"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(which date or dates may be fixed or extendible);</w:t>
      </w:r>
    </w:p>
    <w:p>
      <w:pPr>
        <w:spacing w:after="0" w:line="225" w:lineRule="exact"/>
        <w:rPr>
          <w:rFonts w:ascii="Times New Roman" w:cs="Times New Roman" w:eastAsia="Times New Roman" w:hAnsi="Times New Roman"/>
          <w:sz w:val="18"/>
          <w:szCs w:val="18"/>
          <w:color w:val="auto"/>
        </w:rPr>
      </w:pPr>
    </w:p>
    <w:p>
      <w:pPr>
        <w:jc w:val="both"/>
        <w:ind w:right="40" w:firstLine="851"/>
        <w:spacing w:after="0" w:line="266" w:lineRule="auto"/>
        <w:tabs>
          <w:tab w:leader="none" w:pos="13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spacing w:after="0" w:line="176" w:lineRule="exact"/>
        <w:rPr>
          <w:rFonts w:ascii="Times New Roman" w:cs="Times New Roman" w:eastAsia="Times New Roman" w:hAnsi="Times New Roman"/>
          <w:sz w:val="18"/>
          <w:szCs w:val="18"/>
          <w:color w:val="auto"/>
        </w:rPr>
      </w:pPr>
    </w:p>
    <w:p>
      <w:pPr>
        <w:ind w:right="100" w:firstLine="851"/>
        <w:spacing w:after="0" w:line="266" w:lineRule="auto"/>
        <w:tabs>
          <w:tab w:leader="none" w:pos="13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as provided in Section 4.02, the place or places where the principal of and any interest on Securities of the series shall be payable, any Securities of the series may be surrendered for exchange, notices, demands to or upon the Company in respect of the Securities of the series and this Indenture may be served;</w:t>
      </w:r>
    </w:p>
    <w:p>
      <w:pPr>
        <w:spacing w:after="0" w:line="176" w:lineRule="exact"/>
        <w:rPr>
          <w:rFonts w:ascii="Times New Roman" w:cs="Times New Roman" w:eastAsia="Times New Roman" w:hAnsi="Times New Roman"/>
          <w:sz w:val="18"/>
          <w:szCs w:val="18"/>
          <w:color w:val="auto"/>
        </w:rPr>
      </w:pPr>
    </w:p>
    <w:p>
      <w:pPr>
        <w:jc w:val="both"/>
        <w:ind w:right="60" w:firstLine="851"/>
        <w:spacing w:after="0" w:line="313" w:lineRule="auto"/>
        <w:tabs>
          <w:tab w:leader="none" w:pos="133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spacing w:after="0" w:line="138" w:lineRule="exact"/>
        <w:rPr>
          <w:rFonts w:ascii="Times New Roman" w:cs="Times New Roman" w:eastAsia="Times New Roman" w:hAnsi="Times New Roman"/>
          <w:sz w:val="17"/>
          <w:szCs w:val="17"/>
          <w:color w:val="auto"/>
        </w:rPr>
      </w:pPr>
    </w:p>
    <w:p>
      <w:pPr>
        <w:jc w:val="both"/>
        <w:ind w:right="60" w:firstLine="851"/>
        <w:spacing w:after="0" w:line="266" w:lineRule="auto"/>
        <w:tabs>
          <w:tab w:leader="none" w:pos="13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spacing w:after="0" w:line="176"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higher integral multiple of $1,000, the denominations in which Securities of the series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issuable;</w:t>
      </w:r>
    </w:p>
    <w:p>
      <w:pPr>
        <w:spacing w:after="0" w:line="206" w:lineRule="exact"/>
        <w:rPr>
          <w:rFonts w:ascii="Times New Roman" w:cs="Times New Roman" w:eastAsia="Times New Roman" w:hAnsi="Times New Roman"/>
          <w:sz w:val="18"/>
          <w:szCs w:val="18"/>
          <w:color w:val="auto"/>
        </w:rPr>
      </w:pPr>
    </w:p>
    <w:p>
      <w:pPr>
        <w:ind w:right="560" w:firstLine="851"/>
        <w:spacing w:after="0" w:line="282" w:lineRule="auto"/>
        <w:tabs>
          <w:tab w:leader="none" w:pos="13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5" w:name="page106"/>
    <w:bookmarkEnd w:id="105"/>
    <w:p>
      <w:pPr>
        <w:ind w:firstLine="851"/>
        <w:spacing w:after="0" w:line="261" w:lineRule="auto"/>
        <w:tabs>
          <w:tab w:leader="none" w:pos="1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spacing w:after="0" w:line="180" w:lineRule="exact"/>
        <w:rPr>
          <w:rFonts w:ascii="Times New Roman" w:cs="Times New Roman" w:eastAsia="Times New Roman" w:hAnsi="Times New Roman"/>
          <w:sz w:val="18"/>
          <w:szCs w:val="18"/>
          <w:color w:val="auto"/>
        </w:rPr>
      </w:pPr>
    </w:p>
    <w:p>
      <w:pPr>
        <w:ind w:right="20" w:firstLine="851"/>
        <w:spacing w:after="0" w:line="266" w:lineRule="auto"/>
        <w:tabs>
          <w:tab w:leader="none" w:pos="13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spacing w:after="0" w:line="176" w:lineRule="exact"/>
        <w:rPr>
          <w:rFonts w:ascii="Times New Roman" w:cs="Times New Roman" w:eastAsia="Times New Roman" w:hAnsi="Times New Roman"/>
          <w:sz w:val="18"/>
          <w:szCs w:val="18"/>
          <w:color w:val="auto"/>
        </w:rPr>
      </w:pPr>
    </w:p>
    <w:p>
      <w:pPr>
        <w:ind w:left="1340" w:hanging="489"/>
        <w:spacing w:after="0"/>
        <w:tabs>
          <w:tab w:leader="none" w:pos="1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or any portion thereof will be issuable as Global Securities;</w:t>
      </w:r>
    </w:p>
    <w:p>
      <w:pPr>
        <w:spacing w:after="0" w:line="225" w:lineRule="exact"/>
        <w:rPr>
          <w:rFonts w:ascii="Times New Roman" w:cs="Times New Roman" w:eastAsia="Times New Roman" w:hAnsi="Times New Roman"/>
          <w:sz w:val="18"/>
          <w:szCs w:val="18"/>
          <w:color w:val="auto"/>
        </w:rPr>
      </w:pPr>
    </w:p>
    <w:p>
      <w:pPr>
        <w:ind w:left="1420" w:hanging="569"/>
        <w:spacing w:after="0"/>
        <w:tabs>
          <w:tab w:leader="none" w:pos="1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may be exchangeable for and/or convertible into the common stock of the Company or any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w:t>
      </w:r>
    </w:p>
    <w:p>
      <w:pPr>
        <w:spacing w:after="0" w:line="206" w:lineRule="exact"/>
        <w:rPr>
          <w:rFonts w:ascii="Times New Roman" w:cs="Times New Roman" w:eastAsia="Times New Roman" w:hAnsi="Times New Roman"/>
          <w:sz w:val="18"/>
          <w:szCs w:val="18"/>
          <w:color w:val="auto"/>
        </w:rPr>
      </w:pPr>
    </w:p>
    <w:p>
      <w:pPr>
        <w:ind w:firstLine="851"/>
        <w:spacing w:after="0" w:line="266" w:lineRule="auto"/>
        <w:tabs>
          <w:tab w:leader="none" w:pos="13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spacing w:after="0" w:line="176" w:lineRule="exact"/>
        <w:rPr>
          <w:rFonts w:ascii="Times New Roman" w:cs="Times New Roman" w:eastAsia="Times New Roman" w:hAnsi="Times New Roman"/>
          <w:sz w:val="18"/>
          <w:szCs w:val="18"/>
          <w:color w:val="auto"/>
        </w:rPr>
      </w:pPr>
    </w:p>
    <w:p>
      <w:pPr>
        <w:jc w:val="both"/>
        <w:ind w:right="20" w:firstLine="851"/>
        <w:spacing w:after="0" w:line="266" w:lineRule="auto"/>
        <w:tabs>
          <w:tab w:leader="none" w:pos="13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76"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depositaries, authenticating or paying agents, transfer agents or the registrar or any other agents with respect to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series;</w:t>
      </w:r>
    </w:p>
    <w:p>
      <w:pPr>
        <w:spacing w:after="0" w:line="206" w:lineRule="exact"/>
        <w:rPr>
          <w:rFonts w:ascii="Times New Roman" w:cs="Times New Roman" w:eastAsia="Times New Roman" w:hAnsi="Times New Roman"/>
          <w:sz w:val="18"/>
          <w:szCs w:val="18"/>
          <w:color w:val="auto"/>
        </w:rPr>
      </w:pPr>
    </w:p>
    <w:p>
      <w:pPr>
        <w:jc w:val="both"/>
        <w:ind w:right="20" w:firstLine="851"/>
        <w:spacing w:after="0" w:line="313" w:lineRule="auto"/>
        <w:tabs>
          <w:tab w:leader="none" w:pos="136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spacing w:after="0" w:line="138" w:lineRule="exact"/>
        <w:rPr>
          <w:rFonts w:ascii="Times New Roman" w:cs="Times New Roman" w:eastAsia="Times New Roman" w:hAnsi="Times New Roman"/>
          <w:sz w:val="17"/>
          <w:szCs w:val="17"/>
          <w:color w:val="auto"/>
        </w:rPr>
      </w:pPr>
    </w:p>
    <w:p>
      <w:pPr>
        <w:ind w:right="160" w:firstLine="851"/>
        <w:spacing w:after="0" w:line="282" w:lineRule="auto"/>
        <w:tabs>
          <w:tab w:leader="none" w:pos="133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issuable in whole or in part as one or more Registered Global Securities, the identity of the Depositary or common Depositary for such Registered Global Security or Securities;</w:t>
      </w:r>
    </w:p>
    <w:p>
      <w:pPr>
        <w:spacing w:after="0" w:line="161"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Events of Default or covenants with respect to the Securities of the series; and</w:t>
      </w:r>
    </w:p>
    <w:p>
      <w:pPr>
        <w:spacing w:after="0" w:line="225" w:lineRule="exact"/>
        <w:rPr>
          <w:rFonts w:ascii="Times New Roman" w:cs="Times New Roman" w:eastAsia="Times New Roman" w:hAnsi="Times New Roman"/>
          <w:sz w:val="18"/>
          <w:szCs w:val="18"/>
          <w:color w:val="auto"/>
        </w:rPr>
      </w:pPr>
    </w:p>
    <w:p>
      <w:pPr>
        <w:ind w:left="1340" w:hanging="489"/>
        <w:spacing w:after="0"/>
        <w:tabs>
          <w:tab w:leader="none" w:pos="1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terms shall not be inconsistent with the provisions of this Indenture).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6" w:name="page107"/>
    <w:bookmarkEnd w:id="106"/>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spacing w:after="0" w:line="18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Denomination and Date of Securities; Payments of Interest</w:t>
      </w:r>
      <w:r>
        <w:rPr>
          <w:rFonts w:ascii="Times New Roman" w:cs="Times New Roman" w:eastAsia="Times New Roman" w:hAnsi="Times New Roman"/>
          <w:sz w:val="18"/>
          <w:szCs w:val="18"/>
          <w:color w:val="auto"/>
        </w:rPr>
        <w:t>.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spacing w:after="0" w:line="18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spacing w:after="0" w:line="18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Registrar and Paying Agent; Agents Generally</w:t>
      </w:r>
      <w:r>
        <w:rPr>
          <w:rFonts w:ascii="Times New Roman" w:cs="Times New Roman" w:eastAsia="Times New Roman" w:hAnsi="Times New Roman"/>
          <w:sz w:val="18"/>
          <w:szCs w:val="18"/>
          <w:color w:val="auto"/>
        </w:rPr>
        <w:t>. The Company shall maintain an office or agency where Securities may be presented for registration, registration of 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and an office or agency where Securities may be presented for payment (the “</w:t>
      </w:r>
      <w:r>
        <w:rPr>
          <w:rFonts w:ascii="Times New Roman" w:cs="Times New Roman" w:eastAsia="Times New Roman" w:hAnsi="Times New Roman"/>
          <w:sz w:val="18"/>
          <w:szCs w:val="18"/>
          <w:b w:val="1"/>
          <w:b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which shall be in the Borough of Manhattan, The City of New York.</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The Company shall cause the Registrar to keep a register of the Securities and of their registration, transfer and exchange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have one or more additional Paying Agents or transfer agents with respect to any series.</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an affiliate of the Company shall act as Paying Agent in connection with the defeasance of the Securities or the discharge of this Indenture under Article 8.</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spacing w:after="0" w:line="1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Paying Agent to Hold Money in Trust</w:t>
      </w:r>
      <w:r>
        <w:rPr>
          <w:rFonts w:ascii="Times New Roman" w:cs="Times New Roman" w:eastAsia="Times New Roman" w:hAnsi="Times New Roman"/>
          <w:sz w:val="18"/>
          <w:szCs w:val="18"/>
          <w:color w:val="auto"/>
        </w:rPr>
        <w:t>.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require payment of a sum sufficient to cover any tax or other governmental charge that may be imposed in connection with any exchange or registration of transfer of Securities. No service charge shall be made for any such transaction.</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109" w:name="page110"/>
    <w:bookmarkEnd w:id="109"/>
    <w:p>
      <w:pPr>
        <w:ind w:right="120"/>
        <w:spacing w:after="0" w:line="266" w:lineRule="auto"/>
        <w:rPr>
          <w:sz w:val="20"/>
          <w:szCs w:val="20"/>
          <w:color w:val="auto"/>
        </w:rPr>
      </w:pPr>
      <w:r>
        <w:rPr>
          <w:rFonts w:ascii="Times New Roman" w:cs="Times New Roman" w:eastAsia="Times New Roman" w:hAnsi="Times New Roman"/>
          <w:sz w:val="18"/>
          <w:szCs w:val="18"/>
          <w:color w:val="auto"/>
        </w:rPr>
        <w:t>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4"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spacing w:after="0" w:line="17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spacing w:after="0" w:line="180" w:lineRule="exact"/>
        <w:rPr>
          <w:sz w:val="20"/>
          <w:szCs w:val="20"/>
          <w:color w:val="auto"/>
        </w:rPr>
      </w:pPr>
    </w:p>
    <w:p>
      <w:pPr>
        <w:ind w:right="160" w:firstLine="851"/>
        <w:spacing w:after="0" w:line="266" w:lineRule="auto"/>
        <w:tabs>
          <w:tab w:leader="none" w:pos="135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spacing w:after="0" w:line="176" w:lineRule="exact"/>
        <w:rPr>
          <w:rFonts w:ascii="Times New Roman" w:cs="Times New Roman" w:eastAsia="Times New Roman" w:hAnsi="Times New Roman"/>
          <w:sz w:val="18"/>
          <w:szCs w:val="18"/>
          <w:color w:val="auto"/>
        </w:rPr>
      </w:pPr>
    </w:p>
    <w:p>
      <w:pPr>
        <w:jc w:val="both"/>
        <w:ind w:right="20" w:firstLine="851"/>
        <w:spacing w:after="0" w:line="282" w:lineRule="auto"/>
        <w:tabs>
          <w:tab w:leader="none" w:pos="13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0" w:name="page111"/>
    <w:bookmarkEnd w:id="110"/>
    <w:p>
      <w:pPr>
        <w:ind w:firstLine="648"/>
        <w:spacing w:after="0" w:line="282" w:lineRule="auto"/>
        <w:rPr>
          <w:sz w:val="20"/>
          <w:szCs w:val="20"/>
          <w:color w:val="auto"/>
        </w:rPr>
      </w:pPr>
      <w:r>
        <w:rPr>
          <w:rFonts w:ascii="Times New Roman" w:cs="Times New Roman" w:eastAsia="Times New Roman" w:hAnsi="Times New Roman"/>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spacing w:after="0" w:line="160" w:lineRule="exact"/>
        <w:rPr>
          <w:sz w:val="20"/>
          <w:szCs w:val="20"/>
          <w:color w:val="auto"/>
        </w:rPr>
      </w:pPr>
    </w:p>
    <w:p>
      <w:pPr>
        <w:ind w:right="4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Replacement Securities</w:t>
      </w:r>
      <w:r>
        <w:rPr>
          <w:rFonts w:ascii="Times New Roman" w:cs="Times New Roman" w:eastAsia="Times New Roman" w:hAnsi="Times New Roman"/>
          <w:sz w:val="18"/>
          <w:szCs w:val="18"/>
          <w:color w:val="auto"/>
        </w:rPr>
        <w:t>.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spacing w:after="0" w:line="184"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7"/>
          <w:szCs w:val="17"/>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3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11" w:name="page112"/>
    <w:bookmarkEnd w:id="111"/>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any other rights and remedies with respect to the replacement or payment of mutilated, destroyed, lost or stolen Securities.</w:t>
      </w:r>
    </w:p>
    <w:p>
      <w:pPr>
        <w:spacing w:after="0" w:line="16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Outstanding Securities</w:t>
      </w:r>
      <w:r>
        <w:rPr>
          <w:rFonts w:ascii="Times New Roman" w:cs="Times New Roman" w:eastAsia="Times New Roman" w:hAnsi="Times New Roman"/>
          <w:sz w:val="18"/>
          <w:szCs w:val="18"/>
          <w:color w:val="auto"/>
        </w:rPr>
        <w:t>. 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2.08, it ceases to be outstanding unless and until the Trustee and the Company receive proof satisfactory to them that the replaced Security is held by a holder in due course.</w:t>
      </w:r>
    </w:p>
    <w:p>
      <w:pPr>
        <w:spacing w:after="0" w:line="162"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spacing w:after="0" w:line="1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Security does not cease to be outstanding because the Company or one of its affiliates holds such Security,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Temporary Securities</w:t>
      </w:r>
      <w:r>
        <w:rPr>
          <w:rFonts w:ascii="Times New Roman" w:cs="Times New Roman" w:eastAsia="Times New Roman" w:hAnsi="Times New Roman"/>
          <w:sz w:val="18"/>
          <w:szCs w:val="18"/>
          <w:color w:val="auto"/>
        </w:rPr>
        <w:t>.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2" w:name="page113"/>
    <w:bookmarkEnd w:id="112"/>
    <w:p>
      <w:pPr>
        <w:ind w:right="60"/>
        <w:spacing w:after="0" w:line="266" w:lineRule="auto"/>
        <w:rPr>
          <w:sz w:val="20"/>
          <w:szCs w:val="20"/>
          <w:color w:val="auto"/>
        </w:rPr>
      </w:pPr>
      <w:r>
        <w:rPr>
          <w:rFonts w:ascii="Times New Roman" w:cs="Times New Roman" w:eastAsia="Times New Roman" w:hAnsi="Times New Roman"/>
          <w:sz w:val="18"/>
          <w:szCs w:val="18"/>
          <w:color w:val="auto"/>
        </w:rPr>
        <w:t>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spacing w:after="0" w:line="17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spacing w:after="0" w:line="18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spacing w:after="0" w:line="18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Series May Include Tranches</w:t>
      </w:r>
      <w:r>
        <w:rPr>
          <w:rFonts w:ascii="Times New Roman" w:cs="Times New Roman" w:eastAsia="Times New Roman" w:hAnsi="Times New Roman"/>
          <w:sz w:val="18"/>
          <w:szCs w:val="18"/>
          <w:color w:val="auto"/>
        </w:rPr>
        <w:t>. A series of Securities may include one or more tranches (each a “</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113" w:name="page114"/>
    <w:bookmarkEnd w:id="113"/>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REDEMPTION</w:t>
      </w:r>
    </w:p>
    <w:p>
      <w:pPr>
        <w:spacing w:after="0" w:line="20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7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Notice of Redemption; Partial Redemptions</w:t>
      </w:r>
      <w:r>
        <w:rPr>
          <w:rFonts w:ascii="Times New Roman" w:cs="Times New Roman" w:eastAsia="Times New Roman" w:hAnsi="Times New Roman"/>
          <w:sz w:val="18"/>
          <w:szCs w:val="18"/>
          <w:color w:val="auto"/>
        </w:rPr>
        <w:t>.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spacing w:after="0" w:line="185"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4" w:name="page115"/>
    <w:bookmarkEnd w:id="114"/>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Payment Of Securities Called For Redemption</w:t>
      </w:r>
      <w:r>
        <w:rPr>
          <w:rFonts w:ascii="Times New Roman" w:cs="Times New Roman" w:eastAsia="Times New Roman" w:hAnsi="Times New Roman"/>
          <w:sz w:val="18"/>
          <w:szCs w:val="18"/>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15" w:name="page116"/>
    <w:bookmarkEnd w:id="115"/>
    <w:p>
      <w:pPr>
        <w:ind w:right="40"/>
        <w:spacing w:after="0" w:line="266" w:lineRule="auto"/>
        <w:rPr>
          <w:sz w:val="20"/>
          <w:szCs w:val="20"/>
          <w:color w:val="auto"/>
        </w:rPr>
      </w:pPr>
      <w:r>
        <w:rPr>
          <w:rFonts w:ascii="Times New Roman" w:cs="Times New Roman" w:eastAsia="Times New Roman" w:hAnsi="Times New Roman"/>
          <w:sz w:val="18"/>
          <w:szCs w:val="18"/>
          <w:color w:val="auto"/>
        </w:rPr>
        <w:t>payment specified in said notice,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to the Holders registered as such on the relevant record date subject to the terms and provisions of Sections 2.04 and 2.13 hereof.</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spacing w:after="0" w:line="17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Exclusion of Certain Securities from Eligibility for Selection for Redemption</w:t>
      </w:r>
      <w:r>
        <w:rPr>
          <w:rFonts w:ascii="Times New Roman" w:cs="Times New Roman" w:eastAsia="Times New Roman" w:hAnsi="Times New Roman"/>
          <w:sz w:val="18"/>
          <w:szCs w:val="18"/>
          <w:color w:val="auto"/>
        </w:rPr>
        <w:t>.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Mandatory and Optional Sinking Funds</w:t>
      </w:r>
      <w:r>
        <w:rPr>
          <w:rFonts w:ascii="Times New Roman" w:cs="Times New Roman" w:eastAsia="Times New Roman" w:hAnsi="Times New Roman"/>
          <w:sz w:val="18"/>
          <w:szCs w:val="18"/>
          <w:color w:val="auto"/>
        </w:rPr>
        <w:t>. The minimum amount of any sinking fund payment provided for by the terms of Securities of any series is herein referred to as a “</w:t>
      </w:r>
      <w:r>
        <w:rPr>
          <w:rFonts w:ascii="Times New Roman" w:cs="Times New Roman" w:eastAsia="Times New Roman" w:hAnsi="Times New Roman"/>
          <w:sz w:val="18"/>
          <w:szCs w:val="18"/>
          <w:b w:val="1"/>
          <w:bCs w:val="1"/>
          <w:color w:val="auto"/>
        </w:rPr>
        <w:t>mandatory sinking fund payment</w:t>
      </w:r>
      <w:r>
        <w:rPr>
          <w:rFonts w:ascii="Times New Roman" w:cs="Times New Roman" w:eastAsia="Times New Roman" w:hAnsi="Times New Roman"/>
          <w:sz w:val="18"/>
          <w:szCs w:val="18"/>
          <w:color w:val="auto"/>
        </w:rPr>
        <w:t>”, and any payment in excess of such minimum amount provided for by the terms of the Securities of any series is herein referred to as an “</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The date on which a sinking fund payment is to be made is herein referred to as the “</w:t>
      </w:r>
      <w:r>
        <w:rPr>
          <w:rFonts w:ascii="Times New Roman" w:cs="Times New Roman" w:eastAsia="Times New Roman" w:hAnsi="Times New Roman"/>
          <w:sz w:val="18"/>
          <w:szCs w:val="18"/>
          <w:b w:val="1"/>
          <w:bCs w:val="1"/>
          <w:color w:val="auto"/>
        </w:rPr>
        <w:t>sinking fund payment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6" w:name="page117"/>
    <w:bookmarkEnd w:id="116"/>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19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7" w:name="page118"/>
    <w:bookmarkEnd w:id="117"/>
    <w:p>
      <w:pPr>
        <w:ind w:right="60"/>
        <w:spacing w:after="0" w:line="255" w:lineRule="auto"/>
        <w:rPr>
          <w:sz w:val="20"/>
          <w:szCs w:val="20"/>
          <w:color w:val="auto"/>
        </w:rPr>
      </w:pPr>
      <w:r>
        <w:rPr>
          <w:rFonts w:ascii="Times New Roman" w:cs="Times New Roman" w:eastAsia="Times New Roman" w:hAnsi="Times New Roman"/>
          <w:sz w:val="18"/>
          <w:szCs w:val="18"/>
          <w:color w:val="auto"/>
        </w:rPr>
        <w:t>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85"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7"/>
          <w:szCs w:val="17"/>
          <w:color w:val="auto"/>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spacing w:after="0" w:line="13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Securities</w:t>
      </w:r>
      <w:r>
        <w:rPr>
          <w:rFonts w:ascii="Times New Roman" w:cs="Times New Roman" w:eastAsia="Times New Roman" w:hAnsi="Times New Roman"/>
          <w:sz w:val="18"/>
          <w:szCs w:val="18"/>
          <w:color w:val="auto"/>
        </w:rPr>
        <w:t>.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8" w:name="page119"/>
    <w:bookmarkEnd w:id="118"/>
    <w:p>
      <w:pPr>
        <w:ind w:right="180" w:firstLine="648"/>
        <w:spacing w:after="0" w:line="268" w:lineRule="auto"/>
        <w:rPr>
          <w:sz w:val="20"/>
          <w:szCs w:val="20"/>
          <w:color w:val="auto"/>
        </w:rPr>
      </w:pPr>
      <w:r>
        <w:rPr>
          <w:rFonts w:ascii="Times New Roman" w:cs="Times New Roman" w:eastAsia="Times New Roman" w:hAnsi="Times New Roman"/>
          <w:sz w:val="17"/>
          <w:szCs w:val="17"/>
          <w:color w:val="auto"/>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spacing w:after="0" w:line="18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interest on overdue Principal, and interest on overdue installments of interest, to the extent lawful, at the rate per annum specified in the Securities.</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 located in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spacing w:after="0" w:line="18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spacing w:after="0" w:line="178"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Securityholders’ Lists</w:t>
      </w:r>
      <w:r>
        <w:rPr>
          <w:rFonts w:ascii="Times New Roman" w:cs="Times New Roman" w:eastAsia="Times New Roman" w:hAnsi="Times New Roman"/>
          <w:sz w:val="18"/>
          <w:szCs w:val="18"/>
          <w:color w:val="auto"/>
        </w:rPr>
        <w:t xml:space="preserve"> . The Company will furnish or cause to be furnished to the Trustee a list in such form as the Trustee may reasonably require of the names and addresses of the holders of the Securities pursuant to Section 312 of the Trust</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9" w:name="page120"/>
    <w:bookmarkEnd w:id="119"/>
    <w:p>
      <w:pPr>
        <w:ind w:right="680"/>
        <w:spacing w:after="0" w:line="266" w:lineRule="auto"/>
        <w:rPr>
          <w:sz w:val="20"/>
          <w:szCs w:val="20"/>
          <w:color w:val="auto"/>
        </w:rPr>
      </w:pPr>
      <w:r>
        <w:rPr>
          <w:rFonts w:ascii="Times New Roman" w:cs="Times New Roman" w:eastAsia="Times New Roman" w:hAnsi="Times New Roman"/>
          <w:sz w:val="18"/>
          <w:szCs w:val="18"/>
          <w:color w:val="auto"/>
        </w:rPr>
        <w:t>Indenture Act of 1939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spacing w:after="0" w:line="17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Certificate to Trustee</w:t>
      </w:r>
      <w:r>
        <w:rPr>
          <w:rFonts w:ascii="Times New Roman" w:cs="Times New Roman" w:eastAsia="Times New Roman" w:hAnsi="Times New Roman"/>
          <w:sz w:val="18"/>
          <w:szCs w:val="18"/>
          <w:color w:val="auto"/>
        </w:rPr>
        <w:t>.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spacing w:after="0" w:line="180"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Reports by the Company</w:t>
      </w:r>
      <w:r>
        <w:rPr>
          <w:rFonts w:ascii="Times New Roman" w:cs="Times New Roman" w:eastAsia="Times New Roman" w:hAnsi="Times New Roman"/>
          <w:sz w:val="18"/>
          <w:szCs w:val="18"/>
          <w:color w:val="auto"/>
        </w:rPr>
        <w:t>.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spacing w:after="0" w:line="17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spacing w:after="0" w:line="19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0" w:name="page121"/>
    <w:bookmarkEnd w:id="120"/>
    <w:p>
      <w:pPr>
        <w:ind w:right="300"/>
        <w:spacing w:after="0" w:line="282" w:lineRule="auto"/>
        <w:rPr>
          <w:sz w:val="20"/>
          <w:szCs w:val="20"/>
          <w:color w:val="auto"/>
        </w:rPr>
      </w:pPr>
      <w:r>
        <w:rPr>
          <w:rFonts w:ascii="Times New Roman" w:cs="Times New Roman" w:eastAsia="Times New Roman" w:hAnsi="Times New Roman"/>
          <w:sz w:val="18"/>
          <w:szCs w:val="18"/>
          <w:color w:val="auto"/>
        </w:rPr>
        <w:t>thereof pursuant to such terms, and express mention of the payment of additional amounts (if applicable) in any provision hereof shall not be construed as excluding the payment of additional amounts in those provisions hereof where such express mention is not made.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 CORPORATION</w:t>
      </w:r>
    </w:p>
    <w:p>
      <w:pPr>
        <w:spacing w:after="0" w:line="20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When Company May Merge, Etc</w:t>
      </w:r>
      <w:r>
        <w:rPr>
          <w:rFonts w:ascii="Times New Roman" w:cs="Times New Roman" w:eastAsia="Times New Roman" w:hAnsi="Times New Roman"/>
          <w:sz w:val="18"/>
          <w:szCs w:val="18"/>
          <w:color w:val="auto"/>
        </w:rPr>
        <w:t>.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spacing w:after="0" w:line="176" w:lineRule="exact"/>
        <w:rPr>
          <w:sz w:val="20"/>
          <w:szCs w:val="20"/>
          <w:color w:val="auto"/>
        </w:rPr>
      </w:pPr>
    </w:p>
    <w:p>
      <w:pPr>
        <w:ind w:right="80" w:firstLine="851"/>
        <w:spacing w:after="0" w:line="266" w:lineRule="auto"/>
        <w:tabs>
          <w:tab w:leader="none" w:pos="13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the continuing Person or, if the Company is not the continuing Person, the resulting, surviving or transferee Person (the “</w:t>
      </w:r>
      <w:r>
        <w:rPr>
          <w:rFonts w:ascii="Times New Roman" w:cs="Times New Roman" w:eastAsia="Times New Roman" w:hAnsi="Times New Roman"/>
          <w:sz w:val="18"/>
          <w:szCs w:val="18"/>
          <w:b w:val="1"/>
          <w:bCs w:val="1"/>
          <w:color w:val="auto"/>
        </w:rPr>
        <w:t>Surviving Entity</w:t>
      </w:r>
      <w:r>
        <w:rPr>
          <w:rFonts w:ascii="Times New Roman" w:cs="Times New Roman" w:eastAsia="Times New Roman" w:hAnsi="Times New Roman"/>
          <w:sz w:val="18"/>
          <w:szCs w:val="18"/>
          <w:color w:val="auto"/>
        </w:rPr>
        <w:t>”) is a company organized and existing under the laws of any member state of the European Union or the United States of America or any State or territory thereof;</w:t>
      </w:r>
    </w:p>
    <w:p>
      <w:pPr>
        <w:spacing w:after="0" w:line="176" w:lineRule="exact"/>
        <w:rPr>
          <w:rFonts w:ascii="Times New Roman" w:cs="Times New Roman" w:eastAsia="Times New Roman" w:hAnsi="Times New Roman"/>
          <w:sz w:val="18"/>
          <w:szCs w:val="18"/>
          <w:color w:val="auto"/>
        </w:rPr>
      </w:pPr>
    </w:p>
    <w:p>
      <w:pPr>
        <w:ind w:right="80" w:firstLine="851"/>
        <w:spacing w:after="0" w:line="266" w:lineRule="auto"/>
        <w:tabs>
          <w:tab w:leader="none" w:pos="13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spacing w:after="0" w:line="176"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or series of transactions on a pro forma basis, no Default has occurred and is continuing;</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7"/>
          <w:szCs w:val="17"/>
          <w:color w:val="auto"/>
        </w:rPr>
      </w:pPr>
    </w:p>
    <w:p>
      <w:pPr>
        <w:ind w:firstLine="851"/>
        <w:spacing w:after="0" w:line="258" w:lineRule="auto"/>
        <w:tabs>
          <w:tab w:leader="none" w:pos="13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spacing w:after="0" w:line="18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Successor Substituted</w:t>
      </w:r>
      <w:r>
        <w:rPr>
          <w:rFonts w:ascii="Times New Roman" w:cs="Times New Roman" w:eastAsia="Times New Roman" w:hAnsi="Times New Roman"/>
          <w:sz w:val="18"/>
          <w:szCs w:val="18"/>
          <w:color w:val="auto"/>
        </w:rPr>
        <w:t>.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 AND REMEDIES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occur with respect to the Securities of any series if:</w:t>
      </w:r>
    </w:p>
    <w:p>
      <w:pPr>
        <w:spacing w:after="0" w:line="229" w:lineRule="exact"/>
        <w:rPr>
          <w:sz w:val="20"/>
          <w:szCs w:val="20"/>
          <w:color w:val="auto"/>
        </w:rPr>
      </w:pPr>
    </w:p>
    <w:p>
      <w:pPr>
        <w:ind w:right="140" w:firstLine="851"/>
        <w:spacing w:after="0" w:line="282" w:lineRule="auto"/>
        <w:tabs>
          <w:tab w:leader="none" w:pos="13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any Security of such series when the same becomes due and payable at maturity, upon acceleration, redemption or mandatory repurchase, including as a sinking fund installment, or otherwise;</w:t>
      </w:r>
    </w:p>
    <w:p>
      <w:pPr>
        <w:spacing w:after="0" w:line="161" w:lineRule="exact"/>
        <w:rPr>
          <w:rFonts w:ascii="Times New Roman" w:cs="Times New Roman" w:eastAsia="Times New Roman" w:hAnsi="Times New Roman"/>
          <w:sz w:val="18"/>
          <w:szCs w:val="18"/>
          <w:color w:val="auto"/>
        </w:rPr>
      </w:pPr>
    </w:p>
    <w:p>
      <w:pPr>
        <w:ind w:right="80" w:firstLine="851"/>
        <w:spacing w:after="0" w:line="282" w:lineRule="auto"/>
        <w:tabs>
          <w:tab w:leader="none" w:pos="13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interest on any Security of such series when the same becomes due and payable, and such default continues for a period of 30 days;</w:t>
      </w:r>
    </w:p>
    <w:p>
      <w:pPr>
        <w:spacing w:after="0" w:line="161" w:lineRule="exact"/>
        <w:rPr>
          <w:rFonts w:ascii="Times New Roman" w:cs="Times New Roman" w:eastAsia="Times New Roman" w:hAnsi="Times New Roman"/>
          <w:sz w:val="18"/>
          <w:szCs w:val="18"/>
          <w:color w:val="auto"/>
        </w:rPr>
      </w:pPr>
    </w:p>
    <w:p>
      <w:pPr>
        <w:ind w:firstLine="851"/>
        <w:spacing w:after="0" w:line="258" w:lineRule="auto"/>
        <w:tabs>
          <w:tab w:leader="none" w:pos="13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spacing w:after="0" w:line="183" w:lineRule="exact"/>
        <w:rPr>
          <w:rFonts w:ascii="Times New Roman" w:cs="Times New Roman" w:eastAsia="Times New Roman" w:hAnsi="Times New Roman"/>
          <w:sz w:val="18"/>
          <w:szCs w:val="18"/>
          <w:color w:val="auto"/>
        </w:rPr>
      </w:pPr>
    </w:p>
    <w:p>
      <w:pPr>
        <w:ind w:right="240" w:firstLine="851"/>
        <w:spacing w:after="0" w:line="261" w:lineRule="auto"/>
        <w:tabs>
          <w:tab w:leader="none" w:pos="13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spacing w:after="0" w:line="180" w:lineRule="exact"/>
        <w:rPr>
          <w:rFonts w:ascii="Times New Roman" w:cs="Times New Roman" w:eastAsia="Times New Roman" w:hAnsi="Times New Roman"/>
          <w:sz w:val="18"/>
          <w:szCs w:val="18"/>
          <w:color w:val="auto"/>
        </w:rPr>
      </w:pPr>
    </w:p>
    <w:p>
      <w:pPr>
        <w:jc w:val="both"/>
        <w:ind w:right="40" w:firstLine="851"/>
        <w:spacing w:after="0" w:line="261" w:lineRule="auto"/>
        <w:tabs>
          <w:tab w:leader="none" w:pos="13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spacing w:after="0" w:line="180" w:lineRule="exact"/>
        <w:rPr>
          <w:rFonts w:ascii="Times New Roman" w:cs="Times New Roman" w:eastAsia="Times New Roman" w:hAnsi="Times New Roman"/>
          <w:sz w:val="18"/>
          <w:szCs w:val="18"/>
          <w:color w:val="auto"/>
        </w:rPr>
      </w:pPr>
    </w:p>
    <w:p>
      <w:pPr>
        <w:ind w:left="1340" w:hanging="489"/>
        <w:spacing w:after="0"/>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established pursuant to Section 2.03 with respect to the Securities of such series occurs.</w:t>
      </w:r>
    </w:p>
    <w:p>
      <w:pPr>
        <w:spacing w:after="0" w:line="223"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 If an Event of Default other than as described in clauses (d) or (e) of Section 6.01 with respect to the Securities of any series then outstanding occurs and is continuing, then, and in each and every such case, except for</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2" w:name="page123"/>
    <w:bookmarkEnd w:id="122"/>
    <w:p>
      <w:pPr>
        <w:ind w:right="60"/>
        <w:spacing w:after="0" w:line="256" w:lineRule="auto"/>
        <w:rPr>
          <w:sz w:val="20"/>
          <w:szCs w:val="20"/>
          <w:color w:val="auto"/>
        </w:rPr>
      </w:pPr>
      <w:r>
        <w:rPr>
          <w:rFonts w:ascii="Times New Roman" w:cs="Times New Roman" w:eastAsia="Times New Roman" w:hAnsi="Times New Roman"/>
          <w:sz w:val="18"/>
          <w:szCs w:val="18"/>
          <w:color w:val="auto"/>
        </w:rPr>
        <w:t>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spacing w:after="0" w:line="188" w:lineRule="exact"/>
        <w:rPr>
          <w:sz w:val="20"/>
          <w:szCs w:val="20"/>
          <w:color w:val="auto"/>
        </w:rPr>
      </w:pPr>
    </w:p>
    <w:p>
      <w:pPr>
        <w:ind w:right="140" w:firstLine="851"/>
        <w:spacing w:after="0" w:line="261" w:lineRule="auto"/>
        <w:tabs>
          <w:tab w:leader="none" w:pos="13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3" w:name="page124"/>
    <w:bookmarkEnd w:id="123"/>
    <w:p>
      <w:pPr>
        <w:ind w:firstLine="648"/>
        <w:spacing w:after="0" w:line="256" w:lineRule="auto"/>
        <w:rPr>
          <w:sz w:val="20"/>
          <w:szCs w:val="20"/>
          <w:color w:val="auto"/>
        </w:rPr>
      </w:pPr>
      <w:r>
        <w:rPr>
          <w:rFonts w:ascii="Times New Roman" w:cs="Times New Roman" w:eastAsia="Times New Roman" w:hAnsi="Times New Roman"/>
          <w:sz w:val="18"/>
          <w:szCs w:val="18"/>
          <w:color w:val="auto"/>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86"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r>
        <w:rPr>
          <w:rFonts w:ascii="Times New Roman" w:cs="Times New Roman" w:eastAsia="Times New Roman" w:hAnsi="Times New Roman"/>
          <w:sz w:val="18"/>
          <w:szCs w:val="18"/>
          <w:color w:val="auto"/>
        </w:rPr>
        <w:t>.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Securities or does not produce any of them in the proceeding.</w:t>
      </w:r>
    </w:p>
    <w:p>
      <w:pPr>
        <w:spacing w:after="0" w:line="22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spacing w:after="0" w:line="18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Control by Majority</w:t>
      </w:r>
      <w:r>
        <w:rPr>
          <w:rFonts w:ascii="Times New Roman" w:cs="Times New Roman" w:eastAsia="Times New Roman" w:hAnsi="Times New Roman"/>
          <w:sz w:val="18"/>
          <w:szCs w:val="18"/>
          <w:color w:val="auto"/>
        </w:rPr>
        <w:t xml:space="preserve">. 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r>
        <w:rPr>
          <w:rFonts w:ascii="Times New Roman" w:cs="Times New Roman" w:eastAsia="Times New Roman" w:hAnsi="Times New Roman"/>
          <w:sz w:val="18"/>
          <w:szCs w:val="18"/>
          <w:color w:val="auto"/>
        </w:rPr>
        <w:t>. No Holder of any Security of any series may institute any proceeding, judicial or otherwise, with respect to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the Securities of such series, or for the appointment of a receiver or trustee, or for any other remedy hereunder, unless:</w:t>
      </w:r>
    </w:p>
    <w:p>
      <w:pPr>
        <w:spacing w:after="0" w:line="207" w:lineRule="exact"/>
        <w:rPr>
          <w:sz w:val="20"/>
          <w:szCs w:val="20"/>
          <w:color w:val="auto"/>
        </w:rPr>
      </w:pPr>
    </w:p>
    <w:p>
      <w:pPr>
        <w:ind w:left="1360" w:hanging="509"/>
        <w:spacing w:after="0"/>
        <w:tabs>
          <w:tab w:leader="none" w:pos="1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written notice of a continuing Event of Default with respect to the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right="360" w:firstLine="851"/>
        <w:spacing w:after="0" w:line="282" w:lineRule="auto"/>
        <w:tabs>
          <w:tab w:leader="none" w:pos="13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outstanding Securities of all such series affected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firstLine="851"/>
        <w:spacing w:after="0" w:line="282" w:lineRule="auto"/>
        <w:tabs>
          <w:tab w:leader="none" w:pos="13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reasonably satisfactory to the Trustee against any costs, liabilities or expenses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right="40" w:firstLine="851"/>
        <w:spacing w:after="0" w:line="282" w:lineRule="auto"/>
        <w:tabs>
          <w:tab w:leader="none" w:pos="13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the outstanding Securities of all such affected series have not given the Trustee a direction that is inconsistent with such written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may not use this Indenture to prejudice the rights of another Holder or to obtain a preference or priority over such other Holder.</w:t>
      </w:r>
    </w:p>
    <w:p>
      <w:pPr>
        <w:spacing w:after="0" w:line="223"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to Receive Payment</w:t>
      </w:r>
      <w:r>
        <w:rPr>
          <w:rFonts w:ascii="Times New Roman" w:cs="Times New Roman" w:eastAsia="Times New Roman" w:hAnsi="Times New Roman"/>
          <w:sz w:val="18"/>
          <w:szCs w:val="18"/>
          <w:color w:val="auto"/>
        </w:rPr>
        <w:t>.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spacing w:after="0" w:line="17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r>
        <w:rPr>
          <w:rFonts w:ascii="Times New Roman" w:cs="Times New Roman" w:eastAsia="Times New Roman" w:hAnsi="Times New Roman"/>
          <w:sz w:val="18"/>
          <w:szCs w:val="18"/>
          <w:color w:val="auto"/>
        </w:rPr>
        <w:t>. 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spacing w:after="0" w:line="18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The Trustee may file such proofs of claim and other papers or documents as may be necessary or advisable in order</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78" w:right="299" w:bottom="1440" w:gutter="0" w:footer="0" w:header="0"/>
        </w:sectPr>
      </w:pPr>
    </w:p>
    <w:bookmarkStart w:id="125" w:name="page126"/>
    <w:bookmarkEnd w:id="125"/>
    <w:p>
      <w:pPr>
        <w:spacing w:after="0" w:line="255" w:lineRule="auto"/>
        <w:rPr>
          <w:sz w:val="20"/>
          <w:szCs w:val="20"/>
          <w:color w:val="auto"/>
        </w:rPr>
      </w:pPr>
      <w:r>
        <w:rPr>
          <w:rFonts w:ascii="Times New Roman" w:cs="Times New Roman" w:eastAsia="Times New Roman" w:hAnsi="Times New Roman"/>
          <w:sz w:val="18"/>
          <w:szCs w:val="18"/>
          <w:color w:val="auto"/>
        </w:rPr>
        <w:t>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Application of Proceeds</w:t>
      </w:r>
      <w:r>
        <w:rPr>
          <w:rFonts w:ascii="Times New Roman" w:cs="Times New Roman" w:eastAsia="Times New Roman" w:hAnsi="Times New Roman"/>
          <w:sz w:val="18"/>
          <w:szCs w:val="18"/>
          <w:color w:val="auto"/>
        </w:rPr>
        <w:t>.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spacing w:after="0" w:line="182" w:lineRule="exact"/>
        <w:rPr>
          <w:sz w:val="20"/>
          <w:szCs w:val="20"/>
          <w:color w:val="auto"/>
        </w:rPr>
      </w:pPr>
    </w:p>
    <w:p>
      <w:pPr>
        <w:ind w:left="660" w:right="360" w:firstLine="648"/>
        <w:spacing w:after="0" w:line="282" w:lineRule="auto"/>
        <w:rPr>
          <w:sz w:val="20"/>
          <w:szCs w:val="20"/>
          <w:color w:val="auto"/>
        </w:rPr>
      </w:pPr>
      <w:r>
        <w:rPr>
          <w:rFonts w:ascii="Times New Roman" w:cs="Times New Roman" w:eastAsia="Times New Roman" w:hAnsi="Times New Roman"/>
          <w:sz w:val="18"/>
          <w:szCs w:val="18"/>
          <w:color w:val="auto"/>
        </w:rPr>
        <w:t>FIRST: To the payment of all amounts due the Trustee under Section 7.07 applicable to the Securities of such series in respect of which moneys have been collected;</w:t>
      </w:r>
    </w:p>
    <w:p>
      <w:pPr>
        <w:spacing w:after="0" w:line="162" w:lineRule="exact"/>
        <w:rPr>
          <w:sz w:val="20"/>
          <w:szCs w:val="20"/>
          <w:color w:val="auto"/>
        </w:rPr>
      </w:pPr>
    </w:p>
    <w:p>
      <w:pPr>
        <w:ind w:left="660" w:right="160" w:firstLine="648"/>
        <w:spacing w:after="0" w:line="258" w:lineRule="auto"/>
        <w:rPr>
          <w:sz w:val="20"/>
          <w:szCs w:val="20"/>
          <w:color w:val="auto"/>
        </w:rPr>
      </w:pPr>
      <w:r>
        <w:rPr>
          <w:rFonts w:ascii="Times New Roman" w:cs="Times New Roman" w:eastAsia="Times New Roman" w:hAnsi="Times New Roman"/>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84"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6" w:name="page127"/>
    <w:bookmarkEnd w:id="126"/>
    <w:p>
      <w:pPr>
        <w:ind w:left="660" w:right="140"/>
        <w:spacing w:after="0" w:line="289" w:lineRule="auto"/>
        <w:rPr>
          <w:sz w:val="20"/>
          <w:szCs w:val="20"/>
          <w:color w:val="auto"/>
        </w:rPr>
      </w:pPr>
      <w:r>
        <w:rPr>
          <w:rFonts w:ascii="Times New Roman" w:cs="Times New Roman" w:eastAsia="Times New Roman" w:hAnsi="Times New Roman"/>
          <w:sz w:val="17"/>
          <w:szCs w:val="17"/>
          <w:color w:val="auto"/>
        </w:rPr>
        <w:t>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FOURTH: To the payment of the remainder, if any, to the Company or any other person lawfully entitled thereto.</w:t>
      </w:r>
    </w:p>
    <w:p>
      <w:pPr>
        <w:spacing w:after="0" w:line="223"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spacing w:after="0" w:line="18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7" w:name="page128"/>
    <w:bookmarkEnd w:id="127"/>
    <w:p>
      <w:pPr>
        <w:ind w:left="528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Certain Rights of Trustee</w:t>
      </w:r>
      <w:r>
        <w:rPr>
          <w:rFonts w:ascii="Times New Roman" w:cs="Times New Roman" w:eastAsia="Times New Roman" w:hAnsi="Times New Roman"/>
          <w:sz w:val="18"/>
          <w:szCs w:val="18"/>
          <w:color w:val="auto"/>
        </w:rPr>
        <w:t>. Subject to Trust Indenture Act Sections 315(a) through (d):</w:t>
      </w:r>
    </w:p>
    <w:p>
      <w:pPr>
        <w:spacing w:after="0" w:line="227" w:lineRule="exact"/>
        <w:rPr>
          <w:sz w:val="20"/>
          <w:szCs w:val="20"/>
          <w:color w:val="auto"/>
        </w:rPr>
      </w:pPr>
    </w:p>
    <w:p>
      <w:pPr>
        <w:ind w:right="80" w:firstLine="851"/>
        <w:spacing w:after="0" w:line="258" w:lineRule="auto"/>
        <w:tabs>
          <w:tab w:leader="none" w:pos="13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spacing w:after="0" w:line="183" w:lineRule="exact"/>
        <w:rPr>
          <w:rFonts w:ascii="Times New Roman" w:cs="Times New Roman" w:eastAsia="Times New Roman" w:hAnsi="Times New Roman"/>
          <w:sz w:val="18"/>
          <w:szCs w:val="18"/>
          <w:color w:val="auto"/>
        </w:rPr>
      </w:pPr>
    </w:p>
    <w:p>
      <w:pPr>
        <w:ind w:firstLine="851"/>
        <w:spacing w:after="0" w:line="255" w:lineRule="auto"/>
        <w:tabs>
          <w:tab w:leader="none" w:pos="13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85" w:lineRule="exact"/>
        <w:rPr>
          <w:rFonts w:ascii="Times New Roman" w:cs="Times New Roman" w:eastAsia="Times New Roman" w:hAnsi="Times New Roman"/>
          <w:sz w:val="18"/>
          <w:szCs w:val="18"/>
          <w:color w:val="auto"/>
        </w:rPr>
      </w:pPr>
    </w:p>
    <w:p>
      <w:pPr>
        <w:ind w:right="720" w:firstLine="851"/>
        <w:spacing w:after="0" w:line="282" w:lineRule="auto"/>
        <w:tabs>
          <w:tab w:leader="none" w:pos="13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not regularly in its employ and shall not be responsible for the misconduct or negligence of any agent or attorney appointed with due care;</w:t>
      </w:r>
    </w:p>
    <w:p>
      <w:pPr>
        <w:spacing w:after="0" w:line="161" w:lineRule="exact"/>
        <w:rPr>
          <w:rFonts w:ascii="Times New Roman" w:cs="Times New Roman" w:eastAsia="Times New Roman" w:hAnsi="Times New Roman"/>
          <w:sz w:val="18"/>
          <w:szCs w:val="18"/>
          <w:color w:val="auto"/>
        </w:rPr>
      </w:pPr>
    </w:p>
    <w:p>
      <w:pPr>
        <w:ind w:right="540" w:firstLine="851"/>
        <w:spacing w:after="0" w:line="282" w:lineRule="auto"/>
        <w:tabs>
          <w:tab w:leader="none" w:pos="13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evidenced to the Trustee by a copy thereof certified by the Secretary or an Assistant Secretary of the Company;</w:t>
      </w:r>
    </w:p>
    <w:p>
      <w:pPr>
        <w:spacing w:after="0" w:line="225" w:lineRule="exact"/>
        <w:rPr>
          <w:sz w:val="20"/>
          <w:szCs w:val="20"/>
          <w:color w:val="auto"/>
        </w:rPr>
      </w:pPr>
    </w:p>
    <w:p>
      <w:pPr>
        <w:jc w:val="both"/>
        <w:ind w:right="600" w:firstLine="851"/>
        <w:spacing w:after="0" w:line="266" w:lineRule="auto"/>
        <w:tabs>
          <w:tab w:leader="none" w:pos="13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Holders, unless such Holders shall have offered to the Trustee reasonable security or indemnity against the costs, expenses and liabilities that might be incurred by it in compliance with such request or direction;</w:t>
      </w:r>
    </w:p>
    <w:p>
      <w:pPr>
        <w:spacing w:after="0" w:line="176" w:lineRule="exact"/>
        <w:rPr>
          <w:rFonts w:ascii="Times New Roman" w:cs="Times New Roman" w:eastAsia="Times New Roman" w:hAnsi="Times New Roman"/>
          <w:sz w:val="18"/>
          <w:szCs w:val="18"/>
          <w:color w:val="auto"/>
        </w:rPr>
      </w:pPr>
    </w:p>
    <w:p>
      <w:pPr>
        <w:ind w:right="60" w:firstLine="851"/>
        <w:spacing w:after="0" w:line="261" w:lineRule="auto"/>
        <w:tabs>
          <w:tab w:leader="none" w:pos="133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0" w:lineRule="exact"/>
        <w:rPr>
          <w:rFonts w:ascii="Times New Roman" w:cs="Times New Roman" w:eastAsia="Times New Roman" w:hAnsi="Times New Roman"/>
          <w:sz w:val="18"/>
          <w:szCs w:val="18"/>
          <w:color w:val="auto"/>
        </w:rPr>
      </w:pPr>
    </w:p>
    <w:p>
      <w:pPr>
        <w:ind w:right="660" w:firstLine="851"/>
        <w:spacing w:after="0" w:line="282" w:lineRule="auto"/>
        <w:tabs>
          <w:tab w:leader="none" w:pos="13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spacing w:after="0" w:line="161" w:lineRule="exact"/>
        <w:rPr>
          <w:rFonts w:ascii="Times New Roman" w:cs="Times New Roman" w:eastAsia="Times New Roman" w:hAnsi="Times New Roman"/>
          <w:sz w:val="18"/>
          <w:szCs w:val="18"/>
          <w:color w:val="auto"/>
        </w:rPr>
      </w:pPr>
    </w:p>
    <w:p>
      <w:pPr>
        <w:ind w:firstLine="851"/>
        <w:spacing w:after="0" w:line="255" w:lineRule="auto"/>
        <w:tabs>
          <w:tab w:leader="none" w:pos="13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spacing w:after="0" w:line="187"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r>
        <w:rPr>
          <w:rFonts w:ascii="Times New Roman" w:cs="Times New Roman" w:eastAsia="Times New Roman" w:hAnsi="Times New Roman"/>
          <w:sz w:val="18"/>
          <w:szCs w:val="18"/>
          <w:color w:val="auto"/>
        </w:rPr>
        <w:t>. The Trustee, in its individual or any other capacity, may become the owner or pledgee of Securities and may otherwise deal with the Company or its Affiliates with the same rights it would have if it were not the Trustee. Any Agent may do the same with like rights.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However, the Trustee is subject to Trust Indenture Act Sections 310(b) and 311. For purposes of Trust Indenture Act Section 311(b)(4) and (6), the following terms shall mean:</w:t>
      </w:r>
    </w:p>
    <w:p>
      <w:pPr>
        <w:spacing w:after="0" w:line="158" w:lineRule="exact"/>
        <w:rPr>
          <w:sz w:val="20"/>
          <w:szCs w:val="20"/>
          <w:color w:val="auto"/>
        </w:rPr>
      </w:pPr>
    </w:p>
    <w:p>
      <w:pPr>
        <w:ind w:right="200" w:firstLine="851"/>
        <w:spacing w:after="0" w:line="286" w:lineRule="auto"/>
        <w:tabs>
          <w:tab w:leader="none" w:pos="135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transaction</w:t>
      </w:r>
      <w:r>
        <w:rPr>
          <w:rFonts w:ascii="Times New Roman" w:cs="Times New Roman" w:eastAsia="Times New Roman" w:hAnsi="Times New Roman"/>
          <w:sz w:val="18"/>
          <w:szCs w:val="18"/>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9" w:name="page130"/>
    <w:bookmarkEnd w:id="129"/>
    <w:p>
      <w:pPr>
        <w:ind w:right="20" w:firstLine="851"/>
        <w:spacing w:after="0" w:line="278" w:lineRule="auto"/>
        <w:tabs>
          <w:tab w:leader="none" w:pos="136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self-liquidating paper</w:t>
      </w:r>
      <w:r>
        <w:rPr>
          <w:rFonts w:ascii="Times New Roman" w:cs="Times New Roman" w:eastAsia="Times New Roman" w:hAnsi="Times New Roman"/>
          <w:sz w:val="17"/>
          <w:szCs w:val="17"/>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w:t>
      </w:r>
      <w:r>
        <w:rPr>
          <w:rFonts w:ascii="Times New Roman" w:cs="Times New Roman" w:eastAsia="Times New Roman" w:hAnsi="Times New Roman"/>
          <w:sz w:val="18"/>
          <w:szCs w:val="18"/>
          <w:color w:val="auto"/>
        </w:rPr>
        <w:t xml:space="preserve">. If any Default with respect to the Securities of any series occurs and is continuing and if such Default is known to the actual knowledge of a Responsible Officer with the Corporate Trust Department of the Trustee, the Trustee shall give to each Holder of Securities of such series notice of such Default within 90 days after it occurs to all Holders of Securities of such series in the manner and to the extent provided in Section 313(c) of the Trust Indenture Act, unless such Default shall have been cured or waived before the mailing or publication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Reports by Trustee to Holders</w:t>
      </w:r>
      <w:r>
        <w:rPr>
          <w:rFonts w:ascii="Times New Roman" w:cs="Times New Roman" w:eastAsia="Times New Roman" w:hAnsi="Times New Roman"/>
          <w:sz w:val="18"/>
          <w:szCs w:val="18"/>
          <w:color w:val="auto"/>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8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174"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r>
        <w:rPr>
          <w:rFonts w:ascii="Times New Roman" w:cs="Times New Roman" w:eastAsia="Times New Roman" w:hAnsi="Times New Roman"/>
          <w:sz w:val="18"/>
          <w:szCs w:val="18"/>
          <w:color w:val="auto"/>
        </w:rPr>
        <w:t>. The Company shall pay to the Trustee such compensation as shall be agreed upon in writing from time to time for its services. The compensation of the Trustee shall not be limited by any law on compensation of a Trustee of an express trust. The Company shall reimburse the Trustee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130" w:name="page131"/>
    <w:bookmarkEnd w:id="130"/>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spacing w:after="0" w:line="18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spacing w:after="0" w:line="18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r>
        <w:rPr>
          <w:rFonts w:ascii="Times New Roman" w:cs="Times New Roman" w:eastAsia="Times New Roman" w:hAnsi="Times New Roman"/>
          <w:sz w:val="18"/>
          <w:szCs w:val="18"/>
          <w:color w:val="auto"/>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1" w:name="page132"/>
    <w:bookmarkEnd w:id="131"/>
    <w:p>
      <w:pPr>
        <w:ind w:right="440"/>
        <w:spacing w:after="0" w:line="282" w:lineRule="auto"/>
        <w:rPr>
          <w:sz w:val="20"/>
          <w:szCs w:val="20"/>
          <w:color w:val="auto"/>
        </w:rPr>
      </w:pPr>
      <w:r>
        <w:rPr>
          <w:rFonts w:ascii="Times New Roman" w:cs="Times New Roman" w:eastAsia="Times New Roman" w:hAnsi="Times New Roman"/>
          <w:sz w:val="18"/>
          <w:szCs w:val="18"/>
          <w:color w:val="auto"/>
        </w:rPr>
        <w:t>Trustee is adjudged a bankrupt or insolvent; (iii) a receiver or other public officer takes charge of the Trustee or its property; or (iv) the Trustee becomes incapable of acting.</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spacing w:after="0" w:line="176"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Notwithstanding replacement of the Trustee with respect to the Securities of any series pursuant to this Section 7.08 and Section 7.09, the Company’s obligations under Section 7.07 shall continue for the benefit of the retiring Trustee.</w:t>
      </w:r>
    </w:p>
    <w:p>
      <w:pPr>
        <w:spacing w:after="0" w:line="16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Acceptance of Appointment by Successor</w:t>
      </w:r>
      <w:r>
        <w:rPr>
          <w:rFonts w:ascii="Times New Roman" w:cs="Times New Roman" w:eastAsia="Times New Roman" w:hAnsi="Times New Roman"/>
          <w:sz w:val="18"/>
          <w:szCs w:val="18"/>
          <w:color w:val="auto"/>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32" w:name="page133"/>
    <w:bookmarkEnd w:id="132"/>
    <w:p>
      <w:pPr>
        <w:ind w:right="40"/>
        <w:spacing w:after="0" w:line="253" w:lineRule="auto"/>
        <w:rPr>
          <w:sz w:val="20"/>
          <w:szCs w:val="20"/>
          <w:color w:val="auto"/>
        </w:rPr>
      </w:pPr>
      <w:r>
        <w:rPr>
          <w:rFonts w:ascii="Times New Roman" w:cs="Times New Roman" w:eastAsia="Times New Roman" w:hAnsi="Times New Roman"/>
          <w:sz w:val="18"/>
          <w:szCs w:val="18"/>
          <w:color w:val="auto"/>
        </w:rPr>
        <w:t>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93"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eligible under this Article and qualified under Section 310(b) of the Trust Indenture Act.</w:t>
      </w:r>
    </w:p>
    <w:p>
      <w:pPr>
        <w:spacing w:after="0" w:line="160"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Successor Trustee By Merger, Etc</w:t>
      </w:r>
      <w:r>
        <w:rPr>
          <w:rFonts w:ascii="Times New Roman" w:cs="Times New Roman" w:eastAsia="Times New Roman" w:hAnsi="Times New Roman"/>
          <w:sz w:val="18"/>
          <w:szCs w:val="18"/>
          <w:color w:val="auto"/>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174"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This Indenture shall always have a Trustee who satisfies the requirements of Trust Indenture Act Section 310(a). The Trustee shall have a combined capital and surplus of at least $25,000,000 as set forth in its most recent published annual report of condition.</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Money Held in Trust</w:t>
      </w:r>
      <w:r>
        <w:rPr>
          <w:rFonts w:ascii="Times New Roman" w:cs="Times New Roman" w:eastAsia="Times New Roman" w:hAnsi="Times New Roman"/>
          <w:sz w:val="18"/>
          <w:szCs w:val="18"/>
          <w:color w:val="auto"/>
        </w:rPr>
        <w: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OF INDENTURE; UNCLAIMED MONEYS</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 xml:space="preserve">.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4" w:name="page135"/>
    <w:bookmarkEnd w:id="134"/>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Application by Trustee of Funds Deposited for Payment of Securities</w:t>
      </w:r>
      <w:r>
        <w:rPr>
          <w:rFonts w:ascii="Times New Roman" w:cs="Times New Roman" w:eastAsia="Times New Roman" w:hAnsi="Times New Roman"/>
          <w:sz w:val="18"/>
          <w:szCs w:val="18"/>
          <w:color w:val="auto"/>
        </w:rPr>
        <w:t>.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Repayment of Moneys Held by Paying Agent</w:t>
      </w:r>
      <w:r>
        <w:rPr>
          <w:rFonts w:ascii="Times New Roman" w:cs="Times New Roman" w:eastAsia="Times New Roman" w:hAnsi="Times New Roman"/>
          <w:sz w:val="18"/>
          <w:szCs w:val="18"/>
          <w:color w:val="auto"/>
        </w:rPr>
        <w:t>.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Return of Moneys Held by Trustee and Paying Agent Unclaimed for Two Years</w:t>
      </w:r>
      <w:r>
        <w:rPr>
          <w:rFonts w:ascii="Times New Roman" w:cs="Times New Roman" w:eastAsia="Times New Roman" w:hAnsi="Times New Roman"/>
          <w:sz w:val="18"/>
          <w:szCs w:val="18"/>
          <w:color w:val="auto"/>
        </w:rPr>
        <w:t>.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Defeasance and Discharge of Indenture</w:t>
      </w:r>
      <w:r>
        <w:rPr>
          <w:rFonts w:ascii="Times New Roman" w:cs="Times New Roman" w:eastAsia="Times New Roman" w:hAnsi="Times New Roman"/>
          <w:sz w:val="18"/>
          <w:szCs w:val="18"/>
          <w:color w:val="auto"/>
        </w:rPr>
        <w:t>.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w:t>
      </w:r>
    </w:p>
    <w:p>
      <w:pPr>
        <w:spacing w:after="0" w:line="6" w:lineRule="exact"/>
        <w:rPr>
          <w:sz w:val="20"/>
          <w:szCs w:val="20"/>
          <w:color w:val="auto"/>
        </w:rPr>
      </w:pPr>
    </w:p>
    <w:p>
      <w:pPr>
        <w:ind w:right="240" w:firstLine="8"/>
        <w:spacing w:after="0" w:line="261" w:lineRule="auto"/>
        <w:tabs>
          <w:tab w:leader="none" w:pos="2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obligations and immunities of the Trustee hereunder, and (d) the defeasance provisions contained in Article 8 of this Indenture; provided that the following conditions shall have been satisfied:</w:t>
      </w:r>
    </w:p>
    <w:p>
      <w:pPr>
        <w:spacing w:after="0" w:line="179" w:lineRule="exact"/>
        <w:rPr>
          <w:rFonts w:ascii="Times New Roman" w:cs="Times New Roman" w:eastAsia="Times New Roman" w:hAnsi="Times New Roman"/>
          <w:sz w:val="18"/>
          <w:szCs w:val="18"/>
          <w:color w:val="auto"/>
        </w:rPr>
      </w:pPr>
    </w:p>
    <w:p>
      <w:pPr>
        <w:ind w:left="2120" w:hanging="491"/>
        <w:spacing w:after="0"/>
        <w:tabs>
          <w:tab w:leader="none" w:pos="212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reference to this Section 8.05 the Company irrevocably has deposited or caused to be deposited with the Trustee (or another</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qualifying trustee</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135" w:name="page136"/>
    <w:bookmarkEnd w:id="135"/>
    <w:p>
      <w:pPr>
        <w:ind w:right="100"/>
        <w:spacing w:after="0" w:line="253" w:lineRule="auto"/>
        <w:rPr>
          <w:sz w:val="20"/>
          <w:szCs w:val="20"/>
          <w:color w:val="auto"/>
        </w:rPr>
      </w:pPr>
      <w:r>
        <w:rPr>
          <w:rFonts w:ascii="Times New Roman" w:cs="Times New Roman" w:eastAsia="Times New Roman" w:hAnsi="Times New Roman"/>
          <w:sz w:val="18"/>
          <w:szCs w:val="18"/>
          <w:color w:val="auto"/>
        </w:rPr>
        <w:t>satisfying the requirements of 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spacing w:after="0" w:line="193" w:lineRule="exact"/>
        <w:rPr>
          <w:sz w:val="20"/>
          <w:szCs w:val="20"/>
          <w:color w:val="auto"/>
        </w:rPr>
      </w:pPr>
    </w:p>
    <w:p>
      <w:pPr>
        <w:ind w:right="180" w:firstLine="969"/>
        <w:spacing w:after="0" w:line="261" w:lineRule="auto"/>
        <w:tabs>
          <w:tab w:leader="none" w:pos="15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Opinion of Counsel to the effect that, under then applicable U.S. federal income tax law,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w:t>
      </w:r>
    </w:p>
    <w:p>
      <w:pPr>
        <w:spacing w:after="0" w:line="180" w:lineRule="exact"/>
        <w:rPr>
          <w:rFonts w:ascii="Times New Roman" w:cs="Times New Roman" w:eastAsia="Times New Roman" w:hAnsi="Times New Roman"/>
          <w:sz w:val="18"/>
          <w:szCs w:val="18"/>
          <w:color w:val="auto"/>
        </w:rPr>
      </w:pPr>
    </w:p>
    <w:p>
      <w:pPr>
        <w:ind w:left="1560" w:hanging="591"/>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either clause (d) or clause (e) of Section 6.01 shall have occurred and be continuing at such time;</w:t>
      </w:r>
    </w:p>
    <w:p>
      <w:pPr>
        <w:spacing w:after="0" w:line="225" w:lineRule="exact"/>
        <w:rPr>
          <w:rFonts w:ascii="Times New Roman" w:cs="Times New Roman" w:eastAsia="Times New Roman" w:hAnsi="Times New Roman"/>
          <w:sz w:val="18"/>
          <w:szCs w:val="18"/>
          <w:color w:val="auto"/>
        </w:rPr>
      </w:pPr>
    </w:p>
    <w:p>
      <w:pPr>
        <w:ind w:firstLine="969"/>
        <w:spacing w:after="0" w:line="313" w:lineRule="auto"/>
        <w:tabs>
          <w:tab w:leader="none" w:pos="154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38" w:lineRule="exact"/>
        <w:rPr>
          <w:rFonts w:ascii="Times New Roman" w:cs="Times New Roman" w:eastAsia="Times New Roman" w:hAnsi="Times New Roman"/>
          <w:sz w:val="17"/>
          <w:szCs w:val="17"/>
          <w:color w:val="auto"/>
        </w:rPr>
      </w:pPr>
    </w:p>
    <w:p>
      <w:pPr>
        <w:ind w:right="600" w:firstLine="969"/>
        <w:spacing w:after="0" w:line="282" w:lineRule="auto"/>
        <w:tabs>
          <w:tab w:leader="none" w:pos="14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and discharge under this Section have been complied with; and</w:t>
      </w:r>
    </w:p>
    <w:p>
      <w:pPr>
        <w:spacing w:after="0" w:line="161" w:lineRule="exact"/>
        <w:rPr>
          <w:rFonts w:ascii="Times New Roman" w:cs="Times New Roman" w:eastAsia="Times New Roman" w:hAnsi="Times New Roman"/>
          <w:sz w:val="18"/>
          <w:szCs w:val="18"/>
          <w:color w:val="auto"/>
        </w:rPr>
      </w:pPr>
    </w:p>
    <w:p>
      <w:pPr>
        <w:ind w:right="80" w:firstLine="969"/>
        <w:spacing w:after="0" w:line="266" w:lineRule="auto"/>
        <w:tabs>
          <w:tab w:leader="none" w:pos="15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28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0" w:right="239" w:bottom="1440" w:gutter="0" w:footer="0" w:header="0"/>
        </w:sectPr>
      </w:pPr>
    </w:p>
    <w:bookmarkStart w:id="136" w:name="page137"/>
    <w:bookmarkEnd w:id="136"/>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Defeasance of Certain Obligations</w:t>
      </w:r>
      <w:r>
        <w:rPr>
          <w:rFonts w:ascii="Times New Roman" w:cs="Times New Roman" w:eastAsia="Times New Roman" w:hAnsi="Times New Roman"/>
          <w:sz w:val="18"/>
          <w:szCs w:val="18"/>
          <w:color w:val="auto"/>
        </w:rPr>
        <w:t>. The Company may omit to comply with any term, provision or condition set forth in, and this Indenture will no longer be in effect with respect to, any covenant established pursuant to Section 2.03(r) and clause (c) and clause (f) (with respect to any covenants established pursuant to Section 2.03(s)) of Section 6.01 shall be deemed not to constitute a Default or an Event of Default with respect to Securities of any series, if</w:t>
      </w:r>
    </w:p>
    <w:p>
      <w:pPr>
        <w:spacing w:after="0" w:line="182" w:lineRule="exact"/>
        <w:rPr>
          <w:sz w:val="20"/>
          <w:szCs w:val="20"/>
          <w:color w:val="auto"/>
        </w:rPr>
      </w:pPr>
    </w:p>
    <w:p>
      <w:pPr>
        <w:ind w:firstLine="851"/>
        <w:spacing w:after="0" w:line="253" w:lineRule="auto"/>
        <w:tabs>
          <w:tab w:leader="none" w:pos="13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spacing w:after="0" w:line="190" w:lineRule="exact"/>
        <w:rPr>
          <w:rFonts w:ascii="Times New Roman" w:cs="Times New Roman" w:eastAsia="Times New Roman" w:hAnsi="Times New Roman"/>
          <w:sz w:val="18"/>
          <w:szCs w:val="18"/>
          <w:color w:val="auto"/>
        </w:rPr>
      </w:pPr>
    </w:p>
    <w:p>
      <w:pPr>
        <w:jc w:val="both"/>
        <w:ind w:right="140" w:firstLine="851"/>
        <w:spacing w:after="0" w:line="266" w:lineRule="auto"/>
        <w:tabs>
          <w:tab w:leader="none" w:pos="13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w:t>
      </w:r>
    </w:p>
    <w:p>
      <w:pPr>
        <w:spacing w:after="0" w:line="176" w:lineRule="exact"/>
        <w:rPr>
          <w:rFonts w:ascii="Times New Roman" w:cs="Times New Roman" w:eastAsia="Times New Roman" w:hAnsi="Times New Roman"/>
          <w:sz w:val="18"/>
          <w:szCs w:val="18"/>
          <w:color w:val="auto"/>
        </w:rPr>
      </w:pPr>
    </w:p>
    <w:p>
      <w:pPr>
        <w:ind w:right="520" w:firstLine="851"/>
        <w:spacing w:after="0" w:line="282" w:lineRule="auto"/>
        <w:tabs>
          <w:tab w:leader="none" w:pos="13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Securities of such series shall have occurred and be continuing at the time of such deposit immediately after giving effect to such deposit;</w:t>
      </w:r>
    </w:p>
    <w:p>
      <w:pPr>
        <w:spacing w:after="0" w:line="161" w:lineRule="exact"/>
        <w:rPr>
          <w:rFonts w:ascii="Times New Roman" w:cs="Times New Roman" w:eastAsia="Times New Roman" w:hAnsi="Times New Roman"/>
          <w:sz w:val="18"/>
          <w:szCs w:val="18"/>
          <w:color w:val="auto"/>
        </w:rPr>
      </w:pPr>
    </w:p>
    <w:p>
      <w:pPr>
        <w:ind w:right="540" w:firstLine="851"/>
        <w:spacing w:after="0" w:line="282" w:lineRule="auto"/>
        <w:tabs>
          <w:tab w:leader="none" w:pos="13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137" w:name="page138"/>
    <w:bookmarkEnd w:id="137"/>
    <w:p>
      <w:pPr>
        <w:ind w:right="600" w:firstLine="851"/>
        <w:spacing w:after="0" w:line="282" w:lineRule="auto"/>
        <w:tabs>
          <w:tab w:leader="none" w:pos="135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under this Section have been complied with; and</w:t>
      </w:r>
    </w:p>
    <w:p>
      <w:pPr>
        <w:spacing w:after="0" w:line="161" w:lineRule="exact"/>
        <w:rPr>
          <w:rFonts w:ascii="Times New Roman" w:cs="Times New Roman" w:eastAsia="Times New Roman" w:hAnsi="Times New Roman"/>
          <w:sz w:val="18"/>
          <w:szCs w:val="18"/>
          <w:color w:val="auto"/>
        </w:rPr>
      </w:pPr>
    </w:p>
    <w:p>
      <w:pPr>
        <w:ind w:right="160" w:firstLine="851"/>
        <w:spacing w:after="0" w:line="266" w:lineRule="auto"/>
        <w:tabs>
          <w:tab w:leader="none" w:pos="133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xml:space="preserve">.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The Company shall pay and indemnify the Trustee (or other qualifying trustee, collectively for purposes of this Section 8.08 and Section 8.02, the “Trustee”)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spacing w:after="0" w:line="18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Excess Funds</w:t>
      </w:r>
      <w:r>
        <w:rPr>
          <w:rFonts w:ascii="Times New Roman" w:cs="Times New Roman" w:eastAsia="Times New Roman" w:hAnsi="Times New Roman"/>
          <w:sz w:val="18"/>
          <w:szCs w:val="18"/>
          <w:color w:val="auto"/>
        </w:rPr>
        <w:t>.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Qualifying Trustee</w:t>
      </w:r>
      <w:r>
        <w:rPr>
          <w:rFonts w:ascii="Times New Roman" w:cs="Times New Roman" w:eastAsia="Times New Roman" w:hAnsi="Times New Roman"/>
          <w:sz w:val="18"/>
          <w:szCs w:val="18"/>
          <w:color w:val="auto"/>
        </w:rPr>
        <w:t>.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 SUPPLEMENTS AND WAIVERS</w:t>
      </w:r>
    </w:p>
    <w:p>
      <w:pPr>
        <w:spacing w:after="0" w:line="205"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w:t>
      </w:r>
      <w:r>
        <w:rPr>
          <w:rFonts w:ascii="Times New Roman" w:cs="Times New Roman" w:eastAsia="Times New Roman" w:hAnsi="Times New Roman"/>
          <w:sz w:val="18"/>
          <w:szCs w:val="18"/>
          <w:color w:val="auto"/>
        </w:rPr>
        <w:t>. The Company and the Trustee may amend or supplement this Indenture or the Securities of any series without notice to or the consent of any Holder:</w:t>
      </w:r>
    </w:p>
    <w:p>
      <w:pPr>
        <w:spacing w:after="0" w:line="160" w:lineRule="exact"/>
        <w:rPr>
          <w:sz w:val="20"/>
          <w:szCs w:val="20"/>
          <w:color w:val="auto"/>
        </w:rPr>
      </w:pPr>
    </w:p>
    <w:p>
      <w:pPr>
        <w:ind w:left="1360" w:hanging="509"/>
        <w:spacing w:after="0"/>
        <w:tabs>
          <w:tab w:leader="none" w:pos="1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this Indenture;</w:t>
      </w:r>
    </w:p>
    <w:p>
      <w:pPr>
        <w:spacing w:after="0" w:line="225"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5;</w:t>
      </w:r>
    </w:p>
    <w:p>
      <w:pPr>
        <w:spacing w:after="0" w:line="225"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in connection with the qualification of this Indenture under the Trust Indenture Act;</w:t>
      </w:r>
    </w:p>
    <w:p>
      <w:pPr>
        <w:spacing w:after="0" w:line="225" w:lineRule="exact"/>
        <w:rPr>
          <w:rFonts w:ascii="Times New Roman" w:cs="Times New Roman" w:eastAsia="Times New Roman" w:hAnsi="Times New Roman"/>
          <w:sz w:val="18"/>
          <w:szCs w:val="18"/>
          <w:color w:val="auto"/>
        </w:rPr>
      </w:pPr>
    </w:p>
    <w:p>
      <w:pPr>
        <w:ind w:right="480" w:firstLine="851"/>
        <w:spacing w:after="0" w:line="266" w:lineRule="auto"/>
        <w:tabs>
          <w:tab w:leader="none" w:pos="13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spacing w:after="0" w:line="176" w:lineRule="exact"/>
        <w:rPr>
          <w:rFonts w:ascii="Times New Roman" w:cs="Times New Roman" w:eastAsia="Times New Roman" w:hAnsi="Times New Roman"/>
          <w:sz w:val="18"/>
          <w:szCs w:val="18"/>
          <w:color w:val="auto"/>
        </w:rPr>
      </w:pPr>
    </w:p>
    <w:p>
      <w:pPr>
        <w:ind w:left="1360" w:hanging="509"/>
        <w:spacing w:after="0"/>
        <w:tabs>
          <w:tab w:leader="none" w:pos="13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Securities of any series as permitted by Section 2.03;</w:t>
      </w:r>
    </w:p>
    <w:p>
      <w:pPr>
        <w:spacing w:after="0" w:line="225" w:lineRule="exact"/>
        <w:rPr>
          <w:rFonts w:ascii="Times New Roman" w:cs="Times New Roman" w:eastAsia="Times New Roman" w:hAnsi="Times New Roman"/>
          <w:sz w:val="18"/>
          <w:szCs w:val="18"/>
          <w:color w:val="auto"/>
        </w:rPr>
      </w:pPr>
    </w:p>
    <w:p>
      <w:pPr>
        <w:ind w:left="1340" w:hanging="489"/>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and to make all appropriate changes for such purpose;</w:t>
      </w:r>
    </w:p>
    <w:p>
      <w:pPr>
        <w:spacing w:after="0" w:line="225"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to the applicable corresponding provision set forth in the offering document for the offering of such series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w:t>
      </w:r>
    </w:p>
    <w:p>
      <w:pPr>
        <w:spacing w:after="0" w:line="206"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materially and adversely affect the rights of any Holder.</w:t>
      </w:r>
    </w:p>
    <w:p>
      <w:pPr>
        <w:spacing w:after="0" w:line="22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w:t>
      </w:r>
      <w:r>
        <w:rPr>
          <w:rFonts w:ascii="Times New Roman" w:cs="Times New Roman" w:eastAsia="Times New Roman" w:hAnsi="Times New Roman"/>
          <w:sz w:val="18"/>
          <w:szCs w:val="18"/>
          <w:color w:val="auto"/>
        </w:rPr>
        <w:t>.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spacing w:after="0" w:line="18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9.02, without the consent of each Holder affected thereby, an amendment or waiver, including a waiver pursuant to Section 6.04, may not:</w:t>
      </w:r>
    </w:p>
    <w:p>
      <w:pPr>
        <w:spacing w:after="0" w:line="162" w:lineRule="exact"/>
        <w:rPr>
          <w:sz w:val="20"/>
          <w:szCs w:val="20"/>
          <w:color w:val="auto"/>
        </w:rPr>
      </w:pPr>
    </w:p>
    <w:p>
      <w:pPr>
        <w:ind w:left="5600" w:right="440" w:hanging="4749"/>
        <w:spacing w:after="0" w:line="658" w:lineRule="auto"/>
        <w:tabs>
          <w:tab w:leader="none" w:pos="13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sinking fund obligation or any installment of interest on, such Holder’s Security,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9" w:name="page140"/>
    <w:bookmarkEnd w:id="139"/>
    <w:p>
      <w:pPr>
        <w:ind w:left="1380" w:hanging="529"/>
        <w:spacing w:after="0"/>
        <w:tabs>
          <w:tab w:leader="none" w:pos="1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(including any amount in respect of original issue discount);</w:t>
      </w:r>
    </w:p>
    <w:p>
      <w:pPr>
        <w:spacing w:after="0" w:line="225" w:lineRule="exact"/>
        <w:rPr>
          <w:rFonts w:ascii="Times New Roman" w:cs="Times New Roman" w:eastAsia="Times New Roman" w:hAnsi="Times New Roman"/>
          <w:sz w:val="18"/>
          <w:szCs w:val="18"/>
          <w:color w:val="auto"/>
        </w:rPr>
      </w:pPr>
    </w:p>
    <w:p>
      <w:pPr>
        <w:ind w:right="160" w:firstLine="851"/>
        <w:spacing w:after="0" w:line="282" w:lineRule="auto"/>
        <w:tabs>
          <w:tab w:leader="none" w:pos="13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above stated percentage of outstanding Securities the consent of whose holders is necessary to modify or amend the Indenture with respect to the Securities of the relevant series; and</w:t>
      </w:r>
    </w:p>
    <w:p>
      <w:pPr>
        <w:spacing w:after="0" w:line="161" w:lineRule="exact"/>
        <w:rPr>
          <w:rFonts w:ascii="Times New Roman" w:cs="Times New Roman" w:eastAsia="Times New Roman" w:hAnsi="Times New Roman"/>
          <w:sz w:val="18"/>
          <w:szCs w:val="18"/>
          <w:color w:val="auto"/>
        </w:rPr>
      </w:pPr>
    </w:p>
    <w:p>
      <w:pPr>
        <w:ind w:right="60" w:firstLine="851"/>
        <w:spacing w:after="0" w:line="266" w:lineRule="auto"/>
        <w:tabs>
          <w:tab w:leader="none" w:pos="13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76"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any Holder under this Section 9.02 to approve the particular form of any proposed amendment, supplement or waiver, but it shall be sufficient if such consent approves the substance thereof.</w:t>
      </w:r>
    </w:p>
    <w:p>
      <w:pPr>
        <w:spacing w:after="0" w:line="162"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spacing w:after="0" w:line="15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Revocation and Effect of Consent</w:t>
      </w:r>
      <w:r>
        <w:rPr>
          <w:rFonts w:ascii="Times New Roman" w:cs="Times New Roman" w:eastAsia="Times New Roman" w:hAnsi="Times New Roman"/>
          <w:sz w:val="18"/>
          <w:szCs w:val="18"/>
          <w:color w:val="auto"/>
        </w:rPr>
        <w:t>.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40" w:name="page141"/>
    <w:bookmarkEnd w:id="140"/>
    <w:p>
      <w:pPr>
        <w:spacing w:after="0" w:line="282" w:lineRule="auto"/>
        <w:rPr>
          <w:sz w:val="20"/>
          <w:szCs w:val="20"/>
          <w:color w:val="auto"/>
        </w:rPr>
      </w:pPr>
      <w:r>
        <w:rPr>
          <w:rFonts w:ascii="Times New Roman" w:cs="Times New Roman" w:eastAsia="Times New Roman" w:hAnsi="Times New Roman"/>
          <w:sz w:val="18"/>
          <w:szCs w:val="18"/>
          <w:color w:val="auto"/>
        </w:rPr>
        <w:t>consent previously given, whether or not such Persons continue to be such Holders after such record date. No such consent shall be valid or effective for more than 90 days after such record date.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spacing w:after="0" w:line="178"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Securities</w:t>
      </w:r>
      <w:r>
        <w:rPr>
          <w:rFonts w:ascii="Times New Roman" w:cs="Times New Roman" w:eastAsia="Times New Roman" w:hAnsi="Times New Roman"/>
          <w:sz w:val="18"/>
          <w:szCs w:val="18"/>
          <w:color w:val="auto"/>
        </w:rPr>
        <w:t>.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r>
        <w:rPr>
          <w:rFonts w:ascii="Times New Roman" w:cs="Times New Roman" w:eastAsia="Times New Roman" w:hAnsi="Times New Roman"/>
          <w:sz w:val="18"/>
          <w:szCs w:val="18"/>
          <w:color w:val="auto"/>
        </w:rPr>
        <w:t>.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spacing w:after="0" w:line="183" w:lineRule="exact"/>
        <w:rPr>
          <w:sz w:val="20"/>
          <w:szCs w:val="20"/>
          <w:color w:val="auto"/>
        </w:rPr>
      </w:pPr>
    </w:p>
    <w:p>
      <w:pPr>
        <w:ind w:right="8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9 shall conform to the requirements of the Trust Indenture Act as then in effect.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Trust Indenture Act of 1939</w:t>
      </w:r>
      <w:r>
        <w:rPr>
          <w:rFonts w:ascii="Times New Roman" w:cs="Times New Roman" w:eastAsia="Times New Roman" w:hAnsi="Times New Roman"/>
          <w:sz w:val="18"/>
          <w:szCs w:val="18"/>
          <w:color w:val="auto"/>
        </w:rPr>
        <w:t>. This Indenture shall incorporate and be governed by the provisions of the Trust Indenture Act that are required to be part of and to govern indentures qualified under the Trust Indenture Act.</w:t>
      </w:r>
    </w:p>
    <w:p>
      <w:pPr>
        <w:spacing w:after="0" w:line="158" w:lineRule="exact"/>
        <w:rPr>
          <w:sz w:val="20"/>
          <w:szCs w:val="20"/>
          <w:color w:val="auto"/>
        </w:rPr>
      </w:pPr>
    </w:p>
    <w:p>
      <w:pPr>
        <w:ind w:right="4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 Immune SA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EPFL Innovation Park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Building 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CH-1015 Lausanne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or the Trustee by written notice to the other may designate additional or different addresses for subsequent notices or communications.</w:t>
      </w:r>
    </w:p>
    <w:p>
      <w:pPr>
        <w:spacing w:after="0" w:line="23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case it shall be impracticable to give notice as herein contemplated, then such notification as shall be made with the approval of the Trustee shall constitute a sufficient notification for every purpose hereunder.</w:t>
      </w:r>
    </w:p>
    <w:p>
      <w:pPr>
        <w:spacing w:after="0" w:line="160"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Certificate and Opinion as to Conditions Precedent</w:t>
      </w:r>
      <w:r>
        <w:rPr>
          <w:rFonts w:ascii="Times New Roman" w:cs="Times New Roman" w:eastAsia="Times New Roman" w:hAnsi="Times New Roman"/>
          <w:sz w:val="18"/>
          <w:szCs w:val="18"/>
          <w:color w:val="auto"/>
        </w:rPr>
        <w:t>. Upon any request or application by the Company to the Trustee to take any action under this Indenture, the Company shall furnish to the Trustee:</w:t>
      </w:r>
    </w:p>
    <w:p>
      <w:pPr>
        <w:spacing w:after="0" w:line="160" w:lineRule="exact"/>
        <w:rPr>
          <w:sz w:val="20"/>
          <w:szCs w:val="20"/>
          <w:color w:val="auto"/>
        </w:rPr>
      </w:pPr>
    </w:p>
    <w:p>
      <w:pPr>
        <w:ind w:right="160" w:firstLine="851"/>
        <w:spacing w:after="0" w:line="282" w:lineRule="auto"/>
        <w:tabs>
          <w:tab w:leader="none" w:pos="13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1380" w:hanging="529"/>
        <w:spacing w:after="0"/>
        <w:tabs>
          <w:tab w:leader="none" w:pos="1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23"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Statements Required in Certificate or Opinion</w:t>
      </w:r>
      <w:r>
        <w:rPr>
          <w:rFonts w:ascii="Times New Roman" w:cs="Times New Roman" w:eastAsia="Times New Roman" w:hAnsi="Times New Roman"/>
          <w:sz w:val="18"/>
          <w:szCs w:val="18"/>
          <w:color w:val="auto"/>
        </w:rPr>
        <w:t>. Each certificate or opinion with respect to compliance with a condition or covenant provided for in this Indenture (other than the certificate required by Section 4.04) shall include:</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2" w:name="page143"/>
    <w:bookmarkEnd w:id="142"/>
    <w:p>
      <w:pPr>
        <w:ind w:left="1360" w:hanging="509"/>
        <w:spacing w:after="0"/>
        <w:tabs>
          <w:tab w:leader="none" w:pos="1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person signing such certificate or opinion has read such covenant or condition and the definitions herein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right="400" w:firstLine="851"/>
        <w:spacing w:after="0" w:line="282" w:lineRule="auto"/>
        <w:tabs>
          <w:tab w:leader="none" w:pos="13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 or opinion contained in such certificate or opinion is based;</w:t>
      </w:r>
    </w:p>
    <w:p>
      <w:pPr>
        <w:spacing w:after="0" w:line="161" w:lineRule="exact"/>
        <w:rPr>
          <w:rFonts w:ascii="Times New Roman" w:cs="Times New Roman" w:eastAsia="Times New Roman" w:hAnsi="Times New Roman"/>
          <w:sz w:val="18"/>
          <w:szCs w:val="18"/>
          <w:color w:val="auto"/>
        </w:rPr>
      </w:pPr>
    </w:p>
    <w:p>
      <w:pPr>
        <w:ind w:firstLine="851"/>
        <w:spacing w:after="0" w:line="282" w:lineRule="auto"/>
        <w:tabs>
          <w:tab w:leader="none" w:pos="13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159" w:lineRule="exact"/>
        <w:rPr>
          <w:rFonts w:ascii="Times New Roman" w:cs="Times New Roman" w:eastAsia="Times New Roman" w:hAnsi="Times New Roman"/>
          <w:sz w:val="18"/>
          <w:szCs w:val="18"/>
          <w:color w:val="auto"/>
        </w:rPr>
      </w:pPr>
    </w:p>
    <w:p>
      <w:pPr>
        <w:ind w:right="640" w:firstLine="851"/>
        <w:spacing w:after="0" w:line="284" w:lineRule="auto"/>
        <w:tabs>
          <w:tab w:leader="none" w:pos="13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as to whether or not, in the opinion of each such person, such condition or covenant has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matters of fact, an Opinion of Counsel may rely on an Officers’ Certificate or certificates of public officials.</w:t>
      </w:r>
    </w:p>
    <w:p>
      <w:pPr>
        <w:spacing w:after="0" w:line="158"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Ownership</w:t>
      </w:r>
      <w:r>
        <w:rPr>
          <w:rFonts w:ascii="Times New Roman" w:cs="Times New Roman" w:eastAsia="Times New Roman" w:hAnsi="Times New Roman"/>
          <w:sz w:val="18"/>
          <w:szCs w:val="18"/>
          <w:color w:val="auto"/>
        </w:rPr>
        <w:t>.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spacing w:after="0" w:line="180"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Rules by Trustee, Paying Agent or Registrar</w:t>
      </w:r>
      <w:r>
        <w:rPr>
          <w:rFonts w:ascii="Times New Roman" w:cs="Times New Roman" w:eastAsia="Times New Roman" w:hAnsi="Times New Roman"/>
          <w:sz w:val="18"/>
          <w:szCs w:val="18"/>
          <w:color w:val="auto"/>
        </w:rPr>
        <w:t>. The Trustee may make reasonable rules for action by or at a meeting of Holders. The Paying Agent or Registrar may make reasonable rules for its functions.</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i w:val="1"/>
          <w:iCs w:val="1"/>
          <w:color w:val="auto"/>
        </w:rPr>
        <w:t>Payment Date Other Than a Business Day</w:t>
      </w:r>
      <w:r>
        <w:rPr>
          <w:rFonts w:ascii="Times New Roman" w:cs="Times New Roman" w:eastAsia="Times New Roman" w:hAnsi="Times New Roman"/>
          <w:sz w:val="18"/>
          <w:szCs w:val="18"/>
          <w:color w:val="auto"/>
        </w:rPr>
        <w:t>.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laws of the State of New York shall govern this Indenture and the Securities.</w:t>
      </w:r>
    </w:p>
    <w:p>
      <w:pPr>
        <w:spacing w:after="0" w:line="225"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 This Indenture may not be used to interpret another indenture or loan or debt agreement of the Company or any Subsidiary of the Company. Any such indenture or agreement may not be used to interpret this Indenture.</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3" w:name="page144"/>
    <w:bookmarkEnd w:id="143"/>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agreements of the Company in this Indenture and the Securities shall bind its successors. All agreements of the Trustee in this Indenture shall bind its successors.</w:t>
      </w:r>
    </w:p>
    <w:p>
      <w:pPr>
        <w:spacing w:after="0" w:line="158"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i w:val="1"/>
          <w:iCs w:val="1"/>
          <w:color w:val="auto"/>
        </w:rPr>
        <w:t>Duplicate Originals</w:t>
      </w:r>
      <w:r>
        <w:rPr>
          <w:rFonts w:ascii="Times New Roman" w:cs="Times New Roman" w:eastAsia="Times New Roman" w:hAnsi="Times New Roman"/>
          <w:sz w:val="18"/>
          <w:szCs w:val="18"/>
          <w:color w:val="auto"/>
        </w:rPr>
        <w:t>. The parties may sign any number of copies of this Indenture. Each signed copy shall be an original, but all of them together represent the same agreement.</w:t>
      </w:r>
    </w:p>
    <w:p>
      <w:pPr>
        <w:spacing w:after="0" w:line="15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i w:val="1"/>
          <w:iCs w:val="1"/>
          <w:color w:val="auto"/>
        </w:rPr>
        <w:t>Separability</w:t>
      </w:r>
      <w:r>
        <w:rPr>
          <w:rFonts w:ascii="Times New Roman" w:cs="Times New Roman" w:eastAsia="Times New Roman" w:hAnsi="Times New Roman"/>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The Table of Contents and headings of the Articles and Sections of this Indenture have been inserted for convenience of reference only, are not to be considered a part hereof and shall in no way modify or restrict any of the terms and provisions hereof.</w:t>
      </w:r>
    </w:p>
    <w:p>
      <w:pPr>
        <w:spacing w:after="0" w:line="15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i w:val="1"/>
          <w:iCs w:val="1"/>
          <w:color w:val="auto"/>
        </w:rPr>
        <w:t>Incorporators, Stockholders, Officers and Directors of Company Exempt from Individual Liability</w:t>
      </w:r>
      <w:r>
        <w:rPr>
          <w:rFonts w:ascii="Times New Roman" w:cs="Times New Roman" w:eastAsia="Times New Roman" w:hAnsi="Times New Roman"/>
          <w:sz w:val="18"/>
          <w:szCs w:val="18"/>
          <w:color w:val="auto"/>
        </w:rPr>
        <w:t>.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Company agrees, to the fullest extent that it may effectively do so under applicable law, that ii)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iii)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44" w:name="page145"/>
    <w:bookmarkEnd w:id="144"/>
    <w:p>
      <w:pPr>
        <w:ind w:right="40"/>
        <w:spacing w:after="0" w:line="266" w:lineRule="auto"/>
        <w:rPr>
          <w:sz w:val="20"/>
          <w:szCs w:val="20"/>
          <w:color w:val="auto"/>
        </w:rPr>
      </w:pPr>
      <w:r>
        <w:rPr>
          <w:rFonts w:ascii="Times New Roman" w:cs="Times New Roman" w:eastAsia="Times New Roman" w:hAnsi="Times New Roman"/>
          <w:sz w:val="18"/>
          <w:szCs w:val="18"/>
          <w:color w:val="auto"/>
        </w:rPr>
        <w:t>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7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spacing w:after="0" w:line="174"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SUBORDINATION OF SECURITIES</w:t>
      </w:r>
    </w:p>
    <w:p>
      <w:pPr>
        <w:spacing w:after="0" w:line="205"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Agreement to Subordinate</w:t>
      </w:r>
      <w:r>
        <w:rPr>
          <w:rFonts w:ascii="Times New Roman" w:cs="Times New Roman" w:eastAsia="Times New Roman" w:hAnsi="Times New Roman"/>
          <w:sz w:val="18"/>
          <w:szCs w:val="18"/>
          <w:color w:val="auto"/>
        </w:rPr>
        <w:t>. The Company covenants and agrees, and each Holder of a Security issued hereunder, by his acceptance thereof, likewise covenants and agrees, that all Securities shall be issued subject to the provisions of this Article; and each Person holding any Security, whether upon original issue or upon transfer, assignment or exchange thereof, accepts and agrees that the principal of and interest on all Securities issued hereunder shall, to the extent and in the manner herein set forth, be subordinated and subject in right of payment to the prior payment in full of all Senior Indebtedness, and that the subordination is for the benefit of the holders of the Senior Indebtedness.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Payments to Securityholders</w:t>
      </w:r>
      <w:r>
        <w:rPr>
          <w:rFonts w:ascii="Times New Roman" w:cs="Times New Roman" w:eastAsia="Times New Roman" w:hAnsi="Times New Roman"/>
          <w:sz w:val="18"/>
          <w:szCs w:val="18"/>
          <w:color w:val="auto"/>
        </w:rPr>
        <w:t>. As to each series of Securities, if any, issued hereunder, in the event iv) of any insolvency or bankruptcy proceedings, or any receivership, dissolution, winding-up, total or partial liquidation, reorganization or other similar proceedings in respect of the Company or a substantial part of its property, whether voluntary or involuntary, or v) that (1) a default shall have occurred with respect to the payment of principal of or interest on or other monetary amounts due and payable with respect to any Senior Indebtedness, or (2) there shall have occurred an event of default (other than a default in the payment of principal or interest or other monetary amounts due and payable) in respect of any Senior Indebtedness, as defined in such Senior Indebtedness or in the instrument under which the same is outstanding, permitting the holder or holders thereof to accelerate the maturity thereof, and such default or event of default shall not be cured or was continued beyond the period of grace, if any, in</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5" w:name="page146"/>
    <w:bookmarkEnd w:id="145"/>
    <w:p>
      <w:pPr>
        <w:spacing w:after="0" w:line="255" w:lineRule="auto"/>
        <w:rPr>
          <w:sz w:val="20"/>
          <w:szCs w:val="20"/>
          <w:color w:val="auto"/>
        </w:rPr>
      </w:pPr>
      <w:r>
        <w:rPr>
          <w:rFonts w:ascii="Times New Roman" w:cs="Times New Roman" w:eastAsia="Times New Roman" w:hAnsi="Times New Roman"/>
          <w:sz w:val="18"/>
          <w:szCs w:val="18"/>
          <w:color w:val="auto"/>
        </w:rPr>
        <w:t>respect thereof, and such default or event of default shall not have been waived or shall not have ceased to exist, or vi) separately with respect to each series of Securities, that the principal of and accrued interest on such Securities shall have been declared due and payable pursuant to Section 6.01 and such declaration shall not have been rescinded and annulled as provided in Section 6.01, then the holders of all Senior Indebtedness shall first be entitled to receive payment in full of all amounts due or to become due thereon, or provision shall be made, in accordance with the terms of such Senior Indebtedness, for such payment in money or money’s worth, before the Holders of such series of Securities are entitled to receive a payment on account of the principal of or interest on the indebtedness evidenced by such series of Securities, including, without limitation, any payments made pursuant to Article 3, or any cash payments to purchase such series of Securities at the option of the Holders thereof.</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Upon any such insolvency or bankruptcy proceeding, receivership, dissolution, winding-up, total or partial liquidation, reorganization, or other similar proceeding referred to in clause (a) of the immediately preceding paragraph,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to the extent required by the next succeeding paragraph, by the Holders of the Securities or the Trustee, if received by them or it, directly to the holders of Senior Indebtedness (pro rata to such holders on the basis of the respective amounts of Senior Indebtedness held by such holders) or their respective representatives, or to the trustee or trustees under any indenture pursuant to which any instruments evidencing any of such Senior Indebtedness may have been issued, as their respective interests may appear, to the extent necessary to pay all Senior Indebtedness in full after giving effect to any concurrent payment or distribution to or for the holders of Senior Indebtedness, before any payment or distribution is made to the Holders of the indebtedness evidenced by the Securities (including any cash payments to repurchase such Securities at the option of the Holders thereof) or to the Trustee under this Indenture.</w:t>
      </w:r>
    </w:p>
    <w:p>
      <w:pPr>
        <w:spacing w:after="0" w:line="19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or distribution of assets of the Company of any kind or character, whether in cash, property or securities, prohibited by the foregoing provisions of this Section, shall be received by the Trustee under this Indenture or the Holders of the Securities before all Senior Indebtedness is paid in full or provision is made for such payment in accordance with its terms, and if such fact shall, at or prior to the time of such payment or distribution, have been known to the Trustee, then such payment or distribution shall be held in trust for the benefit of and shall be paid over or delivered to the holders of such Senior Indebtedness or their respective representatives, or to the trustee or trustees under any indenture pursuant to which any instruments evidencing any of such Senior Indebtedness may have been issued, as their respective interests may appear, for application to the payment of all Senior Indebtedness remaining unpaid until all such Senior Indebtedness shall have been paid in full in accordance with its terms, after giving effect to any concurrent payment or distribution to or for the holders of such Senior Indebtedness.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46" w:name="page147"/>
    <w:bookmarkEnd w:id="146"/>
    <w:p>
      <w:pPr>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Article only,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with respect to the Securities) to the payment of all Senior Indebtedness which may at the time be outstanding; provided that (i) the Senior Indebtedness is assumed by the new corporation, if any, resulting from any such arrangement, reorganization or readjustment, and (ii) the rights of the holders of the Senior Indebtedness are not, without the consent of such holders, altered by such arrangement, reorganization or readjustment. The consolidation of the Company with, or the merger of the Company with or into, another corporation or the liquidation or dissolution of the Company following the conveyance or transfer of all or substantially all of its assets to another corporation upon the terms and conditions provided in Article 5 shall not be deemed a dissolution, winding-up, liquidation or reorganization for the purposes of this Section if such other corporation shall, as a part of such consolidation, merger, conveyance or transfer, comply with the conditions stated in Article 5. Nothing in this Section shall apply to claims of, or payments to, the Trustee under or pursuant to Article 7, except as expressly provided therein. This Section shall be subject to the further provisions of Section 11.05</w:t>
      </w:r>
    </w:p>
    <w:p>
      <w:pPr>
        <w:spacing w:after="0" w:line="19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Subrogation</w:t>
      </w:r>
      <w:r>
        <w:rPr>
          <w:rFonts w:ascii="Times New Roman" w:cs="Times New Roman" w:eastAsia="Times New Roman" w:hAnsi="Times New Roman"/>
          <w:sz w:val="18"/>
          <w:szCs w:val="18"/>
          <w:color w:val="auto"/>
        </w:rPr>
        <w:t>. Subject to the payment in full of all Senior Indebtedness, the Holders of the Securities subject to the provisions of Section 11.02 shall be subrogated (equally and ratably with the holders of all obligations of the Company which by their express terms are subordinated to Senior Indebtedness of the Company to the same extent as the Securities are subordinated and which are entitled to like rights of subrogation) to the rights of the holders of Senior Indebtedness to receive payments or distributions of cash, property or securities of the Company applicable to the Senior Indebtedness until the principal of and interest on such Securities shall be paid in full; and, for the purpose of such subrogation, no payments or distributions to the holders of the Senior Indebtedness of any cash, property or securities to which the Holders of such Securities or the Trustee on their behalf would be entitled except for the provisions of this Article, and no payment over pursuant to the provisions of this Article to the holders of Senior Indebtedness by Holders of such Securities or the Trustee on their behalf shall, as between the Company, its creditors other than holders of Senior Indebtedness and the Holders of such Securities, be deemed to be a payment by the Company to or on account of the Senior Indebtedness; and no payments or distributions of cash, property or securities to or for the benefit of the Holders of the Securities pursuant to the subrogation provision of this Article, which would otherwise have been paid to the holders of Senior Indebtedness, shall be deemed to be a payment by the Company to or for the account of such Securities. The provisions of this Article are intended solely for the purpose of defining the relative rights of the Holders of the Securities, on the one hand, and the holders of the Senior Indebtedness, on the other hand.</w:t>
      </w:r>
    </w:p>
    <w:p>
      <w:pPr>
        <w:spacing w:after="0" w:line="19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Nothing contained in this Article or elsewhere in this Indenture or in the Securities is intended to or shall impair, as between the issuer, its creditors other than the holders of Senior Indebtedness, and the Holders of the Securities, the obligation of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7" w:name="page148"/>
    <w:bookmarkEnd w:id="147"/>
    <w:p>
      <w:pPr>
        <w:ind w:right="20"/>
        <w:spacing w:after="0" w:line="256" w:lineRule="auto"/>
        <w:rPr>
          <w:sz w:val="20"/>
          <w:szCs w:val="20"/>
          <w:color w:val="auto"/>
        </w:rPr>
      </w:pPr>
      <w:r>
        <w:rPr>
          <w:rFonts w:ascii="Times New Roman" w:cs="Times New Roman" w:eastAsia="Times New Roman" w:hAnsi="Times New Roman"/>
          <w:sz w:val="18"/>
          <w:szCs w:val="18"/>
          <w:color w:val="auto"/>
        </w:rPr>
        <w:t>Company, which is absolute and unconditional, to pay to the Holders of the Securities the principal of and interest on the Securities as and when the same shall become due and payable in accordance with their terms, or is intended to or shall affect the relative rights against the Company of the Holders of the Securities and creditors of the Company other than the holders of Senior Indebtedness, nor shall anything herein or therein prevent the Holder of any Security or the Trustee on his behalf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Upon any payment or distribution of assets of the Company referred to in this Article, the Trustee, subject to the provisions of Section 7.01 and Section 7.02, and the Holders of the Securities shall be entitled to rely upon any order or decree made by any court of competent jurisdiction in which such insolvency, bankruptcy, dissolution, winding-up, liquidation, arrangement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w:t>
      </w:r>
    </w:p>
    <w:p>
      <w:pPr>
        <w:spacing w:after="0" w:line="186" w:lineRule="exact"/>
        <w:rPr>
          <w:sz w:val="20"/>
          <w:szCs w:val="20"/>
          <w:color w:val="auto"/>
        </w:rPr>
      </w:pPr>
    </w:p>
    <w:p>
      <w:pPr>
        <w:jc w:val="both"/>
        <w:ind w:right="2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Authorization by Securityholders</w:t>
      </w:r>
      <w:r>
        <w:rPr>
          <w:rFonts w:ascii="Times New Roman" w:cs="Times New Roman" w:eastAsia="Times New Roman" w:hAnsi="Times New Roman"/>
          <w:sz w:val="18"/>
          <w:szCs w:val="18"/>
          <w:color w:val="auto"/>
        </w:rPr>
        <w:t>. Each Holder of a Security by his acceptance thereof authorizes the Trustee on his behalf to take such action as may be necessary or appropriate to effectuate the subordination provided in this Article and appoints the Trustee his attorney-in-fact for any and all such purposes.</w:t>
      </w:r>
    </w:p>
    <w:p>
      <w:pPr>
        <w:spacing w:after="0" w:line="1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Notice to Trustee</w:t>
      </w:r>
      <w:r>
        <w:rPr>
          <w:rFonts w:ascii="Times New Roman" w:cs="Times New Roman" w:eastAsia="Times New Roman" w:hAnsi="Times New Roman"/>
          <w:sz w:val="18"/>
          <w:szCs w:val="18"/>
          <w:color w:val="auto"/>
        </w:rPr>
        <w:t>. The Company shall give prompt written notice to the Trustee and to any paying agent of any fact known to the Company which would prohibit the making of any payment of monies to or by the Trustee or any paying agent in respect of the Securities pursuant to the provisions of this Article. Regardless of anything to the contrary contained in this Article or elsewhere in this Indenture, the Trustee shall not be charged with knowledge of the existence of any Senior Indebtedness or of any default or event of default with respect to any Senior Indebtedness or of any other facts which would prohibit the making of any payment of monies to or by the Trustee in respect of the Securities, unless and until the Trustee shall have received notice in writing (which may be by telegram, telecopy or other similar writing) at its Corporate Trust Office to that effect signed by an officer of the Company, or by a holder or agent of a holder of Senior Indebtedness who shall have been certified by the Company or otherwise established to the reasonable satisfaction of the Trustee to be such holder or agent, or by the trustee under any indenture pursuant to which Senior Indebtedness shall be outstanding, and, prior to the receipt of any such written notice, the Trustee shall, subject to Section 7.01 and Section 7.02, be entitled to assume that no such facts exist; provided that if on a date at least two Business Days prior to the date upon which by the terms hereof any such monies shall become payable for any purpose (including, without limitation, the payment of the principal of or interest on any Security) the Trustee shall not have received with respect to such monies the notice provided for in this Section,</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48" w:name="page149"/>
    <w:bookmarkEnd w:id="148"/>
    <w:p>
      <w:pPr>
        <w:spacing w:after="0" w:line="282" w:lineRule="auto"/>
        <w:rPr>
          <w:sz w:val="20"/>
          <w:szCs w:val="20"/>
          <w:color w:val="auto"/>
        </w:rPr>
      </w:pPr>
      <w:r>
        <w:rPr>
          <w:rFonts w:ascii="Times New Roman" w:cs="Times New Roman" w:eastAsia="Times New Roman" w:hAnsi="Times New Roman"/>
          <w:sz w:val="18"/>
          <w:szCs w:val="18"/>
          <w:color w:val="auto"/>
        </w:rPr>
        <w:t>then, regardless of anything herein to the contrary,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Regardless of anything to the contrary herein (but subject, in the case of clause (a) of this paragraph, to the second paragraph of Section 11.02), nothing shall prevent (a) any payment by the Company or the Trustee to the</w:t>
      </w:r>
    </w:p>
    <w:p>
      <w:pPr>
        <w:spacing w:after="0" w:line="162"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Securityholders of amounts in connection with a redemption of Securities if (i) notice of such redemption has been given pursuant to Article 3 prior to the receipt by the Trustee of written notice as aforesaid, and (ii) such notice of redemption is given not earlier than 60 days before any redemption date, or</w:t>
      </w:r>
    </w:p>
    <w:p>
      <w:pPr>
        <w:spacing w:after="0" w:line="1" w:lineRule="exact"/>
        <w:rPr>
          <w:sz w:val="20"/>
          <w:szCs w:val="20"/>
          <w:color w:val="auto"/>
        </w:rPr>
      </w:pPr>
    </w:p>
    <w:p>
      <w:pPr>
        <w:ind w:right="240" w:firstLine="8"/>
        <w:spacing w:after="0" w:line="254"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Trustee to the Securityholders of amounts deposited with it pursuant to Section 8.01, provided, that, in the case of Section 8.05, the applicable Securities are deemed to have been paid and discharged, and in the case of Section 8.01, the Trustee shall not have received, by at least two Business Days prior to the date of execution of instruments acknowledging the satisfaction of and discharge of this Indenture with respect to the applicable Securities, the notice provided in the preceding paragraph.</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Subject to Section 7.01 and Section 7.02, the Trustee shall be entitled to rely on the delivery to it of a written notice by a Person representing himself to be a holder of Senior Indebtedness (or a trustee on behalf of such holder) to establish that such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Trustee’s Relation to Senior Indebtedness</w:t>
      </w:r>
      <w:r>
        <w:rPr>
          <w:rFonts w:ascii="Times New Roman" w:cs="Times New Roman" w:eastAsia="Times New Roman" w:hAnsi="Times New Roman"/>
          <w:sz w:val="18"/>
          <w:szCs w:val="18"/>
          <w:color w:val="auto"/>
        </w:rPr>
        <w:t>. The Trustee and any agent of the Company or the Trustee shall be entitled to all the rights set forth in this Article with respect to any Senior Indebtedness which may at any time be held by it in its individual or any other capacity to the same extent as any other holder of Senior Indebtedness and nothing in the second paragraph of Section 2.02 or elsewhere in this Indenture shall deprive the Trustee or any such agent of any of its rights as such holder. Nothing in this Article shall apply to claims of, or payments to, the Trustee under or pursuant to Section 7.07.</w:t>
      </w:r>
    </w:p>
    <w:p>
      <w:pPr>
        <w:spacing w:after="0" w:line="18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49" w:name="page150"/>
    <w:bookmarkEnd w:id="149"/>
    <w:p>
      <w:pPr>
        <w:ind w:right="100"/>
        <w:spacing w:after="0" w:line="266" w:lineRule="auto"/>
        <w:rPr>
          <w:sz w:val="20"/>
          <w:szCs w:val="20"/>
          <w:color w:val="auto"/>
        </w:rPr>
      </w:pPr>
      <w:r>
        <w:rPr>
          <w:rFonts w:ascii="Times New Roman" w:cs="Times New Roman" w:eastAsia="Times New Roman" w:hAnsi="Times New Roman"/>
          <w:sz w:val="18"/>
          <w:szCs w:val="18"/>
          <w:color w:val="auto"/>
        </w:rPr>
        <w:t>shall not be deemed to owe any fiduciary duty to the holders of Senior Indebtedness and, subject to the provisions of Section 7.01 and Section 7.02, the Trustee shall not be liable to any holder of Senior Indebtedness if it shall in good faith pay over or deliver to Holders of Securities, the Company or any other Person monies or assets to which any holder of Senior Indebtedness shall be entitled by virtue of this Article or otherwise.</w:t>
      </w:r>
    </w:p>
    <w:p>
      <w:pPr>
        <w:spacing w:after="0" w:line="1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No Impairment of Subordination</w:t>
      </w:r>
      <w:r>
        <w:rPr>
          <w:rFonts w:ascii="Times New Roman" w:cs="Times New Roman" w:eastAsia="Times New Roman" w:hAnsi="Times New Roman"/>
          <w:sz w:val="18"/>
          <w:szCs w:val="18"/>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4220" w:type="dxa"/>
            <w:vAlign w:val="bottom"/>
          </w:tcPr>
          <w:p>
            <w:pPr>
              <w:spacing w:after="0"/>
              <w:rPr>
                <w:sz w:val="18"/>
                <w:szCs w:val="18"/>
                <w:color w:val="auto"/>
              </w:rPr>
            </w:pPr>
          </w:p>
        </w:tc>
        <w:tc>
          <w:tcPr>
            <w:tcW w:w="6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 Immune SA</w:t>
            </w:r>
          </w:p>
        </w:tc>
        <w:tc>
          <w:tcPr>
            <w:tcW w:w="0" w:type="dxa"/>
            <w:vAlign w:val="bottom"/>
          </w:tcPr>
          <w:p>
            <w:pPr>
              <w:spacing w:after="0"/>
              <w:rPr>
                <w:sz w:val="1"/>
                <w:szCs w:val="1"/>
                <w:color w:val="auto"/>
              </w:rPr>
            </w:pPr>
          </w:p>
        </w:tc>
      </w:tr>
      <w:tr>
        <w:trPr>
          <w:trHeight w:val="234"/>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Attest:</w:t>
            </w:r>
          </w:p>
        </w:tc>
        <w:tc>
          <w:tcPr>
            <w:tcW w:w="4220" w:type="dxa"/>
            <w:vAlign w:val="bottom"/>
          </w:tcPr>
          <w:p>
            <w:pPr>
              <w:spacing w:after="0"/>
              <w:rPr>
                <w:sz w:val="20"/>
                <w:szCs w:val="20"/>
                <w:color w:val="auto"/>
              </w:rPr>
            </w:pPr>
          </w:p>
        </w:tc>
        <w:tc>
          <w:tcPr>
            <w:tcW w:w="6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 the Company</w:t>
            </w: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220" w:type="dxa"/>
            <w:vAlign w:val="bottom"/>
          </w:tcPr>
          <w:p>
            <w:pPr>
              <w:spacing w:after="0"/>
              <w:rPr>
                <w:sz w:val="18"/>
                <w:szCs w:val="18"/>
                <w:color w:val="auto"/>
              </w:rPr>
            </w:pPr>
          </w:p>
        </w:tc>
        <w:tc>
          <w:tcPr>
            <w:tcW w:w="6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5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(SEAL)</w:t>
            </w:r>
          </w:p>
        </w:tc>
        <w:tc>
          <w:tcPr>
            <w:tcW w:w="4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220" w:type="dxa"/>
            <w:vAlign w:val="bottom"/>
          </w:tcPr>
          <w:p>
            <w:pPr>
              <w:spacing w:after="0"/>
              <w:rPr>
                <w:sz w:val="18"/>
                <w:szCs w:val="18"/>
                <w:color w:val="auto"/>
              </w:rPr>
            </w:pPr>
          </w:p>
        </w:tc>
        <w:tc>
          <w:tcPr>
            <w:tcW w:w="6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as the Trustee</w:t>
            </w: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Attest:</w:t>
            </w:r>
          </w:p>
        </w:tc>
        <w:tc>
          <w:tcPr>
            <w:tcW w:w="42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220" w:type="dxa"/>
            <w:vAlign w:val="bottom"/>
          </w:tcPr>
          <w:p>
            <w:pPr>
              <w:spacing w:after="0"/>
              <w:rPr>
                <w:sz w:val="18"/>
                <w:szCs w:val="18"/>
                <w:color w:val="auto"/>
              </w:rPr>
            </w:pPr>
          </w:p>
        </w:tc>
        <w:tc>
          <w:tcPr>
            <w:tcW w:w="6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5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567"/>
        </w:trPr>
        <w:tc>
          <w:tcPr>
            <w:tcW w:w="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1" w:name="page152"/>
    <w:bookmarkEnd w:id="151"/>
    <w:p>
      <w:pPr>
        <w:ind w:left="9760"/>
        <w:spacing w:after="0"/>
        <w:rPr>
          <w:sz w:val="20"/>
          <w:szCs w:val="20"/>
          <w:color w:val="auto"/>
        </w:rPr>
      </w:pPr>
      <w:r>
        <w:rPr>
          <w:rFonts w:ascii="Times New Roman" w:cs="Times New Roman" w:eastAsia="Times New Roman" w:hAnsi="Times New Roman"/>
          <w:sz w:val="18"/>
          <w:szCs w:val="18"/>
          <w:b w:val="1"/>
          <w:bCs w:val="1"/>
          <w:color w:val="auto"/>
        </w:rPr>
        <w:t xml:space="preserve">Exhibit 5.1 </w:t>
      </w:r>
      <w:r>
        <w:rPr>
          <w:rFonts w:ascii="Times New Roman" w:cs="Times New Roman" w:eastAsia="Times New Roman" w:hAnsi="Times New Roman"/>
          <w:sz w:val="21"/>
          <w:szCs w:val="21"/>
          <w:b w:val="1"/>
          <w:bCs w:val="1"/>
          <w:color w:val="auto"/>
        </w:rPr>
        <w:t>and 23.2</w:t>
      </w:r>
    </w:p>
    <w:p>
      <w:pPr>
        <w:spacing w:after="0" w:line="200" w:lineRule="exact"/>
        <w:rPr>
          <w:sz w:val="20"/>
          <w:szCs w:val="20"/>
          <w:color w:val="auto"/>
        </w:rPr>
      </w:pPr>
    </w:p>
    <w:p>
      <w:pPr>
        <w:spacing w:after="0" w:line="24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AC Immune SA</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EPFL Innovation Park</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Building B</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1015 Lausanne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Basel, 4 May 2018</w:t>
            </w: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4"/>
                <w:szCs w:val="24"/>
                <w:color w:val="auto"/>
              </w:rPr>
            </w:pP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 Immune SA – Registration Statement on Form F-3</w:t>
            </w: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VISCHER Ltd</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Dear Sir or Madam,</w:t>
            </w:r>
          </w:p>
        </w:tc>
        <w:tc>
          <w:tcPr>
            <w:tcW w:w="0" w:type="dxa"/>
            <w:vAlign w:val="bottom"/>
          </w:tcPr>
          <w:p>
            <w:pPr>
              <w:spacing w:after="0"/>
              <w:rPr>
                <w:sz w:val="1"/>
                <w:szCs w:val="1"/>
                <w:color w:val="auto"/>
              </w:rPr>
            </w:pPr>
          </w:p>
        </w:tc>
      </w:tr>
      <w:tr>
        <w:trPr>
          <w:trHeight w:val="410"/>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Basel</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This opinion is being rendered at the request of AC Immune SA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of a registration</w:t>
            </w:r>
          </w:p>
        </w:tc>
        <w:tc>
          <w:tcPr>
            <w:tcW w:w="0" w:type="dxa"/>
            <w:vAlign w:val="bottom"/>
          </w:tcPr>
          <w:p>
            <w:pPr>
              <w:spacing w:after="0"/>
              <w:rPr>
                <w:sz w:val="1"/>
                <w:szCs w:val="1"/>
                <w:color w:val="auto"/>
              </w:rPr>
            </w:pPr>
          </w:p>
        </w:tc>
      </w:tr>
      <w:tr>
        <w:trPr>
          <w:trHeight w:val="216"/>
        </w:trPr>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Aeschenvorstadt 4</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statement on Form F-3 on 4 May 2018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United States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CH-4010 Basel</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offer and sale of certain securities of the Company, including common</w:t>
            </w:r>
          </w:p>
        </w:tc>
        <w:tc>
          <w:tcPr>
            <w:tcW w:w="0" w:type="dxa"/>
            <w:vAlign w:val="bottom"/>
          </w:tcPr>
          <w:p>
            <w:pPr>
              <w:spacing w:after="0"/>
              <w:rPr>
                <w:sz w:val="1"/>
                <w:szCs w:val="1"/>
                <w:color w:val="auto"/>
              </w:rPr>
            </w:pPr>
          </w:p>
        </w:tc>
      </w:tr>
      <w:tr>
        <w:trPr>
          <w:trHeight w:val="22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CHF 0.02 par value each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as authorized by the Shareholders Resolution (as defined below).</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Phone +41 58 211 33</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such counsel, we have been requested to render an opinion as to certain matters of Swiss law.</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00</w:t>
            </w: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Fax +41 58 211 33 10</w:t>
            </w:r>
          </w:p>
        </w:tc>
        <w:tc>
          <w:tcPr>
            <w:tcW w:w="9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 Basis of opinion</w:t>
            </w: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Zurich</w:t>
            </w:r>
          </w:p>
        </w:tc>
        <w:tc>
          <w:tcPr>
            <w:tcW w:w="9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60" w:type="dxa"/>
            <w:vAlign w:val="bottom"/>
            <w:vMerge w:val="continue"/>
          </w:tcPr>
          <w:p>
            <w:pPr>
              <w:spacing w:after="0"/>
              <w:rPr>
                <w:sz w:val="17"/>
                <w:szCs w:val="17"/>
                <w:color w:val="auto"/>
              </w:rPr>
            </w:pPr>
          </w:p>
        </w:tc>
        <w:tc>
          <w:tcPr>
            <w:tcW w:w="9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Schützengasse 1</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This opinion is confined to and given on the basis of the laws of Switzerland in force at the date hereof and as currently applied by</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CH-8021 Zurich</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Swiss courts. In the absence of statutory or established case law, we base our opinion on our independent professional judgement.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Phone +41 58 211 34</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This opinion is also confined to the matters stated herein and is not to be read as extending, by implication or otherwise, to any other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00</w:t>
            </w:r>
          </w:p>
        </w:tc>
        <w:tc>
          <w:tcPr>
            <w:tcW w:w="9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matter.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Fax +41 58 211 34 10</w:t>
            </w: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Civil Law Notaries in</w:t>
            </w: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Basel-City</w:t>
            </w:r>
          </w:p>
        </w:tc>
        <w:tc>
          <w:tcPr>
            <w:tcW w:w="9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5"/>
        </w:trPr>
        <w:tc>
          <w:tcPr>
            <w:tcW w:w="166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52" w:name="page153"/>
    <w:bookmarkEnd w:id="152"/>
    <w:p>
      <w:pPr>
        <w:ind w:left="760" w:right="20"/>
        <w:spacing w:after="0" w:line="282" w:lineRule="auto"/>
        <w:rPr>
          <w:sz w:val="20"/>
          <w:szCs w:val="20"/>
          <w:color w:val="auto"/>
        </w:rPr>
      </w:pPr>
      <w:r>
        <w:rPr>
          <w:rFonts w:ascii="Times New Roman" w:cs="Times New Roman" w:eastAsia="Times New Roman" w:hAnsi="Times New Roman"/>
          <w:sz w:val="18"/>
          <w:szCs w:val="18"/>
          <w:color w:val="auto"/>
        </w:rPr>
        <w:t>For the purpose of giving this opinion, we have examined such documents and made such examination of law as we have deemed appropriate to give the opinions set forth below, including but not limited to the following documents:</w:t>
      </w:r>
    </w:p>
    <w:p>
      <w:pPr>
        <w:spacing w:after="0" w:line="162" w:lineRule="exact"/>
        <w:rPr>
          <w:sz w:val="20"/>
          <w:szCs w:val="20"/>
          <w:color w:val="auto"/>
        </w:rPr>
      </w:pPr>
    </w:p>
    <w:p>
      <w:pPr>
        <w:ind w:left="1500" w:hanging="747"/>
        <w:spacing w:after="0"/>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Registration Statement dated as of 4 May 2018;</w:t>
      </w:r>
    </w:p>
    <w:p>
      <w:pPr>
        <w:spacing w:after="0" w:line="221" w:lineRule="exact"/>
        <w:rPr>
          <w:rFonts w:ascii="Times New Roman" w:cs="Times New Roman" w:eastAsia="Times New Roman" w:hAnsi="Times New Roman"/>
          <w:sz w:val="18"/>
          <w:szCs w:val="18"/>
          <w:color w:val="auto"/>
        </w:rPr>
      </w:pPr>
    </w:p>
    <w:p>
      <w:pPr>
        <w:ind w:left="1500" w:hanging="747"/>
        <w:spacing w:after="0" w:line="286" w:lineRule="auto"/>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notarized articles of association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of the Company dated 26 March 2018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as filed with the Commercial Register of the Canton of Vaud;</w:t>
      </w:r>
    </w:p>
    <w:p>
      <w:pPr>
        <w:spacing w:after="0" w:line="158" w:lineRule="exact"/>
        <w:rPr>
          <w:rFonts w:ascii="Times New Roman" w:cs="Times New Roman" w:eastAsia="Times New Roman" w:hAnsi="Times New Roman"/>
          <w:sz w:val="18"/>
          <w:szCs w:val="18"/>
          <w:color w:val="auto"/>
        </w:rPr>
      </w:pPr>
    </w:p>
    <w:p>
      <w:pPr>
        <w:ind w:left="1500" w:hanging="747"/>
        <w:spacing w:after="0" w:line="282" w:lineRule="auto"/>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excerpt from the Commercial Register of the Canton of Vaud in respect of the Company, certified by such Commercial Register to be up-to-date as of 6 April 2018 (the "</w:t>
      </w:r>
      <w:r>
        <w:rPr>
          <w:rFonts w:ascii="Times New Roman" w:cs="Times New Roman" w:eastAsia="Times New Roman" w:hAnsi="Times New Roman"/>
          <w:sz w:val="18"/>
          <w:szCs w:val="18"/>
          <w:b w:val="1"/>
          <w:bCs w:val="1"/>
          <w:color w:val="auto"/>
        </w:rPr>
        <w:t>Excerpt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500" w:hanging="747"/>
        <w:spacing w:after="0" w:line="258" w:lineRule="auto"/>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notarized resolution of the general meeting of the shareholders of the Company dated 27 April 2018 (the "</w:t>
      </w:r>
      <w:r>
        <w:rPr>
          <w:rFonts w:ascii="Times New Roman" w:cs="Times New Roman" w:eastAsia="Times New Roman" w:hAnsi="Times New Roman"/>
          <w:sz w:val="18"/>
          <w:szCs w:val="18"/>
          <w:b w:val="1"/>
          <w:bCs w:val="1"/>
          <w:color w:val="auto"/>
        </w:rPr>
        <w:t>Shareholders Resolution</w:t>
      </w:r>
      <w:r>
        <w:rPr>
          <w:rFonts w:ascii="Times New Roman" w:cs="Times New Roman" w:eastAsia="Times New Roman" w:hAnsi="Times New Roman"/>
          <w:sz w:val="18"/>
          <w:szCs w:val="18"/>
          <w:color w:val="auto"/>
        </w:rPr>
        <w:t>") regarding, among others, the authorization (the "</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granted to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to (i) increase the share capital of the Company by an amount up to CHF 200'000 (the "</w:t>
      </w:r>
      <w:r>
        <w:rPr>
          <w:rFonts w:ascii="Times New Roman" w:cs="Times New Roman" w:eastAsia="Times New Roman" w:hAnsi="Times New Roman"/>
          <w:sz w:val="18"/>
          <w:szCs w:val="18"/>
          <w:b w:val="1"/>
          <w:bCs w:val="1"/>
          <w:color w:val="auto"/>
        </w:rPr>
        <w:t>Capital Increase</w:t>
      </w:r>
      <w:r>
        <w:rPr>
          <w:rFonts w:ascii="Times New Roman" w:cs="Times New Roman" w:eastAsia="Times New Roman" w:hAnsi="Times New Roman"/>
          <w:sz w:val="18"/>
          <w:szCs w:val="18"/>
          <w:color w:val="auto"/>
        </w:rPr>
        <w:t>"), (ii) issue up to 10'000'000 shares of a nominal value of CHF 0.02 each and (iii) adapt the Articles accordingly; and</w:t>
      </w:r>
    </w:p>
    <w:p>
      <w:pPr>
        <w:spacing w:after="0" w:line="183" w:lineRule="exact"/>
        <w:rPr>
          <w:rFonts w:ascii="Times New Roman" w:cs="Times New Roman" w:eastAsia="Times New Roman" w:hAnsi="Times New Roman"/>
          <w:sz w:val="18"/>
          <w:szCs w:val="18"/>
          <w:color w:val="auto"/>
        </w:rPr>
      </w:pPr>
    </w:p>
    <w:p>
      <w:pPr>
        <w:ind w:left="1500" w:hanging="747"/>
        <w:spacing w:after="0"/>
        <w:tabs>
          <w:tab w:leader="none" w:pos="1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certificates of the officers of the Company.</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documents referred to above in paragraphs a) to e) are referred to together as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No documents have been reviewed by ourselves in connection with this opinion other than those listed above. Accordingly, our opinion is limited to the above Documents and their legal implications under Swiss law.</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All terms used in this opinion in uppercase form shall have the meaning ascribed to them in the Registration Statement, unless otherwise defined herein.</w:t>
      </w:r>
    </w:p>
    <w:p>
      <w:pPr>
        <w:spacing w:after="0" w:line="162" w:lineRule="exact"/>
        <w:rPr>
          <w:sz w:val="20"/>
          <w:szCs w:val="20"/>
          <w:color w:val="auto"/>
        </w:rPr>
      </w:pPr>
    </w:p>
    <w:p>
      <w:pPr>
        <w:ind w:left="1500" w:hanging="747"/>
        <w:spacing w:after="0"/>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rendering the opinion below, we have assumed:</w:t>
      </w:r>
    </w:p>
    <w:p>
      <w:pPr>
        <w:spacing w:after="0" w:line="225" w:lineRule="exact"/>
        <w:rPr>
          <w:sz w:val="20"/>
          <w:szCs w:val="20"/>
          <w:color w:val="auto"/>
        </w:rPr>
      </w:pPr>
    </w:p>
    <w:p>
      <w:pPr>
        <w:ind w:left="1500" w:hanging="747"/>
        <w:spacing w:after="0" w:line="282"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to the Documents of all documents produced to us as copies, fax copies or via e-mail, and that the original was executed in the manner appearing on the copy of the draft;</w:t>
      </w:r>
    </w:p>
    <w:p>
      <w:pPr>
        <w:spacing w:after="0" w:line="161" w:lineRule="exact"/>
        <w:rPr>
          <w:rFonts w:ascii="Times New Roman" w:cs="Times New Roman" w:eastAsia="Times New Roman" w:hAnsi="Times New Roman"/>
          <w:sz w:val="18"/>
          <w:szCs w:val="18"/>
          <w:color w:val="auto"/>
        </w:rPr>
      </w:pPr>
    </w:p>
    <w:p>
      <w:pPr>
        <w:ind w:left="1500" w:hanging="747"/>
        <w:spacing w:after="0" w:line="282"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and authenticity of the signatures on all copies of the original Documents thereof which we have examined;</w:t>
      </w:r>
    </w:p>
    <w:p>
      <w:pPr>
        <w:spacing w:after="0" w:line="161" w:lineRule="exact"/>
        <w:rPr>
          <w:rFonts w:ascii="Times New Roman" w:cs="Times New Roman" w:eastAsia="Times New Roman" w:hAnsi="Times New Roman"/>
          <w:sz w:val="18"/>
          <w:szCs w:val="18"/>
          <w:color w:val="auto"/>
        </w:rPr>
      </w:pPr>
    </w:p>
    <w:p>
      <w:pPr>
        <w:ind w:left="1500" w:hanging="747"/>
        <w:spacing w:after="0" w:line="282"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Resolution has been duly resolved in a meeting duly convened and has not been rescinded or amended and is in full force and effect;</w:t>
      </w:r>
    </w:p>
    <w:p>
      <w:pPr>
        <w:spacing w:after="0" w:line="161" w:lineRule="exact"/>
        <w:rPr>
          <w:rFonts w:ascii="Times New Roman" w:cs="Times New Roman" w:eastAsia="Times New Roman" w:hAnsi="Times New Roman"/>
          <w:sz w:val="18"/>
          <w:szCs w:val="18"/>
          <w:color w:val="auto"/>
        </w:rPr>
      </w:pPr>
    </w:p>
    <w:p>
      <w:pPr>
        <w:ind w:left="1500" w:hanging="747"/>
        <w:spacing w:after="0"/>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duly filed by the Company;</w:t>
      </w:r>
    </w:p>
    <w:p>
      <w:pPr>
        <w:spacing w:after="0" w:line="225" w:lineRule="exact"/>
        <w:rPr>
          <w:rFonts w:ascii="Times New Roman" w:cs="Times New Roman" w:eastAsia="Times New Roman" w:hAnsi="Times New Roman"/>
          <w:sz w:val="18"/>
          <w:szCs w:val="18"/>
          <w:color w:val="auto"/>
        </w:rPr>
      </w:pPr>
    </w:p>
    <w:p>
      <w:pPr>
        <w:ind w:left="1500" w:hanging="747"/>
        <w:spacing w:after="0" w:line="282" w:lineRule="auto"/>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and the Excerpt are unchanged and correct as of the date hereof and no changes have been made which should have been or should be reflected in the Articles or the Excerpt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337185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153" w:name="page154"/>
    <w:bookmarkEnd w:id="153"/>
    <w:p>
      <w:pPr>
        <w:ind w:left="7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500" w:hanging="747"/>
        <w:spacing w:after="0" w:line="282" w:lineRule="auto"/>
        <w:tabs>
          <w:tab w:leader="none" w:pos="1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relevant for purposes of this opinion, all factual information contained in, or material statements given in connection with, the Documents are true, complete and accurate.</w:t>
      </w:r>
    </w:p>
    <w:p>
      <w:pPr>
        <w:spacing w:after="0" w:line="162" w:lineRule="exact"/>
        <w:rPr>
          <w:sz w:val="20"/>
          <w:szCs w:val="20"/>
          <w:color w:val="auto"/>
        </w:rPr>
      </w:pPr>
    </w:p>
    <w:p>
      <w:pPr>
        <w:ind w:left="1500" w:hanging="747"/>
        <w:spacing w:after="0"/>
        <w:tabs>
          <w:tab w:leader="none" w:pos="1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w:t>
      </w:r>
    </w:p>
    <w:p>
      <w:pPr>
        <w:spacing w:after="0" w:line="22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we are of the opinion that the Shares, when sold and upon registration of the corresponding share capital increase into the Commercial Register of the Canton of Vaud, will be validly issued, fully paid-in (up to their nominal amount) and non-assessable (which term means when used herein that no further contributions have to be made by the holders of the Shares).</w:t>
      </w:r>
    </w:p>
    <w:p>
      <w:pPr>
        <w:spacing w:after="0" w:line="180"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Qualifications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opinion is subject to the following qualifications:</w:t>
      </w:r>
    </w:p>
    <w:p>
      <w:pPr>
        <w:spacing w:after="0" w:line="225" w:lineRule="exact"/>
        <w:rPr>
          <w:sz w:val="20"/>
          <w:szCs w:val="20"/>
          <w:color w:val="auto"/>
        </w:rPr>
      </w:pPr>
    </w:p>
    <w:p>
      <w:pPr>
        <w:ind w:left="1500" w:right="20" w:hanging="747"/>
        <w:spacing w:after="0" w:line="282" w:lineRule="auto"/>
        <w:tabs>
          <w:tab w:leader="none" w:pos="1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161" w:lineRule="exact"/>
        <w:rPr>
          <w:rFonts w:ascii="Times New Roman" w:cs="Times New Roman" w:eastAsia="Times New Roman" w:hAnsi="Times New Roman"/>
          <w:sz w:val="18"/>
          <w:szCs w:val="18"/>
          <w:color w:val="auto"/>
        </w:rPr>
      </w:pPr>
    </w:p>
    <w:p>
      <w:pPr>
        <w:jc w:val="both"/>
        <w:ind w:left="1500" w:hanging="747"/>
        <w:spacing w:after="0" w:line="266" w:lineRule="auto"/>
        <w:tabs>
          <w:tab w:leader="none" w:pos="1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176" w:lineRule="exact"/>
        <w:rPr>
          <w:rFonts w:ascii="Times New Roman" w:cs="Times New Roman" w:eastAsia="Times New Roman" w:hAnsi="Times New Roman"/>
          <w:sz w:val="18"/>
          <w:szCs w:val="18"/>
          <w:color w:val="auto"/>
        </w:rPr>
      </w:pPr>
    </w:p>
    <w:p>
      <w:pPr>
        <w:ind w:left="1500" w:hanging="747"/>
        <w:spacing w:after="0"/>
        <w:tabs>
          <w:tab w:leader="none" w:pos="1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the accuracy or completeness of the information contained in the Registration Statement.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514985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1" w:right="239" w:bottom="1440" w:gutter="0" w:footer="0" w:header="0"/>
        </w:sectPr>
      </w:pPr>
    </w:p>
    <w:bookmarkStart w:id="154" w:name="page155"/>
    <w:bookmarkEnd w:id="154"/>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We have rendered this opinion as of the date hereof and we assume no obligation to advise you of changes that may thereafter be brought to our attention.</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All liability and other matters relating to this opinion shall be governed exclusively by Swiss law.</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VISCHER AG</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 Dr. Matthias Staehelin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Dr. 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365760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155" w:name="page156"/>
    <w:bookmarkEnd w:id="155"/>
    <w:p>
      <w:pPr>
        <w:ind w:left="8240"/>
        <w:spacing w:after="0"/>
        <w:rPr>
          <w:sz w:val="20"/>
          <w:szCs w:val="20"/>
          <w:color w:val="auto"/>
        </w:rPr>
      </w:pPr>
      <w:r>
        <w:rPr>
          <w:rFonts w:ascii="Arial" w:cs="Arial" w:eastAsia="Arial" w:hAnsi="Arial"/>
          <w:sz w:val="18"/>
          <w:szCs w:val="18"/>
          <w:b w:val="1"/>
          <w:bCs w:val="1"/>
          <w:color w:val="auto"/>
        </w:rPr>
        <w:t>New York</w:t>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Menlo Park</w:t>
      </w:r>
    </w:p>
    <w:p>
      <w:pPr>
        <w:ind w:left="8240"/>
        <w:spacing w:after="0"/>
        <w:rPr>
          <w:sz w:val="20"/>
          <w:szCs w:val="20"/>
          <w:color w:val="auto"/>
        </w:rPr>
      </w:pPr>
      <w:r>
        <w:rPr>
          <w:rFonts w:ascii="Arial" w:cs="Arial" w:eastAsia="Arial" w:hAnsi="Arial"/>
          <w:sz w:val="17"/>
          <w:szCs w:val="17"/>
          <w:b w:val="1"/>
          <w:bCs w:val="1"/>
          <w:color w:val="auto"/>
        </w:rPr>
        <w:t>Washington DC</w:t>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São Paulo</w:t>
      </w:r>
    </w:p>
    <w:p>
      <w:pPr>
        <w:ind w:left="82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329055" cy="2571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234" w:lineRule="auto"/>
        <w:rPr>
          <w:sz w:val="20"/>
          <w:szCs w:val="20"/>
          <w:color w:val="auto"/>
        </w:rPr>
      </w:pPr>
      <w:r>
        <w:rPr>
          <w:rFonts w:ascii="Arial" w:cs="Arial" w:eastAsia="Arial" w:hAnsi="Arial"/>
          <w:sz w:val="18"/>
          <w:szCs w:val="18"/>
          <w:b w:val="1"/>
          <w:bCs w:val="1"/>
          <w:color w:val="auto"/>
        </w:rPr>
        <w:t>Tokyo</w:t>
      </w:r>
    </w:p>
    <w:p>
      <w:pPr>
        <w:spacing w:after="0" w:line="235" w:lineRule="auto"/>
        <w:rPr>
          <w:sz w:val="20"/>
          <w:szCs w:val="20"/>
          <w:color w:val="auto"/>
        </w:rPr>
      </w:pPr>
      <w:r>
        <w:rPr>
          <w:rFonts w:ascii="Arial" w:cs="Arial" w:eastAsia="Arial" w:hAnsi="Arial"/>
          <w:sz w:val="18"/>
          <w:szCs w:val="18"/>
          <w:b w:val="1"/>
          <w:bCs w:val="1"/>
          <w:color w:val="auto"/>
        </w:rPr>
        <w:t>Beijing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Hong Kong</w:t>
      </w:r>
    </w:p>
    <w:p>
      <w:pPr>
        <w:spacing w:after="0" w:line="211" w:lineRule="exact"/>
        <w:rPr>
          <w:sz w:val="20"/>
          <w:szCs w:val="20"/>
          <w:color w:val="auto"/>
        </w:rPr>
      </w:pPr>
    </w:p>
    <w:p>
      <w:pPr>
        <w:sectPr>
          <w:pgSz w:w="11900" w:h="16838" w:orient="portrait"/>
          <w:cols w:equalWidth="0" w:num="2">
            <w:col w:w="9580" w:space="600"/>
            <w:col w:w="1240"/>
          </w:cols>
          <w:pgMar w:left="240" w:top="114" w:right="239" w:bottom="1440" w:gutter="0" w:footer="0" w:header="0"/>
        </w:sect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740" w:type="dxa"/>
            <w:vAlign w:val="bottom"/>
          </w:tcPr>
          <w:p>
            <w:pPr>
              <w:ind w:left="360"/>
              <w:spacing w:after="0"/>
              <w:rPr>
                <w:sz w:val="20"/>
                <w:szCs w:val="20"/>
                <w:color w:val="auto"/>
              </w:rPr>
            </w:pPr>
            <w:r>
              <w:rPr>
                <w:rFonts w:ascii="Arial" w:cs="Arial" w:eastAsia="Arial" w:hAnsi="Arial"/>
                <w:sz w:val="18"/>
                <w:szCs w:val="18"/>
                <w:color w:val="auto"/>
              </w:rPr>
              <w:t>212 450 4000 tel</w:t>
            </w: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450 Lexington Avenue</w:t>
            </w:r>
          </w:p>
        </w:tc>
        <w:tc>
          <w:tcPr>
            <w:tcW w:w="1740" w:type="dxa"/>
            <w:vAlign w:val="bottom"/>
          </w:tcPr>
          <w:p>
            <w:pPr>
              <w:ind w:left="360"/>
              <w:spacing w:after="0" w:line="202" w:lineRule="exact"/>
              <w:rPr>
                <w:sz w:val="20"/>
                <w:szCs w:val="20"/>
                <w:color w:val="auto"/>
              </w:rPr>
            </w:pPr>
            <w:r>
              <w:rPr>
                <w:rFonts w:ascii="Arial" w:cs="Arial" w:eastAsia="Arial" w:hAnsi="Arial"/>
                <w:sz w:val="18"/>
                <w:szCs w:val="18"/>
                <w:color w:val="auto"/>
                <w:w w:val="97"/>
              </w:rPr>
              <w:t>212 701 5800 fax</w:t>
            </w: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New York, NY 10017</w:t>
            </w:r>
          </w:p>
        </w:tc>
        <w:tc>
          <w:tcPr>
            <w:tcW w:w="1740" w:type="dxa"/>
            <w:vAlign w:val="bottom"/>
          </w:tcPr>
          <w:p>
            <w:pPr>
              <w:spacing w:after="0"/>
              <w:rPr>
                <w:sz w:val="21"/>
                <w:szCs w:val="21"/>
                <w:color w:val="auto"/>
              </w:rPr>
            </w:pPr>
          </w:p>
        </w:tc>
      </w:tr>
    </w:tbl>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Exhibits 5.2 and 23.3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w:t>
      </w:r>
    </w:p>
    <w:p>
      <w:pPr>
        <w:spacing w:after="0" w:line="234" w:lineRule="auto"/>
        <w:rPr>
          <w:sz w:val="20"/>
          <w:szCs w:val="20"/>
          <w:color w:val="auto"/>
        </w:rPr>
      </w:pPr>
      <w:r>
        <w:rPr>
          <w:rFonts w:ascii="Arial" w:cs="Arial" w:eastAsia="Arial" w:hAnsi="Arial"/>
          <w:sz w:val="18"/>
          <w:szCs w:val="18"/>
          <w:color w:val="auto"/>
        </w:rPr>
        <w:t>Building B</w:t>
      </w:r>
    </w:p>
    <w:p>
      <w:pPr>
        <w:spacing w:after="0" w:line="235" w:lineRule="auto"/>
        <w:rPr>
          <w:sz w:val="20"/>
          <w:szCs w:val="20"/>
          <w:color w:val="auto"/>
        </w:rPr>
      </w:pPr>
      <w:r>
        <w:rPr>
          <w:rFonts w:ascii="Arial" w:cs="Arial" w:eastAsia="Arial" w:hAnsi="Arial"/>
          <w:sz w:val="18"/>
          <w:szCs w:val="18"/>
          <w:color w:val="auto"/>
        </w:rPr>
        <w:t>1015 Lausanne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acted as special counsel for AC Immune SA., a Swiss stock corporation organized under the laws of Switzerland (the “</w:t>
      </w:r>
      <w:r>
        <w:rPr>
          <w:rFonts w:ascii="Arial" w:cs="Arial" w:eastAsia="Arial" w:hAnsi="Arial"/>
          <w:sz w:val="18"/>
          <w:szCs w:val="18"/>
          <w:b w:val="1"/>
          <w:bCs w:val="1"/>
          <w:color w:val="auto"/>
        </w:rPr>
        <w:t>Company</w:t>
      </w:r>
      <w:r>
        <w:rPr>
          <w:rFonts w:ascii="Arial" w:cs="Arial" w:eastAsia="Arial" w:hAnsi="Arial"/>
          <w:sz w:val="18"/>
          <w:szCs w:val="18"/>
          <w:color w:val="auto"/>
        </w:rPr>
        <w:t>”), 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Company’s filing with the Securities and Exchange Commission of a Registration Statement on Form F-3 (the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 common</w:t>
      </w:r>
    </w:p>
    <w:p>
      <w:pPr>
        <w:spacing w:after="0" w:line="235" w:lineRule="auto"/>
        <w:rPr>
          <w:sz w:val="20"/>
          <w:szCs w:val="20"/>
          <w:color w:val="auto"/>
        </w:rPr>
      </w:pPr>
      <w:r>
        <w:rPr>
          <w:rFonts w:ascii="Arial" w:cs="Arial" w:eastAsia="Arial" w:hAnsi="Arial"/>
          <w:sz w:val="18"/>
          <w:szCs w:val="18"/>
          <w:color w:val="auto"/>
        </w:rPr>
        <w:t>shares, nominal value CHF0.02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of the Company; (b) the Company’s senior debt securities and</w:t>
      </w:r>
    </w:p>
    <w:p>
      <w:pPr>
        <w:spacing w:after="0" w:line="235" w:lineRule="auto"/>
        <w:rPr>
          <w:sz w:val="20"/>
          <w:szCs w:val="20"/>
          <w:color w:val="auto"/>
        </w:rPr>
      </w:pPr>
      <w:r>
        <w:rPr>
          <w:rFonts w:ascii="Arial" w:cs="Arial" w:eastAsia="Arial" w:hAnsi="Arial"/>
          <w:sz w:val="18"/>
          <w:szCs w:val="18"/>
          <w:color w:val="auto"/>
        </w:rPr>
        <w:t>subordinated debt securities (collectively, the “</w:t>
      </w:r>
      <w:r>
        <w:rPr>
          <w:rFonts w:ascii="Arial" w:cs="Arial" w:eastAsia="Arial" w:hAnsi="Arial"/>
          <w:sz w:val="18"/>
          <w:szCs w:val="18"/>
          <w:b w:val="1"/>
          <w:bCs w:val="1"/>
          <w:color w:val="auto"/>
        </w:rPr>
        <w:t>Debt Securities</w:t>
      </w:r>
      <w:r>
        <w:rPr>
          <w:rFonts w:ascii="Arial" w:cs="Arial" w:eastAsia="Arial" w:hAnsi="Arial"/>
          <w:sz w:val="18"/>
          <w:szCs w:val="18"/>
          <w:color w:val="auto"/>
        </w:rPr>
        <w:t>”), which may be issued pursuant to a senior debt indenture (the “</w:t>
      </w:r>
      <w:r>
        <w:rPr>
          <w:rFonts w:ascii="Arial" w:cs="Arial" w:eastAsia="Arial" w:hAnsi="Arial"/>
          <w:sz w:val="18"/>
          <w:szCs w:val="18"/>
          <w:b w:val="1"/>
          <w:bCs w:val="1"/>
          <w:color w:val="auto"/>
        </w:rPr>
        <w:t>Senior</w:t>
      </w:r>
    </w:p>
    <w:p>
      <w:pPr>
        <w:spacing w:after="0" w:line="235"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the trustee to be named therein, as trustee (the “</w:t>
      </w:r>
      <w:r>
        <w:rPr>
          <w:rFonts w:ascii="Arial" w:cs="Arial" w:eastAsia="Arial" w:hAnsi="Arial"/>
          <w:sz w:val="18"/>
          <w:szCs w:val="18"/>
          <w:b w:val="1"/>
          <w:bCs w:val="1"/>
          <w:color w:val="auto"/>
        </w:rPr>
        <w:t>Senior Debt Trustee</w:t>
      </w:r>
      <w:r>
        <w:rPr>
          <w:rFonts w:ascii="Arial" w:cs="Arial" w:eastAsia="Arial" w:hAnsi="Arial"/>
          <w:sz w:val="18"/>
          <w:szCs w:val="18"/>
          <w:color w:val="auto"/>
        </w:rPr>
        <w:t>”) and a subordinated debt</w:t>
      </w:r>
    </w:p>
    <w:p>
      <w:pPr>
        <w:spacing w:after="0" w:line="235" w:lineRule="auto"/>
        <w:rPr>
          <w:sz w:val="20"/>
          <w:szCs w:val="20"/>
          <w:color w:val="auto"/>
        </w:rPr>
      </w:pPr>
      <w:r>
        <w:rPr>
          <w:rFonts w:ascii="Arial" w:cs="Arial" w:eastAsia="Arial" w:hAnsi="Arial"/>
          <w:sz w:val="18"/>
          <w:szCs w:val="18"/>
          <w:color w:val="auto"/>
        </w:rPr>
        <w:t>indenture (the “</w:t>
      </w:r>
      <w:r>
        <w:rPr>
          <w:rFonts w:ascii="Arial" w:cs="Arial" w:eastAsia="Arial" w:hAnsi="Arial"/>
          <w:sz w:val="18"/>
          <w:szCs w:val="18"/>
          <w:b w:val="1"/>
          <w:bCs w:val="1"/>
          <w:color w:val="auto"/>
        </w:rPr>
        <w:t>Subordinated Indenture</w:t>
      </w:r>
      <w:r>
        <w:rPr>
          <w:rFonts w:ascii="Arial" w:cs="Arial" w:eastAsia="Arial" w:hAnsi="Arial"/>
          <w:sz w:val="18"/>
          <w:szCs w:val="18"/>
          <w:color w:val="auto"/>
        </w:rPr>
        <w:t>” and, together with the Senior Indenture, the “</w:t>
      </w:r>
      <w:r>
        <w:rPr>
          <w:rFonts w:ascii="Arial" w:cs="Arial" w:eastAsia="Arial" w:hAnsi="Arial"/>
          <w:sz w:val="18"/>
          <w:szCs w:val="18"/>
          <w:b w:val="1"/>
          <w:bCs w:val="1"/>
          <w:color w:val="auto"/>
        </w:rPr>
        <w:t>Indentures</w:t>
      </w:r>
      <w:r>
        <w:rPr>
          <w:rFonts w:ascii="Arial" w:cs="Arial" w:eastAsia="Arial" w:hAnsi="Arial"/>
          <w:sz w:val="18"/>
          <w:szCs w:val="18"/>
          <w:color w:val="auto"/>
        </w:rPr>
        <w:t>”), between the Company and the trustee to</w:t>
      </w:r>
    </w:p>
    <w:p>
      <w:pPr>
        <w:spacing w:after="0" w:line="235" w:lineRule="auto"/>
        <w:rPr>
          <w:sz w:val="20"/>
          <w:szCs w:val="20"/>
          <w:color w:val="auto"/>
        </w:rPr>
      </w:pPr>
      <w:r>
        <w:rPr>
          <w:rFonts w:ascii="Arial" w:cs="Arial" w:eastAsia="Arial" w:hAnsi="Arial"/>
          <w:sz w:val="18"/>
          <w:szCs w:val="18"/>
          <w:color w:val="auto"/>
        </w:rPr>
        <w:t>be named therein (the “</w:t>
      </w:r>
      <w:r>
        <w:rPr>
          <w:rFonts w:ascii="Arial" w:cs="Arial" w:eastAsia="Arial" w:hAnsi="Arial"/>
          <w:sz w:val="18"/>
          <w:szCs w:val="18"/>
          <w:b w:val="1"/>
          <w:bCs w:val="1"/>
          <w:color w:val="auto"/>
        </w:rPr>
        <w:t>Subordinated Debt Trustee</w:t>
      </w:r>
      <w:r>
        <w:rPr>
          <w:rFonts w:ascii="Arial" w:cs="Arial" w:eastAsia="Arial" w:hAnsi="Arial"/>
          <w:sz w:val="18"/>
          <w:szCs w:val="18"/>
          <w:color w:val="auto"/>
        </w:rPr>
        <w:t>” and, together with the Senior Debt Trustee, the “</w:t>
      </w:r>
      <w:r>
        <w:rPr>
          <w:rFonts w:ascii="Arial" w:cs="Arial" w:eastAsia="Arial" w:hAnsi="Arial"/>
          <w:sz w:val="18"/>
          <w:szCs w:val="18"/>
          <w:b w:val="1"/>
          <w:bCs w:val="1"/>
          <w:color w:val="auto"/>
        </w:rPr>
        <w:t>Trustees</w:t>
      </w:r>
      <w:r>
        <w:rPr>
          <w:rFonts w:ascii="Arial" w:cs="Arial" w:eastAsia="Arial" w:hAnsi="Arial"/>
          <w:sz w:val="18"/>
          <w:szCs w:val="18"/>
          <w:color w:val="auto"/>
        </w:rPr>
        <w:t>”); (c) warrants of the Company</w:t>
      </w:r>
    </w:p>
    <w:p>
      <w:pPr>
        <w:spacing w:after="0" w:line="23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Warrants</w:t>
      </w:r>
      <w:r>
        <w:rPr>
          <w:rFonts w:ascii="Arial" w:cs="Arial" w:eastAsia="Arial" w:hAnsi="Arial"/>
          <w:sz w:val="18"/>
          <w:szCs w:val="18"/>
          <w:color w:val="auto"/>
        </w:rPr>
        <w:t>”), which may be issued pursuant to a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between the Company and the warrant</w:t>
      </w:r>
    </w:p>
    <w:p>
      <w:pPr>
        <w:spacing w:after="0" w:line="235" w:lineRule="auto"/>
        <w:rPr>
          <w:sz w:val="20"/>
          <w:szCs w:val="20"/>
          <w:color w:val="auto"/>
        </w:rPr>
      </w:pPr>
      <w:r>
        <w:rPr>
          <w:rFonts w:ascii="Arial" w:cs="Arial" w:eastAsia="Arial" w:hAnsi="Arial"/>
          <w:sz w:val="18"/>
          <w:szCs w:val="18"/>
          <w:color w:val="auto"/>
        </w:rPr>
        <w:t>agent to be named therein (the “</w:t>
      </w:r>
      <w:r>
        <w:rPr>
          <w:rFonts w:ascii="Arial" w:cs="Arial" w:eastAsia="Arial" w:hAnsi="Arial"/>
          <w:sz w:val="18"/>
          <w:szCs w:val="18"/>
          <w:b w:val="1"/>
          <w:bCs w:val="1"/>
          <w:color w:val="auto"/>
        </w:rPr>
        <w:t>Warrant Agent</w:t>
      </w:r>
      <w:r>
        <w:rPr>
          <w:rFonts w:ascii="Arial" w:cs="Arial" w:eastAsia="Arial" w:hAnsi="Arial"/>
          <w:sz w:val="18"/>
          <w:szCs w:val="18"/>
          <w:color w:val="auto"/>
        </w:rPr>
        <w:t>”); (d) purchase contracts (the “</w:t>
      </w:r>
      <w:r>
        <w:rPr>
          <w:rFonts w:ascii="Arial" w:cs="Arial" w:eastAsia="Arial" w:hAnsi="Arial"/>
          <w:sz w:val="18"/>
          <w:szCs w:val="18"/>
          <w:b w:val="1"/>
          <w:bCs w:val="1"/>
          <w:color w:val="auto"/>
        </w:rPr>
        <w:t>Purchase Contracts</w:t>
      </w:r>
      <w:r>
        <w:rPr>
          <w:rFonts w:ascii="Arial" w:cs="Arial" w:eastAsia="Arial" w:hAnsi="Arial"/>
          <w:sz w:val="18"/>
          <w:szCs w:val="18"/>
          <w:color w:val="auto"/>
        </w:rPr>
        <w:t>”) which may be issued under one or more</w:t>
      </w:r>
    </w:p>
    <w:p>
      <w:pPr>
        <w:spacing w:after="0" w:line="235" w:lineRule="auto"/>
        <w:rPr>
          <w:sz w:val="20"/>
          <w:szCs w:val="20"/>
          <w:color w:val="auto"/>
        </w:rPr>
      </w:pPr>
      <w:r>
        <w:rPr>
          <w:rFonts w:ascii="Arial" w:cs="Arial" w:eastAsia="Arial" w:hAnsi="Arial"/>
          <w:sz w:val="18"/>
          <w:szCs w:val="18"/>
          <w:color w:val="auto"/>
        </w:rPr>
        <w:t>purchase contract agreements (each, a “</w:t>
      </w:r>
      <w:r>
        <w:rPr>
          <w:rFonts w:ascii="Arial" w:cs="Arial" w:eastAsia="Arial" w:hAnsi="Arial"/>
          <w:sz w:val="18"/>
          <w:szCs w:val="18"/>
          <w:b w:val="1"/>
          <w:bCs w:val="1"/>
          <w:color w:val="auto"/>
        </w:rPr>
        <w:t>Purchase Contract Agreement</w:t>
      </w:r>
      <w:r>
        <w:rPr>
          <w:rFonts w:ascii="Arial" w:cs="Arial" w:eastAsia="Arial" w:hAnsi="Arial"/>
          <w:sz w:val="18"/>
          <w:szCs w:val="18"/>
          <w:color w:val="auto"/>
        </w:rPr>
        <w:t>”) to be entered into between the Company and the purchase contract</w:t>
      </w:r>
    </w:p>
    <w:p>
      <w:pPr>
        <w:spacing w:after="0" w:line="234" w:lineRule="auto"/>
        <w:rPr>
          <w:sz w:val="20"/>
          <w:szCs w:val="20"/>
          <w:color w:val="auto"/>
        </w:rPr>
      </w:pPr>
      <w:r>
        <w:rPr>
          <w:rFonts w:ascii="Arial" w:cs="Arial" w:eastAsia="Arial" w:hAnsi="Arial"/>
          <w:sz w:val="18"/>
          <w:szCs w:val="18"/>
          <w:color w:val="auto"/>
        </w:rPr>
        <w:t>agent to be named therein (the “</w:t>
      </w:r>
      <w:r>
        <w:rPr>
          <w:rFonts w:ascii="Arial" w:cs="Arial" w:eastAsia="Arial" w:hAnsi="Arial"/>
          <w:sz w:val="18"/>
          <w:szCs w:val="18"/>
          <w:b w:val="1"/>
          <w:bCs w:val="1"/>
          <w:color w:val="auto"/>
        </w:rPr>
        <w:t>Purchase Contract Agent</w:t>
      </w:r>
      <w:r>
        <w:rPr>
          <w:rFonts w:ascii="Arial" w:cs="Arial" w:eastAsia="Arial" w:hAnsi="Arial"/>
          <w:sz w:val="18"/>
          <w:szCs w:val="18"/>
          <w:color w:val="auto"/>
        </w:rPr>
        <w:t>”); (e) units (the “</w:t>
      </w:r>
      <w:r>
        <w:rPr>
          <w:rFonts w:ascii="Arial" w:cs="Arial" w:eastAsia="Arial" w:hAnsi="Arial"/>
          <w:sz w:val="18"/>
          <w:szCs w:val="18"/>
          <w:b w:val="1"/>
          <w:bCs w:val="1"/>
          <w:color w:val="auto"/>
        </w:rPr>
        <w:t>Units</w:t>
      </w:r>
      <w:r>
        <w:rPr>
          <w:rFonts w:ascii="Arial" w:cs="Arial" w:eastAsia="Arial" w:hAnsi="Arial"/>
          <w:sz w:val="18"/>
          <w:szCs w:val="18"/>
          <w:color w:val="auto"/>
        </w:rPr>
        <w:t>”) which may be issued under one or more unit agreements</w:t>
      </w:r>
    </w:p>
    <w:p>
      <w:pPr>
        <w:spacing w:after="0" w:line="235" w:lineRule="auto"/>
        <w:rPr>
          <w:sz w:val="20"/>
          <w:szCs w:val="20"/>
          <w:color w:val="auto"/>
        </w:rPr>
      </w:pPr>
      <w:r>
        <w:rPr>
          <w:rFonts w:ascii="Arial" w:cs="Arial" w:eastAsia="Arial" w:hAnsi="Arial"/>
          <w:sz w:val="18"/>
          <w:szCs w:val="18"/>
          <w:color w:val="auto"/>
        </w:rPr>
        <w:t>to be entered into among the Company, a bank or trust company, as unit agent (the “</w:t>
      </w:r>
      <w:r>
        <w:rPr>
          <w:rFonts w:ascii="Arial" w:cs="Arial" w:eastAsia="Arial" w:hAnsi="Arial"/>
          <w:sz w:val="18"/>
          <w:szCs w:val="18"/>
          <w:b w:val="1"/>
          <w:bCs w:val="1"/>
          <w:color w:val="auto"/>
        </w:rPr>
        <w:t>Unit Agent</w:t>
      </w:r>
      <w:r>
        <w:rPr>
          <w:rFonts w:ascii="Arial" w:cs="Arial" w:eastAsia="Arial" w:hAnsi="Arial"/>
          <w:sz w:val="18"/>
          <w:szCs w:val="18"/>
          <w:color w:val="auto"/>
        </w:rPr>
        <w:t>”), and the holders from time to time of the</w:t>
      </w:r>
    </w:p>
    <w:p>
      <w:pPr>
        <w:spacing w:after="0" w:line="235" w:lineRule="auto"/>
        <w:rPr>
          <w:sz w:val="20"/>
          <w:szCs w:val="20"/>
          <w:color w:val="auto"/>
        </w:rPr>
      </w:pPr>
      <w:r>
        <w:rPr>
          <w:rFonts w:ascii="Arial" w:cs="Arial" w:eastAsia="Arial" w:hAnsi="Arial"/>
          <w:sz w:val="18"/>
          <w:szCs w:val="18"/>
          <w:color w:val="auto"/>
        </w:rPr>
        <w:t>Units (each such unit agreement, a “</w:t>
      </w:r>
      <w:r>
        <w:rPr>
          <w:rFonts w:ascii="Arial" w:cs="Arial" w:eastAsia="Arial" w:hAnsi="Arial"/>
          <w:sz w:val="18"/>
          <w:szCs w:val="18"/>
          <w:b w:val="1"/>
          <w:bCs w:val="1"/>
          <w:color w:val="auto"/>
        </w:rPr>
        <w:t>Unit Agreement</w:t>
      </w:r>
      <w:r>
        <w:rPr>
          <w:rFonts w:ascii="Arial" w:cs="Arial" w:eastAsia="Arial" w:hAnsi="Arial"/>
          <w:sz w:val="18"/>
          <w:szCs w:val="18"/>
          <w:color w:val="auto"/>
        </w:rPr>
        <w:t>”); and (f) subscription rights (“</w:t>
      </w:r>
      <w:r>
        <w:rPr>
          <w:rFonts w:ascii="Arial" w:cs="Arial" w:eastAsia="Arial" w:hAnsi="Arial"/>
          <w:sz w:val="18"/>
          <w:szCs w:val="18"/>
          <w:b w:val="1"/>
          <w:bCs w:val="1"/>
          <w:color w:val="auto"/>
        </w:rPr>
        <w:t>Rights</w:t>
      </w:r>
      <w:r>
        <w:rPr>
          <w:rFonts w:ascii="Arial" w:cs="Arial" w:eastAsia="Arial" w:hAnsi="Arial"/>
          <w:sz w:val="18"/>
          <w:szCs w:val="18"/>
          <w:color w:val="auto"/>
        </w:rPr>
        <w:t>”) which may be issued pursuant to a subscription</w:t>
      </w:r>
    </w:p>
    <w:p>
      <w:pPr>
        <w:spacing w:after="0" w:line="235" w:lineRule="auto"/>
        <w:rPr>
          <w:sz w:val="20"/>
          <w:szCs w:val="20"/>
          <w:color w:val="auto"/>
        </w:rPr>
      </w:pPr>
      <w:r>
        <w:rPr>
          <w:rFonts w:ascii="Arial" w:cs="Arial" w:eastAsia="Arial" w:hAnsi="Arial"/>
          <w:sz w:val="18"/>
          <w:szCs w:val="18"/>
          <w:color w:val="auto"/>
        </w:rPr>
        <w:t>rights agreement (the “</w:t>
      </w:r>
      <w:r>
        <w:rPr>
          <w:rFonts w:ascii="Arial" w:cs="Arial" w:eastAsia="Arial" w:hAnsi="Arial"/>
          <w:sz w:val="18"/>
          <w:szCs w:val="18"/>
          <w:b w:val="1"/>
          <w:bCs w:val="1"/>
          <w:color w:val="auto"/>
        </w:rPr>
        <w:t>Rights Agreement</w:t>
      </w:r>
      <w:r>
        <w:rPr>
          <w:rFonts w:ascii="Arial" w:cs="Arial" w:eastAsia="Arial" w:hAnsi="Arial"/>
          <w:sz w:val="18"/>
          <w:szCs w:val="18"/>
          <w:color w:val="auto"/>
        </w:rPr>
        <w:t>”) to be entered into between the Company and the subscription agent to be named therein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AC Immune SA</w:t>
            </w:r>
          </w:p>
        </w:tc>
        <w:tc>
          <w:tcPr>
            <w:tcW w:w="4640" w:type="dxa"/>
            <w:vAlign w:val="bottom"/>
          </w:tcPr>
          <w:p>
            <w:pPr>
              <w:jc w:val="right"/>
              <w:ind w:right="2150"/>
              <w:spacing w:after="0"/>
              <w:rPr>
                <w:sz w:val="20"/>
                <w:szCs w:val="20"/>
                <w:color w:val="auto"/>
              </w:rPr>
            </w:pPr>
            <w:r>
              <w:rPr>
                <w:rFonts w:ascii="Arial" w:cs="Arial" w:eastAsia="Arial" w:hAnsi="Arial"/>
                <w:sz w:val="18"/>
                <w:szCs w:val="18"/>
                <w:color w:val="auto"/>
              </w:rPr>
              <w:t>2</w:t>
            </w:r>
          </w:p>
        </w:tc>
        <w:tc>
          <w:tcPr>
            <w:tcW w:w="3240" w:type="dxa"/>
            <w:vAlign w:val="bottom"/>
          </w:tcPr>
          <w:p>
            <w:pPr>
              <w:ind w:left="2240"/>
              <w:spacing w:after="0"/>
              <w:rPr>
                <w:sz w:val="20"/>
                <w:szCs w:val="20"/>
                <w:color w:val="auto"/>
              </w:rPr>
            </w:pPr>
            <w:r>
              <w:rPr>
                <w:rFonts w:ascii="Arial" w:cs="Arial" w:eastAsia="Arial" w:hAnsi="Arial"/>
                <w:sz w:val="18"/>
                <w:szCs w:val="18"/>
                <w:color w:val="auto"/>
                <w:w w:val="98"/>
              </w:rPr>
              <w:t>May 4, 2018</w:t>
            </w:r>
          </w:p>
        </w:tc>
      </w:tr>
    </w:tbl>
    <w:p>
      <w:pPr>
        <w:spacing w:after="0" w:line="162" w:lineRule="exact"/>
        <w:rPr>
          <w:sz w:val="20"/>
          <w:szCs w:val="20"/>
          <w:color w:val="auto"/>
        </w:rPr>
      </w:pPr>
    </w:p>
    <w:p>
      <w:pPr>
        <w:ind w:right="760"/>
        <w:spacing w:after="0" w:line="27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98" w:lineRule="exact"/>
        <w:rPr>
          <w:sz w:val="20"/>
          <w:szCs w:val="20"/>
          <w:color w:val="auto"/>
        </w:rPr>
      </w:pPr>
    </w:p>
    <w:p>
      <w:pPr>
        <w:ind w:left="1300" w:right="20" w:hanging="644"/>
        <w:spacing w:after="0" w:line="238"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the applicable Indenture and any supplemental indenture to be entered into in connection with the issuance of any Debt Securities has been duly authorized, executed and delivered by the applicable Trustee and the Company; the specific terms of a particular series of Debt Securities have been duly authorized and established in accordance with such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the applicable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62" w:lineRule="exact"/>
        <w:rPr>
          <w:rFonts w:ascii="Arial" w:cs="Arial" w:eastAsia="Arial" w:hAnsi="Arial"/>
          <w:sz w:val="18"/>
          <w:szCs w:val="18"/>
          <w:color w:val="auto"/>
        </w:rPr>
      </w:pPr>
    </w:p>
    <w:p>
      <w:pPr>
        <w:ind w:left="1300" w:right="80" w:hanging="644"/>
        <w:spacing w:after="0" w:line="245"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AC Immune SA</w:t>
            </w:r>
          </w:p>
        </w:tc>
        <w:tc>
          <w:tcPr>
            <w:tcW w:w="4640" w:type="dxa"/>
            <w:vAlign w:val="bottom"/>
          </w:tcPr>
          <w:p>
            <w:pPr>
              <w:jc w:val="right"/>
              <w:ind w:right="2150"/>
              <w:spacing w:after="0"/>
              <w:rPr>
                <w:sz w:val="20"/>
                <w:szCs w:val="20"/>
                <w:color w:val="auto"/>
              </w:rPr>
            </w:pPr>
            <w:r>
              <w:rPr>
                <w:rFonts w:ascii="Arial" w:cs="Arial" w:eastAsia="Arial" w:hAnsi="Arial"/>
                <w:sz w:val="18"/>
                <w:szCs w:val="18"/>
                <w:color w:val="auto"/>
              </w:rPr>
              <w:t>3</w:t>
            </w:r>
          </w:p>
        </w:tc>
        <w:tc>
          <w:tcPr>
            <w:tcW w:w="3240" w:type="dxa"/>
            <w:vAlign w:val="bottom"/>
          </w:tcPr>
          <w:p>
            <w:pPr>
              <w:ind w:left="2240"/>
              <w:spacing w:after="0"/>
              <w:rPr>
                <w:sz w:val="20"/>
                <w:szCs w:val="20"/>
                <w:color w:val="auto"/>
              </w:rPr>
            </w:pPr>
            <w:r>
              <w:rPr>
                <w:rFonts w:ascii="Arial" w:cs="Arial" w:eastAsia="Arial" w:hAnsi="Arial"/>
                <w:sz w:val="18"/>
                <w:szCs w:val="18"/>
                <w:color w:val="auto"/>
                <w:w w:val="98"/>
              </w:rPr>
              <w:t>May 4, 2018</w:t>
            </w:r>
          </w:p>
        </w:tc>
      </w:tr>
    </w:tbl>
    <w:p>
      <w:pPr>
        <w:spacing w:after="0" w:line="162" w:lineRule="exact"/>
        <w:rPr>
          <w:sz w:val="20"/>
          <w:szCs w:val="20"/>
          <w:color w:val="auto"/>
        </w:rPr>
      </w:pPr>
    </w:p>
    <w:p>
      <w:pPr>
        <w:ind w:left="1300" w:right="200"/>
        <w:spacing w:after="0" w:line="248" w:lineRule="auto"/>
        <w:rPr>
          <w:sz w:val="20"/>
          <w:szCs w:val="20"/>
          <w:color w:val="auto"/>
        </w:rPr>
      </w:pPr>
      <w:r>
        <w:rPr>
          <w:rFonts w:ascii="Arial" w:cs="Arial" w:eastAsia="Arial" w:hAnsi="Arial"/>
          <w:sz w:val="18"/>
          <w:szCs w:val="18"/>
          <w:color w:val="auto"/>
        </w:rPr>
        <w:t>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57" w:lineRule="exact"/>
        <w:rPr>
          <w:sz w:val="20"/>
          <w:szCs w:val="20"/>
          <w:color w:val="auto"/>
        </w:rPr>
      </w:pPr>
    </w:p>
    <w:p>
      <w:pPr>
        <w:ind w:left="1300" w:right="22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62" w:lineRule="exact"/>
        <w:rPr>
          <w:rFonts w:ascii="Arial" w:cs="Arial" w:eastAsia="Arial" w:hAnsi="Arial"/>
          <w:sz w:val="18"/>
          <w:szCs w:val="18"/>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67" w:lineRule="exact"/>
        <w:rPr>
          <w:rFonts w:ascii="Arial" w:cs="Arial" w:eastAsia="Arial" w:hAnsi="Arial"/>
          <w:sz w:val="18"/>
          <w:szCs w:val="18"/>
          <w:color w:val="auto"/>
        </w:rPr>
      </w:pPr>
    </w:p>
    <w:p>
      <w:pPr>
        <w:ind w:left="1300" w:right="8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When the Rights Agreement to be entered into in connection with the issuance of any Rights has been duly authorized, executed and delivered by the Rights Agent and the Company; the specific terms of the Rights have been duly authorized and established in accordance with the Rights Agreement; and such Rights have been duly authorized, executed, issued and delivered in accordance with the Rights Agreement and the applicable underwriting or other agreement against payment therefor, such Rights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67"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In connection with the opinions expressed above, we have assumed that, at or prior to the time of the delivery of any such security, (i) the Board of Directors of the Company, as required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AC Immune SA</w:t>
            </w:r>
          </w:p>
        </w:tc>
        <w:tc>
          <w:tcPr>
            <w:tcW w:w="4640" w:type="dxa"/>
            <w:vAlign w:val="bottom"/>
          </w:tcPr>
          <w:p>
            <w:pPr>
              <w:jc w:val="right"/>
              <w:ind w:right="2150"/>
              <w:spacing w:after="0"/>
              <w:rPr>
                <w:sz w:val="20"/>
                <w:szCs w:val="20"/>
                <w:color w:val="auto"/>
              </w:rPr>
            </w:pPr>
            <w:r>
              <w:rPr>
                <w:rFonts w:ascii="Arial" w:cs="Arial" w:eastAsia="Arial" w:hAnsi="Arial"/>
                <w:sz w:val="18"/>
                <w:szCs w:val="18"/>
                <w:color w:val="auto"/>
              </w:rPr>
              <w:t>4</w:t>
            </w:r>
          </w:p>
        </w:tc>
        <w:tc>
          <w:tcPr>
            <w:tcW w:w="3240" w:type="dxa"/>
            <w:vAlign w:val="bottom"/>
          </w:tcPr>
          <w:p>
            <w:pPr>
              <w:ind w:left="2240"/>
              <w:spacing w:after="0"/>
              <w:rPr>
                <w:sz w:val="20"/>
                <w:szCs w:val="20"/>
                <w:color w:val="auto"/>
              </w:rPr>
            </w:pPr>
            <w:r>
              <w:rPr>
                <w:rFonts w:ascii="Arial" w:cs="Arial" w:eastAsia="Arial" w:hAnsi="Arial"/>
                <w:sz w:val="18"/>
                <w:szCs w:val="18"/>
                <w:color w:val="auto"/>
                <w:w w:val="98"/>
              </w:rPr>
              <w:t>May 4, 2018</w:t>
            </w:r>
          </w:p>
        </w:tc>
      </w:tr>
    </w:tbl>
    <w:p>
      <w:pPr>
        <w:spacing w:after="0" w:line="16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Swiss law, shall have duly established the terms of such security (and that such security is governed by the laws of the State of New York) and duly authorized the issuance and sale of such security and such authorization shall not have been modified or rescinded; (ii) the Company is, and shall remain, validly existing as a corporation in good standing (to the extent such concept exists) under the laws of Switzerland; (iii) the Registration Statement shall have been declared effective and such effectiveness shall not have been terminated or rescinded; (iv) the applicable Indenture, Debt Securities, Warrant Agreement, Purchase Contract Agreement, Unit Agreement and Rights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the execution, delivery and performance by the Company of any security whose terms are established subsequent to the date hereof (a) are within its corporate powers, (b) do not contravene, or constitute a default under, the articles of association or other constitutive documents of the Company, (c) require no action by or in respect of, or filing with, any governmental body, agency or official and (d) do not contravene, or constitute a default under public policy, any provision of applicable law or regulation or any judgment, injunction, order or decree or any agreement or other instrument binding upon the Company.</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federal laws of the United States. Insofar as the foregoing opinion involves matters governed by the laws of Switzerland, we have relied, without independent inquiry or investigation, on the opinion of Vischer AG delivered to you today.</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F-3) and related Prospectus of AC Immune SA for the registration of its common shares, debt securities, warrants, purchase contracts, units, and subscription rights, and to the incorporation by reference therein of our report dated March 20, 2018, with respect to the financial statements of AC Immune SA included in its Annual Report (Form 20-F) for the year ended December 31, 2017, filed with the Securities and Exchange Commission.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Petit-Lancy,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212"/>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310C50B3"/>
    <w:multiLevelType w:val="hybridMultilevel"/>
    <w:lvl w:ilvl="0">
      <w:lvlJc w:val="left"/>
      <w:lvlText w:val="%1"/>
      <w:numFmt w:val="decimal"/>
      <w:start w:val="1"/>
    </w:lvl>
    <w:lvl w:ilvl="1">
      <w:lvlJc w:val="left"/>
      <w:lvlText w:val="(%2)"/>
      <w:numFmt w:val="upperLetter"/>
      <w:start w:val="1"/>
    </w:lvl>
  </w:abstractNum>
  <w:abstractNum w:abstractNumId="30">
    <w:nsid w:val="5FF87E05"/>
    <w:multiLevelType w:val="hybridMultilevel"/>
    <w:lvl w:ilvl="0">
      <w:lvlJc w:val="left"/>
      <w:lvlText w:val="(%1)"/>
      <w:numFmt w:val="decimal"/>
      <w:start w:val="2"/>
    </w:lvl>
    <w:lvl w:ilvl="1">
      <w:lvlJc w:val="left"/>
      <w:lvlText w:val="%2"/>
      <w:numFmt w:val="upperLetter"/>
      <w:start w:val="1"/>
    </w:lvl>
  </w:abstractNum>
  <w:abstractNum w:abstractNumId="31">
    <w:nsid w:val="2F305DEF"/>
    <w:multiLevelType w:val="hybridMultilevel"/>
    <w:lvl w:ilvl="0">
      <w:lvlJc w:val="left"/>
      <w:lvlText w:val="(%1)"/>
      <w:numFmt w:val="decimal"/>
      <w:start w:val="5"/>
    </w:lvl>
    <w:lvl w:ilvl="1">
      <w:lvlJc w:val="left"/>
      <w:lvlText w:val="(%2)"/>
      <w:numFmt w:val="upperLetter"/>
      <w:start w:val="1"/>
    </w:lvl>
  </w:abstractNum>
  <w:abstractNum w:abstractNumId="32">
    <w:nsid w:val="25A70BF7"/>
    <w:multiLevelType w:val="hybridMultilevel"/>
    <w:lvl w:ilvl="0">
      <w:lvlJc w:val="left"/>
      <w:lvlText w:val="%1"/>
      <w:numFmt w:val="lowerLetter"/>
      <w:start w:val="1"/>
    </w:lvl>
    <w:lvl w:ilvl="1">
      <w:lvlJc w:val="left"/>
      <w:lvlText w:val="(%2)"/>
      <w:numFmt w:val="lowerRoman"/>
      <w:start w:val="1"/>
    </w:lvl>
  </w:abstractNum>
  <w:abstractNum w:abstractNumId="33">
    <w:nsid w:val="1DBABF00"/>
    <w:multiLevelType w:val="hybridMultilevel"/>
    <w:lvl w:ilvl="0">
      <w:lvlJc w:val="left"/>
      <w:lvlText w:val="(%1)"/>
      <w:numFmt w:val="lowerLetter"/>
      <w:start w:val="2"/>
    </w:lvl>
    <w:lvl w:ilvl="1">
      <w:lvlJc w:val="left"/>
      <w:lvlText w:val="%2"/>
      <w:numFmt w:val="lowerRoman"/>
      <w:start w:val="1"/>
    </w:lvl>
  </w:abstractNum>
  <w:abstractNum w:abstractNumId="34">
    <w:nsid w:val="4AD084E9"/>
    <w:multiLevelType w:val="hybridMultilevel"/>
    <w:lvl w:ilvl="0">
      <w:lvlJc w:val="left"/>
      <w:lvlText w:val="(%1)"/>
      <w:numFmt w:val="lowerLetter"/>
      <w:start w:val="3"/>
    </w:lvl>
    <w:lvl w:ilvl="1">
      <w:lvlJc w:val="left"/>
      <w:lvlText w:val="(%2)"/>
      <w:numFmt w:val="decimal"/>
      <w:start w:val="1"/>
    </w:lvl>
  </w:abstractNum>
  <w:abstractNum w:abstractNumId="35">
    <w:nsid w:val="1F48EAA1"/>
    <w:multiLevelType w:val="hybridMultilevel"/>
    <w:lvl w:ilvl="0">
      <w:lvlJc w:val="left"/>
      <w:lvlText w:val="(%1)"/>
      <w:numFmt w:val="lowerLetter"/>
      <w:start w:val="1"/>
    </w:lvl>
  </w:abstractNum>
  <w:abstractNum w:abstractNumId="36">
    <w:nsid w:val="1381823A"/>
    <w:multiLevelType w:val="hybridMultilevel"/>
    <w:lvl w:ilvl="0">
      <w:lvlJc w:val="left"/>
      <w:lvlText w:val="(%1)"/>
      <w:numFmt w:val="lowerLetter"/>
      <w:start w:val="1"/>
    </w:lvl>
  </w:abstractNum>
  <w:abstractNum w:abstractNumId="37">
    <w:nsid w:val="5DB70AE5"/>
    <w:multiLevelType w:val="hybridMultilevel"/>
    <w:lvl w:ilvl="0">
      <w:lvlJc w:val="left"/>
      <w:lvlText w:val="(%1)"/>
      <w:numFmt w:val="lowerLetter"/>
      <w:start w:val="3"/>
    </w:lvl>
  </w:abstractNum>
  <w:abstractNum w:abstractNumId="38">
    <w:nsid w:val="100F8FCA"/>
    <w:multiLevelType w:val="hybridMultilevel"/>
    <w:lvl w:ilvl="0">
      <w:lvlJc w:val="left"/>
      <w:lvlText w:val="(%1)"/>
      <w:numFmt w:val="lowerRoman"/>
      <w:start w:val="3"/>
    </w:lvl>
  </w:abstractNum>
  <w:abstractNum w:abstractNumId="39">
    <w:nsid w:val="6590700B"/>
    <w:multiLevelType w:val="hybridMultilevel"/>
    <w:lvl w:ilvl="0">
      <w:lvlJc w:val="left"/>
      <w:lvlText w:val="(%1)"/>
      <w:numFmt w:val="lowerLetter"/>
      <w:start w:val="1"/>
    </w:lvl>
  </w:abstractNum>
  <w:abstractNum w:abstractNumId="40">
    <w:nsid w:val="15014ACB"/>
    <w:multiLevelType w:val="hybridMultilevel"/>
    <w:lvl w:ilvl="0">
      <w:lvlJc w:val="left"/>
      <w:lvlText w:val="(%1)"/>
      <w:numFmt w:val="lowerLetter"/>
      <w:start w:val="8"/>
    </w:lvl>
  </w:abstractNum>
  <w:abstractNum w:abstractNumId="41">
    <w:nsid w:val="5F5E7FD0"/>
    <w:multiLevelType w:val="hybridMultilevel"/>
    <w:lvl w:ilvl="0">
      <w:lvlJc w:val="left"/>
      <w:lvlText w:val="(%1)"/>
      <w:numFmt w:val="lowerLetter"/>
      <w:start w:val="18"/>
    </w:lvl>
  </w:abstractNum>
  <w:abstractNum w:abstractNumId="42">
    <w:nsid w:val="98A3148"/>
    <w:multiLevelType w:val="hybridMultilevel"/>
    <w:lvl w:ilvl="0">
      <w:lvlJc w:val="left"/>
      <w:lvlText w:val="(%1)"/>
      <w:numFmt w:val="lowerLetter"/>
      <w:start w:val="1"/>
    </w:lvl>
  </w:abstractNum>
  <w:abstractNum w:abstractNumId="43">
    <w:nsid w:val="799D0247"/>
    <w:multiLevelType w:val="hybridMultilevel"/>
    <w:lvl w:ilvl="0">
      <w:lvlJc w:val="left"/>
      <w:lvlText w:val="(%1)"/>
      <w:numFmt w:val="lowerLetter"/>
      <w:start w:val="2"/>
    </w:lvl>
  </w:abstractNum>
  <w:abstractNum w:abstractNumId="44">
    <w:nsid w:val="6B94764"/>
    <w:multiLevelType w:val="hybridMultilevel"/>
    <w:lvl w:ilvl="0">
      <w:lvlJc w:val="left"/>
      <w:lvlText w:val="(%1)"/>
      <w:numFmt w:val="lowerLetter"/>
      <w:start w:val="1"/>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lowerLetter"/>
      <w:start w:val="6"/>
    </w:lvl>
  </w:abstractNum>
  <w:abstractNum w:abstractNumId="47">
    <w:nsid w:val="1EBA5D23"/>
    <w:multiLevelType w:val="hybridMultilevel"/>
    <w:lvl w:ilvl="0">
      <w:lvlJc w:val="left"/>
      <w:lvlText w:val="(%1)"/>
      <w:numFmt w:val="lowerLetter"/>
      <w:start w:val="2"/>
    </w:lvl>
  </w:abstractNum>
  <w:abstractNum w:abstractNumId="48">
    <w:nsid w:val="661E3F1E"/>
    <w:multiLevelType w:val="hybridMultilevel"/>
    <w:lvl w:ilvl="0">
      <w:lvlJc w:val="left"/>
      <w:lvlText w:val="(%1)"/>
      <w:numFmt w:val="lowerLetter"/>
      <w:start w:val="1"/>
    </w:lvl>
  </w:abstractNum>
  <w:abstractNum w:abstractNumId="49">
    <w:nsid w:val="5DC79EA8"/>
    <w:multiLevelType w:val="hybridMultilevel"/>
    <w:lvl w:ilvl="0">
      <w:lvlJc w:val="left"/>
      <w:lvlText w:val="(%1)"/>
      <w:numFmt w:val="lowerLetter"/>
      <w:start w:val="2"/>
    </w:lvl>
  </w:abstractNum>
  <w:abstractNum w:abstractNumId="50">
    <w:nsid w:val="540A471C"/>
    <w:multiLevelType w:val="hybridMultilevel"/>
    <w:lvl w:ilvl="0">
      <w:lvlJc w:val="left"/>
      <w:lvlText w:val="(%1)"/>
      <w:numFmt w:val="lowerLetter"/>
      <w:start w:val="1"/>
    </w:lvl>
  </w:abstractNum>
  <w:abstractNum w:abstractNumId="51">
    <w:nsid w:val="7BD3EE7B"/>
    <w:multiLevelType w:val="hybridMultilevel"/>
    <w:lvl w:ilvl="0">
      <w:lvlJc w:val="left"/>
      <w:lvlText w:val="(%1)"/>
      <w:numFmt w:val="lowerLetter"/>
      <w:start w:val="3"/>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Roman"/>
      <w:start w:val="5"/>
    </w:lvl>
    <w:lvl w:ilvl="1">
      <w:lvlJc w:val="left"/>
      <w:lvlText w:val="(%2)"/>
      <w:numFmt w:val="lowerRoman"/>
      <w:start w:val="1"/>
    </w:lvl>
  </w:abstractNum>
  <w:abstractNum w:abstractNumId="54">
    <w:nsid w:val="BF72B14"/>
    <w:multiLevelType w:val="hybridMultilevel"/>
    <w:lvl w:ilvl="0">
      <w:lvlJc w:val="left"/>
      <w:lvlText w:val="(%1)"/>
      <w:numFmt w:val="lowerRoman"/>
      <w:start w:val="5"/>
    </w:lvl>
  </w:abstractNum>
  <w:abstractNum w:abstractNumId="55">
    <w:nsid w:val="11447B73"/>
    <w:multiLevelType w:val="hybridMultilevel"/>
    <w:lvl w:ilvl="0">
      <w:lvlJc w:val="left"/>
      <w:lvlText w:val="(%1)"/>
      <w:numFmt w:val="lowerLetter"/>
      <w:start w:val="1"/>
    </w:lvl>
  </w:abstractNum>
  <w:abstractNum w:abstractNumId="56">
    <w:nsid w:val="42963E5A"/>
    <w:multiLevelType w:val="hybridMultilevel"/>
    <w:lvl w:ilvl="0">
      <w:lvlJc w:val="left"/>
      <w:lvlText w:val="(%1)"/>
      <w:numFmt w:val="lowerLetter"/>
      <w:start w:val="3"/>
    </w:lvl>
  </w:abstractNum>
  <w:abstractNum w:abstractNumId="57">
    <w:nsid w:val="A0382C5"/>
    <w:multiLevelType w:val="hybridMultilevel"/>
    <w:lvl w:ilvl="0">
      <w:lvlJc w:val="left"/>
      <w:lvlText w:val="(%1)"/>
      <w:numFmt w:val="lowerLetter"/>
      <w:start w:val="1"/>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lowerLetter"/>
      <w:start w:val="2"/>
    </w:lvl>
  </w:abstractNum>
  <w:abstractNum w:abstractNumId="62">
    <w:nsid w:val="4962813B"/>
    <w:multiLevelType w:val="hybridMultilevel"/>
    <w:lvl w:ilvl="0">
      <w:lvlJc w:val="left"/>
      <w:lvlText w:val="(%1)"/>
      <w:numFmt w:val="lowerLetter"/>
      <w:start w:val="2"/>
    </w:lvl>
  </w:abstractNum>
  <w:abstractNum w:abstractNumId="63">
    <w:nsid w:val="60B6DF70"/>
    <w:multiLevelType w:val="hybridMultilevel"/>
    <w:lvl w:ilvl="0">
      <w:lvlJc w:val="left"/>
      <w:lvlText w:val="(%1)"/>
      <w:numFmt w:val="lowerLetter"/>
      <w:start w:val="1"/>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lowerRoman"/>
      <w:start w:val="3"/>
    </w:lvl>
  </w:abstractNum>
  <w:abstractNum w:abstractNumId="67">
    <w:nsid w:val="1A27709E"/>
    <w:multiLevelType w:val="hybridMultilevel"/>
    <w:lvl w:ilvl="0">
      <w:lvlJc w:val="left"/>
      <w:lvlText w:val="(%1)"/>
      <w:numFmt w:val="lowerLetter"/>
      <w:start w:val="1"/>
    </w:lvl>
  </w:abstractNum>
  <w:abstractNum w:abstractNumId="68">
    <w:nsid w:val="71EA1109"/>
    <w:multiLevelType w:val="hybridMultilevel"/>
    <w:lvl w:ilvl="0">
      <w:lvlJc w:val="left"/>
      <w:lvlText w:val="(%1)"/>
      <w:numFmt w:val="lowerLetter"/>
      <w:start w:val="10"/>
    </w:lvl>
  </w:abstractNum>
  <w:abstractNum w:abstractNumId="69">
    <w:nsid w:val="100F59DC"/>
    <w:multiLevelType w:val="hybridMultilevel"/>
    <w:lvl w:ilvl="0">
      <w:lvlJc w:val="left"/>
      <w:lvlText w:val="(%1)"/>
      <w:numFmt w:val="lowerLetter"/>
      <w:start w:val="1"/>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lowerLetter"/>
      <w:start w:val="2"/>
    </w:lvl>
  </w:abstractNum>
  <w:abstractNum w:abstractNumId="73">
    <w:nsid w:val="94211F2"/>
    <w:multiLevelType w:val="hybridMultilevel"/>
    <w:lvl w:ilvl="0">
      <w:lvlJc w:val="left"/>
      <w:lvlText w:val="(%1)"/>
      <w:numFmt w:val="lowerLetter"/>
      <w:start w:val="1"/>
    </w:lvl>
  </w:abstractNum>
  <w:abstractNum w:abstractNumId="74">
    <w:nsid w:val="885E1B"/>
    <w:multiLevelType w:val="hybridMultilevel"/>
    <w:lvl w:ilvl="0">
      <w:lvlJc w:val="left"/>
      <w:lvlText w:val="(%1)"/>
      <w:numFmt w:val="lowerLetter"/>
      <w:start w:val="2"/>
    </w:lvl>
  </w:abstractNum>
  <w:abstractNum w:abstractNumId="75">
    <w:nsid w:val="76272110"/>
    <w:multiLevelType w:val="hybridMultilevel"/>
    <w:lvl w:ilvl="0">
      <w:lvlJc w:val="left"/>
      <w:lvlText w:val="(%1)"/>
      <w:numFmt w:val="lowerLetter"/>
      <w:start w:val="1"/>
    </w:lvl>
  </w:abstractNum>
  <w:abstractNum w:abstractNumId="76">
    <w:nsid w:val="4C04A8AF"/>
    <w:multiLevelType w:val="hybridMultilevel"/>
    <w:lvl w:ilvl="0">
      <w:lvlJc w:val="left"/>
      <w:lvlText w:val="(%1)"/>
      <w:numFmt w:val="lowerLetter"/>
      <w:start w:val="5"/>
    </w:lvl>
  </w:abstractNum>
  <w:abstractNum w:abstractNumId="77">
    <w:nsid w:val="1716703B"/>
    <w:multiLevelType w:val="hybridMultilevel"/>
    <w:lvl w:ilvl="0">
      <w:lvlJc w:val="left"/>
      <w:lvlText w:val="(%1)"/>
      <w:numFmt w:val="lowerLetter"/>
      <w:start w:val="1"/>
    </w:lvl>
  </w:abstractNum>
  <w:abstractNum w:abstractNumId="78">
    <w:nsid w:val="14E17E33"/>
    <w:multiLevelType w:val="hybridMultilevel"/>
    <w:lvl w:ilvl="0">
      <w:lvlJc w:val="left"/>
      <w:lvlText w:val="(%1)"/>
      <w:numFmt w:val="lowerLetter"/>
      <w:start w:val="2"/>
    </w:lvl>
  </w:abstractNum>
  <w:abstractNum w:abstractNumId="79">
    <w:nsid w:val="3222E7CD"/>
    <w:multiLevelType w:val="hybridMultilevel"/>
    <w:lvl w:ilvl="0">
      <w:lvlJc w:val="left"/>
      <w:lvlText w:val="(%1)"/>
      <w:numFmt w:val="lowerLetter"/>
      <w:start w:val="3"/>
    </w:lvl>
    <w:lvl w:ilvl="1">
      <w:lvlJc w:val="left"/>
      <w:lvlText w:val="(%2)"/>
      <w:numFmt w:val="lowerLetter"/>
      <w:start w:val="9"/>
    </w:lvl>
  </w:abstractNum>
  <w:abstractNum w:abstractNumId="80">
    <w:nsid w:val="74DE0EE3"/>
    <w:multiLevelType w:val="hybridMultilevel"/>
    <w:lvl w:ilvl="0">
      <w:lvlJc w:val="left"/>
      <w:lvlText w:val="(%1)"/>
      <w:numFmt w:val="lowerRoman"/>
      <w:start w:val="2"/>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5"/>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lowerLetter"/>
      <w:start w:val="2"/>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lowerLetter"/>
      <w:start w:val="2"/>
    </w:lvl>
  </w:abstractNum>
  <w:abstractNum w:abstractNumId="89">
    <w:nsid w:val="60EF0119"/>
    <w:multiLevelType w:val="hybridMultilevel"/>
    <w:lvl w:ilvl="0">
      <w:lvlJc w:val="left"/>
      <w:lvlText w:val="(%1)"/>
      <w:numFmt w:val="lowerLetter"/>
      <w:start w:val="2"/>
    </w:lvl>
  </w:abstractNum>
  <w:abstractNum w:abstractNumId="90">
    <w:nsid w:val="26F324BA"/>
    <w:multiLevelType w:val="hybridMultilevel"/>
    <w:lvl w:ilvl="0">
      <w:lvlJc w:val="left"/>
      <w:lvlText w:val="%1)"/>
      <w:numFmt w:val="lowerLetter"/>
      <w:start w:val="1"/>
    </w:lvl>
  </w:abstractNum>
  <w:abstractNum w:abstractNumId="91">
    <w:nsid w:val="7F01579B"/>
    <w:multiLevelType w:val="hybridMultilevel"/>
    <w:lvl w:ilvl="0">
      <w:lvlJc w:val="left"/>
      <w:lvlText w:val="%1."/>
      <w:numFmt w:val="upperLetter"/>
      <w:start w:val="35"/>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lowerLetter"/>
      <w:start w:val="6"/>
    </w:lvl>
  </w:abstractNum>
  <w:abstractNum w:abstractNumId="94">
    <w:nsid w:val="5FB8370B"/>
    <w:multiLevelType w:val="hybridMultilevel"/>
    <w:lvl w:ilvl="0">
      <w:lvlJc w:val="left"/>
      <w:lvlText w:val="%1."/>
      <w:numFmt w:val="upperLetter"/>
      <w:start w:val="61"/>
    </w:lvl>
  </w:abstractNum>
  <w:abstractNum w:abstractNumId="95">
    <w:nsid w:val="50801EE1"/>
    <w:multiLevelType w:val="hybridMultilevel"/>
    <w:lvl w:ilvl="0">
      <w:lvlJc w:val="left"/>
      <w:lvlText w:val="%1)"/>
      <w:numFmt w:val="lowerLetter"/>
      <w:start w:val="1"/>
    </w:lvl>
    <w:lvl w:ilvl="1">
      <w:lvlJc w:val="left"/>
      <w:lvlText w:val="*"/>
      <w:numFmt w:val="bullet"/>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60" Type="http://schemas.openxmlformats.org/officeDocument/2006/relationships/hyperlink" Target="http://www.sec.gov/Archives/edgar/data/1651625/000095010318005330/dp90034_ex99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2019-12-08T14:21:44Z</dcterms:created>
  <dcterms:modified xsi:type="dcterms:W3CDTF">2019-12-08T14:21:44Z</dcterms:modified>
</cp:coreProperties>
</file>