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15"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AC Immune SA</w:t>
      </w:r>
    </w:p>
    <w:p>
      <w:pPr>
        <w:spacing w:after="0" w:line="8"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Common Stock, par value CHF 0.02 per share</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H00263105</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December 31, 2020</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20" w:right="9220" w:firstLine="6"/>
        <w:spacing w:after="0" w:line="311" w:lineRule="exact"/>
        <w:tabs>
          <w:tab w:leader="none" w:pos="803" w:val="left"/>
        </w:tabs>
        <w:numPr>
          <w:ilvl w:val="0"/>
          <w:numId w:val="1"/>
        </w:numPr>
        <w:rPr>
          <w:rFonts w:ascii="MS PGothic" w:cs="MS PGothic" w:eastAsia="MS PGothic" w:hAnsi="MS PGothic"/>
          <w:sz w:val="21"/>
          <w:szCs w:val="21"/>
          <w:color w:val="auto"/>
        </w:rPr>
      </w:pPr>
      <w:r>
        <w:rPr>
          <w:rFonts w:ascii="Arial" w:cs="Arial" w:eastAsia="Arial" w:hAnsi="Arial"/>
          <w:sz w:val="21"/>
          <w:szCs w:val="21"/>
          <w:color w:val="auto"/>
        </w:rPr>
        <w:t xml:space="preserve">Rule 13d-1(b) </w:t>
      </w:r>
      <w:r>
        <w:rPr>
          <w:rFonts w:ascii="MS PGothic" w:cs="MS PGothic" w:eastAsia="MS PGothic" w:hAnsi="MS PGothic"/>
          <w:sz w:val="21"/>
          <w:szCs w:val="21"/>
          <w:color w:val="auto"/>
        </w:rPr>
        <w:t>☒</w:t>
      </w:r>
      <w:r>
        <w:rPr>
          <w:rFonts w:ascii="Arial" w:cs="Arial" w:eastAsia="Arial" w:hAnsi="Arial"/>
          <w:sz w:val="21"/>
          <w:szCs w:val="21"/>
          <w:color w:val="auto"/>
        </w:rPr>
        <w:t xml:space="preserve"> Rule 13d-1(c)</w:t>
      </w:r>
    </w:p>
    <w:p>
      <w:pPr>
        <w:spacing w:after="0" w:line="26" w:lineRule="exact"/>
        <w:rPr>
          <w:rFonts w:ascii="MS PGothic" w:cs="MS PGothic" w:eastAsia="MS PGothic" w:hAnsi="MS PGothic"/>
          <w:sz w:val="21"/>
          <w:szCs w:val="21"/>
          <w:color w:val="auto"/>
        </w:rPr>
      </w:pPr>
    </w:p>
    <w:p>
      <w:pPr>
        <w:ind w:left="820" w:hanging="794"/>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60"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1233" w:right="339" w:bottom="1440" w:gutter="0" w:footer="0" w:header="0"/>
        </w:sectPr>
      </w:pPr>
    </w:p>
    <w:bookmarkStart w:id="1" w:name="page2"/>
    <w:bookmarkEnd w:id="1"/>
    <w:p>
      <w:pPr>
        <w:ind w:left="892" w:right="7560" w:hanging="370"/>
        <w:spacing w:after="0" w:line="303" w:lineRule="auto"/>
        <w:tabs>
          <w:tab w:leader="none" w:pos="892" w:val="left"/>
        </w:tabs>
        <w:numPr>
          <w:ilvl w:val="0"/>
          <w:numId w:val="2"/>
        </w:numPr>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208280</wp:posOffset>
            </wp:positionH>
            <wp:positionV relativeFrom="page">
              <wp:posOffset>749300</wp:posOffset>
            </wp:positionV>
            <wp:extent cx="6926580" cy="1868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1868805"/>
                    </a:xfrm>
                    <a:prstGeom prst="rect">
                      <a:avLst/>
                    </a:prstGeom>
                    <a:noFill/>
                  </pic:spPr>
                </pic:pic>
              </a:graphicData>
            </a:graphic>
          </wp:anchor>
        </w:drawing>
        <w:t>Names of Reporting Persons Eli Lilly and Company</w:t>
      </w:r>
    </w:p>
    <w:p>
      <w:pPr>
        <w:spacing w:after="0" w:line="1" w:lineRule="exact"/>
        <w:rPr>
          <w:rFonts w:ascii="Arial" w:cs="Arial" w:eastAsia="Arial" w:hAnsi="Arial"/>
          <w:sz w:val="19"/>
          <w:szCs w:val="19"/>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8" w:lineRule="exact"/>
        <w:rPr>
          <w:rFonts w:ascii="Arial" w:cs="Arial" w:eastAsia="Arial" w:hAnsi="Arial"/>
          <w:sz w:val="22"/>
          <w:szCs w:val="22"/>
          <w:color w:val="auto"/>
        </w:rPr>
      </w:pPr>
    </w:p>
    <w:p>
      <w:pPr>
        <w:ind w:left="1192" w:hanging="297"/>
        <w:spacing w:after="0" w:line="243" w:lineRule="exact"/>
        <w:tabs>
          <w:tab w:leader="none" w:pos="1192"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ind w:left="1192" w:hanging="297"/>
        <w:spacing w:after="0" w:line="253" w:lineRule="exact"/>
        <w:tabs>
          <w:tab w:leader="none" w:pos="1192" w:val="left"/>
        </w:tabs>
        <w:numPr>
          <w:ilvl w:val="1"/>
          <w:numId w:val="2"/>
        </w:numPr>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282" w:lineRule="exact"/>
        <w:rPr>
          <w:rFonts w:ascii="Arial" w:cs="Arial" w:eastAsia="Arial" w:hAnsi="Arial"/>
          <w:sz w:val="22"/>
          <w:szCs w:val="22"/>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SEC Use Only</w:t>
      </w:r>
    </w:p>
    <w:p>
      <w:pPr>
        <w:spacing w:after="0" w:line="300" w:lineRule="exact"/>
        <w:rPr>
          <w:rFonts w:ascii="Arial" w:cs="Arial" w:eastAsia="Arial" w:hAnsi="Arial"/>
          <w:sz w:val="22"/>
          <w:szCs w:val="22"/>
          <w:color w:val="auto"/>
        </w:rPr>
      </w:pPr>
    </w:p>
    <w:p>
      <w:pPr>
        <w:ind w:left="892" w:hanging="370"/>
        <w:spacing w:after="0"/>
        <w:tabs>
          <w:tab w:leader="none" w:pos="892" w:val="left"/>
        </w:tabs>
        <w:numPr>
          <w:ilvl w:val="0"/>
          <w:numId w:val="2"/>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233" w:lineRule="exact"/>
        <w:rPr>
          <w:sz w:val="20"/>
          <w:szCs w:val="20"/>
          <w:color w:val="auto"/>
        </w:rPr>
      </w:pPr>
    </w:p>
    <w:p>
      <w:pPr>
        <w:ind w:left="892"/>
        <w:spacing w:after="0"/>
        <w:rPr>
          <w:sz w:val="20"/>
          <w:szCs w:val="20"/>
          <w:color w:val="auto"/>
        </w:rPr>
      </w:pPr>
      <w:r>
        <w:rPr>
          <w:rFonts w:ascii="Arial" w:cs="Arial" w:eastAsia="Arial" w:hAnsi="Arial"/>
          <w:sz w:val="22"/>
          <w:szCs w:val="22"/>
          <w:color w:val="auto"/>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41275</wp:posOffset>
            </wp:positionV>
            <wp:extent cx="6934835" cy="2400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2400300"/>
                    </a:xfrm>
                    <a:prstGeom prst="rect">
                      <a:avLst/>
                    </a:prstGeom>
                    <a:noFill/>
                  </pic:spPr>
                </pic:pic>
              </a:graphicData>
            </a:graphic>
          </wp:anchor>
        </w:drawing>
      </w:r>
    </w:p>
    <w:p>
      <w:pPr>
        <w:spacing w:after="0" w:line="55" w:lineRule="exact"/>
        <w:rPr>
          <w:sz w:val="20"/>
          <w:szCs w:val="20"/>
          <w:color w:val="auto"/>
        </w:rPr>
      </w:pPr>
    </w:p>
    <w:tbl>
      <w:tblPr>
        <w:tblLayout w:type="fixed"/>
        <w:tblInd w:w="112" w:type="dxa"/>
        <w:tblCellMar>
          <w:top w:w="0" w:type="dxa"/>
          <w:left w:w="0" w:type="dxa"/>
          <w:bottom w:w="0" w:type="dxa"/>
          <w:right w:w="0" w:type="dxa"/>
        </w:tblCellMar>
      </w:tblPr>
      <w:tr>
        <w:trPr>
          <w:trHeight w:val="253"/>
        </w:trPr>
        <w:tc>
          <w:tcPr>
            <w:tcW w:w="1900" w:type="dxa"/>
            <w:vAlign w:val="bottom"/>
          </w:tcPr>
          <w:p>
            <w:pPr>
              <w:jc w:val="center"/>
              <w:spacing w:after="0"/>
              <w:rPr>
                <w:sz w:val="20"/>
                <w:szCs w:val="20"/>
                <w:color w:val="auto"/>
              </w:rPr>
            </w:pPr>
            <w:r>
              <w:rPr>
                <w:rFonts w:ascii="Arial" w:cs="Arial" w:eastAsia="Arial" w:hAnsi="Arial"/>
                <w:sz w:val="22"/>
                <w:szCs w:val="22"/>
                <w:color w:val="auto"/>
                <w:w w:val="93"/>
              </w:rPr>
              <w:t>NUMBER OF</w:t>
            </w:r>
          </w:p>
        </w:tc>
        <w:tc>
          <w:tcPr>
            <w:tcW w:w="740" w:type="dxa"/>
            <w:vAlign w:val="bottom"/>
          </w:tcPr>
          <w:p>
            <w:pPr>
              <w:jc w:val="right"/>
              <w:ind w:right="12"/>
              <w:spacing w:after="0"/>
              <w:rPr>
                <w:sz w:val="20"/>
                <w:szCs w:val="20"/>
                <w:color w:val="auto"/>
              </w:rPr>
            </w:pPr>
            <w:r>
              <w:rPr>
                <w:rFonts w:ascii="Arial" w:cs="Arial" w:eastAsia="Arial" w:hAnsi="Arial"/>
                <w:sz w:val="22"/>
                <w:szCs w:val="22"/>
                <w:color w:val="auto"/>
              </w:rPr>
              <w:t>5.</w:t>
            </w:r>
          </w:p>
        </w:tc>
        <w:tc>
          <w:tcPr>
            <w:tcW w:w="8160" w:type="dxa"/>
            <w:vAlign w:val="bottom"/>
          </w:tcPr>
          <w:p>
            <w:pPr>
              <w:ind w:left="100"/>
              <w:spacing w:after="0"/>
              <w:rPr>
                <w:sz w:val="20"/>
                <w:szCs w:val="20"/>
                <w:color w:val="auto"/>
              </w:rPr>
            </w:pPr>
            <w:r>
              <w:rPr>
                <w:rFonts w:ascii="Arial" w:cs="Arial" w:eastAsia="Arial" w:hAnsi="Arial"/>
                <w:sz w:val="22"/>
                <w:szCs w:val="22"/>
                <w:color w:val="auto"/>
              </w:rPr>
              <w:t>Sole Voting Power</w:t>
            </w: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2"/>
              </w:rPr>
              <w:t>SHARES</w:t>
            </w:r>
          </w:p>
        </w:tc>
        <w:tc>
          <w:tcPr>
            <w:tcW w:w="74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7"/>
              </w:rPr>
              <w:t>BENEFICIALLY</w:t>
            </w:r>
          </w:p>
        </w:tc>
        <w:tc>
          <w:tcPr>
            <w:tcW w:w="740" w:type="dxa"/>
            <w:vAlign w:val="bottom"/>
          </w:tcPr>
          <w:p>
            <w:pPr>
              <w:spacing w:after="0"/>
              <w:rPr>
                <w:sz w:val="21"/>
                <w:szCs w:val="21"/>
                <w:color w:val="auto"/>
              </w:rPr>
            </w:pPr>
          </w:p>
        </w:tc>
        <w:tc>
          <w:tcPr>
            <w:tcW w:w="8160" w:type="dxa"/>
            <w:vAlign w:val="bottom"/>
          </w:tcPr>
          <w:p>
            <w:pPr>
              <w:ind w:left="100"/>
              <w:spacing w:after="0" w:line="243" w:lineRule="exact"/>
              <w:rPr>
                <w:sz w:val="20"/>
                <w:szCs w:val="20"/>
                <w:color w:val="auto"/>
              </w:rPr>
            </w:pPr>
            <w:r>
              <w:rPr>
                <w:rFonts w:ascii="Arial" w:cs="Arial" w:eastAsia="Arial" w:hAnsi="Arial"/>
                <w:sz w:val="22"/>
                <w:szCs w:val="22"/>
                <w:color w:val="auto"/>
              </w:rPr>
              <w:t>3,615,328</w:t>
            </w:r>
          </w:p>
        </w:tc>
        <w:tc>
          <w:tcPr>
            <w:tcW w:w="0" w:type="dxa"/>
            <w:vAlign w:val="bottom"/>
          </w:tcPr>
          <w:p>
            <w:pPr>
              <w:spacing w:after="0"/>
              <w:rPr>
                <w:sz w:val="1"/>
                <w:szCs w:val="1"/>
                <w:color w:val="auto"/>
              </w:rPr>
            </w:pPr>
          </w:p>
        </w:tc>
      </w:tr>
      <w:tr>
        <w:trPr>
          <w:trHeight w:val="243"/>
        </w:trPr>
        <w:tc>
          <w:tcPr>
            <w:tcW w:w="1900" w:type="dxa"/>
            <w:vAlign w:val="bottom"/>
          </w:tcPr>
          <w:p>
            <w:pPr>
              <w:jc w:val="center"/>
              <w:spacing w:after="0" w:line="243" w:lineRule="exact"/>
              <w:rPr>
                <w:sz w:val="20"/>
                <w:szCs w:val="20"/>
                <w:color w:val="auto"/>
              </w:rPr>
            </w:pPr>
            <w:r>
              <w:rPr>
                <w:rFonts w:ascii="Arial" w:cs="Arial" w:eastAsia="Arial" w:hAnsi="Arial"/>
                <w:sz w:val="22"/>
                <w:szCs w:val="22"/>
                <w:color w:val="auto"/>
                <w:w w:val="96"/>
              </w:rPr>
              <w:t>OWNED BY EACH</w:t>
            </w:r>
          </w:p>
        </w:tc>
        <w:tc>
          <w:tcPr>
            <w:tcW w:w="740" w:type="dxa"/>
            <w:vAlign w:val="bottom"/>
          </w:tcPr>
          <w:p>
            <w:pPr>
              <w:spacing w:after="0"/>
              <w:rPr>
                <w:sz w:val="21"/>
                <w:szCs w:val="21"/>
                <w:color w:val="auto"/>
              </w:rPr>
            </w:pPr>
          </w:p>
        </w:tc>
        <w:tc>
          <w:tcPr>
            <w:tcW w:w="8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1900" w:type="dxa"/>
            <w:vAlign w:val="bottom"/>
            <w:vMerge w:val="restart"/>
          </w:tcPr>
          <w:p>
            <w:pPr>
              <w:jc w:val="center"/>
              <w:spacing w:after="0"/>
              <w:rPr>
                <w:sz w:val="20"/>
                <w:szCs w:val="20"/>
                <w:color w:val="auto"/>
              </w:rPr>
            </w:pPr>
            <w:r>
              <w:rPr>
                <w:rFonts w:ascii="Arial" w:cs="Arial" w:eastAsia="Arial" w:hAnsi="Arial"/>
                <w:sz w:val="22"/>
                <w:szCs w:val="22"/>
                <w:color w:val="auto"/>
                <w:w w:val="91"/>
              </w:rPr>
              <w:t>REPORTING</w:t>
            </w:r>
          </w:p>
        </w:tc>
        <w:tc>
          <w:tcPr>
            <w:tcW w:w="740" w:type="dxa"/>
            <w:vAlign w:val="bottom"/>
            <w:tcBorders>
              <w:bottom w:val="single" w:sz="8" w:color="auto"/>
            </w:tcBorders>
          </w:tcPr>
          <w:p>
            <w:pPr>
              <w:spacing w:after="0"/>
              <w:rPr>
                <w:sz w:val="4"/>
                <w:szCs w:val="4"/>
                <w:color w:val="auto"/>
              </w:rPr>
            </w:pPr>
          </w:p>
        </w:tc>
        <w:tc>
          <w:tcPr>
            <w:tcW w:w="8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900" w:type="dxa"/>
            <w:vAlign w:val="bottom"/>
            <w:vMerge w:val="continue"/>
          </w:tcPr>
          <w:p>
            <w:pPr>
              <w:spacing w:after="0"/>
              <w:rPr>
                <w:sz w:val="18"/>
                <w:szCs w:val="18"/>
                <w:color w:val="auto"/>
              </w:rPr>
            </w:pPr>
          </w:p>
        </w:tc>
        <w:tc>
          <w:tcPr>
            <w:tcW w:w="740" w:type="dxa"/>
            <w:vAlign w:val="bottom"/>
          </w:tcPr>
          <w:p>
            <w:pPr>
              <w:jc w:val="right"/>
              <w:ind w:right="12"/>
              <w:spacing w:after="0" w:line="209" w:lineRule="exact"/>
              <w:rPr>
                <w:sz w:val="20"/>
                <w:szCs w:val="20"/>
                <w:color w:val="auto"/>
              </w:rPr>
            </w:pPr>
            <w:r>
              <w:rPr>
                <w:rFonts w:ascii="Arial" w:cs="Arial" w:eastAsia="Arial" w:hAnsi="Arial"/>
                <w:sz w:val="22"/>
                <w:szCs w:val="22"/>
                <w:color w:val="auto"/>
              </w:rPr>
              <w:t>6.</w:t>
            </w:r>
          </w:p>
        </w:tc>
        <w:tc>
          <w:tcPr>
            <w:tcW w:w="8160" w:type="dxa"/>
            <w:vAlign w:val="bottom"/>
          </w:tcPr>
          <w:p>
            <w:pPr>
              <w:ind w:left="100"/>
              <w:spacing w:after="0" w:line="209" w:lineRule="exact"/>
              <w:rPr>
                <w:sz w:val="20"/>
                <w:szCs w:val="20"/>
                <w:color w:val="auto"/>
              </w:rPr>
            </w:pPr>
            <w:r>
              <w:rPr>
                <w:rFonts w:ascii="Arial" w:cs="Arial" w:eastAsia="Arial" w:hAnsi="Arial"/>
                <w:sz w:val="22"/>
                <w:szCs w:val="22"/>
                <w:color w:val="auto"/>
              </w:rPr>
              <w:t>Shared Voting Power</w:t>
            </w:r>
          </w:p>
        </w:tc>
        <w:tc>
          <w:tcPr>
            <w:tcW w:w="0" w:type="dxa"/>
            <w:vAlign w:val="bottom"/>
          </w:tcPr>
          <w:p>
            <w:pPr>
              <w:spacing w:after="0"/>
              <w:rPr>
                <w:sz w:val="1"/>
                <w:szCs w:val="1"/>
                <w:color w:val="auto"/>
              </w:rPr>
            </w:pPr>
          </w:p>
        </w:tc>
      </w:tr>
      <w:tr>
        <w:trPr>
          <w:trHeight w:val="208"/>
        </w:trPr>
        <w:tc>
          <w:tcPr>
            <w:tcW w:w="1900" w:type="dxa"/>
            <w:vAlign w:val="bottom"/>
          </w:tcPr>
          <w:p>
            <w:pPr>
              <w:jc w:val="center"/>
              <w:spacing w:after="0" w:line="208" w:lineRule="exact"/>
              <w:rPr>
                <w:sz w:val="20"/>
                <w:szCs w:val="20"/>
                <w:color w:val="auto"/>
              </w:rPr>
            </w:pPr>
            <w:r>
              <w:rPr>
                <w:rFonts w:ascii="Arial" w:cs="Arial" w:eastAsia="Arial" w:hAnsi="Arial"/>
                <w:sz w:val="22"/>
                <w:szCs w:val="22"/>
                <w:color w:val="auto"/>
                <w:w w:val="90"/>
              </w:rPr>
              <w:t>PERSON</w:t>
            </w:r>
          </w:p>
        </w:tc>
        <w:tc>
          <w:tcPr>
            <w:tcW w:w="74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1900" w:type="dxa"/>
            <w:vAlign w:val="bottom"/>
          </w:tcPr>
          <w:p>
            <w:pPr>
              <w:jc w:val="center"/>
              <w:spacing w:after="0"/>
              <w:rPr>
                <w:sz w:val="20"/>
                <w:szCs w:val="20"/>
                <w:color w:val="auto"/>
              </w:rPr>
            </w:pPr>
            <w:r>
              <w:rPr>
                <w:rFonts w:ascii="Arial" w:cs="Arial" w:eastAsia="Arial" w:hAnsi="Arial"/>
                <w:sz w:val="22"/>
                <w:szCs w:val="22"/>
                <w:color w:val="auto"/>
                <w:w w:val="99"/>
              </w:rPr>
              <w:t>WITH</w:t>
            </w:r>
          </w:p>
        </w:tc>
        <w:tc>
          <w:tcPr>
            <w:tcW w:w="740" w:type="dxa"/>
            <w:vAlign w:val="bottom"/>
          </w:tcPr>
          <w:p>
            <w:pPr>
              <w:spacing w:after="0"/>
              <w:rPr>
                <w:sz w:val="24"/>
                <w:szCs w:val="24"/>
                <w:color w:val="auto"/>
              </w:rPr>
            </w:pPr>
          </w:p>
        </w:tc>
        <w:tc>
          <w:tcPr>
            <w:tcW w:w="8160" w:type="dxa"/>
            <w:vAlign w:val="bottom"/>
          </w:tcPr>
          <w:p>
            <w:pPr>
              <w:ind w:left="1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52" w:right="6060" w:hanging="372"/>
        <w:spacing w:after="0" w:line="481" w:lineRule="auto"/>
        <w:tabs>
          <w:tab w:leader="none" w:pos="2852" w:val="left"/>
        </w:tabs>
        <w:numPr>
          <w:ilvl w:val="2"/>
          <w:numId w:val="3"/>
        </w:numPr>
        <w:rPr>
          <w:rFonts w:ascii="Arial" w:cs="Arial" w:eastAsia="Arial" w:hAnsi="Arial"/>
          <w:sz w:val="22"/>
          <w:szCs w:val="22"/>
          <w:color w:val="auto"/>
        </w:rPr>
      </w:pPr>
      <w:r>
        <w:rPr>
          <w:rFonts w:ascii="Arial" w:cs="Arial" w:eastAsia="Arial" w:hAnsi="Arial"/>
          <w:sz w:val="22"/>
          <w:szCs w:val="22"/>
          <w:color w:val="auto"/>
        </w:rPr>
        <w:t>Sole Dispositive Power 3,615,328</w:t>
      </w:r>
    </w:p>
    <w:p>
      <w:pPr>
        <w:spacing w:after="0" w:line="25" w:lineRule="exact"/>
        <w:rPr>
          <w:rFonts w:ascii="Arial" w:cs="Arial" w:eastAsia="Arial" w:hAnsi="Arial"/>
          <w:sz w:val="22"/>
          <w:szCs w:val="22"/>
          <w:color w:val="auto"/>
        </w:rPr>
      </w:pPr>
    </w:p>
    <w:p>
      <w:pPr>
        <w:ind w:left="2852" w:right="5840" w:hanging="372"/>
        <w:spacing w:after="0" w:line="416" w:lineRule="auto"/>
        <w:tabs>
          <w:tab w:leader="none" w:pos="2852" w:val="left"/>
        </w:tabs>
        <w:numPr>
          <w:ilvl w:val="2"/>
          <w:numId w:val="3"/>
        </w:numPr>
        <w:rPr>
          <w:rFonts w:ascii="Arial" w:cs="Arial" w:eastAsia="Arial" w:hAnsi="Arial"/>
          <w:sz w:val="22"/>
          <w:szCs w:val="22"/>
          <w:color w:val="auto"/>
        </w:rPr>
      </w:pPr>
      <w:r>
        <w:rPr>
          <w:rFonts w:ascii="Arial" w:cs="Arial" w:eastAsia="Arial" w:hAnsi="Arial"/>
          <w:sz w:val="22"/>
          <w:szCs w:val="22"/>
          <w:color w:val="auto"/>
        </w:rPr>
        <w:t>Shared Dispositive Power 0</w:t>
      </w:r>
    </w:p>
    <w:p>
      <w:pPr>
        <w:ind w:left="892" w:right="4280" w:hanging="370"/>
        <w:spacing w:after="0" w:line="481" w:lineRule="auto"/>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3,615,328</w:t>
      </w:r>
    </w:p>
    <w:p>
      <w:pPr>
        <w:spacing w:after="0" w:line="25" w:lineRule="exact"/>
        <w:rPr>
          <w:rFonts w:ascii="Arial" w:cs="Arial" w:eastAsia="Arial" w:hAnsi="Arial"/>
          <w:sz w:val="22"/>
          <w:szCs w:val="22"/>
          <w:color w:val="auto"/>
        </w:rPr>
      </w:pPr>
    </w:p>
    <w:p>
      <w:pPr>
        <w:ind w:left="892" w:right="3400" w:hanging="478"/>
        <w:spacing w:after="0" w:line="235" w:lineRule="auto"/>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Check Box if the Aggregate Amount in Row 9 Excludes Certain Shares (See Instructions)</w:t>
      </w:r>
    </w:p>
    <w:p>
      <w:pPr>
        <w:ind w:left="892"/>
        <w:spacing w:after="0" w:line="221" w:lineRule="exact"/>
        <w:rPr>
          <w:rFonts w:ascii="Arial" w:cs="Arial" w:eastAsia="Arial" w:hAnsi="Arial"/>
          <w:sz w:val="22"/>
          <w:szCs w:val="22"/>
          <w:color w:val="auto"/>
        </w:rPr>
      </w:pPr>
      <w:r>
        <w:rPr>
          <w:rFonts w:ascii="MS PGothic" w:cs="MS PGothic" w:eastAsia="MS PGothic" w:hAnsi="MS PGothic"/>
          <w:sz w:val="22"/>
          <w:szCs w:val="22"/>
          <w:color w:val="auto"/>
        </w:rPr>
        <w:t>☐</w:t>
      </w:r>
    </w:p>
    <w:p>
      <w:pPr>
        <w:spacing w:after="0" w:line="323" w:lineRule="exact"/>
        <w:rPr>
          <w:rFonts w:ascii="Arial" w:cs="Arial" w:eastAsia="Arial" w:hAnsi="Arial"/>
          <w:sz w:val="22"/>
          <w:szCs w:val="22"/>
          <w:color w:val="auto"/>
        </w:rPr>
      </w:pPr>
    </w:p>
    <w:p>
      <w:pPr>
        <w:ind w:left="892" w:hanging="470"/>
        <w:spacing w:after="0"/>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Percent of Class Represented by Amount in Row (9)</w:t>
      </w:r>
    </w:p>
    <w:p>
      <w:pPr>
        <w:spacing w:after="0" w:line="225"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5.0%</w:t>
      </w:r>
      <w:r>
        <w:rPr>
          <w:rFonts w:ascii="Arial" w:cs="Arial" w:eastAsia="Arial" w:hAnsi="Arial"/>
          <w:sz w:val="28"/>
          <w:szCs w:val="28"/>
          <w:color w:val="auto"/>
          <w:vertAlign w:val="superscript"/>
        </w:rPr>
        <w:t>(1)</w:t>
      </w:r>
    </w:p>
    <w:p>
      <w:pPr>
        <w:spacing w:after="0" w:line="14" w:lineRule="exact"/>
        <w:rPr>
          <w:rFonts w:ascii="Arial" w:cs="Arial" w:eastAsia="Arial" w:hAnsi="Arial"/>
          <w:sz w:val="22"/>
          <w:szCs w:val="22"/>
          <w:color w:val="auto"/>
        </w:rPr>
      </w:pPr>
    </w:p>
    <w:p>
      <w:pPr>
        <w:ind w:left="892" w:hanging="478"/>
        <w:spacing w:after="0"/>
        <w:tabs>
          <w:tab w:leader="none" w:pos="892" w:val="left"/>
        </w:tabs>
        <w:numPr>
          <w:ilvl w:val="1"/>
          <w:numId w:val="4"/>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15" w:lineRule="exact"/>
        <w:rPr>
          <w:rFonts w:ascii="Arial" w:cs="Arial" w:eastAsia="Arial" w:hAnsi="Arial"/>
          <w:sz w:val="22"/>
          <w:szCs w:val="22"/>
          <w:color w:val="auto"/>
        </w:rPr>
      </w:pPr>
    </w:p>
    <w:p>
      <w:pPr>
        <w:ind w:left="892"/>
        <w:spacing w:after="0"/>
        <w:rPr>
          <w:rFonts w:ascii="Arial" w:cs="Arial" w:eastAsia="Arial" w:hAnsi="Arial"/>
          <w:sz w:val="22"/>
          <w:szCs w:val="22"/>
          <w:color w:val="auto"/>
        </w:rPr>
      </w:pPr>
      <w:r>
        <w:rPr>
          <w:rFonts w:ascii="Arial" w:cs="Arial" w:eastAsia="Arial" w:hAnsi="Arial"/>
          <w:sz w:val="22"/>
          <w:szCs w:val="22"/>
          <w:color w:val="auto"/>
        </w:rPr>
        <w:t>CO</w:t>
      </w:r>
    </w:p>
    <w:p>
      <w:pPr>
        <w:spacing w:after="0" w:line="280" w:lineRule="exact"/>
        <w:rPr>
          <w:rFonts w:ascii="Arial" w:cs="Arial" w:eastAsia="Arial" w:hAnsi="Arial"/>
          <w:sz w:val="22"/>
          <w:szCs w:val="22"/>
          <w:color w:val="auto"/>
        </w:rPr>
      </w:pPr>
    </w:p>
    <w:p>
      <w:pPr>
        <w:ind w:left="332" w:hanging="332"/>
        <w:spacing w:after="0" w:line="220" w:lineRule="auto"/>
        <w:tabs>
          <w:tab w:leader="none" w:pos="206" w:val="left"/>
        </w:tabs>
        <w:numPr>
          <w:ilvl w:val="0"/>
          <w:numId w:val="5"/>
        </w:numPr>
        <w:rPr>
          <w:rFonts w:ascii="Arial" w:cs="Arial" w:eastAsia="Arial" w:hAnsi="Arial"/>
          <w:sz w:val="25"/>
          <w:szCs w:val="25"/>
          <w:color w:val="auto"/>
          <w:vertAlign w:val="superscript"/>
        </w:rPr>
      </w:pPr>
      <w:r>
        <w:rPr>
          <w:rFonts w:ascii="Arial" w:cs="Arial" w:eastAsia="Arial" w:hAnsi="Arial"/>
          <w:sz w:val="16"/>
          <w:szCs w:val="16"/>
          <w:color w:val="auto"/>
        </w:rPr>
        <w:t>The percentage is calculated based upon 71,741,285 common voting shares outstanding, which is the number of outstanding shares as of October 21, 2020, as set forth in the Issuer’s Form F-3 filed on October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-2759075</wp:posOffset>
            </wp:positionV>
            <wp:extent cx="6951980" cy="23399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51980" cy="2339975"/>
                    </a:xfrm>
                    <a:prstGeom prst="rect">
                      <a:avLst/>
                    </a:prstGeom>
                    <a:noFill/>
                  </pic:spPr>
                </pic:pic>
              </a:graphicData>
            </a:graphic>
          </wp:anchor>
        </w:drawing>
      </w:r>
    </w:p>
    <w:p>
      <w:pPr>
        <w:sectPr>
          <w:pgSz w:w="11900" w:h="16838" w:orient="portrait"/>
          <w:cols w:equalWidth="0" w:num="1">
            <w:col w:w="10932"/>
          </w:cols>
          <w:pgMar w:left="328" w:top="1198" w:right="6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1100" w:type="dxa"/>
            <w:vAlign w:val="bottom"/>
          </w:tcPr>
          <w:p>
            <w:pPr>
              <w:spacing w:after="0"/>
              <w:rPr>
                <w:sz w:val="20"/>
                <w:szCs w:val="20"/>
                <w:color w:val="auto"/>
              </w:rPr>
            </w:pPr>
            <w:r>
              <w:rPr>
                <w:rFonts w:ascii="Arial" w:cs="Arial" w:eastAsia="Arial" w:hAnsi="Arial"/>
                <w:sz w:val="22"/>
                <w:szCs w:val="22"/>
                <w:b w:val="1"/>
                <w:bCs w:val="1"/>
                <w:color w:val="auto"/>
              </w:rPr>
              <w:t>Item 1.</w:t>
            </w:r>
          </w:p>
        </w:tc>
        <w:tc>
          <w:tcPr>
            <w:tcW w:w="9120" w:type="dxa"/>
            <w:vAlign w:val="bottom"/>
            <w:gridSpan w:val="2"/>
          </w:tcPr>
          <w:p>
            <w:pPr>
              <w:ind w:left="480"/>
              <w:spacing w:after="0"/>
              <w:rPr>
                <w:sz w:val="20"/>
                <w:szCs w:val="20"/>
                <w:color w:val="auto"/>
              </w:rPr>
            </w:pPr>
            <w:r>
              <w:rPr>
                <w:rFonts w:ascii="Arial" w:cs="Arial" w:eastAsia="Arial" w:hAnsi="Arial"/>
                <w:sz w:val="22"/>
                <w:szCs w:val="22"/>
                <w:b w:val="1"/>
                <w:bCs w:val="1"/>
                <w:color w:val="auto"/>
              </w:rPr>
              <w:t>Name of Issuer</w:t>
            </w:r>
          </w:p>
        </w:tc>
      </w:tr>
      <w:tr>
        <w:trPr>
          <w:trHeight w:val="324"/>
        </w:trPr>
        <w:tc>
          <w:tcPr>
            <w:tcW w:w="11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22"/>
                <w:szCs w:val="22"/>
                <w:color w:val="auto"/>
              </w:rPr>
              <w:t>(a)</w:t>
            </w:r>
          </w:p>
        </w:tc>
        <w:tc>
          <w:tcPr>
            <w:tcW w:w="8120" w:type="dxa"/>
            <w:vAlign w:val="bottom"/>
          </w:tcPr>
          <w:p>
            <w:pPr>
              <w:ind w:left="180"/>
              <w:spacing w:after="0"/>
              <w:rPr>
                <w:sz w:val="20"/>
                <w:szCs w:val="20"/>
                <w:color w:val="auto"/>
              </w:rPr>
            </w:pPr>
            <w:r>
              <w:rPr>
                <w:rFonts w:ascii="Arial" w:cs="Arial" w:eastAsia="Arial" w:hAnsi="Arial"/>
                <w:sz w:val="22"/>
                <w:szCs w:val="22"/>
                <w:color w:val="auto"/>
              </w:rPr>
              <w:t>Name of Issuer:</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AC Immune SA</w:t>
            </w:r>
          </w:p>
        </w:tc>
      </w:tr>
      <w:tr>
        <w:trPr>
          <w:trHeight w:val="810"/>
        </w:trPr>
        <w:tc>
          <w:tcPr>
            <w:tcW w:w="11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22"/>
                <w:szCs w:val="22"/>
                <w:color w:val="auto"/>
              </w:rPr>
              <w:t>(b)</w:t>
            </w:r>
          </w:p>
        </w:tc>
        <w:tc>
          <w:tcPr>
            <w:tcW w:w="8120" w:type="dxa"/>
            <w:vAlign w:val="bottom"/>
          </w:tcPr>
          <w:p>
            <w:pPr>
              <w:ind w:left="180"/>
              <w:spacing w:after="0"/>
              <w:rPr>
                <w:sz w:val="20"/>
                <w:szCs w:val="20"/>
                <w:color w:val="auto"/>
              </w:rPr>
            </w:pPr>
            <w:r>
              <w:rPr>
                <w:rFonts w:ascii="Arial" w:cs="Arial" w:eastAsia="Arial" w:hAnsi="Arial"/>
                <w:sz w:val="22"/>
                <w:szCs w:val="22"/>
                <w:color w:val="auto"/>
              </w:rPr>
              <w:t>Address of Issuer’s Principal Executive Offices:</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EPFL Innovation Park, Building B</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1015 Lausanne, Switzerland</w:t>
            </w:r>
          </w:p>
        </w:tc>
      </w:tr>
      <w:tr>
        <w:trPr>
          <w:trHeight w:val="567"/>
        </w:trPr>
        <w:tc>
          <w:tcPr>
            <w:tcW w:w="1100" w:type="dxa"/>
            <w:vAlign w:val="bottom"/>
          </w:tcPr>
          <w:p>
            <w:pPr>
              <w:spacing w:after="0"/>
              <w:rPr>
                <w:sz w:val="20"/>
                <w:szCs w:val="20"/>
                <w:color w:val="auto"/>
              </w:rPr>
            </w:pPr>
            <w:r>
              <w:rPr>
                <w:rFonts w:ascii="Arial" w:cs="Arial" w:eastAsia="Arial" w:hAnsi="Arial"/>
                <w:sz w:val="22"/>
                <w:szCs w:val="22"/>
                <w:b w:val="1"/>
                <w:bCs w:val="1"/>
                <w:color w:val="auto"/>
              </w:rPr>
              <w:t>Item 2.</w:t>
            </w:r>
          </w:p>
        </w:tc>
        <w:tc>
          <w:tcPr>
            <w:tcW w:w="9120" w:type="dxa"/>
            <w:vAlign w:val="bottom"/>
            <w:gridSpan w:val="2"/>
          </w:tcPr>
          <w:p>
            <w:pPr>
              <w:ind w:left="480"/>
              <w:spacing w:after="0"/>
              <w:rPr>
                <w:sz w:val="20"/>
                <w:szCs w:val="20"/>
                <w:color w:val="auto"/>
              </w:rPr>
            </w:pPr>
            <w:r>
              <w:rPr>
                <w:rFonts w:ascii="Arial" w:cs="Arial" w:eastAsia="Arial" w:hAnsi="Arial"/>
                <w:sz w:val="22"/>
                <w:szCs w:val="22"/>
                <w:b w:val="1"/>
                <w:bCs w:val="1"/>
                <w:color w:val="auto"/>
              </w:rPr>
              <w:t>Name of Person Filing</w:t>
            </w:r>
          </w:p>
        </w:tc>
      </w:tr>
      <w:tr>
        <w:trPr>
          <w:trHeight w:val="324"/>
        </w:trPr>
        <w:tc>
          <w:tcPr>
            <w:tcW w:w="11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22"/>
                <w:szCs w:val="22"/>
                <w:color w:val="auto"/>
              </w:rPr>
              <w:t>(a)</w:t>
            </w:r>
          </w:p>
        </w:tc>
        <w:tc>
          <w:tcPr>
            <w:tcW w:w="8120" w:type="dxa"/>
            <w:vAlign w:val="bottom"/>
          </w:tcPr>
          <w:p>
            <w:pPr>
              <w:ind w:left="180"/>
              <w:spacing w:after="0"/>
              <w:rPr>
                <w:sz w:val="20"/>
                <w:szCs w:val="20"/>
                <w:color w:val="auto"/>
              </w:rPr>
            </w:pPr>
            <w:r>
              <w:rPr>
                <w:rFonts w:ascii="Arial" w:cs="Arial" w:eastAsia="Arial" w:hAnsi="Arial"/>
                <w:sz w:val="22"/>
                <w:szCs w:val="22"/>
                <w:color w:val="auto"/>
              </w:rPr>
              <w:t>Name:</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Eli Lilly and Company</w:t>
            </w:r>
          </w:p>
        </w:tc>
      </w:tr>
      <w:tr>
        <w:trPr>
          <w:trHeight w:val="567"/>
        </w:trPr>
        <w:tc>
          <w:tcPr>
            <w:tcW w:w="110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Arial" w:cs="Arial" w:eastAsia="Arial" w:hAnsi="Arial"/>
                <w:sz w:val="22"/>
                <w:szCs w:val="22"/>
                <w:color w:val="auto"/>
              </w:rPr>
              <w:t>(b)</w:t>
            </w:r>
          </w:p>
        </w:tc>
        <w:tc>
          <w:tcPr>
            <w:tcW w:w="8120" w:type="dxa"/>
            <w:vAlign w:val="bottom"/>
          </w:tcPr>
          <w:p>
            <w:pPr>
              <w:ind w:left="180"/>
              <w:spacing w:after="0"/>
              <w:rPr>
                <w:sz w:val="20"/>
                <w:szCs w:val="20"/>
                <w:color w:val="auto"/>
              </w:rPr>
            </w:pPr>
            <w:r>
              <w:rPr>
                <w:rFonts w:ascii="Arial" w:cs="Arial" w:eastAsia="Arial" w:hAnsi="Arial"/>
                <w:sz w:val="22"/>
                <w:szCs w:val="22"/>
                <w:color w:val="auto"/>
              </w:rPr>
              <w:t>Address of Principal Business Office:</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c/o Lilly Corporate Center</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Indianapolis, Indiana 46285</w:t>
            </w:r>
          </w:p>
        </w:tc>
      </w:tr>
      <w:tr>
        <w:trPr>
          <w:trHeight w:val="567"/>
        </w:trPr>
        <w:tc>
          <w:tcPr>
            <w:tcW w:w="11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22"/>
                <w:szCs w:val="22"/>
                <w:color w:val="auto"/>
              </w:rPr>
              <w:t>(c)</w:t>
            </w:r>
          </w:p>
        </w:tc>
        <w:tc>
          <w:tcPr>
            <w:tcW w:w="8120" w:type="dxa"/>
            <w:vAlign w:val="bottom"/>
          </w:tcPr>
          <w:p>
            <w:pPr>
              <w:ind w:left="180"/>
              <w:spacing w:after="0"/>
              <w:rPr>
                <w:sz w:val="20"/>
                <w:szCs w:val="20"/>
                <w:color w:val="auto"/>
              </w:rPr>
            </w:pPr>
            <w:r>
              <w:rPr>
                <w:rFonts w:ascii="Arial" w:cs="Arial" w:eastAsia="Arial" w:hAnsi="Arial"/>
                <w:sz w:val="22"/>
                <w:szCs w:val="22"/>
                <w:color w:val="auto"/>
              </w:rPr>
              <w:t>Citizenship:</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Indiana corporation</w:t>
            </w:r>
          </w:p>
        </w:tc>
      </w:tr>
      <w:tr>
        <w:trPr>
          <w:trHeight w:val="567"/>
        </w:trPr>
        <w:tc>
          <w:tcPr>
            <w:tcW w:w="1100" w:type="dxa"/>
            <w:vAlign w:val="bottom"/>
          </w:tcPr>
          <w:p>
            <w:pPr>
              <w:spacing w:after="0"/>
              <w:rPr>
                <w:sz w:val="24"/>
                <w:szCs w:val="24"/>
                <w:color w:val="auto"/>
              </w:rPr>
            </w:pPr>
          </w:p>
        </w:tc>
        <w:tc>
          <w:tcPr>
            <w:tcW w:w="1000" w:type="dxa"/>
            <w:vAlign w:val="bottom"/>
          </w:tcPr>
          <w:p>
            <w:pPr>
              <w:ind w:left="560"/>
              <w:spacing w:after="0"/>
              <w:rPr>
                <w:sz w:val="20"/>
                <w:szCs w:val="20"/>
                <w:color w:val="auto"/>
              </w:rPr>
            </w:pPr>
            <w:r>
              <w:rPr>
                <w:rFonts w:ascii="Arial" w:cs="Arial" w:eastAsia="Arial" w:hAnsi="Arial"/>
                <w:sz w:val="22"/>
                <w:szCs w:val="22"/>
                <w:color w:val="auto"/>
              </w:rPr>
              <w:t>(d)</w:t>
            </w:r>
          </w:p>
        </w:tc>
        <w:tc>
          <w:tcPr>
            <w:tcW w:w="8120" w:type="dxa"/>
            <w:vAlign w:val="bottom"/>
          </w:tcPr>
          <w:p>
            <w:pPr>
              <w:ind w:left="180"/>
              <w:spacing w:after="0"/>
              <w:rPr>
                <w:sz w:val="20"/>
                <w:szCs w:val="20"/>
                <w:color w:val="auto"/>
              </w:rPr>
            </w:pPr>
            <w:r>
              <w:rPr>
                <w:rFonts w:ascii="Arial" w:cs="Arial" w:eastAsia="Arial" w:hAnsi="Arial"/>
                <w:sz w:val="22"/>
                <w:szCs w:val="22"/>
                <w:color w:val="auto"/>
              </w:rPr>
              <w:t>Title of Class of Securities:</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Common Stock, par value CHF 0.02 per share</w:t>
            </w:r>
          </w:p>
        </w:tc>
      </w:tr>
      <w:tr>
        <w:trPr>
          <w:trHeight w:val="567"/>
        </w:trPr>
        <w:tc>
          <w:tcPr>
            <w:tcW w:w="1100" w:type="dxa"/>
            <w:vAlign w:val="bottom"/>
          </w:tcPr>
          <w:p>
            <w:pPr>
              <w:spacing w:after="0"/>
              <w:rPr>
                <w:sz w:val="24"/>
                <w:szCs w:val="24"/>
                <w:color w:val="auto"/>
              </w:rPr>
            </w:pPr>
          </w:p>
        </w:tc>
        <w:tc>
          <w:tcPr>
            <w:tcW w:w="1000" w:type="dxa"/>
            <w:vAlign w:val="bottom"/>
          </w:tcPr>
          <w:p>
            <w:pPr>
              <w:ind w:left="580"/>
              <w:spacing w:after="0"/>
              <w:rPr>
                <w:sz w:val="20"/>
                <w:szCs w:val="20"/>
                <w:color w:val="auto"/>
              </w:rPr>
            </w:pPr>
            <w:r>
              <w:rPr>
                <w:rFonts w:ascii="Arial" w:cs="Arial" w:eastAsia="Arial" w:hAnsi="Arial"/>
                <w:sz w:val="22"/>
                <w:szCs w:val="22"/>
                <w:color w:val="auto"/>
              </w:rPr>
              <w:t>(e)</w:t>
            </w:r>
          </w:p>
        </w:tc>
        <w:tc>
          <w:tcPr>
            <w:tcW w:w="8120" w:type="dxa"/>
            <w:vAlign w:val="bottom"/>
          </w:tcPr>
          <w:p>
            <w:pPr>
              <w:ind w:left="180"/>
              <w:spacing w:after="0"/>
              <w:rPr>
                <w:sz w:val="20"/>
                <w:szCs w:val="20"/>
                <w:color w:val="auto"/>
              </w:rPr>
            </w:pPr>
            <w:r>
              <w:rPr>
                <w:rFonts w:ascii="Arial" w:cs="Arial" w:eastAsia="Arial" w:hAnsi="Arial"/>
                <w:sz w:val="22"/>
                <w:szCs w:val="22"/>
                <w:color w:val="auto"/>
              </w:rPr>
              <w:t>CUSIP Number:</w:t>
            </w:r>
          </w:p>
        </w:tc>
      </w:tr>
      <w:tr>
        <w:trPr>
          <w:trHeight w:val="297"/>
        </w:trPr>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120" w:type="dxa"/>
            <w:vAlign w:val="bottom"/>
          </w:tcPr>
          <w:p>
            <w:pPr>
              <w:ind w:left="180"/>
              <w:spacing w:after="0"/>
              <w:rPr>
                <w:sz w:val="20"/>
                <w:szCs w:val="20"/>
                <w:color w:val="auto"/>
              </w:rPr>
            </w:pPr>
            <w:r>
              <w:rPr>
                <w:rFonts w:ascii="Arial" w:cs="Arial" w:eastAsia="Arial" w:hAnsi="Arial"/>
                <w:sz w:val="22"/>
                <w:szCs w:val="22"/>
                <w:color w:val="auto"/>
              </w:rPr>
              <w:t>H00263105</w:t>
            </w:r>
          </w:p>
        </w:tc>
      </w:tr>
      <w:tr>
        <w:trPr>
          <w:trHeight w:val="530"/>
        </w:trPr>
        <w:tc>
          <w:tcPr>
            <w:tcW w:w="1100" w:type="dxa"/>
            <w:vAlign w:val="bottom"/>
          </w:tcPr>
          <w:p>
            <w:pPr>
              <w:spacing w:after="0"/>
              <w:rPr>
                <w:sz w:val="20"/>
                <w:szCs w:val="20"/>
                <w:color w:val="auto"/>
              </w:rPr>
            </w:pPr>
            <w:r>
              <w:rPr>
                <w:rFonts w:ascii="Arial" w:cs="Arial" w:eastAsia="Arial" w:hAnsi="Arial"/>
                <w:sz w:val="22"/>
                <w:szCs w:val="22"/>
                <w:b w:val="1"/>
                <w:bCs w:val="1"/>
                <w:color w:val="auto"/>
              </w:rPr>
              <w:t>Item 3.</w:t>
            </w:r>
          </w:p>
        </w:tc>
        <w:tc>
          <w:tcPr>
            <w:tcW w:w="9120" w:type="dxa"/>
            <w:vAlign w:val="bottom"/>
            <w:gridSpan w:val="2"/>
          </w:tcPr>
          <w:p>
            <w:pPr>
              <w:ind w:left="480"/>
              <w:spacing w:after="0"/>
              <w:rPr>
                <w:sz w:val="20"/>
                <w:szCs w:val="20"/>
                <w:color w:val="auto"/>
              </w:rPr>
            </w:pPr>
            <w:r>
              <w:rPr>
                <w:rFonts w:ascii="Arial" w:cs="Arial" w:eastAsia="Arial" w:hAnsi="Arial"/>
                <w:sz w:val="22"/>
                <w:szCs w:val="22"/>
                <w:b w:val="1"/>
                <w:bCs w:val="1"/>
                <w:color w:val="auto"/>
                <w:w w:val="88"/>
              </w:rPr>
              <w:t>If this statement is filed pursuant to § 240.13d-1(b) or § 240.13d-2(b) or (c), check whether the</w:t>
            </w:r>
          </w:p>
        </w:tc>
      </w:tr>
      <w:tr>
        <w:trPr>
          <w:trHeight w:val="280"/>
        </w:trPr>
        <w:tc>
          <w:tcPr>
            <w:tcW w:w="1100" w:type="dxa"/>
            <w:vAlign w:val="bottom"/>
          </w:tcPr>
          <w:p>
            <w:pPr>
              <w:spacing w:after="0"/>
              <w:rPr>
                <w:sz w:val="24"/>
                <w:szCs w:val="24"/>
                <w:color w:val="auto"/>
              </w:rPr>
            </w:pPr>
          </w:p>
        </w:tc>
        <w:tc>
          <w:tcPr>
            <w:tcW w:w="9120" w:type="dxa"/>
            <w:vAlign w:val="bottom"/>
            <w:gridSpan w:val="2"/>
          </w:tcPr>
          <w:p>
            <w:pPr>
              <w:ind w:left="480"/>
              <w:spacing w:after="0"/>
              <w:rPr>
                <w:sz w:val="20"/>
                <w:szCs w:val="20"/>
                <w:color w:val="auto"/>
              </w:rPr>
            </w:pPr>
            <w:r>
              <w:rPr>
                <w:rFonts w:ascii="Arial" w:cs="Arial" w:eastAsia="Arial" w:hAnsi="Arial"/>
                <w:sz w:val="22"/>
                <w:szCs w:val="22"/>
                <w:b w:val="1"/>
                <w:bCs w:val="1"/>
                <w:color w:val="auto"/>
              </w:rPr>
              <w:t>person filing is a:</w:t>
            </w:r>
          </w:p>
        </w:tc>
      </w:tr>
      <w:tr>
        <w:trPr>
          <w:trHeight w:val="297"/>
        </w:trPr>
        <w:tc>
          <w:tcPr>
            <w:tcW w:w="1100" w:type="dxa"/>
            <w:vAlign w:val="bottom"/>
          </w:tcPr>
          <w:p>
            <w:pPr>
              <w:spacing w:after="0"/>
              <w:rPr>
                <w:sz w:val="24"/>
                <w:szCs w:val="24"/>
                <w:color w:val="auto"/>
              </w:rPr>
            </w:pPr>
          </w:p>
        </w:tc>
        <w:tc>
          <w:tcPr>
            <w:tcW w:w="9120" w:type="dxa"/>
            <w:vAlign w:val="bottom"/>
            <w:gridSpan w:val="2"/>
          </w:tcPr>
          <w:p>
            <w:pPr>
              <w:ind w:left="480"/>
              <w:spacing w:after="0"/>
              <w:rPr>
                <w:sz w:val="20"/>
                <w:szCs w:val="20"/>
                <w:color w:val="auto"/>
              </w:rPr>
            </w:pPr>
            <w:r>
              <w:rPr>
                <w:rFonts w:ascii="Arial" w:cs="Arial" w:eastAsia="Arial" w:hAnsi="Arial"/>
                <w:sz w:val="22"/>
                <w:szCs w:val="22"/>
                <w:color w:val="auto"/>
              </w:rPr>
              <w:t>Not applicable.</w:t>
            </w:r>
          </w:p>
        </w:tc>
      </w:tr>
      <w:tr>
        <w:trPr>
          <w:trHeight w:val="324"/>
        </w:trPr>
        <w:tc>
          <w:tcPr>
            <w:tcW w:w="110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9120" w:type="dxa"/>
            <w:vAlign w:val="bottom"/>
            <w:gridSpan w:val="2"/>
          </w:tcPr>
          <w:p>
            <w:pPr>
              <w:ind w:left="460"/>
              <w:spacing w:after="0"/>
              <w:rPr>
                <w:sz w:val="20"/>
                <w:szCs w:val="20"/>
                <w:color w:val="auto"/>
              </w:rPr>
            </w:pPr>
            <w:r>
              <w:rPr>
                <w:rFonts w:ascii="Arial" w:cs="Arial" w:eastAsia="Arial" w:hAnsi="Arial"/>
                <w:sz w:val="22"/>
                <w:szCs w:val="22"/>
                <w:b w:val="1"/>
                <w:bCs w:val="1"/>
                <w:color w:val="auto"/>
              </w:rPr>
              <w:t>Ownership.</w:t>
            </w:r>
          </w:p>
        </w:tc>
      </w:tr>
    </w:tbl>
    <w:p>
      <w:pPr>
        <w:spacing w:after="0" w:line="26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All ownership information is as of December 31,</w:t>
      </w:r>
    </w:p>
    <w:p>
      <w:pPr>
        <w:ind w:left="1300"/>
        <w:spacing w:after="0"/>
        <w:rPr>
          <w:sz w:val="20"/>
          <w:szCs w:val="20"/>
          <w:color w:val="auto"/>
        </w:rPr>
      </w:pPr>
      <w:r>
        <w:rPr>
          <w:rFonts w:ascii="Arial" w:cs="Arial" w:eastAsia="Arial" w:hAnsi="Arial"/>
          <w:sz w:val="22"/>
          <w:szCs w:val="22"/>
          <w:color w:val="auto"/>
        </w:rPr>
        <w:t>2020.</w:t>
      </w:r>
    </w:p>
    <w:p>
      <w:pPr>
        <w:spacing w:after="0" w:line="134" w:lineRule="exact"/>
        <w:rPr>
          <w:sz w:val="20"/>
          <w:szCs w:val="20"/>
          <w:color w:val="auto"/>
        </w:rPr>
      </w:pPr>
    </w:p>
    <w:p>
      <w:pPr>
        <w:ind w:left="2280" w:hanging="606"/>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Amount Beneficially Owned: See Item 9 of Cover Sheet.</w:t>
      </w:r>
    </w:p>
    <w:p>
      <w:pPr>
        <w:spacing w:after="0" w:line="71" w:lineRule="exact"/>
        <w:rPr>
          <w:rFonts w:ascii="Arial" w:cs="Arial" w:eastAsia="Arial" w:hAnsi="Arial"/>
          <w:sz w:val="22"/>
          <w:szCs w:val="22"/>
          <w:color w:val="auto"/>
        </w:rPr>
      </w:pPr>
    </w:p>
    <w:p>
      <w:pPr>
        <w:ind w:left="2280" w:hanging="618"/>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 See Item 11 of Cover Sheet.</w:t>
      </w:r>
    </w:p>
    <w:p>
      <w:pPr>
        <w:spacing w:after="0" w:line="71" w:lineRule="exact"/>
        <w:rPr>
          <w:rFonts w:ascii="Arial" w:cs="Arial" w:eastAsia="Arial" w:hAnsi="Arial"/>
          <w:sz w:val="22"/>
          <w:szCs w:val="22"/>
          <w:color w:val="auto"/>
        </w:rPr>
      </w:pPr>
    </w:p>
    <w:p>
      <w:pPr>
        <w:ind w:left="2280" w:hanging="606"/>
        <w:spacing w:after="0"/>
        <w:tabs>
          <w:tab w:leader="none" w:pos="228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71" w:lineRule="exact"/>
        <w:rPr>
          <w:rFonts w:ascii="Arial" w:cs="Arial" w:eastAsia="Arial" w:hAnsi="Arial"/>
          <w:sz w:val="22"/>
          <w:szCs w:val="22"/>
          <w:color w:val="auto"/>
        </w:rPr>
      </w:pPr>
    </w:p>
    <w:p>
      <w:pPr>
        <w:ind w:left="3080" w:hanging="641"/>
        <w:spacing w:after="0"/>
        <w:tabs>
          <w:tab w:leader="none" w:pos="308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of to direct the vote: See Item 5 of Cover Sheet.</w:t>
      </w:r>
    </w:p>
    <w:p>
      <w:pPr>
        <w:spacing w:after="0" w:line="71" w:lineRule="exact"/>
        <w:rPr>
          <w:rFonts w:ascii="Arial" w:cs="Arial" w:eastAsia="Arial" w:hAnsi="Arial"/>
          <w:sz w:val="22"/>
          <w:szCs w:val="22"/>
          <w:color w:val="auto"/>
        </w:rPr>
      </w:pPr>
    </w:p>
    <w:p>
      <w:pPr>
        <w:ind w:left="3080" w:hanging="633"/>
        <w:spacing w:after="0"/>
        <w:tabs>
          <w:tab w:leader="none" w:pos="308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 See Item 6 of Cover Sheet.</w:t>
      </w:r>
    </w:p>
    <w:p>
      <w:pPr>
        <w:spacing w:after="0" w:line="71" w:lineRule="exact"/>
        <w:rPr>
          <w:rFonts w:ascii="Arial" w:cs="Arial" w:eastAsia="Arial" w:hAnsi="Arial"/>
          <w:sz w:val="22"/>
          <w:szCs w:val="22"/>
          <w:color w:val="auto"/>
        </w:rPr>
      </w:pPr>
    </w:p>
    <w:p>
      <w:pPr>
        <w:ind w:left="3080" w:hanging="612"/>
        <w:spacing w:after="0"/>
        <w:tabs>
          <w:tab w:leader="none" w:pos="3080" w:val="left"/>
        </w:tabs>
        <w:numPr>
          <w:ilvl w:val="3"/>
          <w:numId w:val="6"/>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See Item 7 of Cover Sheet.</w:t>
      </w:r>
    </w:p>
    <w:p>
      <w:pPr>
        <w:spacing w:after="0" w:line="105" w:lineRule="exact"/>
        <w:rPr>
          <w:rFonts w:ascii="Arial" w:cs="Arial" w:eastAsia="Arial" w:hAnsi="Arial"/>
          <w:sz w:val="19"/>
          <w:szCs w:val="19"/>
          <w:color w:val="auto"/>
        </w:rPr>
      </w:pPr>
    </w:p>
    <w:p>
      <w:pPr>
        <w:ind w:left="3040" w:hanging="587"/>
        <w:spacing w:after="0"/>
        <w:tabs>
          <w:tab w:leader="none" w:pos="3040" w:val="left"/>
        </w:tabs>
        <w:numPr>
          <w:ilvl w:val="2"/>
          <w:numId w:val="6"/>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See Item 8 of Cover Sheet.</w:t>
      </w:r>
    </w:p>
    <w:p>
      <w:pPr>
        <w:spacing w:after="0" w:line="343" w:lineRule="exact"/>
        <w:rPr>
          <w:sz w:val="20"/>
          <w:szCs w:val="20"/>
          <w:color w:val="auto"/>
        </w:rPr>
      </w:pPr>
    </w:p>
    <w:p>
      <w:pPr>
        <w:spacing w:after="0"/>
        <w:tabs>
          <w:tab w:leader="none" w:pos="15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50"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0220"/>
          </w:cols>
          <w:pgMar w:left="340" w:top="1179" w:right="1339" w:bottom="1440" w:gutter="0" w:footer="0" w:header="0"/>
        </w:sectPr>
      </w:pPr>
    </w:p>
    <w:bookmarkStart w:id="3" w:name="page4"/>
    <w:bookmarkEnd w:id="3"/>
    <w:p>
      <w:pPr>
        <w:ind w:left="20"/>
        <w:spacing w:after="0"/>
        <w:tabs>
          <w:tab w:leader="none" w:pos="158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1600" w:right="520" w:hanging="1565"/>
        <w:spacing w:after="0" w:line="256" w:lineRule="auto"/>
        <w:tabs>
          <w:tab w:leader="none" w:pos="158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6"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 of the Group</w:t>
      </w:r>
    </w:p>
    <w:p>
      <w:pPr>
        <w:spacing w:after="0" w:line="50" w:lineRule="exact"/>
        <w:rPr>
          <w:sz w:val="20"/>
          <w:szCs w:val="20"/>
          <w:color w:val="auto"/>
        </w:rPr>
      </w:pPr>
    </w:p>
    <w:p>
      <w:pPr>
        <w:jc w:val="center"/>
        <w:ind w:right="666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50"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Not Applicable.</w:t>
      </w:r>
    </w:p>
    <w:p>
      <w:pPr>
        <w:spacing w:after="0" w:line="308" w:lineRule="exact"/>
        <w:rPr>
          <w:sz w:val="20"/>
          <w:szCs w:val="20"/>
          <w:color w:val="auto"/>
        </w:rPr>
      </w:pPr>
    </w:p>
    <w:p>
      <w:pPr>
        <w:ind w:left="20"/>
        <w:spacing w:after="0"/>
        <w:tabs>
          <w:tab w:leader="none" w:pos="15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23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220"/>
          </w:cols>
          <w:pgMar w:left="320" w:top="1179"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600" w:firstLine="81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20"/>
        <w:spacing w:after="0"/>
        <w:tabs>
          <w:tab w:leader="none" w:pos="6860" w:val="left"/>
          <w:tab w:leader="none" w:pos="7520" w:val="left"/>
        </w:tabs>
        <w:rPr>
          <w:sz w:val="20"/>
          <w:szCs w:val="20"/>
          <w:color w:val="auto"/>
        </w:rPr>
      </w:pPr>
      <w:r>
        <w:rPr>
          <w:rFonts w:ascii="Arial" w:cs="Arial" w:eastAsia="Arial" w:hAnsi="Arial"/>
          <w:sz w:val="22"/>
          <w:szCs w:val="22"/>
          <w:color w:val="auto"/>
        </w:rPr>
        <w:t>Dated: February 12, 2021</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24130</wp:posOffset>
            </wp:positionV>
            <wp:extent cx="23660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8" w:lineRule="exact"/>
        <w:rPr>
          <w:sz w:val="20"/>
          <w:szCs w:val="20"/>
          <w:color w:val="auto"/>
        </w:rPr>
      </w:pPr>
    </w:p>
    <w:p>
      <w:pPr>
        <w:ind w:left="754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20059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left="20"/>
        <w:spacing w:after="0"/>
        <w:tabs>
          <w:tab w:leader="none" w:pos="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Erin Conway</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Attorney-in-Fact</w:t>
      </w:r>
    </w:p>
    <w:p>
      <w:pPr>
        <w:spacing w:after="0" w:line="3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Schedule 13G was executed pursuant to a power of attorney previously filed with the Securities and Exchange Commission, and hereby incorporated by reference herein. The power of attorney was filed as an attachment to a filing by Eli Lilly and Company on Schedule 13G for Sigilon Therapeutics, Inc. on February 12, 2021.</w:t>
      </w:r>
    </w:p>
    <w:sectPr>
      <w:pgSz w:w="11900" w:h="16838" w:orient="portrait"/>
      <w:cols w:equalWidth="0" w:num="1">
        <w:col w:w="11240"/>
      </w:cols>
      <w:pgMar w:left="320" w:top="13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lvl w:ilvl="1">
      <w:lvlJc w:val="left"/>
      <w:lvlText w:val="(%2)"/>
      <w:numFmt w:val="low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decimal"/>
      <w:start w:val="7"/>
    </w:lvl>
  </w:abstractNum>
  <w:abstractNum w:abstractNumId="3">
    <w:nsid w:val="46E87C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4">
    <w:nsid w:val="3D1B58B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5">
    <w:nsid w:val="507ED7AB"/>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2021-02-12T15:56:16Z</dcterms:created>
  <dcterms:modified xsi:type="dcterms:W3CDTF">2021-02-12T15:56:16Z</dcterms:modified>
</cp:coreProperties>
</file>