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746125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317500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368935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on Form 6-K (excluding Exhibit 99.3 herewith)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842010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4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Financial Statements (Unaudited) (IFRS) as of and for the three and six months ended June</w:t>
            </w:r>
          </w:p>
        </w:tc>
      </w:tr>
      <w:tr>
        <w:trPr>
          <w:trHeight w:val="183"/>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8"/>
              </w:rPr>
              <w:t>30, 2025</w:t>
            </w:r>
          </w:p>
        </w:tc>
        <w:tc>
          <w:tcPr>
            <w:tcW w:w="1940" w:type="dxa"/>
            <w:vAlign w:val="bottom"/>
            <w:tcBorders>
              <w:top w:val="single" w:sz="8" w:color="0000EE"/>
            </w:tcBorders>
          </w:tcPr>
          <w:p>
            <w:pPr>
              <w:spacing w:after="0"/>
              <w:rPr>
                <w:sz w:val="15"/>
                <w:szCs w:val="15"/>
                <w:color w:val="auto"/>
              </w:rPr>
            </w:pPr>
          </w:p>
        </w:tc>
        <w:tc>
          <w:tcPr>
            <w:tcW w:w="388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5, 2025</w:t>
            </w:r>
          </w:p>
        </w:tc>
        <w:tc>
          <w:tcPr>
            <w:tcW w:w="2540" w:type="dxa"/>
            <w:vAlign w:val="bottom"/>
            <w:gridSpan w:val="2"/>
          </w:tcPr>
          <w:p>
            <w:pPr>
              <w:spacing w:after="0"/>
              <w:rPr>
                <w:sz w:val="17"/>
                <w:szCs w:val="17"/>
                <w:color w:val="auto"/>
              </w:rPr>
            </w:pPr>
          </w:p>
        </w:tc>
      </w:tr>
      <w:tr>
        <w:trPr>
          <w:trHeight w:val="100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131,808</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190,224</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479,680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(406,959)</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0" w:type="dxa"/>
            <w:vAlign w:val="bottom"/>
          </w:tcPr>
          <w:p>
            <w:pPr>
              <w:spacing w:after="0"/>
              <w:rPr>
                <w:sz w:val="1"/>
                <w:szCs w:val="1"/>
                <w:color w:val="auto"/>
              </w:rPr>
            </w:pPr>
          </w:p>
        </w:tc>
      </w:tr>
      <w:tr>
        <w:trPr>
          <w:trHeight w:val="24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98,969</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115,481</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190,224</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17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6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15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660" w:type="dxa"/>
            <w:vAlign w:val="bottom"/>
            <w:tcBorders>
              <w:top w:val="single" w:sz="8" w:color="auto"/>
            </w:tcBorders>
            <w:gridSpan w:val="2"/>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4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(19,388)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(20,961)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(38,759)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(41,029)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for the period attributable to</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24"/>
                <w:szCs w:val="24"/>
                <w:color w:val="auto"/>
              </w:rPr>
            </w:pPr>
          </w:p>
        </w:tc>
        <w:tc>
          <w:tcPr>
            <w:tcW w:w="17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15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5"/>
                <w:szCs w:val="15"/>
                <w:color w:val="auto"/>
              </w:rPr>
            </w:pPr>
          </w:p>
        </w:tc>
        <w:tc>
          <w:tcPr>
            <w:tcW w:w="1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be reclassified to income or loss in subsequent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periods (net of tax):</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(21,185)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(22,760)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(40,209)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gridSpan w:val="4"/>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60" w:type="dxa"/>
            <w:vAlign w:val="bottom"/>
            <w:gridSpan w:val="5"/>
            <w:vMerge w:val="continue"/>
          </w:tcPr>
          <w:p>
            <w:pPr>
              <w:spacing w:after="0"/>
              <w:rPr>
                <w:sz w:val="15"/>
                <w:szCs w:val="15"/>
                <w:color w:val="auto"/>
              </w:rPr>
            </w:pPr>
          </w:p>
        </w:tc>
        <w:tc>
          <w:tcPr>
            <w:tcW w:w="6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(316,197)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(40,622)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underwriting fees and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be held as treasury shares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share awards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options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476,074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(354,608)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24"/>
                <w:szCs w:val="24"/>
                <w:color w:val="auto"/>
              </w:rPr>
            </w:pPr>
          </w:p>
        </w:tc>
        <w:tc>
          <w:tcPr>
            <w:tcW w:w="5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24"/>
                <w:szCs w:val="24"/>
                <w:color w:val="auto"/>
              </w:rPr>
            </w:pPr>
          </w:p>
        </w:tc>
        <w:tc>
          <w:tcPr>
            <w:tcW w:w="8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60" w:type="dxa"/>
            <w:vAlign w:val="bottom"/>
            <w:gridSpan w:val="4"/>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60" w:type="dxa"/>
            <w:vAlign w:val="bottom"/>
            <w:gridSpan w:val="5"/>
            <w:vMerge w:val="continue"/>
          </w:tcPr>
          <w:p>
            <w:pPr>
              <w:spacing w:after="0"/>
              <w:rPr>
                <w:sz w:val="15"/>
                <w:szCs w:val="15"/>
                <w:color w:val="auto"/>
              </w:rPr>
            </w:pPr>
          </w:p>
        </w:tc>
        <w:tc>
          <w:tcPr>
            <w:tcW w:w="6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8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share awards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options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(406,959)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for the period to net cash flows: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(income), net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net employee defined benefit liability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(Gain)/loss on sale of fixed assets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prepaid expenses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accrued income</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accounts receivable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other current receivables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accrued expenses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short-term</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deferred income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trade and other payables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long-term</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provided by/(used in) operating activities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(35,560)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73,370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Finance expenses paid</w:t>
            </w: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operating activities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(34,414)</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74,051</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(Deposits)/maturities of short-term financial assets, net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investing activities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26,911</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(99,377)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from sale of treasury shares in public offerings, net of underwriting fees and transaction</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 equity plan, net of transaction costs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 option plan, net of transaction costs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and stamp duty associated with the public offerings of common shares previously</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recorded in Accrued 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previously recorded</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Accrued expenses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lease obligations</w:t>
            </w:r>
          </w:p>
        </w:tc>
        <w:tc>
          <w:tcPr>
            <w:tcW w:w="66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(used in) financing activities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(8,008)</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January 1</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gain/(loss) on cash and cash equivalents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June 30</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25,722</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51,564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(8,008)</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activity</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recorded in Accrued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in Trade and other payables or Accrued expenses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right="879" w:firstLine="324"/>
        <w:spacing w:after="0" w:line="261"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 Interim Condensed Consolidated Financial Statements of AC Immune SA as of and for the three and six months ended June 30, 2025 were authorized for issuance by the Company’s Audit and Finance Committee on August 4, 2025.</w:t>
      </w:r>
    </w:p>
    <w:p>
      <w:pPr>
        <w:spacing w:after="0" w:line="136"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459" w:firstLine="324"/>
        <w:spacing w:after="0" w:line="276" w:lineRule="auto"/>
        <w:rPr>
          <w:sz w:val="20"/>
          <w:szCs w:val="20"/>
          <w:color w:val="auto"/>
        </w:rPr>
      </w:pPr>
      <w:r>
        <w:rPr>
          <w:rFonts w:ascii="Times New Roman" w:cs="Times New Roman" w:eastAsia="Times New Roman" w:hAnsi="Times New Roman"/>
          <w:sz w:val="17"/>
          <w:szCs w:val="17"/>
          <w:color w:val="auto"/>
        </w:rPr>
        <w:t>These Interim Condensed Consolidated Financial Statements as of June 30, 2025 and for the three and six months ended June 30, 2025 and 2024, have been prepared in accordance with International Accounting Standard 34 (IAS</w:t>
      </w:r>
    </w:p>
    <w:p>
      <w:pPr>
        <w:spacing w:after="0" w:line="1"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2024.</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2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6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860" w:type="dxa"/>
            <w:vAlign w:val="bottom"/>
          </w:tcPr>
          <w:p>
            <w:pPr>
              <w:jc w:val="right"/>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CHF/USD</w:t>
            </w:r>
          </w:p>
        </w:tc>
        <w:tc>
          <w:tcPr>
            <w:tcW w:w="1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2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0.807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0.909</w:t>
            </w:r>
          </w:p>
        </w:tc>
        <w:tc>
          <w:tcPr>
            <w:tcW w:w="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0.807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0.909</w:t>
            </w:r>
          </w:p>
        </w:tc>
        <w:tc>
          <w:tcPr>
            <w:tcW w:w="1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0.912</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exchange rate, USD 1</w:t>
            </w:r>
          </w:p>
        </w:tc>
        <w:tc>
          <w:tcPr>
            <w:tcW w:w="2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0.873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0.889</w:t>
            </w:r>
          </w:p>
        </w:tc>
      </w:tr>
      <w:tr>
        <w:trPr>
          <w:trHeight w:val="64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not yet effective,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2024.</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April 2024, the IASB issued IFRS 18 Presentation and Disclosure in Financial Statements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This new standard will be effective for annual reporting periods beginning on January 1, 2027 and will require retroactive adoption. The Company is currently evaluating the new standard to determine how it will impact the presentation and disclosure in its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6-K, after considering the Company’s cash position of CHF 25.7 million and short-term financial assets of CHF 101.4 million as of June 30, 2025. Hence, these unaudited Interim Condensed Consolidated Financial Statements have been prepared on a going-concern basis.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 and other operating income</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AC Immune generated CHF 1.3 million and CHF 2.3 million in contract revenue compared with CHF 0.7 million in each of the prior comparable periods.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209"/>
        </w:trPr>
        <w:tc>
          <w:tcPr>
            <w:tcW w:w="724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7240" w:type="dxa"/>
            <w:vAlign w:val="bottom"/>
            <w:gridSpan w:val="2"/>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7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2024, please refer to Note 14.1 “Licensing and Collaboration agreements” of our Annual Report on Form 20-F for the year ended December 31, 2024 filed on March 13,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Takeda Pharmaceuticals, USA, Inc.</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spacing w:after="0" w:line="18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9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ind w:left="60" w:right="119"/>
        <w:spacing w:after="0" w:line="254" w:lineRule="auto"/>
        <w:rPr>
          <w:sz w:val="20"/>
          <w:szCs w:val="20"/>
          <w:color w:val="auto"/>
        </w:rPr>
      </w:pPr>
      <w:r>
        <w:rPr>
          <w:rFonts w:ascii="Times New Roman" w:cs="Times New Roman" w:eastAsia="Times New Roman" w:hAnsi="Times New Roman"/>
          <w:sz w:val="18"/>
          <w:szCs w:val="18"/>
          <w:color w:val="auto"/>
        </w:rPr>
        <w:t>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8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9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contract revenue of CHF 1.3 million and CHF 2.3 million, respectively, reflecting its efforts under this agreement. As of June 30, 2025, the Company recorded CHF 87.3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6780" w:type="dxa"/>
            <w:vAlign w:val="bottom"/>
            <w:gridSpan w:val="4"/>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6780" w:type="dxa"/>
            <w:vAlign w:val="bottom"/>
            <w:gridSpan w:val="4"/>
            <w:vMerge w:val="continue"/>
          </w:tcPr>
          <w:p>
            <w:pPr>
              <w:spacing w:after="0"/>
              <w:rPr>
                <w:sz w:val="12"/>
                <w:szCs w:val="12"/>
                <w:color w:val="auto"/>
              </w:rPr>
            </w:pPr>
          </w:p>
        </w:tc>
        <w:tc>
          <w:tcPr>
            <w:tcW w:w="10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0" w:type="dxa"/>
            <w:vAlign w:val="bottom"/>
          </w:tcPr>
          <w:p>
            <w:pPr>
              <w:spacing w:after="0"/>
              <w:rPr>
                <w:sz w:val="1"/>
                <w:szCs w:val="1"/>
                <w:color w:val="auto"/>
              </w:rPr>
            </w:pPr>
          </w:p>
        </w:tc>
      </w:tr>
      <w:tr>
        <w:trPr>
          <w:trHeight w:val="21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100,631,371</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99,549,910</w:t>
            </w:r>
          </w:p>
        </w:tc>
        <w:tc>
          <w:tcPr>
            <w:tcW w:w="0" w:type="dxa"/>
            <w:vAlign w:val="bottom"/>
          </w:tcPr>
          <w:p>
            <w:pPr>
              <w:spacing w:after="0"/>
              <w:rPr>
                <w:sz w:val="1"/>
                <w:szCs w:val="1"/>
                <w:color w:val="auto"/>
              </w:rPr>
            </w:pPr>
          </w:p>
        </w:tc>
      </w:tr>
      <w:tr>
        <w:trPr>
          <w:trHeight w:val="209"/>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96"/>
        </w:trPr>
        <w:tc>
          <w:tcPr>
            <w:tcW w:w="6780" w:type="dxa"/>
            <w:vAlign w:val="bottom"/>
            <w:gridSpan w:val="4"/>
          </w:tcPr>
          <w:p>
            <w:pPr>
              <w:ind w:left="160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21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100,519,884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99,467,690</w:t>
            </w:r>
          </w:p>
        </w:tc>
        <w:tc>
          <w:tcPr>
            <w:tcW w:w="0" w:type="dxa"/>
            <w:vAlign w:val="bottom"/>
          </w:tcPr>
          <w:p>
            <w:pPr>
              <w:spacing w:after="0"/>
              <w:rPr>
                <w:sz w:val="1"/>
                <w:szCs w:val="1"/>
                <w:color w:val="auto"/>
              </w:rPr>
            </w:pPr>
          </w:p>
        </w:tc>
      </w:tr>
      <w:tr>
        <w:trPr>
          <w:trHeight w:val="21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In periods for which AC Immune has a loss, basic net loss per share is the same as diluted net loss per share. The Company has excluded from the calculation of diluted loss per share all potentially dilutive in-the-money share options. See “Note 12. Share-based compensation” for the potentially dilutive equity awards.</w:t>
      </w:r>
    </w:p>
    <w:p>
      <w:pPr>
        <w:spacing w:after="0" w:line="38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six months ended June 30, 2025:</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7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60" w:type="dxa"/>
            <w:vAlign w:val="bottom"/>
          </w:tcPr>
          <w:p>
            <w:pPr>
              <w:spacing w:after="0"/>
              <w:rPr>
                <w:sz w:val="10"/>
                <w:szCs w:val="10"/>
                <w:color w:val="auto"/>
              </w:rPr>
            </w:pPr>
          </w:p>
        </w:tc>
        <w:tc>
          <w:tcPr>
            <w:tcW w:w="6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90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Assets under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accumulated depreciation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3" w:name="page14"/>
    <w:bookmarkEnd w:id="13"/>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recognized no additions for its right-of-use of leased assets for the six months ended June 30, 2025.</w:t>
      </w:r>
    </w:p>
    <w:p>
      <w:pPr>
        <w:spacing w:after="0" w:line="225"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3.3% for office equipment and 7.2% for IT equipment, respectively.</w:t>
      </w:r>
    </w:p>
    <w:p>
      <w:pPr>
        <w:spacing w:after="0" w:line="1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six months ended June 30,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162"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impact on the Company’s condensed consolidated statements of income/(loss) and the condensed consolidated statements of cash flows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2840" w:type="dxa"/>
            <w:vAlign w:val="bottom"/>
            <w:gridSpan w:val="2"/>
          </w:tcPr>
          <w:p>
            <w:pPr>
              <w:spacing w:after="0"/>
              <w:rPr>
                <w:sz w:val="12"/>
                <w:szCs w:val="12"/>
                <w:color w:val="auto"/>
              </w:rPr>
            </w:pPr>
          </w:p>
        </w:tc>
        <w:tc>
          <w:tcPr>
            <w:tcW w:w="84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6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6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36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2840" w:type="dxa"/>
            <w:vAlign w:val="bottom"/>
            <w:gridSpan w:val="2"/>
          </w:tcPr>
          <w:p>
            <w:pPr>
              <w:spacing w:after="0"/>
              <w:rPr>
                <w:sz w:val="12"/>
                <w:szCs w:val="12"/>
                <w:color w:val="auto"/>
              </w:rPr>
            </w:pPr>
          </w:p>
        </w:tc>
        <w:tc>
          <w:tcPr>
            <w:tcW w:w="84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6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6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36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840" w:type="dxa"/>
            <w:vAlign w:val="bottom"/>
            <w:gridSpan w:val="2"/>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June 30, 2025:</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40" w:type="dxa"/>
            <w:vAlign w:val="bottom"/>
            <w:gridSpan w:val="2"/>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840" w:type="dxa"/>
            <w:vAlign w:val="bottom"/>
            <w:gridSpan w:val="2"/>
            <w:vMerge w:val="continue"/>
          </w:tcPr>
          <w:p>
            <w:pPr>
              <w:spacing w:after="0"/>
              <w:rPr>
                <w:sz w:val="15"/>
                <w:szCs w:val="15"/>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0.6 million and CHF 0.4 million for leases of the Company’s premises as of June 30, 2025 and December 31, 2024, respectively. These deposits are presented in Long-term financial assets on the Company’s condensed consolidated balance sheets.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Accrued expenses consists of accrued R&amp;D costs, accrued payroll expenses and other accrued expenses totaling CHF 11.5 million and CHF 12.1 million as of June 30, 2024 and December 31, 2024, respectively.</w:t>
      </w:r>
    </w:p>
    <w:p>
      <w:pPr>
        <w:spacing w:after="0" w:line="1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60" w:type="dxa"/>
            <w:vAlign w:val="bottom"/>
          </w:tcPr>
          <w:p>
            <w:pPr>
              <w:spacing w:after="0"/>
              <w:rPr>
                <w:sz w:val="15"/>
                <w:szCs w:val="15"/>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1"/>
                <w:szCs w:val="11"/>
                <w:color w:val="auto"/>
              </w:rPr>
            </w:pP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7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3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not to be impaired as of December 31, 2024. As of June 30, 2025, the Company did not identify any triggering events that could result in an impairment of the IPR&amp;D asset.</w:t>
      </w:r>
    </w:p>
    <w:p>
      <w:pPr>
        <w:spacing w:after="0" w:line="180"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employee social obligations totaling CHF 2.5 million and CHF 4.3 million as of June 30, 2025 and December 31, 2024,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10.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net proceeds reported as investing cash flows from the maturity of investments in short-term financial assets amounted to CHF 27.8 million, compared to net proceeds from the maturity of investments of CHF 99.0 million in the prior comparable period.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 capital and Treasury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at the market offering program with Jefferies LLC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please refer to Note 12 “Share capital”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filed on March 13, 2025.</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10,899,773 treasury shares remaining.</w:t>
      </w:r>
    </w:p>
    <w:p>
      <w:pPr>
        <w:spacing w:after="0" w:line="221" w:lineRule="exact"/>
        <w:rPr>
          <w:sz w:val="20"/>
          <w:szCs w:val="20"/>
          <w:color w:val="auto"/>
        </w:rPr>
      </w:pPr>
    </w:p>
    <w:p>
      <w:pPr>
        <w:ind w:left="380" w:right="6579" w:hanging="265"/>
        <w:spacing w:after="0" w:line="532" w:lineRule="auto"/>
        <w:tabs>
          <w:tab w:leader="none" w:pos="39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June 30, 2025.</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(205,634)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5,010,827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4,097,932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5,010,827</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(53,954)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during the period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369,231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5,259,656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June 30, 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4,490,957</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June 30, 2025 and changes during six months ended is presented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1,094,876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(1,064,554)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1,377,903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822,740</w:t>
            </w: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(74,085)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(56,630)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1,303,342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(491,585)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June 30, 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1,549,046</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June 30,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1,789,612</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expense charged against the income statement was CHF 1.1 million and CHF 1.4 million for the three months ended June 30, 2025 and 2024, respectively. For the six months ended June 30, 2025 and 2024, the expense charged against the income statement was CHF 2.7 million and CHF 3.3 million, respectively. The expense is determined by the Company based on the number of instruments that are expected to become exercisable.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the net finance result amounted to a loss of CHF 1.8 million in each period. The loss in both periods is primarily due to unfavorable foreign currency exchange differences related to movement in the CHF versus foreign currencies, predominantly the US Dollar. These losses are partially offset by the financial income due to interest received on net investments in short-term financial assets.</w:t>
      </w:r>
    </w:p>
    <w:p>
      <w:pPr>
        <w:spacing w:after="0" w:line="18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and 2024, the net finance result amounted to CHF 1.5 million and a gain of CHF 0.4 million in net financial gains, respectively. The decrease in 2025 is primarily related to increased unfavorable exchange differences in the current period compared the prior year-to-date balance, driven by movement in the CHF versus foreign currencies, predominantly the US Dollar.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8" w:name="page19"/>
    <w:bookmarkEnd w:id="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six months ended June 30, 2025, included as Exhibit 99.1 to this Report on Form 6-K. We also recommend that you read our management’s discussion and analysis and our audited consolidated financial statements and the notes thereto, which appear in our Annual Report on Form 20-F for the year ended December 31, 2024 on file with the U.S. Securities and Exchange Commission (the “SEC”).</w:t>
      </w:r>
    </w:p>
    <w:p>
      <w:pPr>
        <w:spacing w:after="0" w:line="18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4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We prepare and report our consolidated financial statements and financial information in accordance with IFRS Accounting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August 5,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diseases towards Precision Medicine and disease prevention. We are executing a clear business strategy built on three pillars: (i) accelerate development of novel therapeutics in Alzheimer’s disease (AD) with our partners; (ii) expand our strategic focus in Parkinson’ disease (PD) and non-AD neurodegenerative diseases, including NeuroOrphan indications and limbic predominant age related TDP-43 encephalopathy (LATE); and (iii) a continued focus on diagnostics enabling Precision Medicine to be an ultimate differentiator for the Company.</w:t>
      </w:r>
    </w:p>
    <w:p>
      <w:pPr>
        <w:spacing w:after="0" w:line="18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7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therapeutic and diagnostic programs, targeting five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119" w:hanging="326"/>
        <w:spacing w:after="0" w:line="254"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ACI-24.060 for AD and for AD in 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ACI-24.060 is AC Immune’s anti-Abeta active immunotherapy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in patients with AD and in subjects with DS. ACI-24.060 contains Abeta unrelated T-helper cell epitopes to increase the magnitude and the boostability of the antibody response against pathological Abeta. It has demonstrated tolerability and immunogenicity in mouse and NHP studies. ACI-24.060 is currently being tested at 3 different incremental doses in the ABATE Phase 1b/2 trial (NCT05462106) and amyloid plaque reduction is being assessed using Abeta-PET imaging.</w:t>
      </w:r>
    </w:p>
    <w:p>
      <w:pPr>
        <w:spacing w:after="0" w:line="188" w:lineRule="exact"/>
        <w:rPr>
          <w:rFonts w:ascii="Times New Roman" w:cs="Times New Roman" w:eastAsia="Times New Roman" w:hAnsi="Times New Roman"/>
          <w:sz w:val="18"/>
          <w:szCs w:val="18"/>
          <w:color w:val="auto"/>
        </w:rPr>
      </w:pPr>
    </w:p>
    <w:p>
      <w:pPr>
        <w:ind w:left="700" w:right="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 ACI-24.060 has been shown to be generally well tolerated in individuals with AD and with Down syndrome, noting in particular that no case of Amyloid-Related Imaging Abnormalities-vasogenic edema (ARIA-E) has been reported at brain MRI in these two study populations. Based on data available as of June 2025, there has been no death. In subjects with AD, two serious adverse events are considered possibly related to the study treatment.</w:t>
      </w:r>
    </w:p>
    <w:p>
      <w:pPr>
        <w:spacing w:after="0" w:line="194" w:lineRule="exact"/>
        <w:rPr>
          <w:rFonts w:ascii="Times New Roman" w:cs="Times New Roman" w:eastAsia="Times New Roman" w:hAnsi="Times New Roman"/>
          <w:sz w:val="18"/>
          <w:szCs w:val="18"/>
          <w:color w:val="auto"/>
        </w:rPr>
      </w:pPr>
    </w:p>
    <w:p>
      <w:pPr>
        <w:ind w:left="700" w:right="1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insights from blinded cohorts AD1, AD2 and AD3 showed that ACI-24.060 induced immunogenicity at all tested doses in AD subjects, with higher doses showing increased anti-Abeta1-42 IgG titers and responder rates. Repeated immunizations led to a boosting effect across all dose levels and cohorts AD2 and AD3 showed a more durable and sustained immune response (Post, AD/PD 2025).</w:t>
      </w:r>
    </w:p>
    <w:p>
      <w:pPr>
        <w:spacing w:after="0" w:line="186" w:lineRule="exact"/>
        <w:rPr>
          <w:rFonts w:ascii="Times New Roman" w:cs="Times New Roman" w:eastAsia="Times New Roman" w:hAnsi="Times New Roman"/>
          <w:sz w:val="18"/>
          <w:szCs w:val="18"/>
          <w:color w:val="auto"/>
        </w:rPr>
      </w:pPr>
    </w:p>
    <w:p>
      <w:pPr>
        <w:ind w:left="700" w:right="1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1.7)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187" w:lineRule="exact"/>
        <w:rPr>
          <w:rFonts w:ascii="Times New Roman" w:cs="Times New Roman" w:eastAsia="Times New Roman" w:hAnsi="Times New Roman"/>
          <w:sz w:val="18"/>
          <w:szCs w:val="18"/>
          <w:color w:val="auto"/>
        </w:rPr>
      </w:pPr>
    </w:p>
    <w:p>
      <w:pPr>
        <w:ind w:left="700" w:right="99" w:hanging="326"/>
        <w:spacing w:after="0" w:line="25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our active immunotherapy targeting pathological a-syn, is currently being tested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Interim analyses have shown that ACI-7104.056 induces strong anti-a-synuclein antibody levels on average over 20-fold higher than placebo after 4 immunizations. ACI-7104.056 is well tolerated with no safety issues related to the study drug reported to date. Further interim results may be reported in H2 2025 including pharmacodynamic data. AC Immune may decide to initiate Part 2 of VacSYn with up to 150 patients.</w:t>
      </w:r>
    </w:p>
    <w:p>
      <w:pPr>
        <w:spacing w:after="0" w:line="189" w:lineRule="exact"/>
        <w:rPr>
          <w:rFonts w:ascii="Times New Roman" w:cs="Times New Roman" w:eastAsia="Times New Roman" w:hAnsi="Times New Roman"/>
          <w:sz w:val="18"/>
          <w:szCs w:val="18"/>
          <w:color w:val="auto"/>
        </w:rPr>
      </w:pPr>
    </w:p>
    <w:p>
      <w:pPr>
        <w:ind w:left="700" w:right="79" w:hanging="326"/>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(JNJ-64042056 also now referred to as JNJ-2056). </w:t>
      </w:r>
      <w:r>
        <w:rPr>
          <w:rFonts w:ascii="Times New Roman" w:cs="Times New Roman" w:eastAsia="Times New Roman" w:hAnsi="Times New Roman"/>
          <w:sz w:val="18"/>
          <w:szCs w:val="18"/>
          <w:color w:val="auto"/>
        </w:rPr>
        <w:t>AC Immune and Janssen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part of 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700" w:right="419"/>
        <w:spacing w:after="0" w:line="282" w:lineRule="auto"/>
        <w:rPr>
          <w:sz w:val="20"/>
          <w:szCs w:val="20"/>
          <w:color w:val="auto"/>
        </w:rPr>
      </w:pPr>
      <w:r>
        <w:rPr>
          <w:rFonts w:ascii="Times New Roman" w:cs="Times New Roman" w:eastAsia="Times New Roman" w:hAnsi="Times New Roman"/>
          <w:sz w:val="18"/>
          <w:szCs w:val="18"/>
          <w:color w:val="auto"/>
        </w:rPr>
        <w:t>against these pathological Tau species but not against non-phosphorylated Tau. Long-term maintenance of the anti-ePHF IgG titers against endogenous pathological Tau was observed at the mid- and high doses.</w:t>
      </w:r>
    </w:p>
    <w:p>
      <w:pPr>
        <w:spacing w:after="0" w:line="162" w:lineRule="exact"/>
        <w:rPr>
          <w:sz w:val="20"/>
          <w:szCs w:val="20"/>
          <w:color w:val="auto"/>
        </w:rPr>
      </w:pPr>
    </w:p>
    <w:p>
      <w:pPr>
        <w:ind w:left="700" w:right="99"/>
        <w:spacing w:after="0" w:line="254" w:lineRule="auto"/>
        <w:rPr>
          <w:sz w:val="20"/>
          <w:szCs w:val="20"/>
          <w:color w:val="auto"/>
        </w:rPr>
      </w:pPr>
      <w:r>
        <w:rPr>
          <w:rFonts w:ascii="Times New Roman" w:cs="Times New Roman" w:eastAsia="Times New Roman" w:hAnsi="Times New Roman"/>
          <w:sz w:val="18"/>
          <w:szCs w:val="18"/>
          <w:color w:val="auto"/>
        </w:rPr>
        <w:t>In the Phase 1b/2a clinical trial, ACI-35.030 showed a good safety and tolerability profile. The majority of adverse events (AEs) were of mild or moderate intensity. No death was reported. No AE led to study discontinuation or to study treatment discontinuation. Injection site reactions were the most frequently reported AEs in actively treated subjects. The frequency of serious adverse events (SAEs) observed in subjects treated with ACI-35.030 did not appear to have any particular relationship to the dose.</w:t>
      </w:r>
    </w:p>
    <w:p>
      <w:pPr>
        <w:spacing w:after="0" w:line="187" w:lineRule="exact"/>
        <w:rPr>
          <w:sz w:val="20"/>
          <w:szCs w:val="20"/>
          <w:color w:val="auto"/>
        </w:rPr>
      </w:pPr>
    </w:p>
    <w:p>
      <w:pPr>
        <w:ind w:left="700" w:right="59"/>
        <w:spacing w:after="0" w:line="253" w:lineRule="auto"/>
        <w:rPr>
          <w:sz w:val="20"/>
          <w:szCs w:val="20"/>
          <w:color w:val="auto"/>
        </w:rPr>
      </w:pPr>
      <w:r>
        <w:rPr>
          <w:rFonts w:ascii="Times New Roman" w:cs="Times New Roman" w:eastAsia="Times New Roman" w:hAnsi="Times New Roman"/>
          <w:sz w:val="18"/>
          <w:szCs w:val="18"/>
          <w:color w:val="auto"/>
        </w:rPr>
        <w:t>Consequently, ACI-35.030/JNJ-2056 is now being assessed in subjects with preclinical (i.e., pre-symptomatic) AD in the Phase 2b study ReTain (NCT06544616). The ongoing trial will randomize approximately 500 participants with confirmed early-stage Tau pathology, who will be treated over a four-year period. The trial will include interim biomarker analyses potentially allowing for acceleration towards a regulatory filing. JNJ-2056 was granted Fast Track designation by the FDA, for the treatment of AD in July 2024. In September 2024, AC Immune received a milestone payment triggered by the rapid rate of prescreening in the potentially registrational Phase 2b ReTain trial and the first patient was dosed in H2 2024.</w:t>
      </w:r>
    </w:p>
    <w:p>
      <w:pPr>
        <w:spacing w:after="0" w:line="399" w:lineRule="exact"/>
        <w:rPr>
          <w:sz w:val="20"/>
          <w:szCs w:val="20"/>
          <w:color w:val="auto"/>
        </w:rPr>
      </w:pPr>
    </w:p>
    <w:p>
      <w:pPr>
        <w:ind w:left="700" w:right="99" w:hanging="326"/>
        <w:spacing w:after="0" w:line="248"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PI-2620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the Tau-PET imaging agent discovered during the collaboration of AC Immune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Molecular Imaging (LMI, recently acquired by Lantheus Holdings, Inc.). We are working with our partner,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longitudinal use of PI-2620 in 52 participants (7 with normal cognition, 28 with mild cognitive impairment (MCI), and 17 with AD) from an investigator sponsored Phase 2 trial at the Asan Medical Center (NCT03903211) were presented at the 2022 AAIC and published in 2024 in the peer-reviewed Journal of Nuclear Medicine. Following these results, LMI moved PI-2620 into late-stage clinical development in AD and made a milestone payment to AC Immune. The first Alzheimer’s patient in ADvance, the pivotal Phase 3 histopathology study in AD (NCT05641688), was imaged in January 2023. In August 2024, partner LMI has received Fast Track Designation for the diagnostic </w:t>
      </w:r>
      <w:r>
        <w:rPr>
          <w:rFonts w:ascii="Times New Roman" w:cs="Times New Roman" w:eastAsia="Times New Roman" w:hAnsi="Times New Roman"/>
          <w:sz w:val="20"/>
          <w:szCs w:val="20"/>
          <w:color w:val="auto"/>
          <w:vertAlign w:val="superscript"/>
        </w:rPr>
        <w:t>18</w:t>
      </w:r>
      <w:r>
        <w:rPr>
          <w:rFonts w:ascii="Times New Roman" w:cs="Times New Roman" w:eastAsia="Times New Roman" w:hAnsi="Times New Roman"/>
          <w:sz w:val="18"/>
          <w:szCs w:val="18"/>
          <w:color w:val="auto"/>
        </w:rPr>
        <w:t>F-PI-2620, from the U.S. FDA in three neurodegenerative conditions: AD, PSP, and CBD.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both"/>
        <w:ind w:left="700" w:right="79" w:hanging="326"/>
        <w:spacing w:after="0" w:line="25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ACI-12589 and ACI-15916. </w:t>
      </w:r>
      <w:r>
        <w:rPr>
          <w:rFonts w:ascii="Times New Roman" w:cs="Times New Roman" w:eastAsia="Times New Roman" w:hAnsi="Times New Roman"/>
          <w:sz w:val="18"/>
          <w:szCs w:val="18"/>
          <w:color w:val="auto"/>
        </w:rPr>
        <w:t>Our Morphomer platform has delivered the first clinically validated a-syn-PET tracer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now can support the differential diagnosis of multiple system atrophy (MSA) from other neurodegenerative diseases and allow precision medicine approaches and biomarker-based clinical development in this indication.</w:t>
      </w:r>
    </w:p>
    <w:p>
      <w:pPr>
        <w:ind w:left="700" w:right="7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ACI-15916 were completed in H2 2024 and the Phase 1 trial in PD was initiated in Q1 2025. The readout from this study is expected in H2 2025.</w:t>
      </w:r>
    </w:p>
    <w:p>
      <w:pPr>
        <w:spacing w:after="0" w:line="187" w:lineRule="exact"/>
        <w:rPr>
          <w:rFonts w:ascii="Times New Roman" w:cs="Times New Roman" w:eastAsia="Times New Roman" w:hAnsi="Times New Roman"/>
          <w:sz w:val="18"/>
          <w:szCs w:val="18"/>
          <w:color w:val="auto"/>
        </w:rPr>
      </w:pPr>
    </w:p>
    <w:p>
      <w:pPr>
        <w:ind w:left="700" w:right="219" w:hanging="326"/>
        <w:spacing w:after="0" w:line="24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ACI-19626, TDP-43 imaging diagnostic. </w:t>
      </w:r>
      <w:r>
        <w:rPr>
          <w:rFonts w:ascii="Times New Roman" w:cs="Times New Roman" w:eastAsia="Times New Roman" w:hAnsi="Times New Roman"/>
          <w:sz w:val="18"/>
          <w:szCs w:val="18"/>
          <w:color w:val="auto"/>
        </w:rPr>
        <w:t>Our Morphomer platform has delivered the first-in-class TDP-43 PET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tracer, </w:t>
      </w:r>
      <w:r>
        <w:rPr>
          <w:rFonts w:ascii="Times New Roman" w:cs="Times New Roman" w:eastAsia="Times New Roman" w:hAnsi="Times New Roman"/>
          <w:sz w:val="20"/>
          <w:szCs w:val="20"/>
          <w:color w:val="auto"/>
          <w:vertAlign w:val="superscript"/>
        </w:rPr>
        <w:t>18</w:t>
      </w:r>
      <w:r>
        <w:rPr>
          <w:rFonts w:ascii="Times New Roman" w:cs="Times New Roman" w:eastAsia="Times New Roman" w:hAnsi="Times New Roman"/>
          <w:sz w:val="18"/>
          <w:szCs w:val="18"/>
          <w:color w:val="auto"/>
        </w:rPr>
        <w:t>F-ACI-19626 entering the FiH evaluation in healthy volunteers and in patients with TDP-43 proteinopathies. ACI-19626 shows optimal binding potential in frontotemporal lobar degeneration (FTLD)-TDP brain tissue with no binding to physiological TDP-43, excellent selectivity over other aggregated proteins commonly present in neurodegenerative diseases and aging brain, excellent pharmacokinetic properties suitable for human brain imaging. This PET tracer is envisioned to enable early and differential diagnosis, improve the design and interpretation of clinical trials allowing for patient stratification, selection of optimal timing for therapeutic intervention and pharmacodynamic effect evaluation. This first-in-class molecule could have a high impact, opening new opportunities for therapeutic interventions in diseases with high unmet medical needs and huge societal burdens, such as ALS, FTD and AD. CTA enabling studies for ACI-19626 were completed in July 2024. The Phase 1 trial was initiated in Q1 2025 and the interim readout from this study is expected in H2 2025.</w:t>
      </w:r>
    </w:p>
    <w:p>
      <w:pPr>
        <w:spacing w:after="0" w:line="178" w:lineRule="exact"/>
        <w:rPr>
          <w:rFonts w:ascii="Times New Roman" w:cs="Times New Roman" w:eastAsia="Times New Roman" w:hAnsi="Times New Roman"/>
          <w:sz w:val="18"/>
          <w:szCs w:val="18"/>
          <w:color w:val="auto"/>
        </w:rPr>
      </w:pPr>
    </w:p>
    <w:p>
      <w:pPr>
        <w:ind w:left="700" w:right="139" w:hanging="326"/>
        <w:spacing w:after="0" w:line="26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Continued candidate characterization across the research program has also identified new and highly differentiated candidates with excellent brain exposure and selectivity for pathological aggregated Tau.</w:t>
      </w:r>
    </w:p>
    <w:p>
      <w:pPr>
        <w:spacing w:after="0" w:line="162" w:lineRule="exact"/>
        <w:rPr>
          <w:rFonts w:ascii="Times New Roman" w:cs="Times New Roman" w:eastAsia="Times New Roman" w:hAnsi="Times New Roman"/>
          <w:sz w:val="18"/>
          <w:szCs w:val="18"/>
          <w:color w:val="auto"/>
        </w:rPr>
      </w:pPr>
    </w:p>
    <w:p>
      <w:pPr>
        <w:ind w:left="700" w:right="159" w:hanging="326"/>
        <w:spacing w:after="0" w:line="255"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Semorinemab is an investigational monoclonal anti-Tau antibody that targets the N-terminal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Tau protein and is designed to bind to Tau and slow its spread between neurons for the treatment of AD. AC Immune regained the global rights to semorinemab in February 2025. The Company will carefully review and evaluate available data sets, before decisions are made on potential further development and other opportunities.</w:t>
      </w:r>
    </w:p>
    <w:p>
      <w:pPr>
        <w:spacing w:after="0" w:line="182" w:lineRule="exact"/>
        <w:rPr>
          <w:rFonts w:ascii="Times New Roman" w:cs="Times New Roman" w:eastAsia="Times New Roman" w:hAnsi="Times New Roman"/>
          <w:sz w:val="18"/>
          <w:szCs w:val="18"/>
          <w:color w:val="auto"/>
        </w:rPr>
      </w:pPr>
    </w:p>
    <w:p>
      <w:pPr>
        <w:ind w:left="700" w:right="359" w:hanging="326"/>
        <w:spacing w:after="0" w:line="291"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Crenezumab. </w:t>
      </w:r>
      <w:r>
        <w:rPr>
          <w:rFonts w:ascii="Times New Roman" w:cs="Times New Roman" w:eastAsia="Times New Roman" w:hAnsi="Times New Roman"/>
          <w:sz w:val="17"/>
          <w:szCs w:val="17"/>
          <w:color w:val="auto"/>
        </w:rPr>
        <w:t>Crenezumab is a humanized monoclonal antibody, an investigational treatment designed to slow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 progression by neutralizing neurotoxic Abeta oligomers. AC Immune will carefully review and evaluate available data sets, before decisions are made on potential further development and other opportunities.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Q2 2025 Company highlights</w:t>
      </w:r>
    </w:p>
    <w:p>
      <w:pPr>
        <w:spacing w:after="0" w:line="229" w:lineRule="exact"/>
        <w:rPr>
          <w:sz w:val="20"/>
          <w:szCs w:val="20"/>
          <w:color w:val="auto"/>
        </w:rPr>
      </w:pPr>
    </w:p>
    <w:p>
      <w:pPr>
        <w:ind w:left="740" w:right="79" w:hanging="325"/>
        <w:spacing w:after="0" w:line="266"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interim safety and positive immunogenicity data from the Phase 2 VacSYn clinical trial evaluating ACI-7104.056, AC Immune’s wholly owned anti-a-syn active immunotherapy candidate, for the treatment of patients with early PD.</w:t>
      </w:r>
    </w:p>
    <w:p>
      <w:pPr>
        <w:spacing w:after="0" w:line="176" w:lineRule="exact"/>
        <w:rPr>
          <w:sz w:val="20"/>
          <w:szCs w:val="20"/>
          <w:color w:val="auto"/>
        </w:rPr>
      </w:pPr>
    </w:p>
    <w:p>
      <w:pPr>
        <w:ind w:left="1400" w:right="299" w:hanging="324"/>
        <w:spacing w:after="0" w:line="264" w:lineRule="auto"/>
        <w:tabs>
          <w:tab w:leader="none" w:pos="140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 presented at AD/PD™ 2025, treatment with ACI-7104.056 induced an average 20-fold increase in anti-a-syn antibodies after four immunizations compared to placebo background level.</w:t>
      </w:r>
    </w:p>
    <w:p>
      <w:pPr>
        <w:spacing w:after="0" w:line="176" w:lineRule="exact"/>
        <w:rPr>
          <w:rFonts w:ascii="Courier New" w:cs="Courier New" w:eastAsia="Courier New" w:hAnsi="Courier New"/>
          <w:sz w:val="18"/>
          <w:szCs w:val="18"/>
          <w:color w:val="auto"/>
        </w:rPr>
      </w:pPr>
    </w:p>
    <w:p>
      <w:pPr>
        <w:ind w:left="1400" w:right="359" w:hanging="324"/>
        <w:spacing w:after="0" w:line="256" w:lineRule="auto"/>
        <w:tabs>
          <w:tab w:leader="none" w:pos="140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Based on pharmacodynamic and biomarker interim results to be reported later this year, AC Immune may decide to initiate Part 2 of VacSYn, with the aim of establishing early proof-of-concept and identification of disease-specific biomarkers for rapid transition into a pivotal study.</w:t>
      </w:r>
    </w:p>
    <w:p>
      <w:pPr>
        <w:spacing w:after="0" w:line="185" w:lineRule="exact"/>
        <w:rPr>
          <w:rFonts w:ascii="Courier New" w:cs="Courier New" w:eastAsia="Courier New" w:hAnsi="Courier New"/>
          <w:sz w:val="18"/>
          <w:szCs w:val="18"/>
          <w:color w:val="auto"/>
        </w:rPr>
      </w:pPr>
    </w:p>
    <w:p>
      <w:pPr>
        <w:ind w:left="760" w:hanging="33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AD/PD™ 2025.</w:t>
      </w:r>
    </w:p>
    <w:p>
      <w:pPr>
        <w:spacing w:after="0" w:line="225" w:lineRule="exact"/>
        <w:rPr>
          <w:rFonts w:ascii="Times New Roman" w:cs="Times New Roman" w:eastAsia="Times New Roman" w:hAnsi="Times New Roman"/>
          <w:sz w:val="18"/>
          <w:szCs w:val="18"/>
          <w:color w:val="auto"/>
        </w:rPr>
      </w:pPr>
    </w:p>
    <w:p>
      <w:pPr>
        <w:ind w:left="760" w:right="599" w:hanging="332"/>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hosted an industry symposium highlighting the company’s industry-leading pipeline of active immunotherapies for precision prevention of neurodegenerative diseases.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revenues</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generated CHF 1.3 million in contract revenues for the three months ended June 30, 2025, compared to CHF 0.7 million in the comparable prior period. This represents an increase of CHF 0.6 million. The following table summarizes our contact revenues during the three months ended June 30,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5"/>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209"/>
        </w:trPr>
        <w:tc>
          <w:tcPr>
            <w:tcW w:w="728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1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the increase of CHF 0.6 million compared with the prior period is due to the efforts made under the agreement with Takeda.</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the Company generated CHF 2.3 million in contract revenues compared to CHF 0.7 million in the comparable period. This represents an increase of CHF 1.6 million. The following table summarizes our contact revenues during the six months ended June 30,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5"/>
        </w:trPr>
        <w:tc>
          <w:tcPr>
            <w:tcW w:w="7280" w:type="dxa"/>
            <w:vAlign w:val="bottom"/>
            <w:gridSpan w:val="2"/>
            <w:vMerge w:val="restart"/>
          </w:tcPr>
          <w:p>
            <w:pPr>
              <w:ind w:left="29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74"/>
        </w:trPr>
        <w:tc>
          <w:tcPr>
            <w:tcW w:w="7280" w:type="dxa"/>
            <w:vAlign w:val="bottom"/>
            <w:gridSpan w:val="2"/>
            <w:vMerge w:val="continue"/>
          </w:tcPr>
          <w:p>
            <w:pPr>
              <w:spacing w:after="0"/>
              <w:rPr>
                <w:sz w:val="15"/>
                <w:szCs w:val="15"/>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increase of CHF 1.6 million compared with the prior period is due to the efforts made under the agreement with Takeda.</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8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(JNJ-2056). From Phase 2b and onwards, Janssen will assume responsibility for the clinical development, manufacturing and commercialization of ACI-35.030 (JNJ-2056).</w:t>
      </w:r>
    </w:p>
    <w:p>
      <w:pPr>
        <w:spacing w:after="0" w:line="176"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83"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and NLRP3 inhibitor programs. In addition to the collaborative arrangements and proprietarily held assets, we expect that our total future R&amp;D costs will remain at similar levels.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60" w:right="479"/>
        <w:spacing w:after="0" w:line="282" w:lineRule="auto"/>
        <w:rPr>
          <w:sz w:val="20"/>
          <w:szCs w:val="20"/>
          <w:color w:val="auto"/>
        </w:rPr>
      </w:pPr>
      <w:r>
        <w:rPr>
          <w:rFonts w:ascii="Times New Roman" w:cs="Times New Roman" w:eastAsia="Times New Roman" w:hAnsi="Times New Roman"/>
          <w:sz w:val="18"/>
          <w:szCs w:val="18"/>
          <w:color w:val="auto"/>
        </w:rPr>
        <w:t>individual R&amp;D projects, because the employees within our R&amp;D groups are typically deployed across multiple R&amp;D programs.</w:t>
      </w:r>
    </w:p>
    <w:p>
      <w:pPr>
        <w:spacing w:after="0" w:line="16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R&amp;D expenses totaled CHF 16.8 million compared with CHF 17.1 million for the comparable period in 2024. This represents a decrease of CHF 0.3 million. The following table presents the R&amp;D expenses during the three months ended June 30,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4"/>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 w:type="dxa"/>
            <w:vAlign w:val="bottom"/>
          </w:tcPr>
          <w:p>
            <w:pPr>
              <w:spacing w:after="0"/>
              <w:rPr>
                <w:sz w:val="16"/>
                <w:szCs w:val="16"/>
                <w:color w:val="auto"/>
              </w:rPr>
            </w:pPr>
          </w:p>
        </w:tc>
        <w:tc>
          <w:tcPr>
            <w:tcW w:w="18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4"/>
            <w:vMerge w:val="continue"/>
          </w:tcPr>
          <w:p>
            <w:pPr>
              <w:spacing w:after="0"/>
              <w:rPr>
                <w:sz w:val="15"/>
                <w:szCs w:val="15"/>
                <w:color w:val="auto"/>
              </w:rPr>
            </w:pPr>
          </w:p>
        </w:tc>
        <w:tc>
          <w:tcPr>
            <w:tcW w:w="740" w:type="dxa"/>
            <w:vAlign w:val="bottom"/>
            <w:tcBorders>
              <w:top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60" w:type="dxa"/>
            <w:vAlign w:val="bottom"/>
            <w:gridSpan w:val="4"/>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 w:type="dxa"/>
            <w:vAlign w:val="bottom"/>
          </w:tcPr>
          <w:p>
            <w:pPr>
              <w:spacing w:after="0"/>
              <w:rPr>
                <w:sz w:val="16"/>
                <w:szCs w:val="16"/>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auto"/>
            </w:tcBorders>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1" w:lineRule="exact"/>
        <w:rPr>
          <w:sz w:val="20"/>
          <w:szCs w:val="20"/>
          <w:color w:val="auto"/>
        </w:rPr>
      </w:pPr>
    </w:p>
    <w:p>
      <w:pPr>
        <w:ind w:left="60" w:right="5479" w:hanging="10"/>
        <w:spacing w:after="0" w:line="409" w:lineRule="auto"/>
        <w:tabs>
          <w:tab w:leader="none" w:pos="384"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June 30, 2025:</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0.4 million. The changes were composed of:</w:t>
      </w:r>
    </w:p>
    <w:p>
      <w:pPr>
        <w:spacing w:after="0" w:line="225" w:lineRule="exact"/>
        <w:rPr>
          <w:rFonts w:ascii="Times New Roman" w:cs="Times New Roman" w:eastAsia="Times New Roman" w:hAnsi="Times New Roman"/>
          <w:sz w:val="26"/>
          <w:szCs w:val="26"/>
          <w:color w:val="auto"/>
          <w:vertAlign w:val="superscript"/>
        </w:rPr>
      </w:pPr>
    </w:p>
    <w:p>
      <w:pPr>
        <w:ind w:left="700" w:right="179" w:hanging="326"/>
        <w:spacing w:after="0" w:line="258" w:lineRule="auto"/>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activities in early-stage programs such as our TDP-43 antibody and PET tracer programs, where the pre-clinical development activities were completed in prior periods, and reduced research activities on ACI-24.060. These changes were offset by higher cost associated with our Morphomer Inflammasome program.</w:t>
      </w:r>
    </w:p>
    <w:p>
      <w:pPr>
        <w:spacing w:after="0" w:line="19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Clinical expenses remained consistent period over period, changing less than CHF 0.1 million. The offsetting activity was composed of:</w:t>
      </w:r>
    </w:p>
    <w:p>
      <w:pPr>
        <w:spacing w:after="0" w:line="176" w:lineRule="exact"/>
        <w:rPr>
          <w:sz w:val="20"/>
          <w:szCs w:val="20"/>
          <w:color w:val="auto"/>
        </w:rPr>
      </w:pPr>
    </w:p>
    <w:p>
      <w:pPr>
        <w:ind w:left="700" w:right="299" w:hanging="326"/>
        <w:spacing w:after="0" w:line="266"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1.1 million attributed lower manufacturing spend attributable to ACI-7104.056. This change was offset by increases in expenses on other clinical stage programs including costs associated with the ACI-24.060 ABATE study, and our PET tracer programs.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R&amp;D expenses totaled CHF 32.7 million compared with CHF 32.3 million for the comparable period in 2024. This represents an increase of CHF 0.4 million. The following table presents the R&amp;D expenses during the six months ended June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40" w:type="dxa"/>
            <w:vAlign w:val="bottom"/>
          </w:tcPr>
          <w:p>
            <w:pPr>
              <w:spacing w:after="0"/>
              <w:rPr>
                <w:sz w:val="16"/>
                <w:szCs w:val="16"/>
                <w:color w:val="auto"/>
              </w:rPr>
            </w:pPr>
          </w:p>
        </w:tc>
        <w:tc>
          <w:tcPr>
            <w:tcW w:w="15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gridSpan w:val="3"/>
            <w:vMerge w:val="continue"/>
          </w:tcPr>
          <w:p>
            <w:pPr>
              <w:spacing w:after="0"/>
              <w:rPr>
                <w:sz w:val="15"/>
                <w:szCs w:val="15"/>
                <w:color w:val="auto"/>
              </w:rPr>
            </w:pPr>
          </w:p>
        </w:tc>
        <w:tc>
          <w:tcPr>
            <w:tcW w:w="680" w:type="dxa"/>
            <w:vAlign w:val="bottom"/>
            <w:tcBorders>
              <w:top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4,237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10,694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68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1,241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6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16,172</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Payroll expenses</w:t>
            </w:r>
          </w:p>
        </w:tc>
        <w:tc>
          <w:tcPr>
            <w:tcW w:w="680" w:type="dxa"/>
            <w:vAlign w:val="bottom"/>
            <w:gridSpan w:val="2"/>
            <w:shd w:val="clear" w:color="auto" w:fill="CCEEFF"/>
          </w:tcPr>
          <w:p>
            <w:pPr>
              <w:jc w:val="right"/>
              <w:ind w:right="3"/>
              <w:spacing w:after="0" w:line="196" w:lineRule="exact"/>
              <w:rPr>
                <w:sz w:val="20"/>
                <w:szCs w:val="20"/>
                <w:color w:val="auto"/>
              </w:rPr>
            </w:pPr>
            <w:r>
              <w:rPr>
                <w:rFonts w:ascii="Times New Roman" w:cs="Times New Roman" w:eastAsia="Times New Roman" w:hAnsi="Times New Roman"/>
                <w:sz w:val="18"/>
                <w:szCs w:val="18"/>
                <w:color w:val="auto"/>
              </w:rPr>
              <w:t>10,900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10,163</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68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4,902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32,742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18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40" w:type="dxa"/>
            <w:vAlign w:val="bottom"/>
          </w:tcPr>
          <w:p>
            <w:pPr>
              <w:spacing w:after="0"/>
              <w:rPr>
                <w:sz w:val="16"/>
                <w:szCs w:val="16"/>
                <w:color w:val="auto"/>
              </w:rPr>
            </w:pPr>
          </w:p>
        </w:tc>
        <w:tc>
          <w:tcPr>
            <w:tcW w:w="15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top w:val="single" w:sz="8" w:color="auto"/>
            </w:tcBorders>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21,074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20,893</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11,668</w:t>
            </w:r>
          </w:p>
        </w:tc>
        <w:tc>
          <w:tcPr>
            <w:tcW w:w="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32,742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2" w:lineRule="exact"/>
        <w:rPr>
          <w:sz w:val="20"/>
          <w:szCs w:val="20"/>
          <w:color w:val="auto"/>
        </w:rPr>
      </w:pPr>
    </w:p>
    <w:p>
      <w:pPr>
        <w:ind w:left="60" w:right="5479" w:hanging="10"/>
        <w:spacing w:after="0" w:line="409" w:lineRule="auto"/>
        <w:tabs>
          <w:tab w:leader="none" w:pos="384"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six months ended June 30, 2025:</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0.7 million, primarily due to:</w:t>
      </w:r>
    </w:p>
    <w:p>
      <w:pPr>
        <w:spacing w:after="0" w:line="225" w:lineRule="exact"/>
        <w:rPr>
          <w:sz w:val="20"/>
          <w:szCs w:val="20"/>
          <w:color w:val="auto"/>
        </w:rPr>
      </w:pPr>
    </w:p>
    <w:p>
      <w:pPr>
        <w:jc w:val="both"/>
        <w:ind w:left="700" w:right="279" w:hanging="326"/>
        <w:spacing w:after="0" w:line="289" w:lineRule="auto"/>
        <w:tabs>
          <w:tab w:leader="none" w:pos="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activities in early-stage programs such as our anti TDP-43 antibody and PET tracer programs, whereby the pre-clinical development activities were completed in prior periods, and reduced research activities on ACI-24.060. These changes were offset by higher cost associated with our Morphomer Inflammasome program.</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increased by CHF 0.1 million, primarily due to:</w:t>
      </w:r>
    </w:p>
    <w:p>
      <w:pPr>
        <w:spacing w:after="0" w:line="225" w:lineRule="exact"/>
        <w:rPr>
          <w:sz w:val="20"/>
          <w:szCs w:val="20"/>
          <w:color w:val="auto"/>
        </w:rPr>
      </w:pPr>
    </w:p>
    <w:p>
      <w:pPr>
        <w:ind w:left="700" w:right="499" w:hanging="326"/>
        <w:spacing w:after="0" w:line="258"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0.5 million in our ACI-24.060 active immunotherapy for expansion of the ABATE study offset by a decrease of CHF 1.3 million related to manufacturing activities for our Phase 2 VacSYn study evaluating ACI-7104.056 in early PD.</w:t>
      </w:r>
    </w:p>
    <w:p>
      <w:pPr>
        <w:spacing w:after="0" w:line="19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variances in Group function expenses are related to regulatory and quality assurance, and intellectual property costs.</w:t>
      </w:r>
    </w:p>
    <w:p>
      <w:pPr>
        <w:spacing w:after="0" w:line="148"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Other non-allocated expenses are related to infrastructure and functional expenses not allocated to direct R&amp;D expenses.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jc w:val="both"/>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For the three months ended June 30, 2025, general and administrative expenses totaled CHF 3.9 million compared with CHF 4.6 million for the comparable period in 2024. This represents a decrease of CHF 0.7 million. The following table presents the general and administrative expenses during the three months ended June 30, 2025 and 2024:</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3"/>
            <w:vMerge w:val="continue"/>
          </w:tcPr>
          <w:p>
            <w:pPr>
              <w:spacing w:after="0"/>
              <w:rPr>
                <w:sz w:val="15"/>
                <w:szCs w:val="15"/>
                <w:color w:val="auto"/>
              </w:rPr>
            </w:pPr>
          </w:p>
        </w:tc>
        <w:tc>
          <w:tcPr>
            <w:tcW w:w="8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2025, this decrease is primarily due to:</w:t>
      </w:r>
    </w:p>
    <w:p>
      <w:pPr>
        <w:spacing w:after="0" w:line="225" w:lineRule="exact"/>
        <w:rPr>
          <w:sz w:val="20"/>
          <w:szCs w:val="20"/>
          <w:color w:val="auto"/>
        </w:rPr>
      </w:pPr>
    </w:p>
    <w:p>
      <w:pPr>
        <w:ind w:left="700" w:right="11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0.4 million in operating expenses, predominantly due to a decrease of CHF 0.5 million in legal fees related to business development and licensing activities in the prior period.</w:t>
      </w:r>
    </w:p>
    <w:p>
      <w:pPr>
        <w:spacing w:after="0" w:line="148" w:lineRule="exact"/>
        <w:rPr>
          <w:rFonts w:ascii="Times New Roman" w:cs="Times New Roman" w:eastAsia="Times New Roman" w:hAnsi="Times New Roman"/>
          <w:sz w:val="18"/>
          <w:szCs w:val="18"/>
          <w:color w:val="auto"/>
        </w:rPr>
      </w:pPr>
    </w:p>
    <w:p>
      <w:pPr>
        <w:ind w:left="700" w:right="19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0.2 million in salaries and related costs, largely attributable to the lower expenses from equity awards granted in 2025, which have a lower fair value.</w:t>
      </w:r>
    </w:p>
    <w:p>
      <w:pPr>
        <w:spacing w:after="0" w:line="13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general and administrative expenses totaled CHF 8.3 million compared with CHF 9.5 million for the comparable period in 2024. This represents a decrease of CHF 1.2 million. The following table presents the general and administrative expenses during the six months ended June 30, 2025 and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gridSpan w:val="2"/>
            <w:vMerge w:val="continue"/>
          </w:tcPr>
          <w:p>
            <w:pPr>
              <w:spacing w:after="0"/>
              <w:rPr>
                <w:sz w:val="15"/>
                <w:szCs w:val="15"/>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3,377</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6,069</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6,145</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6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8,334</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9,522</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tabs>
          <w:tab w:leader="none" w:pos="38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2025, this decrease is primarily due to:</w:t>
      </w:r>
    </w:p>
    <w:p>
      <w:pPr>
        <w:spacing w:after="0" w:line="225" w:lineRule="exact"/>
        <w:rPr>
          <w:sz w:val="20"/>
          <w:szCs w:val="20"/>
          <w:color w:val="auto"/>
        </w:rPr>
      </w:pPr>
    </w:p>
    <w:p>
      <w:pPr>
        <w:ind w:left="700" w:right="119" w:hanging="326"/>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1.1 million in operating expenses, predominantly due to a decrease of CHF 0.9 million in legal fees related to business development and licensing activities in the prior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 net</w:t>
      </w:r>
    </w:p>
    <w:p>
      <w:pPr>
        <w:spacing w:after="0" w:line="22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net consists primarily of income associated with foundation grants such as those from the MJFF or Target ALS.</w:t>
      </w:r>
    </w:p>
    <w:p>
      <w:pPr>
        <w:spacing w:after="0" w:line="16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2025, other operating income/(expense), net totaled less than CHF 0.1 million. compared with less than CHF 0.1 million for the comparable period in 2024. The balance remained consistent period over period. The following table presents the other operating income/(expense), net during the three months ended</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1860" w:type="dxa"/>
            <w:vAlign w:val="bottom"/>
            <w:gridSpan w:val="2"/>
          </w:tcPr>
          <w:p>
            <w:pPr>
              <w:spacing w:after="0"/>
              <w:rPr>
                <w:sz w:val="15"/>
                <w:szCs w:val="15"/>
                <w:color w:val="auto"/>
              </w:rPr>
            </w:pPr>
          </w:p>
        </w:tc>
        <w:tc>
          <w:tcPr>
            <w:tcW w:w="8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6" w:name="page27"/>
    <w:bookmarkEnd w:id="26"/>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For the six months ended June 30, 2025, other operating income/(expense), net totaled less than CHF 0.1 million compared with CHF 0.1 million for the comparable period in 2024. This represents a CHF 0.1 million decrease. The following table presents the other operating income/(expense), net during the six months ended June 30, 2025 and 2024:</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decrease of CHF 0.1 million in grant income primarily derived from activities related to our Target ALS award that was completed prior to the start of the current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net finance result was a CHF 1.8 million loss compared with a CHF 1.8 million loss for the comparable period in 2024. The following table presents the net finance result during the three months ended June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84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June 30, 2025, the net finance result was largely consistent with the prior period overall.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small fluctuations in activity related to:</w:t>
      </w:r>
    </w:p>
    <w:p>
      <w:pPr>
        <w:spacing w:after="0" w:line="207" w:lineRule="exact"/>
        <w:rPr>
          <w:sz w:val="20"/>
          <w:szCs w:val="20"/>
          <w:color w:val="auto"/>
        </w:rPr>
      </w:pPr>
    </w:p>
    <w:p>
      <w:pPr>
        <w:jc w:val="both"/>
        <w:ind w:left="680" w:right="79" w:hanging="319"/>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CHF 2.2 million explained by unfavorable foreign currency exchange differences related to movement in the CHF versus foreign currencies, predominantly the US Dollar. This fluctuation was down CHF 0.3 million from prior year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80" w:right="159" w:hanging="319"/>
        <w:spacing w:after="0" w:line="282" w:lineRule="auto"/>
        <w:tabs>
          <w:tab w:leader="none" w:pos="7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financial income of CHF 0.3 million due to lower interest received on net investments in short-term financial assets, attributed to less deposits in 2025 compared to the prior period.</w:t>
      </w:r>
    </w:p>
    <w:p>
      <w:pPr>
        <w:spacing w:after="0" w:line="162" w:lineRule="exact"/>
        <w:rPr>
          <w:sz w:val="20"/>
          <w:szCs w:val="20"/>
          <w:color w:val="auto"/>
        </w:rPr>
      </w:pPr>
    </w:p>
    <w:p>
      <w:pPr>
        <w:ind w:left="60" w:right="539"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net finance result was a CHF 1.5 million loss compared with a CHF 0.4 million gain for the comparable period in 2024. This represents a decrease of CHF 1.9 million. The following table presents the net finance result during the six months ended June 30,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2025, the decrease of CHF 1.9 million in finance result, net primarily related to:</w:t>
      </w:r>
    </w:p>
    <w:p>
      <w:pPr>
        <w:spacing w:after="0" w:line="225" w:lineRule="exact"/>
        <w:rPr>
          <w:sz w:val="20"/>
          <w:szCs w:val="20"/>
          <w:color w:val="auto"/>
        </w:rPr>
      </w:pPr>
    </w:p>
    <w:p>
      <w:pPr>
        <w:ind w:left="680" w:right="379" w:hanging="319"/>
        <w:spacing w:after="0" w:line="312" w:lineRule="auto"/>
        <w:tabs>
          <w:tab w:leader="none" w:pos="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losses due to exchange differences of CHF 1.6 million due to unfavorable foreign currency exchange differences related to movement in the CHF versus foreign currencies, predominantly the US Dollar.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60" w:right="279" w:hanging="10"/>
        <w:spacing w:after="0" w:line="255"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 (v) acquire capital to support its operations. As of June 30, 2025, we had cash and cash equivalents of CHF 25.7 million and short-term financial assets of CHF 101.4 million for a total liquidity balance of CHF 127.1 million.</w:t>
      </w:r>
    </w:p>
    <w:p>
      <w:pPr>
        <w:spacing w:after="0" w:line="17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In December 2023, it was announced that Janssen has programmed the launch of a Phase 2b clinical study to evaluate ACI-35.030 (JNJ-2056)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the active immunotherapies, ACI-24.060 targeting Abeta in AD and AD in DS and ACI-7104.056 targeting a-syn in PD, through clinical development, as well as through investments in our diagnostic programs.</w:t>
      </w:r>
    </w:p>
    <w:p>
      <w:pPr>
        <w:spacing w:after="0" w:line="197"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plan to continue to fund our operating and capital funding needs through proceeds received from OLCAs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64.5) million through Jefferies acting as our sales agent.</w:t>
      </w:r>
    </w:p>
    <w:p>
      <w:pPr>
        <w:spacing w:after="0" w:line="17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first replaced this Sale Agreement in Q2 2021 to continue the ATM program and have subsequently replaced this Sale Agreement on August 6, 2024 to continue the ATM program under a new Registration Statement on Form F-3. Under each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w:t>
      </w:r>
    </w:p>
    <w:p>
      <w:pPr>
        <w:spacing w:after="0" w:line="18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will pay Jefferies a commission of up to 3.0% of the gross sales proceeds of any common shares sold through Jefferies under the new Sales Agreement. We are not obligated to make any sales of common shares under the new Sales Agreement. As of June 30, 2025, no sales of our common shares had been made under the ATM program since the Sale Agreement was replaced on August 6, 2024.</w:t>
      </w:r>
    </w:p>
    <w:p>
      <w:pPr>
        <w:spacing w:after="0" w:line="180" w:lineRule="exact"/>
        <w:rPr>
          <w:sz w:val="20"/>
          <w:szCs w:val="20"/>
          <w:color w:val="auto"/>
        </w:rPr>
      </w:pPr>
    </w:p>
    <w:p>
      <w:pPr>
        <w:ind w:left="60" w:right="859" w:firstLine="324"/>
        <w:spacing w:after="0" w:line="266" w:lineRule="auto"/>
        <w:rPr>
          <w:sz w:val="20"/>
          <w:szCs w:val="20"/>
          <w:color w:val="auto"/>
        </w:rPr>
      </w:pPr>
      <w:r>
        <w:rPr>
          <w:rFonts w:ascii="Times New Roman" w:cs="Times New Roman" w:eastAsia="Times New Roman" w:hAnsi="Times New Roman"/>
          <w:sz w:val="18"/>
          <w:szCs w:val="18"/>
          <w:color w:val="auto"/>
        </w:rPr>
        <w:t>We may also consider entering into additional LCAs and selectively partnering for clinical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8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38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CHF 34.4 million for the six months ended June 30, 2025, compared with net cash provided by operating activities of CHF 74.1 million for the six months ended June 30, 2024. The change in cash provided by operating activities for the six months ended June 30, 2025 was due to (i) the Company’s reporting a net loss of CHF 40.2 million for the period, compared with a net loss of CHF 40.6 million for the same period in 2024, (ii) an increase of CHF 91.6 million in deferred contract revenue, resulting from the receipt of the upfront payment from our agreement with Takeda in the prior period and (iii) the receipt of the CHF 14.8 million milestone payment from Janssen for the commencement of first Phase 2b clinical study in the prior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CHF 26.9 million for the six months ended June 30, 2025, compared with net cash used in investing activities of CHF 99.4 million for the six months ended June 30, 2024. The change is primarily comprised of a net investment of CHF 99.0 million in short-term financial assets in the prior period compared to a net maturation of CHF 27.8 million in the current period.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CHF 0.5 million for the six months ended June 30, 2025, compared with net cash used in financing activities of CHF 0.8 million for the six months ended June 30, 2024. The change of CHF 0.3 million is primarily related to CHF 0.5 million paid for transaction in the prior period, offset by an increase of CHF 0.2 million paid related to principal payments of lease obligations.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or we obtain regulatory approval of, and successfully commercialize, our current or any future product candidates. As of June 30, 2025, we had cash and cash equivalents of CHF 25.7 million and short-term financial assets of CHF 101.4 million, resulting in CHF 127.1 million of liquidity. The decrease of CHF 38.4 million relative to December 31, 2024 was predominantly related to R&amp;D spending on our major discovery and R&amp;D programs, the strengthening of the Company’s infrastructure, systems and organization and other operating expenditures. We believe that our existing capital resources, assuming no other milestone payments, will be sufficient to meet our projected operating requirements into Q1 2027. There can be no certainty as to the exact timing of future milestone payments (including option exercise fees), or in fact, whether any of these will ever be made, given that they are contingent on clear milestones being reached.</w:t>
      </w:r>
    </w:p>
    <w:p>
      <w:pPr>
        <w:spacing w:after="0" w:line="19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700" w:right="559" w:hanging="32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material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339" w:lineRule="exact"/>
        <w:rPr>
          <w:sz w:val="20"/>
          <w:szCs w:val="20"/>
          <w:color w:val="auto"/>
        </w:rPr>
      </w:pPr>
    </w:p>
    <w:p>
      <w:pPr>
        <w:jc w:val="center"/>
        <w:ind w:left="60" w:right="79"/>
        <w:spacing w:after="0" w:line="321" w:lineRule="auto"/>
        <w:rPr>
          <w:sz w:val="20"/>
          <w:szCs w:val="20"/>
          <w:color w:val="auto"/>
        </w:rPr>
      </w:pPr>
      <w:r>
        <w:rPr>
          <w:rFonts w:ascii="Arial" w:cs="Arial" w:eastAsia="Arial" w:hAnsi="Arial"/>
          <w:sz w:val="25"/>
          <w:szCs w:val="25"/>
          <w:b w:val="1"/>
          <w:bCs w:val="1"/>
          <w:color w:val="auto"/>
        </w:rPr>
        <w:t>AC Immune Reports Second Quarter 2025 Financial Results and Provides a Corporate Update</w:t>
      </w:r>
    </w:p>
    <w:p>
      <w:pPr>
        <w:spacing w:after="0" w:line="60" w:lineRule="exact"/>
        <w:rPr>
          <w:sz w:val="20"/>
          <w:szCs w:val="20"/>
          <w:color w:val="auto"/>
        </w:rPr>
      </w:pPr>
    </w:p>
    <w:p>
      <w:pPr>
        <w:ind w:left="680" w:right="599" w:hanging="319"/>
        <w:spacing w:after="0" w:line="374" w:lineRule="auto"/>
        <w:tabs>
          <w:tab w:leader="none" w:pos="6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Three active immunotherapies for precision prevention of neurodegeneration progressing through Phase 2 clinical development</w:t>
      </w:r>
    </w:p>
    <w:p>
      <w:pPr>
        <w:spacing w:after="0" w:line="1" w:lineRule="exact"/>
        <w:rPr>
          <w:rFonts w:ascii="Times New Roman" w:cs="Times New Roman" w:eastAsia="Times New Roman" w:hAnsi="Times New Roman"/>
          <w:sz w:val="18"/>
          <w:szCs w:val="18"/>
          <w:color w:val="auto"/>
        </w:rPr>
      </w:pPr>
    </w:p>
    <w:p>
      <w:pPr>
        <w:ind w:left="680" w:right="599" w:hanging="319"/>
        <w:spacing w:after="0" w:line="375" w:lineRule="auto"/>
        <w:tabs>
          <w:tab w:leader="none" w:pos="6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ACI-7104.056 anti-alpha-synuclein active immunotherapy in Parkinson’s disease produced strong immunogenicity and favorable safety profile in interim results from the ongoing Phase 2 VacSYn reported in April, with further data to come in H2 2025</w:t>
      </w:r>
    </w:p>
    <w:p>
      <w:pPr>
        <w:ind w:left="680" w:right="319" w:hanging="319"/>
        <w:spacing w:after="0" w:line="374" w:lineRule="auto"/>
        <w:tabs>
          <w:tab w:leader="none" w:pos="6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Third Alzheimer’s disease cohort (AD3) in the Phase 2 ABATE trial of anti-Abeta ACI-24.060 to reach 12 months of treatment in December 2025, with interim results expected early 2026</w:t>
      </w:r>
    </w:p>
    <w:p>
      <w:pPr>
        <w:spacing w:after="0" w:line="1" w:lineRule="exact"/>
        <w:rPr>
          <w:rFonts w:ascii="Times New Roman" w:cs="Times New Roman" w:eastAsia="Times New Roman" w:hAnsi="Times New Roman"/>
          <w:sz w:val="18"/>
          <w:szCs w:val="18"/>
          <w:color w:val="auto"/>
        </w:rPr>
      </w:pPr>
    </w:p>
    <w:p>
      <w:pPr>
        <w:ind w:left="680" w:right="659" w:hanging="319"/>
        <w:spacing w:after="0" w:line="374" w:lineRule="auto"/>
        <w:tabs>
          <w:tab w:leader="none" w:pos="6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NLRP3 program now in IND-enabling studies, highlighting promise in early-stage pipeline</w:t>
      </w:r>
    </w:p>
    <w:p>
      <w:pPr>
        <w:spacing w:after="0" w:line="1" w:lineRule="exact"/>
        <w:rPr>
          <w:rFonts w:ascii="Times New Roman" w:cs="Times New Roman" w:eastAsia="Times New Roman" w:hAnsi="Times New Roman"/>
          <w:sz w:val="18"/>
          <w:szCs w:val="18"/>
          <w:color w:val="auto"/>
        </w:rPr>
      </w:pPr>
    </w:p>
    <w:p>
      <w:pPr>
        <w:ind w:left="680" w:right="199" w:hanging="319"/>
        <w:spacing w:after="0" w:line="411" w:lineRule="auto"/>
        <w:tabs>
          <w:tab w:leader="none" w:pos="6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Cash resources of CHF 127.1 million (USD 157.6 million) as of June 30, 2025, provide funding into Q1 2027 excluding any potential milestone payments</w:t>
      </w:r>
    </w:p>
    <w:p>
      <w:pPr>
        <w:spacing w:after="0" w:line="167" w:lineRule="exact"/>
        <w:rPr>
          <w:sz w:val="20"/>
          <w:szCs w:val="20"/>
          <w:color w:val="auto"/>
        </w:rPr>
      </w:pPr>
    </w:p>
    <w:p>
      <w:pPr>
        <w:ind w:left="60" w:right="199"/>
        <w:spacing w:after="0" w:line="394" w:lineRule="auto"/>
        <w:rPr>
          <w:sz w:val="20"/>
          <w:szCs w:val="20"/>
          <w:color w:val="auto"/>
        </w:rPr>
      </w:pPr>
      <w:r>
        <w:rPr>
          <w:rFonts w:ascii="Arial" w:cs="Arial" w:eastAsia="Arial" w:hAnsi="Arial"/>
          <w:sz w:val="18"/>
          <w:szCs w:val="18"/>
          <w:b w:val="1"/>
          <w:bCs w:val="1"/>
          <w:color w:val="auto"/>
        </w:rPr>
        <w:t xml:space="preserve">Lausanne, Switzerland, August 5, 2025 -- </w:t>
      </w:r>
      <w:r>
        <w:rPr>
          <w:rFonts w:ascii="Arial" w:cs="Arial" w:eastAsia="Arial" w:hAnsi="Arial"/>
          <w:sz w:val="18"/>
          <w:szCs w:val="18"/>
          <w:color w:val="auto"/>
        </w:rPr>
        <w:t>AC Immune SA (NASDAQ: ACIU),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pioneering precision therapeutics for neurodegenerative diseases, today reported results for the quarter ended June 30, 2025, and provided a corporate update.</w:t>
      </w:r>
    </w:p>
    <w:p>
      <w:pPr>
        <w:spacing w:after="0" w:line="47" w:lineRule="exact"/>
        <w:rPr>
          <w:sz w:val="20"/>
          <w:szCs w:val="20"/>
          <w:color w:val="auto"/>
        </w:rPr>
      </w:pPr>
    </w:p>
    <w:p>
      <w:pPr>
        <w:ind w:left="60" w:right="119"/>
        <w:spacing w:after="0" w:line="377"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“AC Immune is continuing to progress toward</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prevention of neurodegenerative diseases as we approach multiple value-inflection points through the rest of 2025 and beyond. Our industry symposium during the AD/PD™ conference focused on unlocking active immunotherapy for tailored prevention strategies highlighted the momentum of our three active immunotherapies in Phase 2 development. Interim results on ACI-7104.056, our wholly owned a-syn active immunotherapy, reinforced its best-in-class characteristics, showing strong immunogenicity and a favorable safety profile in early Parkinson’s disease. The two partnered programs, ACI-24.060 and ACI-35.030, are also progressing according to plan. In addition, our Morphomer® small molecule drugs targeting a-syn and tau and Morphomer®-antibody drug conjugates (morADC) were featured in several presentations at AD/PD™ 2025. In our exciting early-stage pipeline, ACI-19764, a novel Morphomer® small molecule inhibitor of NLRP3, has now entered studies to enable an Investigational New Drug (IND) filing.</w:t>
      </w:r>
    </w:p>
    <w:p>
      <w:pPr>
        <w:spacing w:after="0" w:line="82" w:lineRule="exact"/>
        <w:rPr>
          <w:sz w:val="20"/>
          <w:szCs w:val="20"/>
          <w:color w:val="auto"/>
        </w:rPr>
      </w:pPr>
    </w:p>
    <w:p>
      <w:pPr>
        <w:ind w:left="60" w:right="59"/>
        <w:spacing w:after="0" w:line="381" w:lineRule="auto"/>
        <w:rPr>
          <w:sz w:val="20"/>
          <w:szCs w:val="20"/>
          <w:color w:val="auto"/>
        </w:rPr>
      </w:pPr>
      <w:r>
        <w:rPr>
          <w:rFonts w:ascii="Arial" w:cs="Arial" w:eastAsia="Arial" w:hAnsi="Arial"/>
          <w:sz w:val="18"/>
          <w:szCs w:val="18"/>
          <w:color w:val="auto"/>
        </w:rPr>
        <w:t>“Our strong cash position provides funding into 2027, excluding potential milestone payments, and enables us to advance our robust pipeline focused on precision prevention of neurodegenerative diseases. Further interim results from Part 1 of the VacSYn trial of ACI-7104.056 are expected later this year, and the AD3 cohort in the ABATE trial of ACI-24.060 will reach 12 months of treatment around year end, with interim results thereafter. We also expect to file an IND for ACI-19764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708660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b w:val="1"/>
          <w:bCs w:val="1"/>
          <w:color w:val="auto"/>
        </w:rPr>
        <w:t>Q2 2025 and Subsequent Highlights:</w:t>
      </w:r>
    </w:p>
    <w:p>
      <w:pPr>
        <w:spacing w:after="0" w:line="225" w:lineRule="exact"/>
        <w:rPr>
          <w:sz w:val="20"/>
          <w:szCs w:val="20"/>
          <w:color w:val="auto"/>
        </w:rPr>
      </w:pPr>
    </w:p>
    <w:p>
      <w:pPr>
        <w:ind w:left="760" w:right="179" w:hanging="332"/>
        <w:spacing w:after="0" w:line="369" w:lineRule="auto"/>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Reported interim safety and positive immunogenicity data from the Phase 2 VacSYn clinical trial evaluating ACI-7104.056, AC Immune’s wholly owned anti-a-syn active immunotherapy candidate, for the treatment of patients with early PD.</w:t>
      </w:r>
    </w:p>
    <w:p>
      <w:pPr>
        <w:spacing w:after="0" w:line="1" w:lineRule="exact"/>
        <w:rPr>
          <w:rFonts w:ascii="Times New Roman" w:cs="Times New Roman" w:eastAsia="Times New Roman" w:hAnsi="Times New Roman"/>
          <w:sz w:val="18"/>
          <w:szCs w:val="18"/>
          <w:color w:val="auto"/>
        </w:rPr>
      </w:pPr>
    </w:p>
    <w:p>
      <w:pPr>
        <w:ind w:left="1040" w:right="119" w:hanging="243"/>
        <w:spacing w:after="0" w:line="34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As presented at</w:t>
      </w:r>
      <w:r>
        <w:rPr>
          <w:rFonts w:ascii="Courier New" w:cs="Courier New" w:eastAsia="Courier New" w:hAnsi="Courier New"/>
          <w:sz w:val="18"/>
          <w:szCs w:val="18"/>
          <w:color w:val="auto"/>
        </w:rPr>
        <w:t xml:space="preserve"> </w:t>
      </w:r>
      <w:r>
        <w:rPr>
          <w:rFonts w:ascii="Arial" w:cs="Arial" w:eastAsia="Arial" w:hAnsi="Arial"/>
          <w:sz w:val="18"/>
          <w:szCs w:val="18"/>
          <w:u w:val="single" w:color="auto"/>
          <w:color w:val="467886"/>
        </w:rPr>
        <w:t>AD/PD™ 2025</w:t>
      </w:r>
      <w:r>
        <w:rPr>
          <w:rFonts w:ascii="Arial" w:cs="Arial" w:eastAsia="Arial" w:hAnsi="Arial"/>
          <w:sz w:val="18"/>
          <w:szCs w:val="18"/>
          <w:color w:val="auto"/>
        </w:rPr>
        <w:t>, treatment with ACI-7104.056 induced an average 20-fold increase</w:t>
      </w:r>
      <w:r>
        <w:rPr>
          <w:rFonts w:ascii="Courier New" w:cs="Courier New" w:eastAsia="Courier New" w:hAnsi="Courier New"/>
          <w:sz w:val="18"/>
          <w:szCs w:val="18"/>
          <w:color w:val="auto"/>
        </w:rPr>
        <w:t xml:space="preserve"> </w:t>
      </w:r>
      <w:r>
        <w:rPr>
          <w:rFonts w:ascii="Arial" w:cs="Arial" w:eastAsia="Arial" w:hAnsi="Arial"/>
          <w:sz w:val="18"/>
          <w:szCs w:val="18"/>
          <w:color w:val="auto"/>
        </w:rPr>
        <w:t>in anti-a-syn antibodies after four immunizations compared to placebo background level.</w:t>
      </w:r>
    </w:p>
    <w:p>
      <w:pPr>
        <w:spacing w:after="0" w:line="1" w:lineRule="exact"/>
        <w:rPr>
          <w:rFonts w:ascii="Times New Roman" w:cs="Times New Roman" w:eastAsia="Times New Roman" w:hAnsi="Times New Roman"/>
          <w:sz w:val="18"/>
          <w:szCs w:val="18"/>
          <w:color w:val="auto"/>
        </w:rPr>
      </w:pPr>
    </w:p>
    <w:p>
      <w:pPr>
        <w:ind w:left="1040" w:right="99" w:hanging="243"/>
        <w:spacing w:after="0" w:line="3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Based on pharmacodynamic and biomarker interim results to be reported later this year, AC</w:t>
      </w:r>
      <w:r>
        <w:rPr>
          <w:rFonts w:ascii="Courier New" w:cs="Courier New" w:eastAsia="Courier New" w:hAnsi="Courier New"/>
          <w:sz w:val="18"/>
          <w:szCs w:val="18"/>
          <w:color w:val="auto"/>
        </w:rPr>
        <w:t xml:space="preserve"> </w:t>
      </w:r>
      <w:r>
        <w:rPr>
          <w:rFonts w:ascii="Arial" w:cs="Arial" w:eastAsia="Arial" w:hAnsi="Arial"/>
          <w:sz w:val="18"/>
          <w:szCs w:val="18"/>
          <w:color w:val="auto"/>
        </w:rPr>
        <w:t>Immune may decide to initiate Part 2 of VacSYn, with the aim of establishing early proof-of-concept and identification of disease-specific biomarkers for rapid transition into a pivotal study.</w:t>
      </w:r>
    </w:p>
    <w:p>
      <w:pPr>
        <w:spacing w:after="0" w:line="1" w:lineRule="exact"/>
        <w:rPr>
          <w:rFonts w:ascii="Times New Roman" w:cs="Times New Roman" w:eastAsia="Times New Roman" w:hAnsi="Times New Roman"/>
          <w:sz w:val="18"/>
          <w:szCs w:val="18"/>
          <w:color w:val="auto"/>
        </w:rPr>
      </w:pPr>
    </w:p>
    <w:p>
      <w:pPr>
        <w:ind w:left="760" w:right="119" w:hanging="332"/>
        <w:spacing w:after="0" w:line="374" w:lineRule="auto"/>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AC Immune’s therapeutic and diagnostic programs were featured in </w:t>
      </w:r>
      <w:r>
        <w:rPr>
          <w:rFonts w:ascii="Arial" w:cs="Arial" w:eastAsia="Arial" w:hAnsi="Arial"/>
          <w:sz w:val="18"/>
          <w:szCs w:val="18"/>
          <w:u w:val="single" w:color="auto"/>
          <w:color w:val="467886"/>
        </w:rPr>
        <w:t>multiple presentations at AD/PD™</w:t>
      </w:r>
      <w:r>
        <w:rPr>
          <w:rFonts w:ascii="Arial" w:cs="Arial" w:eastAsia="Arial" w:hAnsi="Arial"/>
          <w:sz w:val="18"/>
          <w:szCs w:val="18"/>
          <w:color w:val="auto"/>
        </w:rPr>
        <w:t xml:space="preserve"> </w:t>
      </w:r>
      <w:r>
        <w:rPr>
          <w:rFonts w:ascii="Arial" w:cs="Arial" w:eastAsia="Arial" w:hAnsi="Arial"/>
          <w:sz w:val="18"/>
          <w:szCs w:val="18"/>
          <w:u w:val="single" w:color="auto"/>
          <w:color w:val="467886"/>
        </w:rPr>
        <w:t>2025</w:t>
      </w:r>
      <w:r>
        <w:rPr>
          <w:rFonts w:ascii="Arial" w:cs="Arial" w:eastAsia="Arial" w:hAnsi="Arial"/>
          <w:sz w:val="18"/>
          <w:szCs w:val="18"/>
          <w:color w:val="000000"/>
        </w:rPr>
        <w:t>.</w:t>
      </w:r>
    </w:p>
    <w:p>
      <w:pPr>
        <w:spacing w:after="0" w:line="1" w:lineRule="exact"/>
        <w:rPr>
          <w:rFonts w:ascii="Times New Roman" w:cs="Times New Roman" w:eastAsia="Times New Roman" w:hAnsi="Times New Roman"/>
          <w:sz w:val="18"/>
          <w:szCs w:val="18"/>
          <w:color w:val="auto"/>
        </w:rPr>
      </w:pPr>
    </w:p>
    <w:p>
      <w:pPr>
        <w:ind w:left="760" w:right="479" w:hanging="332"/>
        <w:spacing w:after="0" w:line="411" w:lineRule="auto"/>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AC Immune hosted an </w:t>
      </w:r>
      <w:r>
        <w:rPr>
          <w:rFonts w:ascii="Arial" w:cs="Arial" w:eastAsia="Arial" w:hAnsi="Arial"/>
          <w:sz w:val="18"/>
          <w:szCs w:val="18"/>
          <w:u w:val="single" w:color="auto"/>
          <w:color w:val="467886"/>
        </w:rPr>
        <w:t>industry symposium</w:t>
      </w:r>
      <w:r>
        <w:rPr>
          <w:rFonts w:ascii="Arial" w:cs="Arial" w:eastAsia="Arial" w:hAnsi="Arial"/>
          <w:sz w:val="18"/>
          <w:szCs w:val="18"/>
          <w:color w:val="auto"/>
        </w:rPr>
        <w:t xml:space="preserve"> highlighting the company’s industry-leading pipeline of active immunotherapies for precision prevention of neurodegenerative diseases.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Anticipated 2025 Milestones</w:t>
      </w:r>
    </w:p>
    <w:p>
      <w:pPr>
        <w:spacing w:after="0" w:line="323" w:lineRule="exact"/>
        <w:rPr>
          <w:sz w:val="20"/>
          <w:szCs w:val="20"/>
          <w:color w:val="auto"/>
        </w:rPr>
      </w:pPr>
    </w:p>
    <w:tbl>
      <w:tblPr>
        <w:tblLayout w:type="fixed"/>
        <w:tblInd w:w="50" w:type="dxa"/>
        <w:tblCellMar>
          <w:top w:w="0" w:type="dxa"/>
          <w:left w:w="0" w:type="dxa"/>
          <w:bottom w:w="0" w:type="dxa"/>
          <w:right w:w="0" w:type="dxa"/>
        </w:tblCellMar>
      </w:tblPr>
      <w:tr>
        <w:trPr>
          <w:trHeight w:val="336"/>
        </w:trPr>
        <w:tc>
          <w:tcPr>
            <w:tcW w:w="2240" w:type="dxa"/>
            <w:vAlign w:val="bottom"/>
            <w:tcBorders>
              <w:top w:val="single" w:sz="8" w:color="CCCCCC"/>
              <w:left w:val="single" w:sz="8" w:color="CCCCCC"/>
              <w:right w:val="single" w:sz="8" w:color="CCCCCC"/>
            </w:tcBorders>
          </w:tcPr>
          <w:p>
            <w:pPr>
              <w:ind w:left="80"/>
              <w:spacing w:after="0"/>
              <w:rPr>
                <w:sz w:val="20"/>
                <w:szCs w:val="20"/>
                <w:color w:val="auto"/>
              </w:rPr>
            </w:pPr>
            <w:r>
              <w:rPr>
                <w:rFonts w:ascii="Arial" w:cs="Arial" w:eastAsia="Arial" w:hAnsi="Arial"/>
                <w:sz w:val="18"/>
                <w:szCs w:val="18"/>
                <w:b w:val="1"/>
                <w:bCs w:val="1"/>
                <w:color w:val="auto"/>
              </w:rPr>
              <w:t>Program</w:t>
            </w:r>
          </w:p>
        </w:tc>
        <w:tc>
          <w:tcPr>
            <w:tcW w:w="552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b w:val="1"/>
                <w:bCs w:val="1"/>
                <w:color w:val="auto"/>
              </w:rPr>
              <w:t>Milestone</w:t>
            </w:r>
          </w:p>
        </w:tc>
        <w:tc>
          <w:tcPr>
            <w:tcW w:w="1160" w:type="dxa"/>
            <w:vAlign w:val="bottom"/>
            <w:tcBorders>
              <w:top w:val="single" w:sz="8" w:color="CCCCCC"/>
              <w:right w:val="single" w:sz="8" w:color="CCCCCC"/>
            </w:tcBorders>
          </w:tcPr>
          <w:p>
            <w:pPr>
              <w:ind w:left="40"/>
              <w:spacing w:after="0"/>
              <w:rPr>
                <w:sz w:val="20"/>
                <w:szCs w:val="20"/>
                <w:color w:val="auto"/>
              </w:rPr>
            </w:pPr>
            <w:r>
              <w:rPr>
                <w:rFonts w:ascii="Arial" w:cs="Arial" w:eastAsia="Arial" w:hAnsi="Arial"/>
                <w:sz w:val="18"/>
                <w:szCs w:val="18"/>
                <w:b w:val="1"/>
                <w:bCs w:val="1"/>
                <w:color w:val="auto"/>
              </w:rPr>
              <w:t>Expected in</w:t>
            </w:r>
          </w:p>
        </w:tc>
      </w:tr>
      <w:tr>
        <w:trPr>
          <w:trHeight w:val="177"/>
        </w:trPr>
        <w:tc>
          <w:tcPr>
            <w:tcW w:w="2240" w:type="dxa"/>
            <w:vAlign w:val="bottom"/>
            <w:tcBorders>
              <w:left w:val="single" w:sz="8" w:color="CCCCCC"/>
              <w:bottom w:val="single" w:sz="8" w:color="CCCCCC"/>
              <w:right w:val="single" w:sz="8" w:color="CCCCCC"/>
            </w:tcBorders>
          </w:tcPr>
          <w:p>
            <w:pPr>
              <w:spacing w:after="0"/>
              <w:rPr>
                <w:sz w:val="15"/>
                <w:szCs w:val="15"/>
                <w:color w:val="auto"/>
              </w:rPr>
            </w:pPr>
          </w:p>
        </w:tc>
        <w:tc>
          <w:tcPr>
            <w:tcW w:w="5520" w:type="dxa"/>
            <w:vAlign w:val="bottom"/>
            <w:tcBorders>
              <w:bottom w:val="single" w:sz="8" w:color="CCCCCC"/>
              <w:right w:val="single" w:sz="8" w:color="CCCCCC"/>
            </w:tcBorders>
          </w:tcPr>
          <w:p>
            <w:pPr>
              <w:spacing w:after="0"/>
              <w:rPr>
                <w:sz w:val="15"/>
                <w:szCs w:val="15"/>
                <w:color w:val="auto"/>
              </w:rPr>
            </w:pPr>
          </w:p>
        </w:tc>
        <w:tc>
          <w:tcPr>
            <w:tcW w:w="1160" w:type="dxa"/>
            <w:vAlign w:val="bottom"/>
            <w:tcBorders>
              <w:bottom w:val="single" w:sz="8" w:color="CCCCCC"/>
              <w:right w:val="single" w:sz="8" w:color="CCCCCC"/>
            </w:tcBorders>
          </w:tcPr>
          <w:p>
            <w:pPr>
              <w:spacing w:after="0"/>
              <w:rPr>
                <w:sz w:val="15"/>
                <w:szCs w:val="15"/>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ACI-24.060</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ABATE Phase 2 trial reaches 12-month treatment timepoint in the</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anti-Abeta active</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AD3 cohort by year end (with interim results reported thereafter)</w:t>
            </w:r>
          </w:p>
        </w:tc>
        <w:tc>
          <w:tcPr>
            <w:tcW w:w="1160" w:type="dxa"/>
            <w:vAlign w:val="bottom"/>
            <w:tcBorders>
              <w:right w:val="single" w:sz="8" w:color="CCCCCC"/>
            </w:tcBorders>
          </w:tcPr>
          <w:p>
            <w:pPr>
              <w:spacing w:after="0"/>
              <w:rPr>
                <w:sz w:val="22"/>
                <w:szCs w:val="22"/>
                <w:color w:val="auto"/>
              </w:rPr>
            </w:pPr>
          </w:p>
        </w:tc>
      </w:tr>
      <w:tr>
        <w:trPr>
          <w:trHeight w:val="256"/>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ACI-7104.056</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Interim pharmacodynamic and biomarker results from Part 1 of</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anti-a-syn active</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Phase 2 VacSYn trial in PD</w:t>
            </w:r>
          </w:p>
        </w:tc>
        <w:tc>
          <w:tcPr>
            <w:tcW w:w="1160" w:type="dxa"/>
            <w:vAlign w:val="bottom"/>
            <w:tcBorders>
              <w:right w:val="single" w:sz="8" w:color="CCCCCC"/>
            </w:tcBorders>
          </w:tcPr>
          <w:p>
            <w:pPr>
              <w:spacing w:after="0"/>
              <w:rPr>
                <w:sz w:val="22"/>
                <w:szCs w:val="22"/>
                <w:color w:val="auto"/>
              </w:rPr>
            </w:pPr>
          </w:p>
        </w:tc>
      </w:tr>
      <w:tr>
        <w:trPr>
          <w:trHeight w:val="256"/>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ACI-19764</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IND/CTA filing</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Small molecule NLRP3</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256"/>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inhibitor</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TDP-43</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Validated pharmacodynamic assay for clinical readout</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monoclonal antibody</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Morphomer-Tau</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 and initiation of IND-enabling studies</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aggregation inhibitors</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 a-syn</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aggregation inhibitor</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TDP-43-PET tracer</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Initial Phase 1 readout</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308"/>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ACI-15916</w:t>
            </w:r>
          </w:p>
        </w:tc>
        <w:tc>
          <w:tcPr>
            <w:tcW w:w="552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Phase 1 readout in Parkinson’s disease (PD)</w:t>
            </w:r>
          </w:p>
        </w:tc>
        <w:tc>
          <w:tcPr>
            <w:tcW w:w="1160" w:type="dxa"/>
            <w:vAlign w:val="bottom"/>
            <w:tcBorders>
              <w:right w:val="single" w:sz="8" w:color="CCCCCC"/>
            </w:tcBorders>
          </w:tcPr>
          <w:p>
            <w:pPr>
              <w:ind w:left="40"/>
              <w:spacing w:after="0"/>
              <w:rPr>
                <w:sz w:val="20"/>
                <w:szCs w:val="20"/>
                <w:color w:val="auto"/>
              </w:rPr>
            </w:pPr>
            <w:r>
              <w:rPr>
                <w:rFonts w:ascii="Arial" w:cs="Arial" w:eastAsia="Arial" w:hAnsi="Arial"/>
                <w:sz w:val="18"/>
                <w:szCs w:val="18"/>
                <w:color w:val="auto"/>
              </w:rPr>
              <w:t>H2 2025</w:t>
            </w:r>
          </w:p>
        </w:tc>
      </w:tr>
      <w:tr>
        <w:trPr>
          <w:trHeight w:val="257"/>
        </w:trPr>
        <w:tc>
          <w:tcPr>
            <w:tcW w:w="224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a-syn-PET tracer</w:t>
            </w:r>
          </w:p>
        </w:tc>
        <w:tc>
          <w:tcPr>
            <w:tcW w:w="5520" w:type="dxa"/>
            <w:vAlign w:val="bottom"/>
            <w:tcBorders>
              <w:right w:val="single" w:sz="8" w:color="CCCCCC"/>
            </w:tcBorders>
          </w:tcPr>
          <w:p>
            <w:pPr>
              <w:spacing w:after="0"/>
              <w:rPr>
                <w:sz w:val="22"/>
                <w:szCs w:val="22"/>
                <w:color w:val="auto"/>
              </w:rPr>
            </w:pPr>
          </w:p>
        </w:tc>
        <w:tc>
          <w:tcPr>
            <w:tcW w:w="1160" w:type="dxa"/>
            <w:vAlign w:val="bottom"/>
            <w:tcBorders>
              <w:right w:val="single" w:sz="8" w:color="CCCCCC"/>
            </w:tcBorders>
          </w:tcPr>
          <w:p>
            <w:pPr>
              <w:spacing w:after="0"/>
              <w:rPr>
                <w:sz w:val="22"/>
                <w:szCs w:val="22"/>
                <w:color w:val="auto"/>
              </w:rPr>
            </w:pPr>
          </w:p>
        </w:tc>
      </w:tr>
      <w:tr>
        <w:trPr>
          <w:trHeight w:val="77"/>
        </w:trPr>
        <w:tc>
          <w:tcPr>
            <w:tcW w:w="2240" w:type="dxa"/>
            <w:vAlign w:val="bottom"/>
            <w:tcBorders>
              <w:left w:val="single" w:sz="8" w:color="CCCCCC"/>
              <w:bottom w:val="single" w:sz="8" w:color="CCCCCC"/>
              <w:right w:val="single" w:sz="8" w:color="CCCCCC"/>
            </w:tcBorders>
          </w:tcPr>
          <w:p>
            <w:pPr>
              <w:spacing w:after="0"/>
              <w:rPr>
                <w:sz w:val="6"/>
                <w:szCs w:val="6"/>
                <w:color w:val="auto"/>
              </w:rPr>
            </w:pPr>
          </w:p>
        </w:tc>
        <w:tc>
          <w:tcPr>
            <w:tcW w:w="5520" w:type="dxa"/>
            <w:vAlign w:val="bottom"/>
            <w:tcBorders>
              <w:bottom w:val="single" w:sz="8" w:color="CCCCCC"/>
              <w:right w:val="single" w:sz="8" w:color="CCCCCC"/>
            </w:tcBorders>
          </w:tcPr>
          <w:p>
            <w:pPr>
              <w:spacing w:after="0"/>
              <w:rPr>
                <w:sz w:val="6"/>
                <w:szCs w:val="6"/>
                <w:color w:val="auto"/>
              </w:rPr>
            </w:pPr>
          </w:p>
        </w:tc>
        <w:tc>
          <w:tcPr>
            <w:tcW w:w="1160" w:type="dxa"/>
            <w:vAlign w:val="bottom"/>
            <w:tcBorders>
              <w:bottom w:val="single" w:sz="8" w:color="CCCCCC"/>
              <w:right w:val="single" w:sz="8" w:color="CCCCCC"/>
            </w:tcBorders>
          </w:tcPr>
          <w:p>
            <w:pPr>
              <w:spacing w:after="0"/>
              <w:rPr>
                <w:sz w:val="6"/>
                <w:szCs w:val="6"/>
                <w:color w:val="auto"/>
              </w:rPr>
            </w:pPr>
          </w:p>
        </w:tc>
      </w:tr>
      <w:tr>
        <w:trPr>
          <w:trHeight w:val="1445"/>
        </w:trPr>
        <w:tc>
          <w:tcPr>
            <w:tcW w:w="22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75"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Analysis of Financial Statements for the Quarter Ended June 30, 2025</w:t>
      </w:r>
    </w:p>
    <w:p>
      <w:pPr>
        <w:spacing w:after="0" w:line="180" w:lineRule="exact"/>
        <w:rPr>
          <w:sz w:val="20"/>
          <w:szCs w:val="20"/>
          <w:color w:val="auto"/>
        </w:rPr>
      </w:pPr>
    </w:p>
    <w:p>
      <w:pPr>
        <w:ind w:left="680" w:right="79"/>
        <w:spacing w:after="0" w:line="335"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127.1 million (CHF 165.5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 composed of CHF 25.7 million in cash and cash equivalents and CHF 101.4 million in short-term financial assets. The Company’s cash balance provides sufficient capital resources into Q1 2027, excluding potential milestone payments.</w:t>
      </w:r>
    </w:p>
    <w:p>
      <w:pPr>
        <w:spacing w:after="0" w:line="72" w:lineRule="exact"/>
        <w:rPr>
          <w:sz w:val="20"/>
          <w:szCs w:val="20"/>
          <w:color w:val="auto"/>
        </w:rPr>
      </w:pPr>
    </w:p>
    <w:p>
      <w:pPr>
        <w:ind w:left="680" w:right="79"/>
        <w:spacing w:after="0" w:line="335" w:lineRule="auto"/>
        <w:rPr>
          <w:sz w:val="20"/>
          <w:szCs w:val="20"/>
          <w:color w:val="auto"/>
        </w:rPr>
      </w:pPr>
      <w:r>
        <w:rPr>
          <w:rFonts w:ascii="Arial" w:cs="Arial" w:eastAsia="Arial" w:hAnsi="Arial"/>
          <w:sz w:val="18"/>
          <w:szCs w:val="18"/>
          <w:b w:val="1"/>
          <w:bCs w:val="1"/>
          <w:color w:val="auto"/>
        </w:rPr>
        <w:t xml:space="preserve">Contract Revenues: </w:t>
      </w:r>
      <w:r>
        <w:rPr>
          <w:rFonts w:ascii="Arial" w:cs="Arial" w:eastAsia="Arial" w:hAnsi="Arial"/>
          <w:sz w:val="18"/>
          <w:szCs w:val="18"/>
          <w:color w:val="auto"/>
        </w:rPr>
        <w:t>The Company recorded CHF 1.3 million in contract revenues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2025, compared to CHF 0.7 million in the comparable prior period. For the three months ended June 30, 2025, our contract revenues of CHF 1.3 million were related to the efforts made under the agreement with Takeda.</w:t>
      </w:r>
    </w:p>
    <w:p>
      <w:pPr>
        <w:spacing w:after="0" w:line="72" w:lineRule="exact"/>
        <w:rPr>
          <w:sz w:val="20"/>
          <w:szCs w:val="20"/>
          <w:color w:val="auto"/>
        </w:rPr>
      </w:pPr>
    </w:p>
    <w:p>
      <w:pPr>
        <w:ind w:left="680" w:right="79"/>
        <w:spacing w:after="0" w:line="330" w:lineRule="auto"/>
        <w:rPr>
          <w:sz w:val="20"/>
          <w:szCs w:val="20"/>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for the three months ended June 30, 2025, were CHF 16.8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CHF 17.1 million in the comparable period in 2024. The decrease was primarily due to reduced activity in early-stage discovery programs, as well as lower expenses incurred on ACI-7104.056. These reductions were offset by higher costs in the Morphomer Inflammasome program (ACI-19764).</w:t>
      </w:r>
    </w:p>
    <w:p>
      <w:pPr>
        <w:spacing w:after="0" w:line="75" w:lineRule="exact"/>
        <w:rPr>
          <w:sz w:val="20"/>
          <w:szCs w:val="20"/>
          <w:color w:val="auto"/>
        </w:rPr>
      </w:pPr>
    </w:p>
    <w:p>
      <w:pPr>
        <w:ind w:left="680" w:right="79"/>
        <w:spacing w:after="0" w:line="335" w:lineRule="auto"/>
        <w:rPr>
          <w:sz w:val="20"/>
          <w:szCs w:val="20"/>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G&amp;A expenses, in comparison to the comparable period in 2024, decreased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CHF 0.7 million to CHF 3.9 million for the 3 months ended June, 30, 2025. The decrease was primarily driven by a decrease in legal fees related to business development and licensing activities which were executed in the prior period.</w:t>
      </w:r>
    </w:p>
    <w:p>
      <w:pPr>
        <w:spacing w:after="0" w:line="72" w:lineRule="exact"/>
        <w:rPr>
          <w:sz w:val="20"/>
          <w:szCs w:val="20"/>
          <w:color w:val="auto"/>
        </w:rPr>
      </w:pPr>
    </w:p>
    <w:p>
      <w:pPr>
        <w:ind w:left="680" w:right="79"/>
        <w:spacing w:after="0" w:line="339" w:lineRule="auto"/>
        <w:rPr>
          <w:sz w:val="20"/>
          <w:szCs w:val="20"/>
          <w:color w:val="auto"/>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21.2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June 30, 2025, compared with a net loss of CHF 22.8 million for the comparable period in 2024.</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AC Immune SA</w:t>
      </w:r>
    </w:p>
    <w:p>
      <w:pPr>
        <w:spacing w:after="0" w:line="158"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01" w:lineRule="exact"/>
        <w:rPr>
          <w:sz w:val="20"/>
          <w:szCs w:val="20"/>
          <w:color w:val="auto"/>
        </w:rPr>
      </w:pPr>
    </w:p>
    <w:p>
      <w:pPr>
        <w:ind w:left="60" w:right="79"/>
        <w:spacing w:after="0" w:line="284"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CN, CH, EU, GB, JP, KR, NO, RU and 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968375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34" w:name="page35"/>
    <w:bookmarkEnd w:id="34"/>
    <w:p>
      <w:pPr>
        <w:ind w:left="60" w:right="559"/>
        <w:spacing w:after="0" w:line="302"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SVP, Investor Relations &amp; Corporate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Communications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Waanders, Ph.D., MBA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 Immune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21 345 91 91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467886"/>
        </w:rPr>
        <w:t>gary.waanders@acimmune.com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International Media</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Chris Maggos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Cohesion Bureau</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+41 79 367 6254</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467886"/>
        </w:rPr>
        <w:t>chris.maggos@cohesionbureau.com</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981710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6560" w:type="dxa"/>
            <w:vAlign w:val="bottom"/>
          </w:tcPr>
          <w:p>
            <w:pPr>
              <w:spacing w:after="0"/>
              <w:rPr>
                <w:sz w:val="16"/>
                <w:szCs w:val="16"/>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r>
      <w:tr>
        <w:trPr>
          <w:trHeight w:val="189"/>
        </w:trPr>
        <w:tc>
          <w:tcPr>
            <w:tcW w:w="65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r>
      <w:tr>
        <w:trPr>
          <w:trHeight w:val="26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58,416</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0" w:type="dxa"/>
            <w:vAlign w:val="bottom"/>
          </w:tcPr>
          <w:p>
            <w:pPr>
              <w:spacing w:after="0"/>
              <w:rPr>
                <w:sz w:val="22"/>
                <w:szCs w:val="22"/>
                <w:color w:val="auto"/>
              </w:rPr>
            </w:pPr>
          </w:p>
        </w:tc>
      </w:tr>
      <w:tr>
        <w:trPr>
          <w:trHeight w:val="210"/>
        </w:trPr>
        <w:tc>
          <w:tcPr>
            <w:tcW w:w="6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131,808</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190,224</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479,680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2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(406,959)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2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tcPr>
          <w:p>
            <w:pPr>
              <w:spacing w:after="0"/>
              <w:rPr>
                <w:sz w:val="19"/>
                <w:szCs w:val="19"/>
                <w:color w:val="auto"/>
              </w:rPr>
            </w:pPr>
          </w:p>
        </w:tc>
      </w:tr>
      <w:tr>
        <w:trPr>
          <w:trHeight w:val="229"/>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98,969</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20" w:type="dxa"/>
            <w:vAlign w:val="bottom"/>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115,481</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20" w:type="dxa"/>
            <w:vAlign w:val="bottom"/>
          </w:tcPr>
          <w:p>
            <w:pPr>
              <w:spacing w:after="0"/>
              <w:rPr>
                <w:sz w:val="19"/>
                <w:szCs w:val="19"/>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190,224</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0"/>
        </w:trPr>
        <w:tc>
          <w:tcPr>
            <w:tcW w:w="6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5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Contract revenue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(16,826)</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(32,742)</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(8,334)</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Borders>
              <w:bottom w:val="single" w:sz="8" w:color="CCEEFF"/>
            </w:tcBorders>
            <w:gridSpan w:val="3"/>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(38,759)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Financial income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expense</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Exchange differences</w:t>
            </w:r>
          </w:p>
        </w:tc>
        <w:tc>
          <w:tcPr>
            <w:tcW w:w="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(2,209)</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(2,501)</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(21,189)</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(22,760)</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(40,218)</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8180" w:type="dxa"/>
            <w:vAlign w:val="bottom"/>
            <w:gridSpan w:val="16"/>
          </w:tcPr>
          <w:p>
            <w:pPr>
              <w:ind w:lef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(40,218)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2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(40,209)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5"/>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1."/>
      <w:numFmt w:val="decimal"/>
      <w:start w:val="8"/>
    </w:lvl>
  </w:abstractNum>
  <w:abstractNum w:abstractNumId="6">
    <w:nsid w:val="436C6125"/>
    <w:multiLevelType w:val="hybridMultilevel"/>
    <w:lvl w:ilvl="0">
      <w:lvlJc w:val="left"/>
      <w:lvlText w:val="%1."/>
      <w:numFmt w:val="decimal"/>
      <w:start w:val="9"/>
    </w:lvl>
  </w:abstractNum>
  <w:abstractNum w:abstractNumId="7">
    <w:nsid w:val="628C895D"/>
    <w:multiLevelType w:val="hybridMultilevel"/>
    <w:lvl w:ilvl="0">
      <w:lvlJc w:val="left"/>
      <w:lvlText w:val="%1."/>
      <w:numFmt w:val="decimal"/>
      <w:start w:val="1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o"/>
      <w:numFmt w:val="bullet"/>
      <w:start w:val="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2"/>
      <w:numFmt w:val="bullet"/>
      <w:start w:val="1"/>
    </w:lvl>
    <w:lvl w:ilvl="1">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Roman"/>
      <w:start w:val="3"/>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2025-08-05T06:04:22Z</dcterms:created>
  <dcterms:modified xsi:type="dcterms:W3CDTF">2025-08-05T06:04:22Z</dcterms:modified>
</cp:coreProperties>
</file>