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734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7341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Donati Piergiorgio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 Immune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ACIU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EPFL INNOVATION PARK,</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B</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LAUSANNE V8</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2"/>
              </w:rPr>
              <w:t>141,120</w:t>
            </w:r>
            <w:r>
              <w:rPr>
                <w:rFonts w:ascii="Times New Roman" w:cs="Times New Roman" w:eastAsia="Times New Roman" w:hAnsi="Times New Roman"/>
                <w:sz w:val="25"/>
                <w:szCs w:val="25"/>
                <w:color w:val="008000"/>
                <w:w w:val="92"/>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07/05/2028</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4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7,200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rPr>
              <w:t>9.5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06/27/2029</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41,322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5.39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06/25/2030</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34,562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6.95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06/24/2031</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28,463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7.23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06/23/2032</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22,050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3.15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12/31/2032</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66,667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2.03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12/31/2033</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27,607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3.99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12/31/2034</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61,538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2.91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12/31/2035</w:t>
            </w:r>
          </w:p>
        </w:tc>
        <w:tc>
          <w:tcPr>
            <w:tcW w:w="174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Common Shares</w:t>
            </w:r>
          </w:p>
        </w:tc>
        <w:tc>
          <w:tcPr>
            <w:tcW w:w="8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8"/>
              </w:rPr>
              <w:t>89,552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3.03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136,620 common shares underlying outstanding restricted share units.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 option is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 option will vest in twelve substantially equal quarterly installments beginning on March 31, 2024.</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 option will vest in twelve substantially equal quarterly installments beginning on March 31, 2025.</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 option will vest in twelve substantially equal quarterly installments beginning on March 31, 2026.</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ectPr>
          <w:pgSz w:w="11900" w:h="16838" w:orient="portrait"/>
          <w:cols w:equalWidth="0" w:num="1">
            <w:col w:w="10940"/>
          </w:cols>
          <w:pgMar w:left="480" w:top="230" w:right="479" w:bottom="0" w:gutter="0" w:footer="0" w:header="0"/>
          <w:type w:val="continuous"/>
        </w:sectPr>
      </w:pP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Matthias Maurer,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026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0266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4551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4551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Piergiorgio Donati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207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20750" cy="9525"/>
                    </a:xfrm>
                    <a:prstGeom prst="rect">
                      <a:avLst/>
                    </a:prstGeom>
                    <a:noFill/>
                  </pic:spPr>
                </pic:pic>
              </a:graphicData>
            </a:graphic>
          </wp:anchor>
        </w:drawing>
      </w:r>
    </w:p>
    <w:p>
      <w:pPr>
        <w:spacing w:after="0" w:line="3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 Signature of Reporting</w:t>
      </w:r>
    </w:p>
    <w:p>
      <w:pPr>
        <w:spacing w:after="0" w:line="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Person</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03/20/2026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89" w:lineRule="exact"/>
        <w:rPr>
          <w:sz w:val="24"/>
          <w:szCs w:val="24"/>
          <w:color w:val="auto"/>
        </w:rPr>
      </w:pPr>
    </w:p>
    <w:p>
      <w:pPr>
        <w:spacing w:after="0"/>
        <w:rPr>
          <w:sz w:val="20"/>
          <w:szCs w:val="20"/>
          <w:color w:val="auto"/>
        </w:rPr>
      </w:pPr>
      <w:r>
        <w:rPr>
          <w:rFonts w:ascii="Arial" w:cs="Arial" w:eastAsia="Arial" w:hAnsi="Arial"/>
          <w:sz w:val="15"/>
          <w:szCs w:val="15"/>
          <w:color w:val="auto"/>
        </w:rPr>
        <w:t>Date</w:t>
      </w:r>
    </w:p>
    <w:p>
      <w:pPr>
        <w:sectPr>
          <w:pgSz w:w="11900" w:h="16838" w:orient="portrait"/>
          <w:cols w:equalWidth="0" w:num="2">
            <w:col w:w="8240" w:space="520"/>
            <w:col w:w="218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2"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20"/>
          <w:szCs w:val="20"/>
          <w:b w:val="1"/>
          <w:bCs w:val="1"/>
          <w:color w:val="262626"/>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 xml:space="preserve">Know all by these presents, that the undersigned hereby constitutes and appoints each of </w:t>
      </w:r>
      <w:r>
        <w:rPr>
          <w:rFonts w:ascii="Times New Roman" w:cs="Times New Roman" w:eastAsia="Times New Roman" w:hAnsi="Times New Roman"/>
          <w:sz w:val="20"/>
          <w:szCs w:val="20"/>
          <w:b w:val="1"/>
          <w:bCs w:val="1"/>
          <w:color w:val="262626"/>
        </w:rPr>
        <w:t>Christopher Roberts, Tim Kay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 xml:space="preserve">Matthias Maurer </w:t>
      </w:r>
      <w:r>
        <w:rPr>
          <w:rFonts w:ascii="Times New Roman" w:cs="Times New Roman" w:eastAsia="Times New Roman" w:hAnsi="Times New Roman"/>
          <w:sz w:val="20"/>
          <w:szCs w:val="20"/>
          <w:color w:val="262626"/>
        </w:rPr>
        <w:t>as the undersigned's true and lawful attorneys-in-fact to:</w:t>
      </w:r>
    </w:p>
    <w:p>
      <w:pPr>
        <w:spacing w:after="0" w:line="230" w:lineRule="exact"/>
        <w:rPr>
          <w:sz w:val="20"/>
          <w:szCs w:val="20"/>
          <w:color w:val="auto"/>
        </w:rPr>
      </w:pPr>
    </w:p>
    <w:p>
      <w:pPr>
        <w:jc w:val="both"/>
        <w:ind w:left="720" w:right="120" w:hanging="360"/>
        <w:spacing w:after="0" w:line="258" w:lineRule="auto"/>
        <w:tabs>
          <w:tab w:leader="none" w:pos="720" w:val="left"/>
        </w:tabs>
        <w:numPr>
          <w:ilvl w:val="0"/>
          <w:numId w:val="5"/>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0"/>
          <w:szCs w:val="20"/>
          <w:b w:val="1"/>
          <w:bCs w:val="1"/>
          <w:color w:val="262626"/>
        </w:rPr>
        <w:t>("EDGAR")</w:t>
      </w:r>
      <w:r>
        <w:rPr>
          <w:rFonts w:ascii="Times New Roman" w:cs="Times New Roman" w:eastAsia="Times New Roman" w:hAnsi="Times New Roman"/>
          <w:sz w:val="20"/>
          <w:szCs w:val="20"/>
          <w:color w:val="262626"/>
        </w:rPr>
        <w:t xml:space="preserve"> system or successor EDGAR Next, including identification codes, verification codes, passwords and password management codes, and any related annual ce1tifications or confirmations, and to act as the undersigned's agent for such purposes;</w:t>
      </w:r>
    </w:p>
    <w:p>
      <w:pPr>
        <w:spacing w:after="0" w:line="204" w:lineRule="exact"/>
        <w:rPr>
          <w:rFonts w:ascii="Times New Roman" w:cs="Times New Roman" w:eastAsia="Times New Roman" w:hAnsi="Times New Roman"/>
          <w:sz w:val="20"/>
          <w:szCs w:val="20"/>
          <w:color w:val="262626"/>
        </w:rPr>
      </w:pPr>
    </w:p>
    <w:p>
      <w:pPr>
        <w:ind w:left="720" w:right="160" w:hanging="360"/>
        <w:spacing w:after="0" w:line="266" w:lineRule="auto"/>
        <w:tabs>
          <w:tab w:leader="none" w:pos="720" w:val="left"/>
        </w:tabs>
        <w:numPr>
          <w:ilvl w:val="0"/>
          <w:numId w:val="5"/>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20"/>
          <w:szCs w:val="20"/>
          <w:b w:val="1"/>
          <w:bCs w:val="1"/>
          <w:color w:val="262626"/>
        </w:rPr>
        <w:t>"Exchange Act"),</w:t>
      </w:r>
      <w:r>
        <w:rPr>
          <w:rFonts w:ascii="Times New Roman" w:cs="Times New Roman" w:eastAsia="Times New Roman" w:hAnsi="Times New Roman"/>
          <w:sz w:val="20"/>
          <w:szCs w:val="20"/>
          <w:color w:val="262626"/>
        </w:rPr>
        <w:t xml:space="preserve"> and the rules thereunder of AC Immune SA (the </w:t>
      </w:r>
      <w:r>
        <w:rPr>
          <w:rFonts w:ascii="Times New Roman" w:cs="Times New Roman" w:eastAsia="Times New Roman" w:hAnsi="Times New Roman"/>
          <w:sz w:val="20"/>
          <w:szCs w:val="20"/>
          <w:b w:val="1"/>
          <w:bCs w:val="1"/>
          <w:color w:val="262626"/>
        </w:rPr>
        <w:t xml:space="preserve">"Company"), </w:t>
      </w:r>
      <w:r>
        <w:rPr>
          <w:rFonts w:ascii="Times New Roman" w:cs="Times New Roman" w:eastAsia="Times New Roman" w:hAnsi="Times New Roman"/>
          <w:sz w:val="20"/>
          <w:szCs w:val="20"/>
          <w:color w:val="262626"/>
        </w:rPr>
        <w:t>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262626"/>
        </w:rPr>
      </w:pPr>
    </w:p>
    <w:p>
      <w:pPr>
        <w:ind w:left="720" w:right="80" w:hanging="360"/>
        <w:spacing w:after="0" w:line="261" w:lineRule="auto"/>
        <w:tabs>
          <w:tab w:leader="none" w:pos="720" w:val="left"/>
        </w:tabs>
        <w:numPr>
          <w:ilvl w:val="0"/>
          <w:numId w:val="5"/>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 w:cs="Times New Roman" w:eastAsia="Times New Roman" w:hAnsi="Times New Roman"/>
          <w:sz w:val="20"/>
          <w:szCs w:val="20"/>
          <w:b w:val="1"/>
          <w:bCs w:val="1"/>
          <w:color w:val="262626"/>
        </w:rPr>
        <w:t>"SEC")</w:t>
      </w:r>
      <w:r>
        <w:rPr>
          <w:rFonts w:ascii="Times New Roman" w:cs="Times New Roman" w:eastAsia="Times New Roman" w:hAnsi="Times New Roman"/>
          <w:sz w:val="20"/>
          <w:szCs w:val="20"/>
          <w:color w:val="262626"/>
        </w:rPr>
        <w:t xml:space="preserve"> and any applicable stock exchange or similar authority;</w:t>
      </w:r>
    </w:p>
    <w:p>
      <w:pPr>
        <w:spacing w:after="0" w:line="200" w:lineRule="exact"/>
        <w:rPr>
          <w:rFonts w:ascii="Times New Roman" w:cs="Times New Roman" w:eastAsia="Times New Roman" w:hAnsi="Times New Roman"/>
          <w:sz w:val="20"/>
          <w:szCs w:val="20"/>
          <w:color w:val="262626"/>
        </w:rPr>
      </w:pPr>
    </w:p>
    <w:p>
      <w:pPr>
        <w:ind w:left="720" w:right="100" w:hanging="360"/>
        <w:spacing w:after="0" w:line="261" w:lineRule="auto"/>
        <w:tabs>
          <w:tab w:leader="none" w:pos="720" w:val="left"/>
        </w:tabs>
        <w:numPr>
          <w:ilvl w:val="0"/>
          <w:numId w:val="5"/>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prepare, execute and file, or cause to be prepared, executed and filed, on behalf of the undersigned one or more Forms 144, or any amendments thereto, relating to any sales orders (including in connection with the exercise of options to purchase the Company's common stock </w:t>
      </w:r>
      <w:r>
        <w:rPr>
          <w:rFonts w:ascii="Times New Roman" w:cs="Times New Roman" w:eastAsia="Times New Roman" w:hAnsi="Times New Roman"/>
          <w:sz w:val="20"/>
          <w:szCs w:val="20"/>
          <w:b w:val="1"/>
          <w:bCs w:val="1"/>
          <w:color w:val="262626"/>
        </w:rPr>
        <w:t>("common stock"),</w:t>
      </w:r>
      <w:r>
        <w:rPr>
          <w:rFonts w:ascii="Times New Roman" w:cs="Times New Roman" w:eastAsia="Times New Roman" w:hAnsi="Times New Roman"/>
          <w:sz w:val="20"/>
          <w:szCs w:val="20"/>
          <w:color w:val="262626"/>
        </w:rPr>
        <w:t xml:space="preserve"> orally or electronically, to sell shares of common stock to the public from time to time in accordance with Rule 144 under the Securities Act of 1933, as amended; and</w:t>
      </w:r>
    </w:p>
    <w:p>
      <w:pPr>
        <w:spacing w:after="0" w:line="200" w:lineRule="exact"/>
        <w:rPr>
          <w:rFonts w:ascii="Times New Roman" w:cs="Times New Roman" w:eastAsia="Times New Roman" w:hAnsi="Times New Roman"/>
          <w:sz w:val="20"/>
          <w:szCs w:val="20"/>
          <w:color w:val="262626"/>
        </w:rPr>
      </w:pPr>
    </w:p>
    <w:p>
      <w:pPr>
        <w:ind w:left="720" w:right="120" w:hanging="360"/>
        <w:spacing w:after="0" w:line="258" w:lineRule="auto"/>
        <w:tabs>
          <w:tab w:leader="none" w:pos="720" w:val="left"/>
        </w:tabs>
        <w:numPr>
          <w:ilvl w:val="0"/>
          <w:numId w:val="5"/>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62626"/>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IN WITNESS WHEREOF, the undersigned has caused this Power of Attorney to be executed as of this 12</w:t>
      </w:r>
      <w:r>
        <w:rPr>
          <w:rFonts w:ascii="Times New Roman" w:cs="Times New Roman" w:eastAsia="Times New Roman" w:hAnsi="Times New Roman"/>
          <w:sz w:val="33"/>
          <w:szCs w:val="33"/>
          <w:color w:val="262626"/>
          <w:vertAlign w:val="superscript"/>
        </w:rPr>
        <w:t>th</w:t>
      </w:r>
      <w:r>
        <w:rPr>
          <w:rFonts w:ascii="Times New Roman" w:cs="Times New Roman" w:eastAsia="Times New Roman" w:hAnsi="Times New Roman"/>
          <w:sz w:val="20"/>
          <w:szCs w:val="20"/>
          <w:color w:val="262626"/>
        </w:rPr>
        <w:t xml:space="preserve"> day of February, 2026.</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262626"/>
              </w:rPr>
              <w:t>Signature:</w:t>
            </w:r>
          </w:p>
        </w:tc>
        <w:tc>
          <w:tcPr>
            <w:tcW w:w="9180" w:type="dxa"/>
            <w:vAlign w:val="bottom"/>
          </w:tcPr>
          <w:p>
            <w:pPr>
              <w:ind w:left="20"/>
              <w:spacing w:after="0"/>
              <w:rPr>
                <w:sz w:val="20"/>
                <w:szCs w:val="20"/>
                <w:color w:val="auto"/>
              </w:rPr>
            </w:pPr>
            <w:r>
              <w:rPr>
                <w:rFonts w:ascii="Times New Roman" w:cs="Times New Roman" w:eastAsia="Times New Roman" w:hAnsi="Times New Roman"/>
                <w:sz w:val="20"/>
                <w:szCs w:val="20"/>
                <w:color w:val="262626"/>
              </w:rPr>
              <w:t>/s/ Piergiorgio Donati</w:t>
            </w:r>
          </w:p>
        </w:tc>
        <w:tc>
          <w:tcPr>
            <w:tcW w:w="0" w:type="dxa"/>
            <w:vAlign w:val="bottom"/>
          </w:tcPr>
          <w:p>
            <w:pPr>
              <w:spacing w:after="0"/>
              <w:rPr>
                <w:sz w:val="1"/>
                <w:szCs w:val="1"/>
                <w:color w:val="auto"/>
              </w:rPr>
            </w:pPr>
          </w:p>
        </w:tc>
      </w:tr>
      <w:tr>
        <w:trPr>
          <w:trHeight w:val="30"/>
        </w:trPr>
        <w:tc>
          <w:tcPr>
            <w:tcW w:w="17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262626"/>
              </w:rPr>
              <w:t>Name:</w:t>
            </w:r>
          </w:p>
        </w:tc>
        <w:tc>
          <w:tcPr>
            <w:tcW w:w="9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1760" w:type="dxa"/>
            <w:vAlign w:val="bottom"/>
            <w:vMerge w:val="continue"/>
          </w:tcPr>
          <w:p>
            <w:pPr>
              <w:spacing w:after="0"/>
              <w:rPr>
                <w:sz w:val="23"/>
                <w:szCs w:val="23"/>
                <w:color w:val="auto"/>
              </w:rPr>
            </w:pPr>
          </w:p>
        </w:tc>
        <w:tc>
          <w:tcPr>
            <w:tcW w:w="9180" w:type="dxa"/>
            <w:vAlign w:val="bottom"/>
          </w:tcPr>
          <w:p>
            <w:pPr>
              <w:ind w:left="20"/>
              <w:spacing w:after="0"/>
              <w:rPr>
                <w:sz w:val="20"/>
                <w:szCs w:val="20"/>
                <w:color w:val="auto"/>
              </w:rPr>
            </w:pPr>
            <w:r>
              <w:rPr>
                <w:rFonts w:ascii="Times New Roman" w:cs="Times New Roman" w:eastAsia="Times New Roman" w:hAnsi="Times New Roman"/>
                <w:sz w:val="20"/>
                <w:szCs w:val="20"/>
                <w:color w:val="262626"/>
              </w:rPr>
              <w:t>Piergiorgio Donati</w:t>
            </w:r>
          </w:p>
        </w:tc>
        <w:tc>
          <w:tcPr>
            <w:tcW w:w="0" w:type="dxa"/>
            <w:vAlign w:val="bottom"/>
          </w:tcPr>
          <w:p>
            <w:pPr>
              <w:spacing w:after="0"/>
              <w:rPr>
                <w:sz w:val="1"/>
                <w:szCs w:val="1"/>
                <w:color w:val="auto"/>
              </w:rPr>
            </w:pPr>
          </w:p>
        </w:tc>
      </w:tr>
      <w:tr>
        <w:trPr>
          <w:trHeight w:val="615"/>
        </w:trPr>
        <w:tc>
          <w:tcPr>
            <w:tcW w:w="1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22783" TargetMode="External"/><Relationship Id="rId11" Type="http://schemas.openxmlformats.org/officeDocument/2006/relationships/hyperlink" Target="http://www.sec.gov/cgi-bin/browse-edgar?action=getcompany&amp;CIK=00016516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2026-03-20T11:02:15Z</dcterms:created>
  <dcterms:modified xsi:type="dcterms:W3CDTF">2026-03-20T11:02:15Z</dcterms:modified>
</cp:coreProperties>
</file>