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2" w:lineRule="exact"/>
        <w:rPr>
          <w:sz w:val="24"/>
          <w:szCs w:val="24"/>
          <w:color w:val="auto"/>
        </w:rPr>
      </w:pPr>
    </w:p>
    <w:p>
      <w:pPr>
        <w:ind w:left="3900"/>
        <w:spacing w:after="0"/>
        <w:rPr>
          <w:sz w:val="20"/>
          <w:szCs w:val="20"/>
          <w:color w:val="auto"/>
        </w:rPr>
      </w:pPr>
      <w:r>
        <w:rPr>
          <w:rFonts w:ascii="Arial" w:cs="Arial" w:eastAsia="Arial" w:hAnsi="Arial"/>
          <w:sz w:val="25"/>
          <w:szCs w:val="25"/>
          <w:color w:val="auto"/>
        </w:rPr>
        <w:t>For the month of August,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2943860</wp:posOffset>
            </wp:positionH>
            <wp:positionV relativeFrom="paragraph">
              <wp:posOffset>51435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9" w:lineRule="exact"/>
        <w:rPr>
          <w:sz w:val="24"/>
          <w:szCs w:val="24"/>
          <w:color w:val="auto"/>
        </w:rPr>
      </w:pPr>
    </w:p>
    <w:p>
      <w:pPr>
        <w:ind w:left="3500"/>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080"/>
        <w:spacing w:after="0"/>
        <w:tabs>
          <w:tab w:leader="none" w:pos="4620" w:val="left"/>
          <w:tab w:leader="none" w:pos="63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14605</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23495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3340"/>
        <w:spacing w:after="0"/>
        <w:tabs>
          <w:tab w:leader="none" w:pos="662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23495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3340"/>
        <w:spacing w:after="0"/>
        <w:tabs>
          <w:tab w:leader="none" w:pos="662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23495</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375285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392430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80"/>
          </w:cols>
          <w:pgMar w:left="460" w:top="751" w:right="45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report on Form 6-K (including Exhibits 99.1 hereto) shall be deemed to be incorporated by reference into the registration on Form F-3 (Registration Number: 333-224694), the registration statement on Form F-3 (Registration Number: 333-227016) and the registration statement on Form S-8 (Registration Number: 333-216539) of AC Immune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472" w:right="41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Andrea Pfeifer</w:t>
      </w:r>
    </w:p>
    <w:p>
      <w:pPr>
        <w:spacing w:after="0" w:line="23" w:lineRule="exact"/>
        <w:rPr>
          <w:sz w:val="20"/>
          <w:szCs w:val="20"/>
          <w:color w:val="auto"/>
        </w:rPr>
      </w:pPr>
    </w:p>
    <w:p>
      <w:pPr>
        <w:ind w:left="7220"/>
        <w:spacing w:after="0"/>
        <w:tabs>
          <w:tab w:leader="none" w:pos="7880" w:val="left"/>
        </w:tabs>
        <w:rPr>
          <w:sz w:val="20"/>
          <w:szCs w:val="20"/>
          <w:color w:val="auto"/>
        </w:rPr>
      </w:pPr>
      <w:r>
        <w:rPr>
          <w:rFonts w:ascii="Arial" w:cs="Arial" w:eastAsia="Arial" w:hAnsi="Arial"/>
          <w:sz w:val="18"/>
          <w:szCs w:val="18"/>
          <w:color w:val="auto"/>
        </w:rPr>
        <w:t>Name:</w:t>
        <w:tab/>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-130810</wp:posOffset>
            </wp:positionV>
            <wp:extent cx="2667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72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Joerg Hornstein</w:t>
      </w:r>
    </w:p>
    <w:p>
      <w:pPr>
        <w:spacing w:after="0" w:line="23" w:lineRule="exact"/>
        <w:rPr>
          <w:sz w:val="20"/>
          <w:szCs w:val="20"/>
          <w:color w:val="auto"/>
        </w:rPr>
      </w:pPr>
    </w:p>
    <w:p>
      <w:pPr>
        <w:ind w:left="7220"/>
        <w:spacing w:after="0"/>
        <w:tabs>
          <w:tab w:leader="none" w:pos="7880" w:val="left"/>
        </w:tabs>
        <w:rPr>
          <w:sz w:val="20"/>
          <w:szCs w:val="20"/>
          <w:color w:val="auto"/>
        </w:rPr>
      </w:pPr>
      <w:r>
        <w:rPr>
          <w:rFonts w:ascii="Arial" w:cs="Arial" w:eastAsia="Arial" w:hAnsi="Arial"/>
          <w:sz w:val="18"/>
          <w:szCs w:val="18"/>
          <w:color w:val="auto"/>
        </w:rPr>
        <w:t>Name:</w:t>
        <w:tab/>
        <w:t>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-130810</wp:posOffset>
            </wp:positionV>
            <wp:extent cx="2667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72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580" w:right="105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color w:val="auto"/>
        </w:rPr>
        <w:t>Exhibit Number</w:t>
      </w:r>
      <w:r>
        <w:rPr>
          <w:sz w:val="20"/>
          <w:szCs w:val="20"/>
          <w:color w:val="auto"/>
        </w:rPr>
        <w:tab/>
      </w:r>
      <w:r>
        <w:rPr>
          <w:rFonts w:ascii="Arial" w:cs="Arial" w:eastAsia="Arial" w:hAnsi="Arial"/>
          <w:sz w:val="15"/>
          <w:szCs w:val="15"/>
          <w:b w:val="1"/>
          <w:bCs w:val="1"/>
          <w:color w:val="auto"/>
        </w:rPr>
        <w:t>Description</w:t>
      </w:r>
    </w:p>
    <w:p>
      <w:pPr>
        <w:spacing w:after="0" w:line="27"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775460"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54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Initiates Ph1b/2a Study of Anti-Phospho-Tau Vaccine in Alzheimer’s Disease</w:t>
      </w:r>
    </w:p>
    <w:p>
      <w:pPr>
        <w:spacing w:after="0" w:line="310" w:lineRule="exact"/>
        <w:rPr>
          <w:sz w:val="20"/>
          <w:szCs w:val="20"/>
          <w:color w:val="auto"/>
        </w:rPr>
      </w:pPr>
    </w:p>
    <w:p>
      <w:pPr>
        <w:jc w:val="center"/>
        <w:spacing w:after="0" w:line="258" w:lineRule="auto"/>
        <w:rPr>
          <w:sz w:val="20"/>
          <w:szCs w:val="20"/>
          <w:color w:val="auto"/>
        </w:rPr>
      </w:pPr>
      <w:r>
        <w:rPr>
          <w:rFonts w:ascii="Arial" w:cs="Arial" w:eastAsia="Arial" w:hAnsi="Arial"/>
          <w:sz w:val="20"/>
          <w:szCs w:val="20"/>
          <w:b w:val="1"/>
          <w:bCs w:val="1"/>
          <w:i w:val="1"/>
          <w:iCs w:val="1"/>
          <w:color w:val="auto"/>
        </w:rPr>
        <w:t>Clinically advanced vaccine, ACI-35.030, designed to reduce and to prevent the spread and development of Tau pathology</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August 1, 2019 </w:t>
      </w:r>
      <w:r>
        <w:rPr>
          <w:rFonts w:ascii="Arial" w:cs="Arial" w:eastAsia="Arial" w:hAnsi="Arial"/>
          <w:sz w:val="18"/>
          <w:szCs w:val="18"/>
          <w:color w:val="auto"/>
        </w:rPr>
        <w:t>– AC Immune SA (NASDAQ: ACIU), a Swiss-based, clinical-stage biopharmaceutical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a broad pipeline focused on neurodegenerative diseases, today announced the initiation of a Phase 1b/2a clinical trial to evaluate ACI-35.030, an anti-phospho-Tau (anti-pTau) vaccine. ACI-35.030 targets pathological Tau and is intended as a disease-modifying treatment for Alzheimer’s disease (AD) and other Tauopathies.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“Pathological Tau deposits are one of the key hallmarks of AD.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characteristic distribution within the brain coincides with clinical symptoms and disease progression. Targeting phospho-Tau is therefore a very promising approach for treating and preventing this debilitating disease and as such, it is a key part of AC Immune’s </w:t>
      </w:r>
      <w:r>
        <w:rPr>
          <w:rFonts w:ascii="Arial" w:cs="Arial" w:eastAsia="Arial" w:hAnsi="Arial"/>
          <w:sz w:val="18"/>
          <w:szCs w:val="18"/>
          <w:i w:val="1"/>
          <w:iCs w:val="1"/>
          <w:color w:val="auto"/>
        </w:rPr>
        <w:t>Roadmap to Successful</w:t>
      </w:r>
      <w:r>
        <w:rPr>
          <w:rFonts w:ascii="Arial" w:cs="Arial" w:eastAsia="Arial" w:hAnsi="Arial"/>
          <w:sz w:val="18"/>
          <w:szCs w:val="18"/>
          <w:color w:val="auto"/>
        </w:rPr>
        <w:t xml:space="preserve"> </w:t>
      </w:r>
      <w:r>
        <w:rPr>
          <w:rFonts w:ascii="Arial" w:cs="Arial" w:eastAsia="Arial" w:hAnsi="Arial"/>
          <w:sz w:val="18"/>
          <w:szCs w:val="18"/>
          <w:i w:val="1"/>
          <w:iCs w:val="1"/>
          <w:color w:val="auto"/>
        </w:rPr>
        <w:t>Therapies for Neurodegenerative Diseases</w:t>
      </w:r>
      <w:r>
        <w:rPr>
          <w:rFonts w:ascii="Arial" w:cs="Arial" w:eastAsia="Arial" w:hAnsi="Arial"/>
          <w:sz w:val="18"/>
          <w:szCs w:val="18"/>
          <w:color w:val="auto"/>
        </w:rPr>
        <w:t>.”</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By targeting specific pathological forms of Tau protein, immunization with anti-Tau vaccines has become an important strategy for the treatment of AD and other Tauopathies because it has the potential to prevent and reduce the development and spread of Tau pathology throughout the</w:t>
      </w:r>
    </w:p>
    <w:p>
      <w:pPr>
        <w:spacing w:after="0" w:line="2"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brain. AC Immune’s two proprietary technology platforms, 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have generated anti-Tau therapies and diagnostics including four in clinical development.</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Phase 1b/2a trial is a randomized, multicenter, double-blind, placebo-controlled clinical study with a primary objective to assess the safety, tolerability and immunogenicity of different doses of ACI-35.030 in patients with early AD. Secondary objectives will assess additional immunogenicity parameters, while exploratory endpoints will include notable biomarkers of progression of AD as well as clinical assessments.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 Immune is developing ACI-35 and ACI-35.030 in collaboration with Janssen Pharmaceuticals, Inc. under a 2014 licensing agreement to develop and commercialize therapeutic anti-Tau vaccines for the treatment of AD and potentially other Tauopathies.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ACI-35.030</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ACI-35.030 is a potent liposomal anti-pTau active investigational vaccine designed to elicit antibodies against extracellular phosphorylated pathological Tau protein, in order to prevent and reduce the spread and development of Tau pathology within the brain.</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It builds on the success of AC Immune’s ACI-35 vaccine, which has demonstrated an early target-specific antibody response against pTau after the first injection in the vast majority of patients in a Phase 1b study in mild-to-moderate AD. In pre-clinical studies, ACI-35.030 has shown that it retains the excellent non-clinical safety profile and the highly specific antibody response against pathological Tau observed in ACI-35, while demonstrating an enhanced and more homogeneous antibody response with a significant, long-lasting boosting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is utilizing two proprietary discovery platforms, 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five currently in clinical trials. It has collaborations with major pharmaceutical companies including Roche/Genentech, Eli Lilly and Janssen Pharmaceuticals Inc..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1"/>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US Investors</w:t>
            </w:r>
          </w:p>
        </w:tc>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Katie Gallagher or Sharon Correia</w:t>
            </w: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AC Immune Investor Relations</w:t>
            </w: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Phone: +1 646 876 5538</w:t>
            </w: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526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3580" w:type="dxa"/>
            <w:vAlign w:val="bottom"/>
            <w:gridSpan w:val="3"/>
          </w:tcPr>
          <w:p>
            <w:pPr>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6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580" w:type="dxa"/>
            <w:vAlign w:val="bottom"/>
            <w:gridSpan w:val="3"/>
          </w:tcPr>
          <w:p>
            <w:pPr>
              <w:spacing w:after="0" w:line="182" w:lineRule="exact"/>
              <w:rPr>
                <w:sz w:val="20"/>
                <w:szCs w:val="20"/>
                <w:color w:val="auto"/>
              </w:rPr>
            </w:pPr>
            <w:r>
              <w:rPr>
                <w:rFonts w:ascii="Arial" w:cs="Arial" w:eastAsia="Arial" w:hAnsi="Arial"/>
                <w:sz w:val="18"/>
                <w:szCs w:val="18"/>
                <w:color w:val="0000FF"/>
              </w:rPr>
              <w:t>scorreia@lavoiehealthscience.com</w:t>
            </w:r>
          </w:p>
        </w:tc>
      </w:tr>
      <w:tr>
        <w:trPr>
          <w:trHeight w:val="20"/>
        </w:trPr>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European Media</w:t>
            </w:r>
          </w:p>
        </w:tc>
        <w:tc>
          <w:tcPr>
            <w:tcW w:w="3660" w:type="dxa"/>
            <w:vAlign w:val="bottom"/>
            <w:gridSpan w:val="2"/>
          </w:tcPr>
          <w:p>
            <w:pPr>
              <w:ind w:left="980"/>
              <w:spacing w:after="0"/>
              <w:rPr>
                <w:sz w:val="20"/>
                <w:szCs w:val="20"/>
                <w:color w:val="auto"/>
              </w:rPr>
            </w:pPr>
            <w:r>
              <w:rPr>
                <w:rFonts w:ascii="Arial" w:cs="Arial" w:eastAsia="Arial" w:hAnsi="Arial"/>
                <w:sz w:val="18"/>
                <w:szCs w:val="18"/>
                <w:b w:val="1"/>
                <w:bCs w:val="1"/>
                <w:color w:val="auto"/>
              </w:rPr>
              <w:t>European Investors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Judith Moore</w:t>
            </w:r>
          </w:p>
        </w:tc>
        <w:tc>
          <w:tcPr>
            <w:tcW w:w="36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 Global Communication Lead</w:t>
            </w:r>
          </w:p>
        </w:tc>
        <w:tc>
          <w:tcPr>
            <w:tcW w:w="36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+44 7932 053829</w:t>
            </w:r>
          </w:p>
        </w:tc>
        <w:tc>
          <w:tcPr>
            <w:tcW w:w="36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Phone: +41 79 367 6254</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judith.moore@acimmune.com</w:t>
            </w:r>
          </w:p>
        </w:tc>
        <w:tc>
          <w:tcPr>
            <w:tcW w:w="3660" w:type="dxa"/>
            <w:vAlign w:val="bottom"/>
            <w:gridSpan w:val="2"/>
          </w:tcPr>
          <w:p>
            <w:pPr>
              <w:ind w:left="98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chris@lifesciadvisors.com</w:t>
            </w:r>
          </w:p>
        </w:tc>
      </w:tr>
      <w:tr>
        <w:trPr>
          <w:trHeight w:val="20"/>
        </w:trPr>
        <w:tc>
          <w:tcPr>
            <w:tcW w:w="6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2019-11-30T12:11:49Z</dcterms:created>
  <dcterms:modified xsi:type="dcterms:W3CDTF">2019-11-30T12:11:49Z</dcterms:modified>
</cp:coreProperties>
</file>