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AC IMMUNE SA</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#H00263105</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#H00263105</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rPr>
              <w:t>[ ]</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71,750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3,645,803</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3,645,803</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6.581%</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#H00263105</w:t>
            </w:r>
          </w:p>
        </w:tc>
        <w:tc>
          <w:tcPr>
            <w:tcW w:w="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3,645,803</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3,645,803</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6.581%</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rPr>
              <w:t>AC IMMUNE SA</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160"/>
              <w:spacing w:after="0"/>
              <w:rPr>
                <w:sz w:val="20"/>
                <w:szCs w:val="20"/>
                <w:color w:val="auto"/>
              </w:rPr>
            </w:pPr>
            <w:r>
              <w:rPr>
                <w:rFonts w:ascii="Courier New" w:cs="Courier New" w:eastAsia="Courier New" w:hAnsi="Courier New"/>
                <w:sz w:val="18"/>
                <w:szCs w:val="18"/>
                <w:color w:val="auto"/>
              </w:rPr>
              <w:t>EPFL INNOVATION PARK</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 B</w:t>
            </w:r>
          </w:p>
        </w:tc>
        <w:tc>
          <w:tcPr>
            <w:tcW w:w="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1015 LAUSANNE, V8 00000</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SWITZERLAND</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8"/>
                <w:szCs w:val="18"/>
                <w:color w:val="auto"/>
              </w:rPr>
              <w:t>FMR LLC</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8"/>
                <w:szCs w:val="18"/>
                <w:color w:val="auto"/>
              </w:rPr>
              <w:t>COMMON STOCK</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Courier New" w:cs="Courier New" w:eastAsia="Courier New" w:hAnsi="Courier New"/>
                <w:sz w:val="18"/>
                <w:szCs w:val="18"/>
                <w:color w:val="auto"/>
              </w:rPr>
              <w:t>H00263105</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7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3,645,803</w:t>
            </w: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6.581%</w:t>
            </w: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7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71,750</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3,645,803</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3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AC IMMUNE SA. No one other person's interest in the COMMON STOCK</w:t>
      </w:r>
    </w:p>
    <w:p>
      <w:pPr>
        <w:spacing w:after="0" w:line="6"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of AC IMMUNE SA is more than five percent of the total outstanding COMMON STOCK.</w:t>
      </w:r>
    </w:p>
    <w:p>
      <w:pPr>
        <w:spacing w:after="0" w:line="208"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2017</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FIAM LLC</w:t>
      </w:r>
      <w:r>
        <w:rPr>
          <w:sz w:val="20"/>
          <w:szCs w:val="20"/>
          <w:color w:val="auto"/>
        </w:rPr>
        <w:tab/>
      </w:r>
      <w:r>
        <w:rPr>
          <w:rFonts w:ascii="Courier New" w:cs="Courier New" w:eastAsia="Courier New" w:hAnsi="Courier New"/>
          <w:sz w:val="16"/>
          <w:szCs w:val="16"/>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02" w:lineRule="exact"/>
        <w:rPr>
          <w:sz w:val="20"/>
          <w:szCs w:val="20"/>
          <w:color w:val="auto"/>
        </w:rPr>
      </w:pPr>
    </w:p>
    <w:p>
      <w:pPr>
        <w:sectPr>
          <w:pgSz w:w="11900" w:h="16838" w:orient="portrait"/>
          <w:cols w:equalWidth="0" w:num="2">
            <w:col w:w="5600" w:space="300"/>
            <w:col w:w="4319"/>
          </w:cols>
          <w:pgMar w:left="240" w:top="339" w:right="1440" w:bottom="0" w:gutter="0" w:footer="0" w:header="0"/>
        </w:sectPr>
      </w:pPr>
    </w:p>
    <w:p>
      <w:pPr>
        <w:spacing w:after="0" w:line="209"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2017, agree and consent to the joint filing on their behalf of this Schedule 13G in connection with their beneficial ownership of the COMMON STOCK of AC IMMUNE SA at December 30, 2016.</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This power of attorney is incorporated herein by reference to Exhibit 24</w:t>
      </w:r>
    </w:p>
    <w:p>
      <w:pPr>
        <w:sectPr>
          <w:pgSz w:w="11900" w:h="16838" w:orient="portrait"/>
          <w:cols w:equalWidth="0" w:num="1">
            <w:col w:w="10219"/>
          </w:cols>
          <w:pgMar w:left="240" w:top="339"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to the Schedule 13G filed by FMR LLC on June 10, 2016, accession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0000315066-16-005935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0"/>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2019-12-08T04:00:49Z</dcterms:created>
  <dcterms:modified xsi:type="dcterms:W3CDTF">2019-12-08T04:00:49Z</dcterms:modified>
</cp:coreProperties>
</file>