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May 31, 2016</w:t>
      </w:r>
    </w:p>
    <w:p>
      <w:pPr>
        <w:spacing w:after="0" w:line="6" w:lineRule="exact"/>
        <w:rPr>
          <w:sz w:val="24"/>
          <w:szCs w:val="24"/>
          <w:color w:val="auto"/>
        </w:rPr>
      </w:pPr>
    </w:p>
    <w:p>
      <w:pPr>
        <w:ind w:left="95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F-1</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w:t>
      </w:r>
    </w:p>
    <w:p>
      <w:pPr>
        <w:jc w:val="center"/>
        <w:spacing w:after="0" w:line="228" w:lineRule="auto"/>
        <w:rPr>
          <w:sz w:val="20"/>
          <w:szCs w:val="20"/>
          <w:color w:val="auto"/>
        </w:rPr>
      </w:pPr>
      <w:r>
        <w:rPr>
          <w:rFonts w:ascii="Arial" w:cs="Arial" w:eastAsia="Arial" w:hAnsi="Arial"/>
          <w:sz w:val="14"/>
          <w:szCs w:val="14"/>
          <w:b w:val="1"/>
          <w:bCs w:val="1"/>
          <w:i w:val="1"/>
          <w:iCs w:val="1"/>
          <w:color w:val="auto"/>
        </w:rPr>
        <w:t>UNDER</w:t>
      </w:r>
    </w:p>
    <w:p>
      <w:pPr>
        <w:jc w:val="center"/>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AC IMMUNE SA</w:t>
      </w:r>
    </w:p>
    <w:p>
      <w:pPr>
        <w:spacing w:after="0" w:line="34" w:lineRule="exact"/>
        <w:rPr>
          <w:sz w:val="24"/>
          <w:szCs w:val="24"/>
          <w:color w:val="auto"/>
        </w:rPr>
      </w:pPr>
    </w:p>
    <w:p>
      <w:pPr>
        <w:ind w:left="398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62865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ind w:left="5220"/>
        <w:spacing w:after="0"/>
        <w:rPr>
          <w:sz w:val="20"/>
          <w:szCs w:val="20"/>
          <w:color w:val="auto"/>
        </w:rPr>
      </w:pPr>
      <w:r>
        <w:rPr>
          <w:rFonts w:ascii="Arial" w:cs="Arial" w:eastAsia="Arial" w:hAnsi="Arial"/>
          <w:sz w:val="15"/>
          <w:szCs w:val="15"/>
          <w:b w:val="1"/>
          <w:bCs w:val="1"/>
          <w:color w:val="auto"/>
        </w:rPr>
        <w:t>Not Applicable</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tbl>
      <w:tblPr>
        <w:tblLayout w:type="fixed"/>
        <w:tblInd w:w="1000" w:type="dxa"/>
        <w:tblCellMar>
          <w:top w:w="0" w:type="dxa"/>
          <w:left w:w="0" w:type="dxa"/>
          <w:bottom w:w="0" w:type="dxa"/>
          <w:right w:w="0" w:type="dxa"/>
        </w:tblCellMar>
      </w:tblPr>
      <w:tr>
        <w:trPr>
          <w:trHeight w:val="172"/>
        </w:trPr>
        <w:tc>
          <w:tcPr>
            <w:tcW w:w="2900" w:type="dxa"/>
            <w:vAlign w:val="bottom"/>
          </w:tcPr>
          <w:p>
            <w:pPr>
              <w:jc w:val="center"/>
              <w:ind w:right="927"/>
              <w:spacing w:after="0"/>
              <w:rPr>
                <w:sz w:val="20"/>
                <w:szCs w:val="20"/>
                <w:color w:val="auto"/>
              </w:rPr>
            </w:pPr>
            <w:r>
              <w:rPr>
                <w:rFonts w:ascii="Arial" w:cs="Arial" w:eastAsia="Arial" w:hAnsi="Arial"/>
                <w:sz w:val="15"/>
                <w:szCs w:val="15"/>
                <w:b w:val="1"/>
                <w:bCs w:val="1"/>
                <w:color w:val="auto"/>
                <w:w w:val="93"/>
              </w:rPr>
              <w:t>Switzerland</w:t>
            </w:r>
          </w:p>
        </w:tc>
        <w:tc>
          <w:tcPr>
            <w:tcW w:w="3920" w:type="dxa"/>
            <w:vAlign w:val="bottom"/>
          </w:tcPr>
          <w:p>
            <w:pPr>
              <w:jc w:val="center"/>
              <w:spacing w:after="0"/>
              <w:rPr>
                <w:sz w:val="20"/>
                <w:szCs w:val="20"/>
                <w:color w:val="auto"/>
              </w:rPr>
            </w:pPr>
            <w:r>
              <w:rPr>
                <w:rFonts w:ascii="Arial" w:cs="Arial" w:eastAsia="Arial" w:hAnsi="Arial"/>
                <w:sz w:val="15"/>
                <w:szCs w:val="15"/>
                <w:b w:val="1"/>
                <w:bCs w:val="1"/>
                <w:color w:val="auto"/>
                <w:w w:val="95"/>
              </w:rPr>
              <w:t>2834</w:t>
            </w:r>
          </w:p>
        </w:tc>
        <w:tc>
          <w:tcPr>
            <w:tcW w:w="2500" w:type="dxa"/>
            <w:vAlign w:val="bottom"/>
          </w:tcPr>
          <w:p>
            <w:pPr>
              <w:jc w:val="center"/>
              <w:ind w:left="967"/>
              <w:spacing w:after="0"/>
              <w:rPr>
                <w:sz w:val="20"/>
                <w:szCs w:val="20"/>
                <w:color w:val="auto"/>
              </w:rPr>
            </w:pPr>
            <w:r>
              <w:rPr>
                <w:rFonts w:ascii="Arial" w:cs="Arial" w:eastAsia="Arial" w:hAnsi="Arial"/>
                <w:sz w:val="15"/>
                <w:szCs w:val="15"/>
                <w:b w:val="1"/>
                <w:bCs w:val="1"/>
                <w:color w:val="auto"/>
                <w:w w:val="93"/>
              </w:rPr>
              <w:t>Not Applicable</w:t>
            </w:r>
          </w:p>
        </w:tc>
      </w:tr>
      <w:tr>
        <w:trPr>
          <w:trHeight w:val="149"/>
        </w:trPr>
        <w:tc>
          <w:tcPr>
            <w:tcW w:w="2900" w:type="dxa"/>
            <w:vAlign w:val="bottom"/>
          </w:tcPr>
          <w:p>
            <w:pPr>
              <w:jc w:val="center"/>
              <w:ind w:right="94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7"/>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7"/>
              <w:spacing w:after="0"/>
              <w:rPr>
                <w:sz w:val="20"/>
                <w:szCs w:val="20"/>
                <w:color w:val="auto"/>
              </w:rPr>
            </w:pPr>
            <w:r>
              <w:rPr>
                <w:rFonts w:ascii="Arial" w:cs="Arial" w:eastAsia="Arial" w:hAnsi="Arial"/>
                <w:sz w:val="14"/>
                <w:szCs w:val="14"/>
                <w:b w:val="1"/>
                <w:bCs w:val="1"/>
                <w:color w:val="auto"/>
                <w:w w:val="96"/>
              </w:rPr>
              <w:t>Identification Number)</w:t>
            </w:r>
          </w:p>
        </w:tc>
      </w:tr>
    </w:tbl>
    <w:p>
      <w:pPr>
        <w:jc w:val="center"/>
        <w:spacing w:after="0"/>
        <w:rPr>
          <w:sz w:val="20"/>
          <w:szCs w:val="20"/>
          <w:color w:val="auto"/>
        </w:rPr>
      </w:pPr>
      <w:r>
        <w:rPr>
          <w:rFonts w:ascii="Arial" w:cs="Arial" w:eastAsia="Arial" w:hAnsi="Arial"/>
          <w:sz w:val="15"/>
          <w:szCs w:val="15"/>
          <w:b w:val="1"/>
          <w:bCs w:val="1"/>
          <w:color w:val="auto"/>
        </w:rPr>
        <w:t>Andrea Pfeifer</w:t>
      </w:r>
    </w:p>
    <w:p>
      <w:pPr>
        <w:jc w:val="center"/>
        <w:spacing w:after="0" w:line="225" w:lineRule="auto"/>
        <w:rPr>
          <w:sz w:val="20"/>
          <w:szCs w:val="20"/>
          <w:color w:val="auto"/>
        </w:rPr>
      </w:pPr>
      <w:r>
        <w:rPr>
          <w:rFonts w:ascii="Arial" w:cs="Arial" w:eastAsia="Arial" w:hAnsi="Arial"/>
          <w:sz w:val="15"/>
          <w:szCs w:val="15"/>
          <w:b w:val="1"/>
          <w:bCs w:val="1"/>
          <w:color w:val="auto"/>
        </w:rPr>
        <w:t>Chief Executive Officer</w:t>
      </w:r>
    </w:p>
    <w:p>
      <w:pPr>
        <w:jc w:val="center"/>
        <w:spacing w:after="0" w:line="226" w:lineRule="auto"/>
        <w:rPr>
          <w:sz w:val="20"/>
          <w:szCs w:val="20"/>
          <w:color w:val="auto"/>
        </w:rPr>
      </w:pPr>
      <w:r>
        <w:rPr>
          <w:rFonts w:ascii="Arial" w:cs="Arial" w:eastAsia="Arial" w:hAnsi="Arial"/>
          <w:sz w:val="15"/>
          <w:szCs w:val="15"/>
          <w:b w:val="1"/>
          <w:bCs w:val="1"/>
          <w:color w:val="auto"/>
        </w:rPr>
        <w:t>EPFL Innovation Park</w:t>
      </w:r>
    </w:p>
    <w:p>
      <w:pPr>
        <w:jc w:val="center"/>
        <w:spacing w:after="0" w:line="225" w:lineRule="auto"/>
        <w:rPr>
          <w:sz w:val="20"/>
          <w:szCs w:val="20"/>
          <w:color w:val="auto"/>
        </w:rPr>
      </w:pPr>
      <w:r>
        <w:rPr>
          <w:rFonts w:ascii="Arial" w:cs="Arial" w:eastAsia="Arial" w:hAnsi="Arial"/>
          <w:sz w:val="15"/>
          <w:szCs w:val="15"/>
          <w:b w:val="1"/>
          <w:bCs w:val="1"/>
          <w:color w:val="auto"/>
        </w:rPr>
        <w:t>Building B</w:t>
      </w:r>
    </w:p>
    <w:p>
      <w:pPr>
        <w:jc w:val="center"/>
        <w:spacing w:after="0" w:line="226" w:lineRule="auto"/>
        <w:rPr>
          <w:sz w:val="20"/>
          <w:szCs w:val="20"/>
          <w:color w:val="auto"/>
        </w:rPr>
      </w:pPr>
      <w:r>
        <w:rPr>
          <w:rFonts w:ascii="Arial" w:cs="Arial" w:eastAsia="Arial" w:hAnsi="Arial"/>
          <w:sz w:val="15"/>
          <w:szCs w:val="15"/>
          <w:b w:val="1"/>
          <w:bCs w:val="1"/>
          <w:color w:val="auto"/>
        </w:rPr>
        <w:t>1015 Lausanne</w:t>
      </w:r>
    </w:p>
    <w:p>
      <w:pPr>
        <w:jc w:val="center"/>
        <w:spacing w:after="0" w:line="225" w:lineRule="auto"/>
        <w:rPr>
          <w:sz w:val="20"/>
          <w:szCs w:val="20"/>
          <w:color w:val="auto"/>
        </w:rPr>
      </w:pPr>
      <w:r>
        <w:rPr>
          <w:rFonts w:ascii="Arial" w:cs="Arial" w:eastAsia="Arial" w:hAnsi="Arial"/>
          <w:sz w:val="15"/>
          <w:szCs w:val="15"/>
          <w:b w:val="1"/>
          <w:bCs w:val="1"/>
          <w:color w:val="auto"/>
        </w:rPr>
        <w:t>Switzerland</w:t>
      </w:r>
    </w:p>
    <w:p>
      <w:pPr>
        <w:jc w:val="center"/>
        <w:spacing w:after="0" w:line="218" w:lineRule="auto"/>
        <w:rPr>
          <w:sz w:val="20"/>
          <w:szCs w:val="20"/>
          <w:color w:val="auto"/>
        </w:rPr>
      </w:pPr>
      <w:r>
        <w:rPr>
          <w:rFonts w:ascii="Arial" w:cs="Arial" w:eastAsia="Arial" w:hAnsi="Arial"/>
          <w:sz w:val="15"/>
          <w:szCs w:val="15"/>
          <w:b w:val="1"/>
          <w:bCs w:val="1"/>
          <w:color w:val="auto"/>
        </w:rPr>
        <w:t>+41 21 693 91 21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73660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National Corporate Research, Ltd.</w:t>
      </w:r>
    </w:p>
    <w:p>
      <w:pPr>
        <w:jc w:val="center"/>
        <w:spacing w:after="0" w:line="233" w:lineRule="auto"/>
        <w:rPr>
          <w:sz w:val="20"/>
          <w:szCs w:val="20"/>
          <w:color w:val="auto"/>
        </w:rPr>
      </w:pPr>
      <w:r>
        <w:rPr>
          <w:rFonts w:ascii="Arial" w:cs="Arial" w:eastAsia="Arial" w:hAnsi="Arial"/>
          <w:sz w:val="15"/>
          <w:szCs w:val="15"/>
          <w:b w:val="1"/>
          <w:bCs w:val="1"/>
          <w:color w:val="auto"/>
        </w:rPr>
        <w:t>10 East 40th Street, 10th Floor</w:t>
      </w:r>
    </w:p>
    <w:p>
      <w:pPr>
        <w:jc w:val="center"/>
        <w:spacing w:after="0" w:line="225" w:lineRule="auto"/>
        <w:rPr>
          <w:sz w:val="20"/>
          <w:szCs w:val="20"/>
          <w:color w:val="auto"/>
        </w:rPr>
      </w:pPr>
      <w:r>
        <w:rPr>
          <w:rFonts w:ascii="Arial" w:cs="Arial" w:eastAsia="Arial" w:hAnsi="Arial"/>
          <w:sz w:val="15"/>
          <w:szCs w:val="15"/>
          <w:b w:val="1"/>
          <w:bCs w:val="1"/>
          <w:color w:val="auto"/>
        </w:rPr>
        <w:t>New York, New York 10016</w:t>
      </w:r>
    </w:p>
    <w:p>
      <w:pPr>
        <w:jc w:val="center"/>
        <w:spacing w:after="0" w:line="218" w:lineRule="auto"/>
        <w:rPr>
          <w:sz w:val="20"/>
          <w:szCs w:val="20"/>
          <w:color w:val="auto"/>
        </w:rPr>
      </w:pPr>
      <w:r>
        <w:rPr>
          <w:rFonts w:ascii="Arial" w:cs="Arial" w:eastAsia="Arial" w:hAnsi="Arial"/>
          <w:sz w:val="15"/>
          <w:szCs w:val="15"/>
          <w:b w:val="1"/>
          <w:bCs w:val="1"/>
          <w:color w:val="auto"/>
        </w:rPr>
        <w:t>(800) 221-0102</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73660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3"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2660" w:type="dxa"/>
            <w:vAlign w:val="bottom"/>
          </w:tcPr>
          <w:p>
            <w:pPr>
              <w:spacing w:after="0"/>
              <w:rPr>
                <w:sz w:val="16"/>
                <w:szCs w:val="16"/>
                <w:color w:val="auto"/>
              </w:rPr>
            </w:pPr>
          </w:p>
        </w:tc>
        <w:tc>
          <w:tcPr>
            <w:tcW w:w="4760" w:type="dxa"/>
            <w:vAlign w:val="bottom"/>
          </w:tcPr>
          <w:p>
            <w:pPr>
              <w:ind w:left="780"/>
              <w:spacing w:after="0"/>
              <w:rPr>
                <w:sz w:val="20"/>
                <w:szCs w:val="20"/>
                <w:color w:val="auto"/>
              </w:rPr>
            </w:pPr>
            <w:r>
              <w:rPr>
                <w:rFonts w:ascii="Arial" w:cs="Arial" w:eastAsia="Arial" w:hAnsi="Arial"/>
                <w:sz w:val="15"/>
                <w:szCs w:val="15"/>
                <w:b w:val="1"/>
                <w:bCs w:val="1"/>
                <w:i w:val="1"/>
                <w:iCs w:val="1"/>
                <w:color w:val="auto"/>
              </w:rPr>
              <w:t>Copies to:</w:t>
            </w:r>
          </w:p>
        </w:tc>
      </w:tr>
      <w:tr>
        <w:trPr>
          <w:trHeight w:val="207"/>
        </w:trPr>
        <w:tc>
          <w:tcPr>
            <w:tcW w:w="2660" w:type="dxa"/>
            <w:vAlign w:val="bottom"/>
          </w:tcPr>
          <w:p>
            <w:pPr>
              <w:jc w:val="center"/>
              <w:ind w:right="723"/>
              <w:spacing w:after="0"/>
              <w:rPr>
                <w:sz w:val="20"/>
                <w:szCs w:val="20"/>
                <w:color w:val="auto"/>
              </w:rPr>
            </w:pPr>
            <w:r>
              <w:rPr>
                <w:rFonts w:ascii="Arial" w:cs="Arial" w:eastAsia="Arial" w:hAnsi="Arial"/>
                <w:sz w:val="15"/>
                <w:szCs w:val="15"/>
                <w:b w:val="1"/>
                <w:bCs w:val="1"/>
                <w:color w:val="auto"/>
                <w:w w:val="93"/>
              </w:rPr>
              <w:t>Richard D. Truesdell, Jr.</w:t>
            </w:r>
          </w:p>
        </w:tc>
        <w:tc>
          <w:tcPr>
            <w:tcW w:w="4760" w:type="dxa"/>
            <w:vAlign w:val="bottom"/>
          </w:tcPr>
          <w:p>
            <w:pPr>
              <w:jc w:val="center"/>
              <w:ind w:left="3223"/>
              <w:spacing w:after="0"/>
              <w:rPr>
                <w:sz w:val="20"/>
                <w:szCs w:val="20"/>
                <w:color w:val="auto"/>
              </w:rPr>
            </w:pPr>
            <w:r>
              <w:rPr>
                <w:rFonts w:ascii="Arial" w:cs="Arial" w:eastAsia="Arial" w:hAnsi="Arial"/>
                <w:sz w:val="15"/>
                <w:szCs w:val="15"/>
                <w:b w:val="1"/>
                <w:bCs w:val="1"/>
                <w:color w:val="auto"/>
                <w:w w:val="94"/>
              </w:rPr>
              <w:t>Mitchell S. Bloom</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7"/>
              </w:rPr>
              <w:t>Deanna L. Kirkpatrick</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rPr>
              <w:t>Arthur R. McGivern</w:t>
            </w:r>
          </w:p>
        </w:tc>
      </w:tr>
      <w:tr>
        <w:trPr>
          <w:trHeight w:val="162"/>
        </w:trPr>
        <w:tc>
          <w:tcPr>
            <w:tcW w:w="2660" w:type="dxa"/>
            <w:vAlign w:val="bottom"/>
          </w:tcPr>
          <w:p>
            <w:pPr>
              <w:jc w:val="center"/>
              <w:ind w:right="703"/>
              <w:spacing w:after="0" w:line="162" w:lineRule="exact"/>
              <w:rPr>
                <w:sz w:val="20"/>
                <w:szCs w:val="20"/>
                <w:color w:val="auto"/>
              </w:rPr>
            </w:pPr>
            <w:r>
              <w:rPr>
                <w:rFonts w:ascii="Arial" w:cs="Arial" w:eastAsia="Arial" w:hAnsi="Arial"/>
                <w:sz w:val="15"/>
                <w:szCs w:val="15"/>
                <w:b w:val="1"/>
                <w:bCs w:val="1"/>
                <w:color w:val="auto"/>
                <w:w w:val="97"/>
              </w:rPr>
              <w:t>Davis Polk &amp; Wardwell LLP</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95"/>
              </w:rPr>
              <w:t>Goodwin Procter LLP</w:t>
            </w:r>
          </w:p>
        </w:tc>
      </w:tr>
      <w:tr>
        <w:trPr>
          <w:trHeight w:val="162"/>
        </w:trPr>
        <w:tc>
          <w:tcPr>
            <w:tcW w:w="2660" w:type="dxa"/>
            <w:vAlign w:val="bottom"/>
          </w:tcPr>
          <w:p>
            <w:pPr>
              <w:jc w:val="center"/>
              <w:ind w:right="703"/>
              <w:spacing w:after="0" w:line="162" w:lineRule="exact"/>
              <w:rPr>
                <w:sz w:val="20"/>
                <w:szCs w:val="20"/>
                <w:color w:val="auto"/>
              </w:rPr>
            </w:pPr>
            <w:r>
              <w:rPr>
                <w:rFonts w:ascii="Arial" w:cs="Arial" w:eastAsia="Arial" w:hAnsi="Arial"/>
                <w:sz w:val="15"/>
                <w:szCs w:val="15"/>
                <w:b w:val="1"/>
                <w:bCs w:val="1"/>
                <w:color w:val="auto"/>
                <w:w w:val="90"/>
              </w:rPr>
              <w:t>450 Lexington Avenue</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89"/>
              </w:rPr>
              <w:t>Exchange Place</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6"/>
              </w:rPr>
              <w:t>New York, NY 10017</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90"/>
              </w:rPr>
              <w:t>53 State Street</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1"/>
              </w:rPr>
              <w:t>(212) 450-4000</w:t>
            </w:r>
          </w:p>
        </w:tc>
        <w:tc>
          <w:tcPr>
            <w:tcW w:w="4760" w:type="dxa"/>
            <w:vAlign w:val="bottom"/>
          </w:tcPr>
          <w:p>
            <w:pPr>
              <w:jc w:val="center"/>
              <w:ind w:left="3243"/>
              <w:spacing w:after="0" w:line="162" w:lineRule="exact"/>
              <w:rPr>
                <w:sz w:val="20"/>
                <w:szCs w:val="20"/>
                <w:color w:val="auto"/>
              </w:rPr>
            </w:pPr>
            <w:r>
              <w:rPr>
                <w:rFonts w:ascii="Arial" w:cs="Arial" w:eastAsia="Arial" w:hAnsi="Arial"/>
                <w:sz w:val="15"/>
                <w:szCs w:val="15"/>
                <w:b w:val="1"/>
                <w:bCs w:val="1"/>
                <w:color w:val="auto"/>
                <w:w w:val="92"/>
              </w:rPr>
              <w:t>Boston, MA 02109</w:t>
            </w:r>
          </w:p>
        </w:tc>
      </w:tr>
      <w:tr>
        <w:trPr>
          <w:trHeight w:val="198"/>
        </w:trPr>
        <w:tc>
          <w:tcPr>
            <w:tcW w:w="2660" w:type="dxa"/>
            <w:vAlign w:val="bottom"/>
          </w:tcPr>
          <w:p>
            <w:pPr>
              <w:spacing w:after="0"/>
              <w:rPr>
                <w:sz w:val="17"/>
                <w:szCs w:val="17"/>
                <w:color w:val="auto"/>
              </w:rPr>
            </w:pPr>
          </w:p>
        </w:tc>
        <w:tc>
          <w:tcPr>
            <w:tcW w:w="4760" w:type="dxa"/>
            <w:vAlign w:val="bottom"/>
          </w:tcPr>
          <w:p>
            <w:pPr>
              <w:jc w:val="center"/>
              <w:ind w:left="3223"/>
              <w:spacing w:after="0"/>
              <w:rPr>
                <w:sz w:val="20"/>
                <w:szCs w:val="20"/>
                <w:color w:val="auto"/>
              </w:rPr>
            </w:pPr>
            <w:r>
              <w:rPr>
                <w:rFonts w:ascii="Arial" w:cs="Arial" w:eastAsia="Arial" w:hAnsi="Arial"/>
                <w:sz w:val="15"/>
                <w:szCs w:val="15"/>
                <w:b w:val="1"/>
                <w:bCs w:val="1"/>
                <w:color w:val="auto"/>
                <w:w w:val="91"/>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73660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registration statement.</w:t>
      </w:r>
    </w:p>
    <w:p>
      <w:pPr>
        <w:spacing w:after="0" w:line="2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88" w:lineRule="exact"/>
        <w:rPr>
          <w:sz w:val="24"/>
          <w:szCs w:val="24"/>
          <w:color w:val="auto"/>
        </w:rPr>
      </w:pPr>
    </w:p>
    <w:p>
      <w:pPr>
        <w:ind w:right="460"/>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right="60"/>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right="60"/>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55245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800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jc w:val="center"/>
              <w:ind w:left="9"/>
              <w:spacing w:after="0" w:line="106" w:lineRule="exact"/>
              <w:rPr>
                <w:sz w:val="20"/>
                <w:szCs w:val="20"/>
                <w:color w:val="auto"/>
              </w:rPr>
            </w:pPr>
            <w:r>
              <w:rPr>
                <w:rFonts w:ascii="Arial" w:cs="Arial" w:eastAsia="Arial" w:hAnsi="Arial"/>
                <w:sz w:val="12"/>
                <w:szCs w:val="12"/>
                <w:b w:val="1"/>
                <w:bCs w:val="1"/>
                <w:color w:val="auto"/>
              </w:rPr>
              <w:t>Proposed</w:t>
            </w:r>
          </w:p>
        </w:tc>
        <w:tc>
          <w:tcPr>
            <w:tcW w:w="168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800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7"/>
              </w:rPr>
              <w:t>maximum</w:t>
            </w:r>
          </w:p>
        </w:tc>
        <w:tc>
          <w:tcPr>
            <w:tcW w:w="168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80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720" w:type="dxa"/>
            <w:vAlign w:val="bottom"/>
            <w:tcBorders>
              <w:right w:val="single" w:sz="8" w:color="auto"/>
            </w:tcBorders>
          </w:tcPr>
          <w:p>
            <w:pPr>
              <w:jc w:val="center"/>
              <w:ind w:left="9"/>
              <w:spacing w:after="0" w:line="158" w:lineRule="exact"/>
              <w:rPr>
                <w:sz w:val="20"/>
                <w:szCs w:val="20"/>
                <w:color w:val="auto"/>
              </w:rPr>
            </w:pPr>
            <w:r>
              <w:rPr>
                <w:rFonts w:ascii="Arial" w:cs="Arial" w:eastAsia="Arial" w:hAnsi="Arial"/>
                <w:sz w:val="14"/>
                <w:szCs w:val="14"/>
                <w:b w:val="1"/>
                <w:bCs w:val="1"/>
                <w:color w:val="auto"/>
                <w:w w:val="89"/>
              </w:rPr>
              <w:t>aggregate</w:t>
            </w:r>
          </w:p>
        </w:tc>
        <w:tc>
          <w:tcPr>
            <w:tcW w:w="168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20" w:type="dxa"/>
            <w:vAlign w:val="bottom"/>
          </w:tcPr>
          <w:p>
            <w:pPr>
              <w:spacing w:after="0"/>
              <w:rPr>
                <w:sz w:val="15"/>
                <w:szCs w:val="15"/>
                <w:color w:val="auto"/>
              </w:rPr>
            </w:pPr>
          </w:p>
        </w:tc>
        <w:tc>
          <w:tcPr>
            <w:tcW w:w="8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2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3"/>
              </w:rPr>
              <w:t>offering price(1)</w:t>
            </w:r>
          </w:p>
        </w:tc>
        <w:tc>
          <w:tcPr>
            <w:tcW w:w="168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2"/>
              </w:rPr>
              <w:t>registration fee(2)</w:t>
            </w:r>
          </w:p>
        </w:tc>
      </w:tr>
      <w:tr>
        <w:trPr>
          <w:trHeight w:val="156"/>
        </w:trPr>
        <w:tc>
          <w:tcPr>
            <w:tcW w:w="20" w:type="dxa"/>
            <w:vAlign w:val="bottom"/>
            <w:tcBorders>
              <w:bottom w:val="single" w:sz="8" w:color="auto"/>
            </w:tcBorders>
          </w:tcPr>
          <w:p>
            <w:pPr>
              <w:spacing w:after="0"/>
              <w:rPr>
                <w:sz w:val="13"/>
                <w:szCs w:val="13"/>
                <w:color w:val="auto"/>
              </w:rPr>
            </w:pPr>
          </w:p>
        </w:tc>
        <w:tc>
          <w:tcPr>
            <w:tcW w:w="800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Common shares, nominal value CHF 0.02 per share</w:t>
            </w:r>
          </w:p>
        </w:tc>
        <w:tc>
          <w:tcPr>
            <w:tcW w:w="1720" w:type="dxa"/>
            <w:vAlign w:val="bottom"/>
            <w:tcBorders>
              <w:bottom w:val="single" w:sz="8" w:color="auto"/>
              <w:right w:val="single" w:sz="8" w:color="auto"/>
            </w:tcBorders>
          </w:tcPr>
          <w:p>
            <w:pPr>
              <w:jc w:val="center"/>
              <w:ind w:left="9"/>
              <w:spacing w:after="0" w:line="156" w:lineRule="exact"/>
              <w:rPr>
                <w:sz w:val="20"/>
                <w:szCs w:val="20"/>
                <w:color w:val="auto"/>
              </w:rPr>
            </w:pPr>
            <w:r>
              <w:rPr>
                <w:rFonts w:ascii="Arial" w:cs="Arial" w:eastAsia="Arial" w:hAnsi="Arial"/>
                <w:sz w:val="15"/>
                <w:szCs w:val="15"/>
                <w:color w:val="auto"/>
                <w:w w:val="91"/>
              </w:rPr>
              <w:t>$50,000,000</w:t>
            </w:r>
          </w:p>
        </w:tc>
        <w:tc>
          <w:tcPr>
            <w:tcW w:w="1680" w:type="dxa"/>
            <w:vAlign w:val="bottom"/>
            <w:tcBorders>
              <w:bottom w:val="single" w:sz="8" w:color="auto"/>
            </w:tcBorders>
          </w:tcPr>
          <w:p>
            <w:pPr>
              <w:jc w:val="center"/>
              <w:ind w:left="27"/>
              <w:spacing w:after="0" w:line="156" w:lineRule="exact"/>
              <w:rPr>
                <w:sz w:val="20"/>
                <w:szCs w:val="20"/>
                <w:color w:val="auto"/>
              </w:rPr>
            </w:pPr>
            <w:r>
              <w:rPr>
                <w:rFonts w:ascii="Arial" w:cs="Arial" w:eastAsia="Arial" w:hAnsi="Arial"/>
                <w:sz w:val="15"/>
                <w:szCs w:val="15"/>
                <w:color w:val="auto"/>
                <w:w w:val="91"/>
              </w:rPr>
              <w:t>$5,035</w:t>
            </w:r>
          </w:p>
        </w:tc>
      </w:tr>
      <w:tr>
        <w:trPr>
          <w:trHeight w:val="20"/>
        </w:trPr>
        <w:tc>
          <w:tcPr>
            <w:tcW w:w="20" w:type="dxa"/>
            <w:vAlign w:val="bottom"/>
          </w:tcPr>
          <w:p>
            <w:pPr>
              <w:spacing w:after="0" w:line="20" w:lineRule="exact"/>
              <w:rPr>
                <w:sz w:val="1"/>
                <w:szCs w:val="1"/>
                <w:color w:val="auto"/>
              </w:rPr>
            </w:pPr>
          </w:p>
        </w:tc>
        <w:tc>
          <w:tcPr>
            <w:tcW w:w="8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amount of the registration fee pursuant to Rule 457(o) under the Securities Act of 1933, as amended.</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Calculated pursuant to Rule 457(o) under the Securities Act of 1933, as amended,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62865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ind w:right="20"/>
        <w:spacing w:after="0" w:line="26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MAY 31, 2016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31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212725</wp:posOffset>
            </wp:positionV>
            <wp:extent cx="2538730"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87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278130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This is the initial public offering of AC Immune SA. No public market has previously existed for our common shares. We are offering of our common shares. We expect the initial public offering price will be between $ and $ per common share. We intend to apply to list our common shares on the NASDAQ under the symbol “ACIU.”</w:t>
      </w:r>
    </w:p>
    <w:p>
      <w:pPr>
        <w:spacing w:after="0" w:line="222"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We are an “emerging growth company” as defined under the federal securities laws and, as such, will be subject to reduced public company reporting requirements. See “Prospectus Summary—Implications of Being an Emerging Growth Company” and “—Implications of Being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a high degree of risk. See “</w:t>
      </w:r>
      <w:hyperlink w:anchor="page1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12.</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Arial" w:cs="Arial" w:eastAsia="Arial" w:hAnsi="Arial"/>
                <w:sz w:val="14"/>
                <w:szCs w:val="14"/>
                <w:b w:val="1"/>
                <w:bCs w:val="1"/>
                <w:color w:val="auto"/>
              </w:rPr>
              <w:t>Per</w:t>
            </w:r>
          </w:p>
        </w:tc>
        <w:tc>
          <w:tcPr>
            <w:tcW w:w="660" w:type="dxa"/>
            <w:vAlign w:val="bottom"/>
          </w:tcPr>
          <w:p>
            <w:pPr>
              <w:spacing w:after="0"/>
              <w:rPr>
                <w:sz w:val="14"/>
                <w:szCs w:val="14"/>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0"/>
              </w:rPr>
              <w:t>Common Share</w:t>
            </w:r>
          </w:p>
        </w:tc>
        <w:tc>
          <w:tcPr>
            <w:tcW w:w="6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9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90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9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additional information regarding total underwriter compensation.</w:t>
      </w:r>
    </w:p>
    <w:p>
      <w:pPr>
        <w:sectPr>
          <w:pgSz w:w="11900" w:h="16838" w:orient="portrait"/>
          <w:cols w:equalWidth="0" w:num="1">
            <w:col w:w="11420"/>
          </w:cols>
          <w:pgMar w:left="240" w:top="459" w:right="239" w:bottom="1440" w:gutter="0" w:footer="0" w:header="0"/>
        </w:sectPr>
      </w:pPr>
    </w:p>
    <w:p>
      <w:pPr>
        <w:spacing w:after="0" w:line="2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an additional cover over-allotments.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common shares to</w:t>
      </w:r>
    </w:p>
    <w:p>
      <w:pPr>
        <w:spacing w:after="0" w:line="493" w:lineRule="exact"/>
        <w:rPr>
          <w:sz w:val="20"/>
          <w:szCs w:val="20"/>
          <w:color w:val="auto"/>
        </w:rPr>
      </w:pPr>
    </w:p>
    <w:p>
      <w:pPr>
        <w:sectPr>
          <w:pgSz w:w="11900" w:h="16838" w:orient="portrait"/>
          <w:cols w:equalWidth="0" w:num="2">
            <w:col w:w="9460" w:space="620"/>
            <w:col w:w="1340"/>
          </w:cols>
          <w:pgMar w:left="240" w:top="459" w:right="239" w:bottom="1440" w:gutter="0" w:footer="0" w:header="0"/>
          <w:type w:val="continuous"/>
        </w:sectPr>
      </w:pPr>
    </w:p>
    <w:p>
      <w:pPr>
        <w:spacing w:after="0" w:line="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w w:val="98"/>
              </w:rPr>
              <w:t>Delivery of the common shares is expected to be made on or about</w:t>
            </w:r>
          </w:p>
        </w:tc>
        <w:tc>
          <w:tcPr>
            <w:tcW w:w="98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266065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Jefferies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Leerink Partners</w:t>
      </w:r>
    </w:p>
    <w:p>
      <w:pPr>
        <w:spacing w:after="0" w:line="200" w:lineRule="exact"/>
        <w:rPr>
          <w:sz w:val="20"/>
          <w:szCs w:val="20"/>
          <w:color w:val="auto"/>
        </w:rPr>
      </w:pPr>
    </w:p>
    <w:p>
      <w:pPr>
        <w:sectPr>
          <w:pgSz w:w="11900" w:h="16838" w:orient="portrait"/>
          <w:cols w:equalWidth="0" w:num="3">
            <w:col w:w="4540" w:space="720"/>
            <w:col w:w="3320" w:space="720"/>
            <w:col w:w="2120"/>
          </w:cols>
          <w:pgMar w:left="240" w:top="459" w:right="239" w:bottom="1440" w:gutter="0" w:footer="0" w:header="0"/>
          <w:type w:val="continuous"/>
        </w:sectPr>
      </w:pPr>
    </w:p>
    <w:p>
      <w:pPr>
        <w:spacing w:after="0" w:line="109"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2016</w:t>
      </w:r>
    </w:p>
    <w:p>
      <w:pPr>
        <w:sectPr>
          <w:pgSz w:w="11900" w:h="16838" w:orient="portrait"/>
          <w:cols w:equalWidth="0" w:num="2">
            <w:col w:w="6360" w:space="720"/>
            <w:col w:w="434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1540" w:type="dxa"/>
            <w:vAlign w:val="bottom"/>
            <w:gridSpan w:val="12"/>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Summary</w:t>
              </w:r>
            </w:hyperlink>
          </w:p>
        </w:tc>
        <w:tc>
          <w:tcPr>
            <w:tcW w:w="5360" w:type="dxa"/>
            <w:vAlign w:val="bottom"/>
            <w:gridSpan w:val="15"/>
            <w:vMerge w:val="restart"/>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0000EE"/>
            </w:tcBorders>
            <w:gridSpan w:val="12"/>
            <w:vMerge w:val="continue"/>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The Offering</w:t>
              </w:r>
            </w:hyperlink>
          </w:p>
        </w:tc>
        <w:tc>
          <w:tcPr>
            <w:tcW w:w="5940" w:type="dxa"/>
            <w:vAlign w:val="bottom"/>
            <w:gridSpan w:val="21"/>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Summary Historical and Other Financial Information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2920" w:type="dxa"/>
            <w:vAlign w:val="bottom"/>
            <w:tcBorders>
              <w:top w:val="single" w:sz="8" w:color="0000EE"/>
            </w:tcBorders>
            <w:gridSpan w:val="18"/>
          </w:tcPr>
          <w:p>
            <w:pPr>
              <w:spacing w:after="0"/>
              <w:rPr>
                <w:sz w:val="17"/>
                <w:szCs w:val="17"/>
                <w:color w:val="auto"/>
              </w:rPr>
            </w:pPr>
          </w:p>
        </w:tc>
        <w:tc>
          <w:tcPr>
            <w:tcW w:w="3060" w:type="dxa"/>
            <w:vAlign w:val="bottom"/>
            <w:gridSpan w:val="5"/>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Cautionary Statement Regarding Forward-Looking Statements</w:t>
              </w:r>
            </w:hyperlink>
          </w:p>
        </w:tc>
        <w:tc>
          <w:tcPr>
            <w:tcW w:w="2360" w:type="dxa"/>
            <w:vAlign w:val="bottom"/>
            <w:gridSpan w:val="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Market and Industry Data</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4"/>
          </w:tcPr>
          <w:p>
            <w:pPr>
              <w:spacing w:after="0"/>
              <w:rPr>
                <w:sz w:val="17"/>
                <w:szCs w:val="17"/>
                <w:color w:val="auto"/>
              </w:rPr>
            </w:pPr>
          </w:p>
        </w:tc>
        <w:tc>
          <w:tcPr>
            <w:tcW w:w="5040" w:type="dxa"/>
            <w:vAlign w:val="bottom"/>
            <w:gridSpan w:val="1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Capitalization</w:t>
              </w:r>
            </w:hyperlink>
          </w:p>
        </w:tc>
        <w:tc>
          <w:tcPr>
            <w:tcW w:w="140" w:type="dxa"/>
            <w:vAlign w:val="bottom"/>
            <w:tcBorders>
              <w:top w:val="single" w:sz="8" w:color="0000EE"/>
            </w:tcBorders>
            <w:gridSpan w:val="2"/>
          </w:tcPr>
          <w:p>
            <w:pPr>
              <w:spacing w:after="0"/>
              <w:rPr>
                <w:sz w:val="17"/>
                <w:szCs w:val="17"/>
                <w:color w:val="auto"/>
              </w:rPr>
            </w:pPr>
          </w:p>
        </w:tc>
        <w:tc>
          <w:tcPr>
            <w:tcW w:w="5720" w:type="dxa"/>
            <w:vAlign w:val="bottom"/>
            <w:gridSpan w:val="16"/>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Dilution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Exchange Rates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Selected Financial and Other Information</w:t>
              </w:r>
            </w:hyperlink>
          </w:p>
        </w:tc>
        <w:tc>
          <w:tcPr>
            <w:tcW w:w="3900" w:type="dxa"/>
            <w:vAlign w:val="bottom"/>
            <w:gridSpan w:val="7"/>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Management’s Discussion and Analysis of Financial Condition and Results of Operations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91">
              <w:r>
                <w:rPr>
                  <w:rFonts w:ascii="Arial" w:cs="Arial" w:eastAsia="Arial" w:hAnsi="Arial"/>
                  <w:sz w:val="18"/>
                  <w:szCs w:val="18"/>
                  <w:color w:val="0000EE"/>
                  <w:w w:val="87"/>
                </w:rPr>
                <w:t>Business</w:t>
              </w:r>
            </w:hyperlink>
          </w:p>
        </w:tc>
        <w:tc>
          <w:tcPr>
            <w:tcW w:w="5800" w:type="dxa"/>
            <w:vAlign w:val="bottom"/>
            <w:tcBorders>
              <w:top w:val="single" w:sz="8" w:color="0000EE"/>
            </w:tcBorders>
            <w:gridSpan w:val="23"/>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Management</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Principal Shareholders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Related Party Transactions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58">
              <w:r>
                <w:rPr>
                  <w:rFonts w:ascii="Arial" w:cs="Arial" w:eastAsia="Arial" w:hAnsi="Arial"/>
                  <w:sz w:val="18"/>
                  <w:szCs w:val="18"/>
                  <w:color w:val="0000EE"/>
                  <w:w w:val="92"/>
                </w:rPr>
                <w:t>Description of Share Capital and Articles of Association</w:t>
              </w:r>
            </w:hyperlink>
          </w:p>
        </w:tc>
        <w:tc>
          <w:tcPr>
            <w:tcW w:w="2820" w:type="dxa"/>
            <w:vAlign w:val="bottom"/>
            <w:gridSpan w:val="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70">
              <w:r>
                <w:rPr>
                  <w:rFonts w:ascii="Arial" w:cs="Arial" w:eastAsia="Arial" w:hAnsi="Arial"/>
                  <w:sz w:val="18"/>
                  <w:szCs w:val="18"/>
                  <w:color w:val="0000EE"/>
                  <w:w w:val="91"/>
                </w:rPr>
                <w:t>Comparison of Swiss Law and Delaware Law</w:t>
              </w:r>
            </w:hyperlink>
          </w:p>
        </w:tc>
        <w:tc>
          <w:tcPr>
            <w:tcW w:w="3580" w:type="dxa"/>
            <w:vAlign w:val="bottom"/>
            <w:gridSpan w:val="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Common Shares Eligible for Future Sale</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80">
              <w:r>
                <w:rPr>
                  <w:rFonts w:ascii="Arial" w:cs="Arial" w:eastAsia="Arial" w:hAnsi="Arial"/>
                  <w:sz w:val="18"/>
                  <w:szCs w:val="18"/>
                  <w:color w:val="0000EE"/>
                  <w:w w:val="89"/>
                </w:rPr>
                <w:t>Taxation</w:t>
              </w:r>
            </w:hyperlink>
          </w:p>
        </w:tc>
        <w:tc>
          <w:tcPr>
            <w:tcW w:w="2300" w:type="dxa"/>
            <w:vAlign w:val="bottom"/>
            <w:tcBorders>
              <w:top w:val="single" w:sz="8" w:color="0000EE"/>
            </w:tcBorders>
            <w:gridSpan w:val="17"/>
          </w:tcPr>
          <w:p>
            <w:pPr>
              <w:spacing w:after="0"/>
              <w:rPr>
                <w:sz w:val="17"/>
                <w:szCs w:val="17"/>
                <w:color w:val="auto"/>
              </w:rPr>
            </w:pPr>
          </w:p>
        </w:tc>
        <w:tc>
          <w:tcPr>
            <w:tcW w:w="3960" w:type="dxa"/>
            <w:vAlign w:val="bottom"/>
            <w:gridSpan w:val="8"/>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87">
              <w:r>
                <w:rPr>
                  <w:rFonts w:ascii="Arial" w:cs="Arial" w:eastAsia="Arial" w:hAnsi="Arial"/>
                  <w:sz w:val="18"/>
                  <w:szCs w:val="18"/>
                  <w:color w:val="0000EE"/>
                  <w:w w:val="94"/>
                </w:rPr>
                <w:t>Underwriting</w:t>
              </w:r>
            </w:hyperlink>
          </w:p>
        </w:tc>
        <w:tc>
          <w:tcPr>
            <w:tcW w:w="5920" w:type="dxa"/>
            <w:vAlign w:val="bottom"/>
            <w:gridSpan w:val="2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Expenses of the Offering</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96">
              <w:r>
                <w:rPr>
                  <w:rFonts w:ascii="Arial" w:cs="Arial" w:eastAsia="Arial" w:hAnsi="Arial"/>
                  <w:sz w:val="18"/>
                  <w:szCs w:val="18"/>
                  <w:color w:val="0000EE"/>
                  <w:w w:val="91"/>
                </w:rPr>
                <w:t>Legal Matters</w:t>
              </w:r>
            </w:hyperlink>
          </w:p>
        </w:tc>
        <w:tc>
          <w:tcPr>
            <w:tcW w:w="780" w:type="dxa"/>
            <w:vAlign w:val="bottom"/>
            <w:tcBorders>
              <w:top w:val="single" w:sz="8" w:color="0000EE"/>
            </w:tcBorders>
            <w:gridSpan w:val="6"/>
          </w:tcPr>
          <w:p>
            <w:pPr>
              <w:spacing w:after="0"/>
              <w:rPr>
                <w:sz w:val="17"/>
                <w:szCs w:val="17"/>
                <w:color w:val="auto"/>
              </w:rPr>
            </w:pPr>
          </w:p>
        </w:tc>
        <w:tc>
          <w:tcPr>
            <w:tcW w:w="5100" w:type="dxa"/>
            <w:vAlign w:val="bottom"/>
            <w:gridSpan w:val="13"/>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96">
              <w:r>
                <w:rPr>
                  <w:rFonts w:ascii="Arial" w:cs="Arial" w:eastAsia="Arial" w:hAnsi="Arial"/>
                  <w:sz w:val="18"/>
                  <w:szCs w:val="18"/>
                  <w:color w:val="0000EE"/>
                  <w:w w:val="91"/>
                </w:rPr>
                <w:t>Experts</w:t>
              </w:r>
            </w:hyperlink>
          </w:p>
        </w:tc>
        <w:tc>
          <w:tcPr>
            <w:tcW w:w="6300" w:type="dxa"/>
            <w:vAlign w:val="bottom"/>
            <w:gridSpan w:val="2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Enforcement of Judgments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1940" w:type="dxa"/>
            <w:vAlign w:val="bottom"/>
            <w:gridSpan w:val="1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98">
              <w:r>
                <w:rPr>
                  <w:rFonts w:ascii="Arial" w:cs="Arial" w:eastAsia="Arial" w:hAnsi="Arial"/>
                  <w:sz w:val="18"/>
                  <w:szCs w:val="18"/>
                  <w:color w:val="0000EE"/>
                  <w:w w:val="92"/>
                </w:rPr>
                <w:t>Where You Can Find More Information</w:t>
              </w:r>
            </w:hyperlink>
          </w:p>
        </w:tc>
        <w:tc>
          <w:tcPr>
            <w:tcW w:w="4020" w:type="dxa"/>
            <w:vAlign w:val="bottom"/>
            <w:gridSpan w:val="9"/>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99">
              <w:r>
                <w:rPr>
                  <w:rFonts w:ascii="Arial" w:cs="Arial" w:eastAsia="Arial" w:hAnsi="Arial"/>
                  <w:sz w:val="18"/>
                  <w:szCs w:val="18"/>
                  <w:color w:val="0000EE"/>
                  <w:w w:val="90"/>
                </w:rPr>
                <w:t>Index to Financial Statements</w:t>
              </w:r>
            </w:hyperlink>
          </w:p>
        </w:tc>
        <w:tc>
          <w:tcPr>
            <w:tcW w:w="4740" w:type="dxa"/>
            <w:vAlign w:val="bottom"/>
            <w:gridSpan w:val="10"/>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See “Enforcement of Judgments”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“AC Immune,” the “Company,” “we,” “our,” “ours,” “us” or similar terms refer to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various trademark registrations and applications, and unregistered trademarks, including Morphomer™, SupraAntigen™ and our corporate logo. All other trade names, trademarks and service marks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other companies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financial statements are presented in Swiss Francs and in accordance with IFRS as issued by the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1.0435 to CHF 1.00, the official exchange rate quoted as of March 31, 2016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On May 20, 2016, the exchange rate as reported by the U.S. Federal Reserve Bank was USD 1.0081 to CHF 1.00. We have made rounding adjustments to some of the figures included in this prospectus. Accordingly, any numerical discrepancies in any table between totals and sums of the amounts listed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200660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We and the underwriters have not authorized anyone to provide any information other than that contained in this prospectus or in any free writing prospectus prepared by or on behalf of us or to which we may have referred you. We and the underwriters take no responsibility for, and can provide no assurance as to the reliability of, any other information that others may give you.</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we nor the underwriters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are incorporated as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20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3820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financial statements, including the notes thereto, included elsewhere in this prospectus, before deciding to invest in our common shares.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40" w:firstLine="443"/>
        <w:spacing w:after="0" w:line="273"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w:t>
      </w:r>
    </w:p>
    <w:p>
      <w:pPr>
        <w:spacing w:after="0" w:line="178"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There is currently an absence of reliable, early-stage diagnosis and disease-modifying treatments for widely prevalent neurodegenerative and other diseases associated with protein misfolding. AD is the most common form of dementia, with an estimated worldwide patient population of 47 million in 2015, which is expected to grow to 75 million by 2030 and 132 million by 2050 according to the World Alzheimer Report 2015. 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with limited clinical benefit. 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 There remains a significant unmet medical need for reliable and accurate diagnostics to enable early diagnosis and disease-modifying treatments that slow the progress of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8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4871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proprietary SupraAntigen</w:t>
      </w:r>
      <w:r>
        <w:rPr>
          <w:rFonts w:ascii="Arial" w:cs="Arial" w:eastAsia="Arial" w:hAnsi="Arial"/>
          <w:sz w:val="13"/>
          <w:szCs w:val="13"/>
          <w:color w:val="auto"/>
        </w:rPr>
        <w:t>TM</w:t>
      </w:r>
      <w:r>
        <w:rPr>
          <w:rFonts w:ascii="Arial" w:cs="Arial" w:eastAsia="Arial" w:hAnsi="Arial"/>
          <w:sz w:val="16"/>
          <w:szCs w:val="16"/>
          <w:color w:val="auto"/>
        </w:rPr>
        <w:t xml:space="preserve"> platform. Crenezumab commenced Phase 3 clinical studies in the first quarter of 2016 and we believe it has the potential to become a best-in-class disease-modifying treatment for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 Under our collaboration agreement, we are eligible to receive payments from Genentech totaling up to approximately $340 million, as well as sales royalties. Crenezumab has received Fast Track designation from the FDA. The Fast Track program is intended to expedite or facilitate the process for reviewing new drugs that are designed to treat a serious or life-threatening condition and demonstrate the potential to address unmet medical needs, as further described under “Business—Government Regulation and Our Regulatory Department—Product Approval Process.” In 2012, crenezumab was independently selected by the National Institute of Health, the Banner Alzheimer’s Institute and Genentech for use in the first-ever AD prevention study, which serves as the cornerstone of the global Alzheimer’s Prevention Initiative. While crenezumab did not meet its co-primary endpoints in its Phase 2 studies, the data showed promising signals of activity in patients with a milder stage of the disease.</w:t>
      </w:r>
    </w:p>
    <w:p>
      <w:pPr>
        <w:spacing w:after="0" w:line="10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key advantages of crenezumab include:</w:t>
      </w:r>
    </w:p>
    <w:p>
      <w:pPr>
        <w:spacing w:after="0" w:line="46"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44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620" w:right="14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ABBY cognition study: although the study did not meet its co-primary endpoints, which were assessments using the ADAS-cog and CDR-Sum of boxes, the sample size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The results showed trends favoring crenezumab in the milder patient population.</w:t>
      </w:r>
    </w:p>
    <w:p>
      <w:pPr>
        <w:spacing w:after="0" w:line="98" w:lineRule="exact"/>
        <w:rPr>
          <w:rFonts w:ascii="Arial" w:cs="Arial" w:eastAsia="Arial" w:hAnsi="Arial"/>
          <w:sz w:val="18"/>
          <w:szCs w:val="18"/>
          <w:color w:val="auto"/>
        </w:rPr>
      </w:pPr>
    </w:p>
    <w:p>
      <w:pPr>
        <w:ind w:left="1620" w:right="100" w:hanging="437"/>
        <w:spacing w:after="0" w:line="264"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of Abeta in the cerebrospinal fluid,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620" w:right="10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which is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left="200" w:right="460" w:firstLine="443"/>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1060" w:right="22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In January 2016, we announced that, together with the University of California, San Diego and with support from the LuMind Foundation, we commenced a Phase 1 clinical study for ACI-24 in patients with Down syndrome. Down syndrome patients are a population that is at high risk for AD.</w:t>
      </w:r>
    </w:p>
    <w:p>
      <w:pPr>
        <w:spacing w:after="0" w:line="92" w:lineRule="exact"/>
        <w:rPr>
          <w:rFonts w:ascii="Arial" w:cs="Arial" w:eastAsia="Arial" w:hAnsi="Arial"/>
          <w:sz w:val="18"/>
          <w:szCs w:val="18"/>
          <w:color w:val="auto"/>
        </w:rPr>
      </w:pPr>
    </w:p>
    <w:p>
      <w:pPr>
        <w:ind w:left="1060" w:hanging="323"/>
        <w:spacing w:after="0" w:line="279"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ACI-35 is an anti-tau vaccine candidate that we are developing under a collaboration agreement with Janssen Pharmaceuticals, Inc., a Johnson &amp; Johnson Company.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3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6332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1060" w:right="320" w:hanging="323"/>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tau PET imaging agent is currently in a First-in-Man study (a clinical study in which a medical procedure, previously developed and assessed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also developing PET imaging diagnostics for diseases resulting from the misfolding of alpha-synuclein proteins, such as PD.</w:t>
      </w:r>
    </w:p>
    <w:p>
      <w:pPr>
        <w:spacing w:after="0" w:line="142" w:lineRule="exact"/>
        <w:rPr>
          <w:rFonts w:ascii="Arial" w:cs="Arial" w:eastAsia="Arial" w:hAnsi="Arial"/>
          <w:sz w:val="17"/>
          <w:szCs w:val="17"/>
          <w:color w:val="auto"/>
        </w:rPr>
      </w:pPr>
    </w:p>
    <w:p>
      <w:pPr>
        <w:ind w:left="1060" w:right="140" w:hanging="323"/>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2016, we entered into a non-exclusive collaboration with Biogen International GmbH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Proprietary Platform Technologies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Neurodegenerative diseases, such as AD and PD, as well as other neuro-orphan diseases, such as progressive supranuclear palsy, amyotrophic lateral sclerosis, and Huntington’s disease, are all associated with pathologies that involve misfolded proteins. Research has shown that misfolded proteins are unable to carry out their normal functions and aggregate to form certain types of deposits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7" w:lineRule="exact"/>
        <w:rPr>
          <w:sz w:val="20"/>
          <w:szCs w:val="20"/>
          <w:color w:val="auto"/>
        </w:rPr>
      </w:pPr>
    </w:p>
    <w:p>
      <w:pPr>
        <w:ind w:left="1060" w:right="24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in partnership or alone, our product candidates crenezumab, ACI-24 and ACI-35, and our diagnostic candidates through clinical development to regulatory approval and potential commercialization.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into other neurodegenerative and neuro-orphan diseases.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Accelerate the advancement of our diagnostic portfolio.</w:t>
      </w:r>
    </w:p>
    <w:p>
      <w:pPr>
        <w:spacing w:after="0" w:line="130"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the duality of our therapeutic and diagnostic approaches to become the leader in personalized treatment of neurodegenerative diseases.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Strategically collaborate or selectively partner for the development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784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5784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760" w:firstLine="443"/>
        <w:spacing w:after="0" w:line="277" w:lineRule="auto"/>
        <w:rPr>
          <w:sz w:val="20"/>
          <w:szCs w:val="20"/>
          <w:color w:val="auto"/>
        </w:rPr>
      </w:pPr>
      <w:r>
        <w:rPr>
          <w:rFonts w:ascii="Arial" w:cs="Arial" w:eastAsia="Arial" w:hAnsi="Arial"/>
          <w:sz w:val="18"/>
          <w:szCs w:val="18"/>
          <w:color w:val="auto"/>
        </w:rPr>
        <w:t>Our ability to implement our business strategy is subject to numerous risks, as more fully described in the section entitled “Risk Factors” immediately following this prospectus summary. These risks include, among others:</w:t>
      </w:r>
    </w:p>
    <w:p>
      <w:pPr>
        <w:spacing w:after="0" w:line="76" w:lineRule="exact"/>
        <w:rPr>
          <w:sz w:val="20"/>
          <w:szCs w:val="20"/>
          <w:color w:val="auto"/>
        </w:rPr>
      </w:pPr>
    </w:p>
    <w:p>
      <w:pPr>
        <w:ind w:left="1060" w:right="10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75" w:lineRule="exact"/>
        <w:rPr>
          <w:rFonts w:ascii="Arial" w:cs="Arial" w:eastAsia="Arial" w:hAnsi="Arial"/>
          <w:sz w:val="18"/>
          <w:szCs w:val="18"/>
          <w:color w:val="auto"/>
        </w:rPr>
      </w:pPr>
    </w:p>
    <w:p>
      <w:pPr>
        <w:ind w:left="1060" w:right="24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direct reliance on our collaboration partners’ efforts to obtain regulatory and marketing approvals for and to manufacture, sell and market certain of our product candidates, including crenezumab, ACI-35 and our anti-tau antibodies, in order to derive revenue from these product candidates.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of crenezumab to achieve success in Phase 3 clinical studies.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our competitors to discover, develop or commercialize competing products before or more successfully than we do.</w:t>
      </w:r>
    </w:p>
    <w:p>
      <w:pPr>
        <w:spacing w:after="0" w:line="142" w:lineRule="exact"/>
        <w:rPr>
          <w:rFonts w:ascii="Arial" w:cs="Arial" w:eastAsia="Arial" w:hAnsi="Arial"/>
          <w:sz w:val="17"/>
          <w:szCs w:val="17"/>
          <w:color w:val="auto"/>
        </w:rPr>
      </w:pPr>
    </w:p>
    <w:p>
      <w:pPr>
        <w:ind w:left="1060" w:right="4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Morphomer and SupraAntigen proprietary technology platforms and their success in building additional product candidates for our pipeline.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FDA’s and applicable foreign regulatory authorities’ acceptance of data from studies we conduct in the future.</w:t>
      </w:r>
    </w:p>
    <w:p>
      <w:pPr>
        <w:spacing w:after="0" w:line="130" w:lineRule="exact"/>
        <w:rPr>
          <w:rFonts w:ascii="Arial" w:cs="Arial" w:eastAsia="Arial" w:hAnsi="Arial"/>
          <w:sz w:val="18"/>
          <w:szCs w:val="18"/>
          <w:color w:val="auto"/>
        </w:rPr>
      </w:pPr>
    </w:p>
    <w:p>
      <w:pPr>
        <w:ind w:left="1060" w:hanging="323"/>
        <w:spacing w:after="0" w:line="308"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foreign private issuer status, the loss of which would require us to comply with the domestic reporting regime of the Securities Exchange Act of 1934, as amended, or the Exchange Act, and cause us to incur significant legal, accounting and other expenses.</w:t>
      </w:r>
    </w:p>
    <w:p>
      <w:pPr>
        <w:spacing w:after="0" w:line="51" w:lineRule="exact"/>
        <w:rPr>
          <w:rFonts w:ascii="Arial" w:cs="Arial" w:eastAsia="Arial" w:hAnsi="Arial"/>
          <w:sz w:val="17"/>
          <w:szCs w:val="17"/>
          <w:color w:val="auto"/>
        </w:rPr>
      </w:pPr>
    </w:p>
    <w:p>
      <w:pPr>
        <w:ind w:left="1060" w:right="6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w:t>
      </w:r>
    </w:p>
    <w:p>
      <w:pPr>
        <w:spacing w:after="0" w:line="75" w:lineRule="exact"/>
        <w:rPr>
          <w:rFonts w:ascii="Arial" w:cs="Arial" w:eastAsia="Arial" w:hAnsi="Arial"/>
          <w:sz w:val="18"/>
          <w:szCs w:val="18"/>
          <w:color w:val="auto"/>
        </w:rPr>
      </w:pPr>
    </w:p>
    <w:p>
      <w:pPr>
        <w:ind w:left="1060" w:right="2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maintain an effective system of internal control over financial reporting, given the material weakness identified for the years ended December 31, 2014 and December 31, 2015.</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and Other Information</w:t>
      </w:r>
    </w:p>
    <w:p>
      <w:pPr>
        <w:spacing w:after="0" w:line="121" w:lineRule="exact"/>
        <w:rPr>
          <w:sz w:val="20"/>
          <w:szCs w:val="20"/>
          <w:color w:val="auto"/>
        </w:rPr>
      </w:pPr>
    </w:p>
    <w:p>
      <w:pPr>
        <w:jc w:val="both"/>
        <w:ind w:left="200" w:right="120" w:firstLine="443"/>
        <w:spacing w:after="0" w:line="302" w:lineRule="auto"/>
        <w:rPr>
          <w:sz w:val="20"/>
          <w:szCs w:val="20"/>
          <w:color w:val="auto"/>
        </w:rPr>
      </w:pPr>
      <w:r>
        <w:rPr>
          <w:rFonts w:ascii="Arial" w:cs="Arial" w:eastAsia="Arial" w:hAnsi="Arial"/>
          <w:sz w:val="16"/>
          <w:szCs w:val="16"/>
          <w:color w:val="auto"/>
        </w:rPr>
        <w:t>We were incorporated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and transformed into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under the laws of Switzerland on August 25, 2003. Our principal executive offices are located at EPFL Innovation Park, Building B, 1015 Lausanne, Switzerland and our telephone number is +41 21 693 91 21. Our website is </w:t>
      </w:r>
      <w:r>
        <w:rPr>
          <w:rFonts w:ascii="Arial" w:cs="Arial" w:eastAsia="Arial" w:hAnsi="Arial"/>
          <w:sz w:val="16"/>
          <w:szCs w:val="16"/>
          <w:i w:val="1"/>
          <w:iCs w:val="1"/>
          <w:color w:val="auto"/>
        </w:rPr>
        <w:t>www.acimmune.com</w:t>
      </w:r>
      <w:r>
        <w:rPr>
          <w:rFonts w:ascii="Arial" w:cs="Arial" w:eastAsia="Arial" w:hAnsi="Arial"/>
          <w:sz w:val="16"/>
          <w:szCs w:val="16"/>
          <w:color w:val="auto"/>
        </w:rPr>
        <w:t>. Our website and the information contained therein or connected thereto are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4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5474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w:t>
      </w:r>
    </w:p>
    <w:p>
      <w:pPr>
        <w:spacing w:after="0" w:line="87" w:lineRule="exact"/>
        <w:rPr>
          <w:sz w:val="20"/>
          <w:szCs w:val="20"/>
          <w:color w:val="auto"/>
        </w:rPr>
      </w:pPr>
    </w:p>
    <w:p>
      <w:pPr>
        <w:ind w:left="1060" w:right="66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in addition to any required interim financial statements and correspondingly reduced disclosure in the Management’s Discussion and Analysis of Financial Condition and Results of Operations disclosure in the registration statement of which this prospectus forms a part;</w:t>
      </w:r>
    </w:p>
    <w:p>
      <w:pPr>
        <w:spacing w:after="0" w:line="86" w:lineRule="exact"/>
        <w:rPr>
          <w:rFonts w:ascii="Arial" w:cs="Arial" w:eastAsia="Arial" w:hAnsi="Arial"/>
          <w:sz w:val="18"/>
          <w:szCs w:val="18"/>
          <w:color w:val="auto"/>
        </w:rPr>
      </w:pPr>
    </w:p>
    <w:p>
      <w:pPr>
        <w:ind w:left="1060" w:right="50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Section 404 of the Sarbanes-Oxley Act of 2002; and</w:t>
      </w:r>
    </w:p>
    <w:p>
      <w:pPr>
        <w:spacing w:after="0" w:line="75" w:lineRule="exact"/>
        <w:rPr>
          <w:rFonts w:ascii="Arial" w:cs="Arial" w:eastAsia="Arial" w:hAnsi="Arial"/>
          <w:sz w:val="18"/>
          <w:szCs w:val="18"/>
          <w:color w:val="auto"/>
        </w:rPr>
      </w:pPr>
    </w:p>
    <w:p>
      <w:pPr>
        <w:ind w:left="1060" w:right="6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this offering. We may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However, given that we currently report and expect to continue to report under International Financial Reporting Standards, or IFRS, as issued by the International Accounting Standards Board, or IASB, we have irrevocably elected not to avail ourselves of this extended transition period and, as a result, we will adopt new or revised accounting standards on the relevant dates on which adoption of such standards is required by the IASB.</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We are also considered a “foreign private issuer.” Accordingly, upon consummation of this offering, we will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60" w:right="40" w:hanging="431"/>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60" w:right="480" w:hanging="431"/>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jc w:val="both"/>
        <w:ind w:left="200" w:right="500" w:firstLine="443"/>
        <w:spacing w:after="0" w:line="264" w:lineRule="auto"/>
        <w:rPr>
          <w:sz w:val="20"/>
          <w:szCs w:val="20"/>
          <w:color w:val="auto"/>
        </w:rPr>
      </w:pPr>
      <w:r>
        <w:rPr>
          <w:rFonts w:ascii="Arial" w:cs="Arial" w:eastAsia="Arial" w:hAnsi="Arial"/>
          <w:sz w:val="18"/>
          <w:szCs w:val="18"/>
          <w:color w:val="auto"/>
        </w:rPr>
        <w:t>Although as a foreign private issuer we will not be required to file periodic reports and financial statements with the SEC as frequently or as promptly as U.S. companies whose securities are registered under the Exchange Act, we intend to report our results of operations voluntarily on a quarterly basis.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97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29972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420" w:hanging="223"/>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majority of our executive officers or directors are U.S. citizens or residents, (ii) more than 50% of our assets are located in the United States or</w:t>
      </w:r>
    </w:p>
    <w:p>
      <w:pPr>
        <w:spacing w:after="0" w:line="32" w:lineRule="exact"/>
        <w:rPr>
          <w:rFonts w:ascii="Arial" w:cs="Arial" w:eastAsia="Arial" w:hAnsi="Arial"/>
          <w:sz w:val="16"/>
          <w:szCs w:val="16"/>
          <w:color w:val="auto"/>
        </w:rPr>
      </w:pPr>
    </w:p>
    <w:p>
      <w:pPr>
        <w:ind w:left="520" w:hanging="323"/>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11"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In this prospectus, we have taken advantage of certain of the reduced reporting requirements as a result of being an emerging growth company and a foreign private issuer. Accordingly, the information contained herein may be different than the information you receive from other public companies in which you hold equity securities.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Series E Private Placement</w:t>
      </w:r>
    </w:p>
    <w:p>
      <w:pPr>
        <w:spacing w:after="0" w:line="121"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color w:val="auto"/>
        </w:rPr>
        <w:t>On October 23, 2015, we completed a private placement of Series E preferred shares, each with a nominal value of CHF 0.02 per share (the “Series E Private Placement”). An aggregate of 3,113,250 Series E preferred shares were issued to certain institutions and existing shareholders in the Series E Private Placement for an aggregate subscription amount of approximately $30.0 million. On April 15, 2016 we completed an additional private placement of Series E preferred shares, each with a nominal value of CHF 0.02 per share (the “Series E Private Placement Extension”). An aggregate of 1,401,792 Series E preferred shares were issued to certain new and existing shareholders in the Series E Private Placement Extension. An aggregate subscription amount of $13.5 million was raised in the Series E Private Placement Extension. The Series E preferred shares have substantially the same terms as the Series A, B, C and D preferred shares, will be accounted for as equity on our balance sheet and will convert into common shares on a one-for-one basis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61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161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40" w:firstLine="443"/>
        <w:spacing w:after="0" w:line="26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common shares. You should carefully read this entire prospectus before investing in our common shares including “Risk Factors” and our financial statements.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Common shares offered by us</w:t>
            </w:r>
          </w:p>
        </w:tc>
        <w:tc>
          <w:tcPr>
            <w:tcW w:w="380" w:type="dxa"/>
            <w:vAlign w:val="bottom"/>
          </w:tcPr>
          <w:p>
            <w:pPr>
              <w:spacing w:after="0"/>
              <w:rPr>
                <w:sz w:val="20"/>
                <w:szCs w:val="20"/>
                <w:color w:val="auto"/>
              </w:rPr>
            </w:pPr>
          </w:p>
        </w:tc>
        <w:tc>
          <w:tcPr>
            <w:tcW w:w="4460" w:type="dxa"/>
            <w:vAlign w:val="bottom"/>
          </w:tcPr>
          <w:p>
            <w:pPr>
              <w:ind w:left="220"/>
              <w:spacing w:after="0"/>
              <w:rPr>
                <w:sz w:val="20"/>
                <w:szCs w:val="20"/>
                <w:color w:val="auto"/>
              </w:rPr>
            </w:pPr>
            <w:r>
              <w:rPr>
                <w:rFonts w:ascii="Arial" w:cs="Arial" w:eastAsia="Arial" w:hAnsi="Arial"/>
                <w:sz w:val="18"/>
                <w:szCs w:val="18"/>
                <w:color w:val="auto"/>
              </w:rPr>
              <w:t>shares.</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58"/>
        </w:trPr>
        <w:tc>
          <w:tcPr>
            <w:tcW w:w="4140" w:type="dxa"/>
            <w:vAlign w:val="bottom"/>
          </w:tcPr>
          <w:p>
            <w:pPr>
              <w:spacing w:after="0"/>
              <w:rPr>
                <w:sz w:val="20"/>
                <w:szCs w:val="20"/>
                <w:color w:val="auto"/>
              </w:rPr>
            </w:pPr>
            <w:r>
              <w:rPr>
                <w:rFonts w:ascii="Arial" w:cs="Arial" w:eastAsia="Arial" w:hAnsi="Arial"/>
                <w:sz w:val="18"/>
                <w:szCs w:val="18"/>
                <w:color w:val="auto"/>
                <w:w w:val="91"/>
              </w:rPr>
              <w:t>Common shares to be outstanding immediately after this</w:t>
            </w:r>
          </w:p>
        </w:tc>
        <w:tc>
          <w:tcPr>
            <w:tcW w:w="380" w:type="dxa"/>
            <w:vAlign w:val="bottom"/>
          </w:tcPr>
          <w:p>
            <w:pPr>
              <w:spacing w:after="0"/>
              <w:rPr>
                <w:sz w:val="24"/>
                <w:szCs w:val="24"/>
                <w:color w:val="auto"/>
              </w:rPr>
            </w:pPr>
          </w:p>
        </w:tc>
        <w:tc>
          <w:tcPr>
            <w:tcW w:w="4460" w:type="dxa"/>
            <w:vAlign w:val="bottom"/>
          </w:tcPr>
          <w:p>
            <w:pPr>
              <w:ind w:left="220"/>
              <w:spacing w:after="0"/>
              <w:rPr>
                <w:sz w:val="20"/>
                <w:szCs w:val="20"/>
                <w:color w:val="auto"/>
              </w:rPr>
            </w:pPr>
            <w:r>
              <w:rPr>
                <w:rFonts w:ascii="Arial" w:cs="Arial" w:eastAsia="Arial" w:hAnsi="Arial"/>
                <w:sz w:val="18"/>
                <w:szCs w:val="18"/>
                <w:color w:val="auto"/>
              </w:rPr>
              <w:t>shares.</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4140" w:type="dxa"/>
            <w:vAlign w:val="bottom"/>
          </w:tcPr>
          <w:p>
            <w:pPr>
              <w:ind w:left="80"/>
              <w:spacing w:after="0"/>
              <w:rPr>
                <w:sz w:val="20"/>
                <w:szCs w:val="20"/>
                <w:color w:val="auto"/>
              </w:rPr>
            </w:pPr>
            <w:r>
              <w:rPr>
                <w:rFonts w:ascii="Arial" w:cs="Arial" w:eastAsia="Arial" w:hAnsi="Arial"/>
                <w:sz w:val="18"/>
                <w:szCs w:val="18"/>
                <w:color w:val="auto"/>
              </w:rPr>
              <w:t>offering</w:t>
            </w: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58"/>
        </w:trPr>
        <w:tc>
          <w:tcPr>
            <w:tcW w:w="4140" w:type="dxa"/>
            <w:vAlign w:val="bottom"/>
          </w:tcPr>
          <w:p>
            <w:pPr>
              <w:spacing w:after="0"/>
              <w:rPr>
                <w:sz w:val="20"/>
                <w:szCs w:val="20"/>
                <w:color w:val="auto"/>
              </w:rPr>
            </w:pPr>
            <w:r>
              <w:rPr>
                <w:rFonts w:ascii="Arial" w:cs="Arial" w:eastAsia="Arial" w:hAnsi="Arial"/>
                <w:sz w:val="18"/>
                <w:szCs w:val="18"/>
                <w:color w:val="auto"/>
              </w:rPr>
              <w:t>Over-allotment option</w:t>
            </w:r>
          </w:p>
        </w:tc>
        <w:tc>
          <w:tcPr>
            <w:tcW w:w="6060" w:type="dxa"/>
            <w:vAlign w:val="bottom"/>
            <w:gridSpan w:val="3"/>
          </w:tcPr>
          <w:p>
            <w:pPr>
              <w:ind w:left="60"/>
              <w:spacing w:after="0"/>
              <w:rPr>
                <w:sz w:val="20"/>
                <w:szCs w:val="20"/>
                <w:color w:val="auto"/>
              </w:rPr>
            </w:pPr>
            <w:r>
              <w:rPr>
                <w:rFonts w:ascii="Arial" w:cs="Arial" w:eastAsia="Arial" w:hAnsi="Arial"/>
                <w:sz w:val="18"/>
                <w:szCs w:val="18"/>
                <w:color w:val="auto"/>
                <w:w w:val="98"/>
              </w:rPr>
              <w:t>We have granted the underwriters the option to purchase up to an additional</w:t>
            </w:r>
          </w:p>
        </w:tc>
        <w:tc>
          <w:tcPr>
            <w:tcW w:w="740" w:type="dxa"/>
            <w:vAlign w:val="bottom"/>
          </w:tcPr>
          <w:p>
            <w:pPr>
              <w:ind w:left="80"/>
              <w:spacing w:after="0"/>
              <w:rPr>
                <w:sz w:val="20"/>
                <w:szCs w:val="20"/>
                <w:color w:val="auto"/>
              </w:rPr>
            </w:pPr>
            <w:r>
              <w:rPr>
                <w:rFonts w:ascii="Arial" w:cs="Arial" w:eastAsia="Arial" w:hAnsi="Arial"/>
                <w:sz w:val="18"/>
                <w:szCs w:val="18"/>
                <w:color w:val="auto"/>
                <w:w w:val="92"/>
              </w:rPr>
              <w:t>common</w:t>
            </w:r>
          </w:p>
        </w:tc>
      </w:tr>
      <w:tr>
        <w:trPr>
          <w:trHeight w:val="230"/>
        </w:trPr>
        <w:tc>
          <w:tcPr>
            <w:tcW w:w="4140" w:type="dxa"/>
            <w:vAlign w:val="bottom"/>
          </w:tcPr>
          <w:p>
            <w:pPr>
              <w:spacing w:after="0"/>
              <w:rPr>
                <w:sz w:val="20"/>
                <w:szCs w:val="20"/>
                <w:color w:val="auto"/>
              </w:rPr>
            </w:pPr>
          </w:p>
        </w:tc>
        <w:tc>
          <w:tcPr>
            <w:tcW w:w="6800" w:type="dxa"/>
            <w:vAlign w:val="bottom"/>
            <w:gridSpan w:val="4"/>
          </w:tcPr>
          <w:p>
            <w:pPr>
              <w:ind w:left="60"/>
              <w:spacing w:after="0"/>
              <w:rPr>
                <w:sz w:val="20"/>
                <w:szCs w:val="20"/>
                <w:color w:val="auto"/>
              </w:rPr>
            </w:pPr>
            <w:r>
              <w:rPr>
                <w:rFonts w:ascii="Arial" w:cs="Arial" w:eastAsia="Arial" w:hAnsi="Arial"/>
                <w:sz w:val="18"/>
                <w:szCs w:val="18"/>
                <w:color w:val="auto"/>
                <w:w w:val="92"/>
              </w:rPr>
              <w:t>shares from us within 30 days of the date of this prospectus to cover over-allotments, if any.</w:t>
            </w:r>
          </w:p>
        </w:tc>
      </w:tr>
      <w:tr>
        <w:trPr>
          <w:trHeight w:val="445"/>
        </w:trPr>
        <w:tc>
          <w:tcPr>
            <w:tcW w:w="4140" w:type="dxa"/>
            <w:vAlign w:val="bottom"/>
          </w:tcPr>
          <w:p>
            <w:pPr>
              <w:spacing w:after="0"/>
              <w:rPr>
                <w:sz w:val="20"/>
                <w:szCs w:val="20"/>
                <w:color w:val="auto"/>
              </w:rPr>
            </w:pPr>
            <w:r>
              <w:rPr>
                <w:rFonts w:ascii="Arial" w:cs="Arial" w:eastAsia="Arial" w:hAnsi="Arial"/>
                <w:sz w:val="18"/>
                <w:szCs w:val="18"/>
                <w:color w:val="auto"/>
              </w:rPr>
              <w:t>Use of proceeds</w:t>
            </w:r>
          </w:p>
        </w:tc>
        <w:tc>
          <w:tcPr>
            <w:tcW w:w="6060" w:type="dxa"/>
            <w:vAlign w:val="bottom"/>
            <w:gridSpan w:val="3"/>
          </w:tcPr>
          <w:p>
            <w:pPr>
              <w:ind w:left="60"/>
              <w:spacing w:after="0"/>
              <w:rPr>
                <w:sz w:val="20"/>
                <w:szCs w:val="20"/>
                <w:color w:val="auto"/>
              </w:rPr>
            </w:pPr>
            <w:r>
              <w:rPr>
                <w:rFonts w:ascii="Arial" w:cs="Arial" w:eastAsia="Arial" w:hAnsi="Arial"/>
                <w:sz w:val="18"/>
                <w:szCs w:val="18"/>
                <w:color w:val="auto"/>
                <w:w w:val="95"/>
              </w:rPr>
              <w:t>We estimate that the net proceeds to us from this offering will be approximately</w:t>
            </w:r>
          </w:p>
        </w:tc>
        <w:tc>
          <w:tcPr>
            <w:tcW w:w="740" w:type="dxa"/>
            <w:vAlign w:val="bottom"/>
          </w:tcPr>
          <w:p>
            <w:pPr>
              <w:spacing w:after="0"/>
              <w:rPr>
                <w:sz w:val="24"/>
                <w:szCs w:val="24"/>
                <w:color w:val="auto"/>
              </w:rPr>
            </w:pPr>
          </w:p>
        </w:tc>
      </w:tr>
      <w:tr>
        <w:trPr>
          <w:trHeight w:val="216"/>
        </w:trPr>
        <w:tc>
          <w:tcPr>
            <w:tcW w:w="414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4460" w:type="dxa"/>
            <w:vAlign w:val="bottom"/>
          </w:tcPr>
          <w:p>
            <w:pPr>
              <w:ind w:left="360"/>
              <w:spacing w:after="0"/>
              <w:rPr>
                <w:sz w:val="20"/>
                <w:szCs w:val="20"/>
                <w:color w:val="auto"/>
              </w:rPr>
            </w:pPr>
            <w:r>
              <w:rPr>
                <w:rFonts w:ascii="Arial" w:cs="Arial" w:eastAsia="Arial" w:hAnsi="Arial"/>
                <w:sz w:val="18"/>
                <w:szCs w:val="18"/>
                <w:color w:val="auto"/>
              </w:rPr>
              <w:t>million, assuming an initial public offering price of $</w:t>
            </w:r>
          </w:p>
        </w:tc>
        <w:tc>
          <w:tcPr>
            <w:tcW w:w="1960" w:type="dxa"/>
            <w:vAlign w:val="bottom"/>
            <w:gridSpan w:val="2"/>
          </w:tcPr>
          <w:p>
            <w:pPr>
              <w:ind w:left="300"/>
              <w:spacing w:after="0"/>
              <w:rPr>
                <w:sz w:val="20"/>
                <w:szCs w:val="20"/>
                <w:color w:val="auto"/>
              </w:rPr>
            </w:pPr>
            <w:r>
              <w:rPr>
                <w:rFonts w:ascii="Arial" w:cs="Arial" w:eastAsia="Arial" w:hAnsi="Arial"/>
                <w:sz w:val="18"/>
                <w:szCs w:val="18"/>
                <w:color w:val="auto"/>
              </w:rPr>
              <w:t>per common share,</w:t>
            </w:r>
          </w:p>
        </w:tc>
      </w:tr>
      <w:tr>
        <w:trPr>
          <w:trHeight w:val="216"/>
        </w:trPr>
        <w:tc>
          <w:tcPr>
            <w:tcW w:w="4140" w:type="dxa"/>
            <w:vAlign w:val="bottom"/>
          </w:tcPr>
          <w:p>
            <w:pPr>
              <w:spacing w:after="0"/>
              <w:rPr>
                <w:sz w:val="18"/>
                <w:szCs w:val="18"/>
                <w:color w:val="auto"/>
              </w:rPr>
            </w:pPr>
          </w:p>
        </w:tc>
        <w:tc>
          <w:tcPr>
            <w:tcW w:w="6800" w:type="dxa"/>
            <w:vAlign w:val="bottom"/>
            <w:gridSpan w:val="4"/>
          </w:tcPr>
          <w:p>
            <w:pPr>
              <w:ind w:left="60"/>
              <w:spacing w:after="0"/>
              <w:rPr>
                <w:sz w:val="20"/>
                <w:szCs w:val="20"/>
                <w:color w:val="auto"/>
              </w:rPr>
            </w:pPr>
            <w:r>
              <w:rPr>
                <w:rFonts w:ascii="Arial" w:cs="Arial" w:eastAsia="Arial" w:hAnsi="Arial"/>
                <w:sz w:val="18"/>
                <w:szCs w:val="18"/>
                <w:color w:val="auto"/>
                <w:w w:val="92"/>
              </w:rPr>
              <w:t>which is the midpoint of the price range set forth on the cover page of this prospectus, after</w:t>
            </w:r>
          </w:p>
        </w:tc>
      </w:tr>
      <w:tr>
        <w:trPr>
          <w:trHeight w:val="216"/>
        </w:trPr>
        <w:tc>
          <w:tcPr>
            <w:tcW w:w="4140" w:type="dxa"/>
            <w:vAlign w:val="bottom"/>
          </w:tcPr>
          <w:p>
            <w:pPr>
              <w:spacing w:after="0"/>
              <w:rPr>
                <w:sz w:val="18"/>
                <w:szCs w:val="18"/>
                <w:color w:val="auto"/>
              </w:rPr>
            </w:pPr>
          </w:p>
        </w:tc>
        <w:tc>
          <w:tcPr>
            <w:tcW w:w="6800" w:type="dxa"/>
            <w:vAlign w:val="bottom"/>
            <w:gridSpan w:val="4"/>
          </w:tcPr>
          <w:p>
            <w:pPr>
              <w:ind w:left="60"/>
              <w:spacing w:after="0"/>
              <w:rPr>
                <w:sz w:val="20"/>
                <w:szCs w:val="20"/>
                <w:color w:val="auto"/>
              </w:rPr>
            </w:pPr>
            <w:r>
              <w:rPr>
                <w:rFonts w:ascii="Arial" w:cs="Arial" w:eastAsia="Arial" w:hAnsi="Arial"/>
                <w:sz w:val="18"/>
                <w:szCs w:val="18"/>
                <w:color w:val="auto"/>
                <w:w w:val="90"/>
              </w:rPr>
              <w:t>deducting underwriting discounts and commissions and estimated offering expenses payable</w:t>
            </w:r>
          </w:p>
        </w:tc>
      </w:tr>
      <w:tr>
        <w:trPr>
          <w:trHeight w:val="216"/>
        </w:trPr>
        <w:tc>
          <w:tcPr>
            <w:tcW w:w="4140" w:type="dxa"/>
            <w:vAlign w:val="bottom"/>
          </w:tcPr>
          <w:p>
            <w:pPr>
              <w:spacing w:after="0"/>
              <w:rPr>
                <w:sz w:val="18"/>
                <w:szCs w:val="18"/>
                <w:color w:val="auto"/>
              </w:rPr>
            </w:pPr>
          </w:p>
        </w:tc>
        <w:tc>
          <w:tcPr>
            <w:tcW w:w="6800" w:type="dxa"/>
            <w:vAlign w:val="bottom"/>
            <w:gridSpan w:val="4"/>
          </w:tcPr>
          <w:p>
            <w:pPr>
              <w:ind w:left="60"/>
              <w:spacing w:after="0"/>
              <w:rPr>
                <w:sz w:val="20"/>
                <w:szCs w:val="20"/>
                <w:color w:val="auto"/>
              </w:rPr>
            </w:pPr>
            <w:r>
              <w:rPr>
                <w:rFonts w:ascii="Arial" w:cs="Arial" w:eastAsia="Arial" w:hAnsi="Arial"/>
                <w:sz w:val="18"/>
                <w:szCs w:val="18"/>
                <w:color w:val="auto"/>
                <w:w w:val="96"/>
              </w:rPr>
              <w:t>by us. We intend to use the net proceeds from this offering together with cash and cash</w:t>
            </w:r>
          </w:p>
        </w:tc>
      </w:tr>
      <w:tr>
        <w:trPr>
          <w:trHeight w:val="216"/>
        </w:trPr>
        <w:tc>
          <w:tcPr>
            <w:tcW w:w="4140" w:type="dxa"/>
            <w:vAlign w:val="bottom"/>
          </w:tcPr>
          <w:p>
            <w:pPr>
              <w:spacing w:after="0"/>
              <w:rPr>
                <w:sz w:val="18"/>
                <w:szCs w:val="18"/>
                <w:color w:val="auto"/>
              </w:rPr>
            </w:pPr>
          </w:p>
        </w:tc>
        <w:tc>
          <w:tcPr>
            <w:tcW w:w="6800" w:type="dxa"/>
            <w:vAlign w:val="bottom"/>
            <w:gridSpan w:val="4"/>
          </w:tcPr>
          <w:p>
            <w:pPr>
              <w:ind w:left="60"/>
              <w:spacing w:after="0"/>
              <w:rPr>
                <w:sz w:val="20"/>
                <w:szCs w:val="20"/>
                <w:color w:val="auto"/>
              </w:rPr>
            </w:pPr>
            <w:r>
              <w:rPr>
                <w:rFonts w:ascii="Arial" w:cs="Arial" w:eastAsia="Arial" w:hAnsi="Arial"/>
                <w:sz w:val="18"/>
                <w:szCs w:val="18"/>
                <w:color w:val="auto"/>
                <w:w w:val="99"/>
              </w:rPr>
              <w:t>equivalents on hand (including the net proceeds from the Series E Private Placement</w:t>
            </w:r>
          </w:p>
        </w:tc>
      </w:tr>
      <w:tr>
        <w:trPr>
          <w:trHeight w:val="216"/>
        </w:trPr>
        <w:tc>
          <w:tcPr>
            <w:tcW w:w="4140" w:type="dxa"/>
            <w:vAlign w:val="bottom"/>
          </w:tcPr>
          <w:p>
            <w:pPr>
              <w:spacing w:after="0"/>
              <w:rPr>
                <w:sz w:val="18"/>
                <w:szCs w:val="18"/>
                <w:color w:val="auto"/>
              </w:rPr>
            </w:pPr>
          </w:p>
        </w:tc>
        <w:tc>
          <w:tcPr>
            <w:tcW w:w="6060" w:type="dxa"/>
            <w:vAlign w:val="bottom"/>
            <w:gridSpan w:val="3"/>
          </w:tcPr>
          <w:p>
            <w:pPr>
              <w:ind w:left="60"/>
              <w:spacing w:after="0"/>
              <w:rPr>
                <w:sz w:val="20"/>
                <w:szCs w:val="20"/>
                <w:color w:val="auto"/>
              </w:rPr>
            </w:pPr>
            <w:r>
              <w:rPr>
                <w:rFonts w:ascii="Arial" w:cs="Arial" w:eastAsia="Arial" w:hAnsi="Arial"/>
                <w:sz w:val="18"/>
                <w:szCs w:val="18"/>
                <w:color w:val="auto"/>
                <w:w w:val="91"/>
              </w:rPr>
              <w:t>Extension) to further the development of our therapeutic product candidates under</w:t>
            </w:r>
          </w:p>
        </w:tc>
        <w:tc>
          <w:tcPr>
            <w:tcW w:w="74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6800" w:type="dxa"/>
            <w:vAlign w:val="bottom"/>
            <w:gridSpan w:val="4"/>
          </w:tcPr>
          <w:p>
            <w:pPr>
              <w:ind w:left="60"/>
              <w:spacing w:after="0"/>
              <w:rPr>
                <w:sz w:val="20"/>
                <w:szCs w:val="20"/>
                <w:color w:val="auto"/>
              </w:rPr>
            </w:pPr>
            <w:r>
              <w:rPr>
                <w:rFonts w:ascii="Arial" w:cs="Arial" w:eastAsia="Arial" w:hAnsi="Arial"/>
                <w:sz w:val="18"/>
                <w:szCs w:val="18"/>
                <w:color w:val="auto"/>
                <w:w w:val="92"/>
              </w:rPr>
              <w:t>collaboration agreements (crenezumab, ACI-35 and anti-tau antibodies), advance our other</w:t>
            </w:r>
          </w:p>
        </w:tc>
      </w:tr>
      <w:tr>
        <w:trPr>
          <w:trHeight w:val="216"/>
        </w:trPr>
        <w:tc>
          <w:tcPr>
            <w:tcW w:w="4140" w:type="dxa"/>
            <w:vAlign w:val="bottom"/>
          </w:tcPr>
          <w:p>
            <w:pPr>
              <w:spacing w:after="0"/>
              <w:rPr>
                <w:sz w:val="18"/>
                <w:szCs w:val="18"/>
                <w:color w:val="auto"/>
              </w:rPr>
            </w:pPr>
          </w:p>
        </w:tc>
        <w:tc>
          <w:tcPr>
            <w:tcW w:w="6800" w:type="dxa"/>
            <w:vAlign w:val="bottom"/>
            <w:gridSpan w:val="4"/>
          </w:tcPr>
          <w:p>
            <w:pPr>
              <w:ind w:left="60"/>
              <w:spacing w:after="0"/>
              <w:rPr>
                <w:sz w:val="20"/>
                <w:szCs w:val="20"/>
                <w:color w:val="auto"/>
              </w:rPr>
            </w:pPr>
            <w:r>
              <w:rPr>
                <w:rFonts w:ascii="Arial" w:cs="Arial" w:eastAsia="Arial" w:hAnsi="Arial"/>
                <w:sz w:val="18"/>
                <w:szCs w:val="18"/>
                <w:color w:val="auto"/>
                <w:w w:val="91"/>
              </w:rPr>
              <w:t>clinical and pre-clinical programs, and for research and development of other indications and</w:t>
            </w:r>
          </w:p>
        </w:tc>
      </w:tr>
      <w:tr>
        <w:trPr>
          <w:trHeight w:val="216"/>
        </w:trPr>
        <w:tc>
          <w:tcPr>
            <w:tcW w:w="4140" w:type="dxa"/>
            <w:vAlign w:val="bottom"/>
          </w:tcPr>
          <w:p>
            <w:pPr>
              <w:spacing w:after="0"/>
              <w:rPr>
                <w:sz w:val="18"/>
                <w:szCs w:val="18"/>
                <w:color w:val="auto"/>
              </w:rPr>
            </w:pPr>
          </w:p>
        </w:tc>
        <w:tc>
          <w:tcPr>
            <w:tcW w:w="6800" w:type="dxa"/>
            <w:vAlign w:val="bottom"/>
            <w:gridSpan w:val="4"/>
          </w:tcPr>
          <w:p>
            <w:pPr>
              <w:ind w:left="60"/>
              <w:spacing w:after="0"/>
              <w:rPr>
                <w:sz w:val="20"/>
                <w:szCs w:val="20"/>
                <w:color w:val="auto"/>
              </w:rPr>
            </w:pPr>
            <w:r>
              <w:rPr>
                <w:rFonts w:ascii="Arial" w:cs="Arial" w:eastAsia="Arial" w:hAnsi="Arial"/>
                <w:sz w:val="18"/>
                <w:szCs w:val="18"/>
                <w:color w:val="auto"/>
                <w:w w:val="90"/>
              </w:rPr>
              <w:t>initiatives that are complementary to our existing and planned research activities. See “Use of</w:t>
            </w:r>
          </w:p>
        </w:tc>
      </w:tr>
      <w:tr>
        <w:trPr>
          <w:trHeight w:val="230"/>
        </w:trPr>
        <w:tc>
          <w:tcPr>
            <w:tcW w:w="4140" w:type="dxa"/>
            <w:vAlign w:val="bottom"/>
          </w:tcPr>
          <w:p>
            <w:pPr>
              <w:spacing w:after="0"/>
              <w:rPr>
                <w:sz w:val="20"/>
                <w:szCs w:val="20"/>
                <w:color w:val="auto"/>
              </w:rPr>
            </w:pPr>
          </w:p>
        </w:tc>
        <w:tc>
          <w:tcPr>
            <w:tcW w:w="6800" w:type="dxa"/>
            <w:vAlign w:val="bottom"/>
            <w:gridSpan w:val="4"/>
          </w:tcPr>
          <w:p>
            <w:pPr>
              <w:ind w:left="60"/>
              <w:spacing w:after="0"/>
              <w:rPr>
                <w:sz w:val="20"/>
                <w:szCs w:val="20"/>
                <w:color w:val="auto"/>
              </w:rPr>
            </w:pPr>
            <w:r>
              <w:rPr>
                <w:rFonts w:ascii="Arial" w:cs="Arial" w:eastAsia="Arial" w:hAnsi="Arial"/>
                <w:sz w:val="18"/>
                <w:szCs w:val="18"/>
                <w:color w:val="auto"/>
                <w:w w:val="90"/>
              </w:rPr>
              <w:t>Proceeds” for a more complete description of the intended use of proceeds from this offering.</w:t>
            </w:r>
          </w:p>
        </w:tc>
      </w:tr>
      <w:tr>
        <w:trPr>
          <w:trHeight w:val="445"/>
        </w:trPr>
        <w:tc>
          <w:tcPr>
            <w:tcW w:w="4140" w:type="dxa"/>
            <w:vAlign w:val="bottom"/>
          </w:tcPr>
          <w:p>
            <w:pPr>
              <w:spacing w:after="0"/>
              <w:rPr>
                <w:sz w:val="20"/>
                <w:szCs w:val="20"/>
                <w:color w:val="auto"/>
              </w:rPr>
            </w:pPr>
            <w:r>
              <w:rPr>
                <w:rFonts w:ascii="Arial" w:cs="Arial" w:eastAsia="Arial" w:hAnsi="Arial"/>
                <w:sz w:val="18"/>
                <w:szCs w:val="18"/>
                <w:color w:val="auto"/>
              </w:rPr>
              <w:t>Risk factors</w:t>
            </w:r>
          </w:p>
        </w:tc>
        <w:tc>
          <w:tcPr>
            <w:tcW w:w="6800" w:type="dxa"/>
            <w:vAlign w:val="bottom"/>
            <w:gridSpan w:val="4"/>
          </w:tcPr>
          <w:p>
            <w:pPr>
              <w:ind w:left="60"/>
              <w:spacing w:after="0"/>
              <w:rPr>
                <w:sz w:val="20"/>
                <w:szCs w:val="20"/>
                <w:color w:val="auto"/>
              </w:rPr>
            </w:pPr>
            <w:r>
              <w:rPr>
                <w:rFonts w:ascii="Arial" w:cs="Arial" w:eastAsia="Arial" w:hAnsi="Arial"/>
                <w:sz w:val="18"/>
                <w:szCs w:val="18"/>
                <w:color w:val="auto"/>
                <w:w w:val="93"/>
              </w:rPr>
              <w:t>See “Risk Factors” and the other information included in this prospectus for a discussion of</w:t>
            </w:r>
          </w:p>
        </w:tc>
      </w:tr>
      <w:tr>
        <w:trPr>
          <w:trHeight w:val="230"/>
        </w:trPr>
        <w:tc>
          <w:tcPr>
            <w:tcW w:w="4140" w:type="dxa"/>
            <w:vAlign w:val="bottom"/>
          </w:tcPr>
          <w:p>
            <w:pPr>
              <w:spacing w:after="0"/>
              <w:rPr>
                <w:sz w:val="20"/>
                <w:szCs w:val="20"/>
                <w:color w:val="auto"/>
              </w:rPr>
            </w:pPr>
          </w:p>
        </w:tc>
        <w:tc>
          <w:tcPr>
            <w:tcW w:w="6060" w:type="dxa"/>
            <w:vAlign w:val="bottom"/>
            <w:gridSpan w:val="3"/>
          </w:tcPr>
          <w:p>
            <w:pPr>
              <w:ind w:left="60"/>
              <w:spacing w:after="0"/>
              <w:rPr>
                <w:sz w:val="20"/>
                <w:szCs w:val="20"/>
                <w:color w:val="auto"/>
              </w:rPr>
            </w:pPr>
            <w:r>
              <w:rPr>
                <w:rFonts w:ascii="Arial" w:cs="Arial" w:eastAsia="Arial" w:hAnsi="Arial"/>
                <w:sz w:val="18"/>
                <w:szCs w:val="18"/>
                <w:color w:val="auto"/>
                <w:w w:val="98"/>
              </w:rPr>
              <w:t>factors you should consider before deciding to invest in our common shares.</w:t>
            </w:r>
          </w:p>
        </w:tc>
        <w:tc>
          <w:tcPr>
            <w:tcW w:w="740" w:type="dxa"/>
            <w:vAlign w:val="bottom"/>
          </w:tcPr>
          <w:p>
            <w:pPr>
              <w:spacing w:after="0"/>
              <w:rPr>
                <w:sz w:val="20"/>
                <w:szCs w:val="20"/>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18"/>
                <w:szCs w:val="18"/>
                <w:color w:val="auto"/>
              </w:rPr>
              <w:t>Proposed NASDAQ symbol</w:t>
            </w:r>
          </w:p>
        </w:tc>
        <w:tc>
          <w:tcPr>
            <w:tcW w:w="4840" w:type="dxa"/>
            <w:vAlign w:val="bottom"/>
            <w:gridSpan w:val="2"/>
          </w:tcPr>
          <w:p>
            <w:pPr>
              <w:ind w:left="60"/>
              <w:spacing w:after="0"/>
              <w:rPr>
                <w:sz w:val="20"/>
                <w:szCs w:val="20"/>
                <w:color w:val="auto"/>
              </w:rPr>
            </w:pPr>
            <w:r>
              <w:rPr>
                <w:rFonts w:ascii="Arial" w:cs="Arial" w:eastAsia="Arial" w:hAnsi="Arial"/>
                <w:sz w:val="18"/>
                <w:szCs w:val="18"/>
                <w:color w:val="auto"/>
              </w:rPr>
              <w:t>“ACIU.”</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15" w:lineRule="exact"/>
        <w:rPr>
          <w:sz w:val="20"/>
          <w:szCs w:val="20"/>
          <w:color w:val="auto"/>
        </w:rPr>
      </w:pPr>
    </w:p>
    <w:p>
      <w:pPr>
        <w:ind w:left="200" w:firstLine="443"/>
        <w:spacing w:after="0" w:line="286" w:lineRule="auto"/>
        <w:rPr>
          <w:sz w:val="20"/>
          <w:szCs w:val="20"/>
          <w:color w:val="auto"/>
        </w:rPr>
      </w:pPr>
      <w:r>
        <w:rPr>
          <w:rFonts w:ascii="Arial" w:cs="Arial" w:eastAsia="Arial" w:hAnsi="Arial"/>
          <w:sz w:val="17"/>
          <w:szCs w:val="17"/>
          <w:color w:val="auto"/>
        </w:rPr>
        <w:t>The number of our common shares to be outstanding after this offering is based on 9,227,250 common shares outstanding as of March 31, 2016 and 38,577,042 additional common shares issuable upon the conversion of all of our preferred shares (including the preferred shares issued in the Series E Private Placement Extension) on a one-for-one basis upon the closing of this offering, but excludes:</w:t>
      </w:r>
    </w:p>
    <w:p>
      <w:pPr>
        <w:spacing w:after="0" w:line="71" w:lineRule="exact"/>
        <w:rPr>
          <w:sz w:val="20"/>
          <w:szCs w:val="20"/>
          <w:color w:val="auto"/>
        </w:rPr>
      </w:pPr>
    </w:p>
    <w:p>
      <w:pPr>
        <w:ind w:left="1060" w:right="10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3,406,625 of our common shares issuable upon the exercise of vested and unvested options outstanding under our existing equity incentive plans at a weighted-average exercise price of CHF 0.14548 per common share; and</w:t>
      </w:r>
    </w:p>
    <w:p>
      <w:pPr>
        <w:spacing w:after="0" w:line="75" w:lineRule="exact"/>
        <w:rPr>
          <w:rFonts w:ascii="Arial" w:cs="Arial" w:eastAsia="Arial" w:hAnsi="Arial"/>
          <w:sz w:val="18"/>
          <w:szCs w:val="18"/>
          <w:color w:val="auto"/>
        </w:rPr>
      </w:pPr>
    </w:p>
    <w:p>
      <w:pPr>
        <w:ind w:left="1060" w:right="100" w:hanging="431"/>
        <w:spacing w:after="0" w:line="25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on May 25, 2016 (the “CS AG Share Issuance”), as described under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6200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26200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Unless otherwise indicated, all information contained in this prospectus assumes:</w:t>
      </w:r>
    </w:p>
    <w:p>
      <w:pPr>
        <w:sectPr>
          <w:pgSz w:w="11900" w:h="16838" w:orient="portrait"/>
          <w:cols w:equalWidth="0" w:num="1">
            <w:col w:w="11220"/>
          </w:cols>
          <w:pgMar w:left="240" w:top="459" w:right="439" w:bottom="1440" w:gutter="0" w:footer="0" w:header="0"/>
        </w:sectPr>
      </w:pPr>
    </w:p>
    <w:p>
      <w:pPr>
        <w:spacing w:after="0" w:line="15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initial public offering price of $ prospectus;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per common share, which is the midpoint of the price range set forth on the cover page of this</w:t>
      </w:r>
    </w:p>
    <w:p>
      <w:pPr>
        <w:spacing w:after="0" w:line="369" w:lineRule="exact"/>
        <w:rPr>
          <w:sz w:val="20"/>
          <w:szCs w:val="20"/>
          <w:color w:val="auto"/>
        </w:rPr>
      </w:pPr>
    </w:p>
    <w:p>
      <w:pPr>
        <w:sectPr>
          <w:pgSz w:w="11900" w:h="16838" w:orient="portrait"/>
          <w:cols w:equalWidth="0" w:num="3">
            <w:col w:w="700" w:space="360"/>
            <w:col w:w="2480" w:space="600"/>
            <w:col w:w="7080"/>
          </w:cols>
          <w:pgMar w:left="240" w:top="459" w:right="439" w:bottom="1440" w:gutter="0" w:footer="0" w:header="0"/>
          <w:type w:val="continuous"/>
        </w:sectPr>
      </w:pPr>
    </w:p>
    <w:p>
      <w:pPr>
        <w:ind w:left="1060" w:right="440" w:hanging="431"/>
        <w:spacing w:after="0" w:line="30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issuance of any common shares reserved for future issuance under our new omnibus equity incentive plan or exercise of the options outstanding under our existing equity incentive plans, each as described in the immediately preceding paragraph;</w:t>
      </w:r>
    </w:p>
    <w:p>
      <w:pPr>
        <w:spacing w:after="0" w:line="51" w:lineRule="exact"/>
        <w:rPr>
          <w:rFonts w:ascii="Arial" w:cs="Arial" w:eastAsia="Arial" w:hAnsi="Arial"/>
          <w:sz w:val="17"/>
          <w:szCs w:val="17"/>
          <w:color w:val="auto"/>
        </w:rPr>
      </w:pPr>
    </w:p>
    <w:p>
      <w:pPr>
        <w:ind w:left="1060" w:hanging="431"/>
        <w:spacing w:after="0" w:line="291"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conversion of all of our preferred shares (including the preferred shares issued in the Series E Private Placement Extension) into common shares on a one-for-one basis upon the closing of this offering and the filing and effectiveness of our amended and restated articles of</w:t>
      </w:r>
    </w:p>
    <w:p>
      <w:pPr>
        <w:sectPr>
          <w:pgSz w:w="11900" w:h="16838" w:orient="portrait"/>
          <w:cols w:equalWidth="0" w:num="1">
            <w:col w:w="11220"/>
          </w:cols>
          <w:pgMar w:left="240" w:top="459" w:right="439" w:bottom="1440" w:gutter="0" w:footer="0" w:header="0"/>
          <w:type w:val="continuous"/>
        </w:sectPr>
      </w:pPr>
    </w:p>
    <w:p>
      <w:pPr>
        <w:ind w:left="1060"/>
        <w:spacing w:after="0"/>
        <w:tabs>
          <w:tab w:leader="none" w:pos="5500" w:val="left"/>
        </w:tabs>
        <w:rPr>
          <w:sz w:val="20"/>
          <w:szCs w:val="20"/>
          <w:color w:val="auto"/>
        </w:rPr>
      </w:pPr>
      <w:r>
        <w:rPr>
          <w:rFonts w:ascii="Arial" w:cs="Arial" w:eastAsia="Arial" w:hAnsi="Arial"/>
          <w:sz w:val="18"/>
          <w:szCs w:val="18"/>
          <w:color w:val="auto"/>
        </w:rPr>
        <w:t>association and creation of authorized share capital of</w:t>
      </w:r>
      <w:r>
        <w:rPr>
          <w:sz w:val="20"/>
          <w:szCs w:val="20"/>
          <w:color w:val="auto"/>
        </w:rPr>
        <w:tab/>
      </w:r>
      <w:r>
        <w:rPr>
          <w:rFonts w:ascii="Arial" w:cs="Arial" w:eastAsia="Arial" w:hAnsi="Arial"/>
          <w:sz w:val="16"/>
          <w:szCs w:val="16"/>
          <w:color w:val="auto"/>
        </w:rPr>
        <w:t>common shares upon the closing of this offering; and</w:t>
      </w:r>
    </w:p>
    <w:p>
      <w:pPr>
        <w:sectPr>
          <w:pgSz w:w="11900" w:h="16838" w:orient="portrait"/>
          <w:cols w:equalWidth="0" w:num="1">
            <w:col w:w="11220"/>
          </w:cols>
          <w:pgMar w:left="240" w:top="459" w:right="439" w:bottom="1440" w:gutter="0" w:footer="0" w:header="0"/>
          <w:type w:val="continuous"/>
        </w:sectPr>
      </w:pPr>
    </w:p>
    <w:p>
      <w:pPr>
        <w:spacing w:after="0" w:line="1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no exercise of the underwriters’ over-allotment option to purchase up to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additional common shares.</w:t>
      </w:r>
    </w:p>
    <w:p>
      <w:pPr>
        <w:spacing w:after="0" w:line="222" w:lineRule="exact"/>
        <w:rPr>
          <w:sz w:val="20"/>
          <w:szCs w:val="20"/>
          <w:color w:val="auto"/>
        </w:rPr>
      </w:pPr>
    </w:p>
    <w:p>
      <w:pPr>
        <w:sectPr>
          <w:pgSz w:w="11900" w:h="16838" w:orient="portrait"/>
          <w:cols w:equalWidth="0" w:num="3">
            <w:col w:w="700" w:space="360"/>
            <w:col w:w="5180" w:space="580"/>
            <w:col w:w="4400"/>
          </w:cols>
          <w:pgMar w:left="240" w:top="459" w:right="439" w:bottom="1440" w:gutter="0" w:footer="0" w:header="0"/>
          <w:type w:val="continuous"/>
        </w:sectPr>
      </w:pPr>
    </w:p>
    <w:p>
      <w:pPr>
        <w:spacing w:after="0" w:line="25" w:lineRule="exact"/>
        <w:rPr>
          <w:sz w:val="20"/>
          <w:szCs w:val="20"/>
          <w:color w:val="auto"/>
        </w:rPr>
      </w:pPr>
    </w:p>
    <w:p>
      <w:pPr>
        <w:ind w:left="200" w:right="360" w:firstLine="443"/>
        <w:spacing w:after="0" w:line="302" w:lineRule="auto"/>
        <w:rPr>
          <w:sz w:val="20"/>
          <w:szCs w:val="20"/>
          <w:color w:val="auto"/>
        </w:rPr>
      </w:pPr>
      <w:r>
        <w:rPr>
          <w:rFonts w:ascii="Arial" w:cs="Arial" w:eastAsia="Arial" w:hAnsi="Arial"/>
          <w:sz w:val="16"/>
          <w:szCs w:val="16"/>
          <w:color w:val="auto"/>
        </w:rPr>
        <w:t>In addition, unless otherwise indicated, all information in this prospectus excludes the issuance of 5,300,000 of our common shares to Credit Suisse AG, Zurich in the CS AG Share Issuance, as described under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79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67792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OTHER FINANCIAL INFORMATION</w:t>
      </w:r>
    </w:p>
    <w:p>
      <w:pPr>
        <w:spacing w:after="0" w:line="229"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The following summary historical financial information should be read in conjunction with “Selected Financial and Other Information,” “Management’s Discussion and Analysis of Financial Condition and Results of Operations” and our financial statements, including the notes thereto, included elsewhere in this prospectus. Our historical results are not necessarily indicative of the results that may be expected in the future and results of interim periods are not necessarily indicative of results for the entire year.</w:t>
      </w:r>
    </w:p>
    <w:p>
      <w:pPr>
        <w:spacing w:after="0" w:line="187" w:lineRule="exact"/>
        <w:rPr>
          <w:sz w:val="20"/>
          <w:szCs w:val="20"/>
          <w:color w:val="auto"/>
        </w:rPr>
      </w:pPr>
    </w:p>
    <w:p>
      <w:pPr>
        <w:ind w:left="200" w:right="60" w:firstLine="443"/>
        <w:spacing w:after="0" w:line="297" w:lineRule="auto"/>
        <w:rPr>
          <w:sz w:val="20"/>
          <w:szCs w:val="20"/>
          <w:color w:val="auto"/>
        </w:rPr>
      </w:pPr>
      <w:r>
        <w:rPr>
          <w:rFonts w:ascii="Arial" w:cs="Arial" w:eastAsia="Arial" w:hAnsi="Arial"/>
          <w:sz w:val="16"/>
          <w:szCs w:val="16"/>
          <w:color w:val="auto"/>
        </w:rPr>
        <w:t>The summary income statement data and balance sheet data for and as of the years ended December 31, 2015 and 2014 are derived from our audited financial statements included elsewhere in this prospectus. The financial data as of March 31, 2016 and for the three months ended March 31, 2016 and 2015 have been derived from our unaudited interim financial statements included elsewhere in this prospectus. The unaudited interim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w:t>
      </w:r>
    </w:p>
    <w:p>
      <w:pPr>
        <w:spacing w:after="0" w:line="158"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maintain our books and records in, and our audited financial statements and unaudited condensed interim financial statements are prepared and presented in accordance with IFRS in, CHF.</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3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For the Three Months Ended</w:t>
            </w:r>
          </w:p>
        </w:tc>
        <w:tc>
          <w:tcPr>
            <w:tcW w:w="23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’000 except for share and per share data)</w:t>
            </w:r>
          </w:p>
        </w:tc>
        <w:tc>
          <w:tcPr>
            <w:tcW w:w="234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March 31,</w:t>
            </w:r>
          </w:p>
        </w:tc>
        <w:tc>
          <w:tcPr>
            <w:tcW w:w="23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gridSpan w:val="2"/>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39,090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(2,736)</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(17,049)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(899)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(774)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(3,417)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income/(loss)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(3,275)</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18,624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Finance result—net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(391)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1,646</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before tax</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(2,965)</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20,270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23"/>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for the period</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(2,965)</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20,270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0.47</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(2)</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w w:val="95"/>
              </w:rPr>
              <w:t>Weighted-average number of shares used to compute earnings per share basic</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46,402,500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42,709,750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43,412,250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02"/>
        </w:trPr>
        <w:tc>
          <w:tcPr>
            <w:tcW w:w="64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Weighted-average number of shares used to compute earnings per share fully</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46,402,500</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42,709,750</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46,043,198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r>
        <w:trPr>
          <w:trHeight w:val="68"/>
        </w:trPr>
        <w:tc>
          <w:tcPr>
            <w:tcW w:w="1100" w:type="dxa"/>
            <w:vAlign w:val="bottom"/>
            <w:tcBorders>
              <w:bottom w:val="single" w:sz="8" w:color="auto"/>
            </w:tcBorders>
          </w:tcPr>
          <w:p>
            <w:pPr>
              <w:spacing w:after="0"/>
              <w:rPr>
                <w:sz w:val="5"/>
                <w:szCs w:val="5"/>
                <w:color w:val="auto"/>
              </w:rPr>
            </w:pPr>
          </w:p>
        </w:tc>
        <w:tc>
          <w:tcPr>
            <w:tcW w:w="5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0" w:hanging="423"/>
        <w:spacing w:after="0" w:line="25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preferred shares outstanding as of the dates indicated, and these preferred shares will be converted on a one-for-one basis upon the closing of this offering.</w:t>
      </w:r>
    </w:p>
    <w:p>
      <w:pPr>
        <w:spacing w:after="0" w:line="1" w:lineRule="exact"/>
        <w:rPr>
          <w:rFonts w:ascii="Arial" w:cs="Arial" w:eastAsia="Arial" w:hAnsi="Arial"/>
          <w:sz w:val="18"/>
          <w:szCs w:val="18"/>
          <w:color w:val="auto"/>
        </w:rPr>
      </w:pPr>
    </w:p>
    <w:p>
      <w:pPr>
        <w:ind w:left="620" w:hanging="42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share calculations do not give effect to the Series E Private Placement Extension or the CS AG Share Issuance.</w:t>
      </w:r>
    </w:p>
    <w:p>
      <w:pPr>
        <w:spacing w:after="0" w:line="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As of March 31, 2016</w:t>
            </w: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(in CHF ‘000)</w:t>
            </w:r>
          </w:p>
        </w:tc>
        <w:tc>
          <w:tcPr>
            <w:tcW w:w="1100" w:type="dxa"/>
            <w:vAlign w:val="bottom"/>
          </w:tcPr>
          <w:p>
            <w:pPr>
              <w:jc w:val="right"/>
              <w:ind w:right="473"/>
              <w:spacing w:after="0" w:line="142" w:lineRule="exact"/>
              <w:rPr>
                <w:sz w:val="20"/>
                <w:szCs w:val="20"/>
                <w:color w:val="auto"/>
              </w:rPr>
            </w:pPr>
            <w:r>
              <w:rPr>
                <w:rFonts w:ascii="Arial" w:cs="Arial" w:eastAsia="Arial" w:hAnsi="Arial"/>
                <w:sz w:val="14"/>
                <w:szCs w:val="14"/>
                <w:b w:val="1"/>
                <w:bCs w:val="1"/>
                <w:color w:val="auto"/>
              </w:rPr>
              <w:t>Actual</w:t>
            </w:r>
          </w:p>
        </w:tc>
        <w:tc>
          <w:tcPr>
            <w:tcW w:w="212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1420" w:type="dxa"/>
            <w:vAlign w:val="bottom"/>
          </w:tcPr>
          <w:p>
            <w:pPr>
              <w:spacing w:after="0" w:line="142" w:lineRule="exact"/>
              <w:rPr>
                <w:sz w:val="20"/>
                <w:szCs w:val="20"/>
                <w:color w:val="auto"/>
              </w:rPr>
            </w:pPr>
            <w:r>
              <w:rPr>
                <w:rFonts w:ascii="Arial" w:cs="Arial" w:eastAsia="Arial" w:hAnsi="Arial"/>
                <w:sz w:val="14"/>
                <w:szCs w:val="14"/>
                <w:b w:val="1"/>
                <w:bCs w:val="1"/>
                <w:color w:val="auto"/>
                <w:w w:val="93"/>
              </w:rPr>
              <w:t>As Further 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4660" w:type="dxa"/>
            <w:vAlign w:val="bottom"/>
            <w:vMerge w:val="continue"/>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67,860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80,662</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tcPr>
          <w:p>
            <w:pPr>
              <w:jc w:val="right"/>
              <w:ind w:right="353"/>
              <w:spacing w:after="0"/>
              <w:rPr>
                <w:sz w:val="20"/>
                <w:szCs w:val="20"/>
                <w:color w:val="auto"/>
              </w:rPr>
            </w:pPr>
            <w:r>
              <w:rPr>
                <w:rFonts w:ascii="Arial" w:cs="Arial" w:eastAsia="Arial" w:hAnsi="Arial"/>
                <w:sz w:val="18"/>
                <w:szCs w:val="18"/>
                <w:color w:val="auto"/>
              </w:rPr>
              <w:t>73,545</w:t>
            </w:r>
          </w:p>
        </w:tc>
        <w:tc>
          <w:tcPr>
            <w:tcW w:w="1320" w:type="dxa"/>
            <w:vAlign w:val="bottom"/>
          </w:tcPr>
          <w:p>
            <w:pPr>
              <w:jc w:val="right"/>
              <w:spacing w:after="0"/>
              <w:rPr>
                <w:sz w:val="20"/>
                <w:szCs w:val="20"/>
                <w:color w:val="auto"/>
              </w:rPr>
            </w:pPr>
            <w:r>
              <w:rPr>
                <w:rFonts w:ascii="Arial" w:cs="Arial" w:eastAsia="Arial" w:hAnsi="Arial"/>
                <w:sz w:val="18"/>
                <w:szCs w:val="18"/>
                <w:color w:val="auto"/>
              </w:rPr>
              <w:t>86,347</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95"/>
              </w:rPr>
              <w:t>(46,702)</w:t>
            </w:r>
          </w:p>
        </w:tc>
        <w:tc>
          <w:tcPr>
            <w:tcW w:w="2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(46,702)</w:t>
            </w: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Total equity</w:t>
            </w:r>
          </w:p>
        </w:tc>
        <w:tc>
          <w:tcPr>
            <w:tcW w:w="1100" w:type="dxa"/>
            <w:vAlign w:val="bottom"/>
          </w:tcPr>
          <w:p>
            <w:pPr>
              <w:jc w:val="right"/>
              <w:ind w:right="353"/>
              <w:spacing w:after="0"/>
              <w:rPr>
                <w:sz w:val="20"/>
                <w:szCs w:val="20"/>
                <w:color w:val="auto"/>
              </w:rPr>
            </w:pPr>
            <w:r>
              <w:rPr>
                <w:rFonts w:ascii="Arial" w:cs="Arial" w:eastAsia="Arial" w:hAnsi="Arial"/>
                <w:sz w:val="18"/>
                <w:szCs w:val="18"/>
                <w:color w:val="auto"/>
              </w:rPr>
              <w:t>64,679</w:t>
            </w:r>
          </w:p>
        </w:tc>
        <w:tc>
          <w:tcPr>
            <w:tcW w:w="1320" w:type="dxa"/>
            <w:vAlign w:val="bottom"/>
          </w:tcPr>
          <w:p>
            <w:pPr>
              <w:jc w:val="right"/>
              <w:spacing w:after="0"/>
              <w:rPr>
                <w:sz w:val="20"/>
                <w:szCs w:val="20"/>
                <w:color w:val="auto"/>
              </w:rPr>
            </w:pPr>
            <w:r>
              <w:rPr>
                <w:rFonts w:ascii="Arial" w:cs="Arial" w:eastAsia="Arial" w:hAnsi="Arial"/>
                <w:sz w:val="18"/>
                <w:szCs w:val="18"/>
                <w:color w:val="auto"/>
              </w:rPr>
              <w:t>77,481</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11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73,545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86,347</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right="460" w:hanging="423"/>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adjusted to reflect (i) the conversion of all shares of our preferred stock outstanding as of March 31, 2016 into an aggregate of 37,175,250 common shares; (ii) the issuance and sale of preferred shares in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972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29972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0"/>
              </w:rPr>
              <w:t>Series E Private Placement Extension and the conversion of all such shares into an aggregate of 1,401,792 common shares; and (iii) the filing and</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5"/>
              </w:rPr>
              <w:t>effectiveness of our amended and restated articles of incorporation. Does not give effect to the CS AG Share Issuance, as described under</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1"/>
              </w:rPr>
              <w:t>“Management’s Discussion and Analysis of Financial Condition and Results of Operations—Subsequent Events—CS AG Share Issuance” and in</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0"/>
              </w:rPr>
              <w:t>Note 8 (Post balance sheet events) of our unaudited interim condensed financial statements as of and for the three months ended March 31, 2016</w:t>
            </w:r>
          </w:p>
        </w:tc>
      </w:tr>
      <w:tr>
        <w:trPr>
          <w:trHeight w:val="216"/>
        </w:trPr>
        <w:tc>
          <w:tcPr>
            <w:tcW w:w="320" w:type="dxa"/>
            <w:vAlign w:val="bottom"/>
          </w:tcPr>
          <w:p>
            <w:pPr>
              <w:spacing w:after="0"/>
              <w:rPr>
                <w:sz w:val="18"/>
                <w:szCs w:val="18"/>
                <w:color w:val="auto"/>
              </w:rPr>
            </w:pP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rPr>
              <w:t>and March 31, 2015 included elsewhere in this prospectus.</w:t>
            </w:r>
          </w:p>
        </w:tc>
        <w:tc>
          <w:tcPr>
            <w:tcW w:w="462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w w:val="94"/>
              </w:rPr>
              <w:t>As further adjusted balance sheet data gives effect to our issuance and sale of</w:t>
            </w:r>
          </w:p>
        </w:tc>
        <w:tc>
          <w:tcPr>
            <w:tcW w:w="4620" w:type="dxa"/>
            <w:vAlign w:val="bottom"/>
          </w:tcPr>
          <w:p>
            <w:pPr>
              <w:jc w:val="right"/>
              <w:ind w:right="110"/>
              <w:spacing w:after="0"/>
              <w:rPr>
                <w:sz w:val="20"/>
                <w:szCs w:val="20"/>
                <w:color w:val="auto"/>
              </w:rPr>
            </w:pPr>
            <w:r>
              <w:rPr>
                <w:rFonts w:ascii="Arial" w:cs="Arial" w:eastAsia="Arial" w:hAnsi="Arial"/>
                <w:sz w:val="18"/>
                <w:szCs w:val="18"/>
                <w:color w:val="auto"/>
                <w:w w:val="96"/>
              </w:rPr>
              <w:t>common shares in this offering, assuming an initial public</w:t>
            </w:r>
          </w:p>
        </w:tc>
      </w:tr>
      <w:tr>
        <w:trPr>
          <w:trHeight w:val="216"/>
        </w:trPr>
        <w:tc>
          <w:tcPr>
            <w:tcW w:w="3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offering price of $</w:t>
            </w:r>
          </w:p>
        </w:tc>
        <w:tc>
          <w:tcPr>
            <w:tcW w:w="9040" w:type="dxa"/>
            <w:vAlign w:val="bottom"/>
            <w:gridSpan w:val="4"/>
          </w:tcPr>
          <w:p>
            <w:pPr>
              <w:jc w:val="right"/>
              <w:ind w:right="390"/>
              <w:spacing w:after="0"/>
              <w:rPr>
                <w:sz w:val="20"/>
                <w:szCs w:val="20"/>
                <w:color w:val="auto"/>
              </w:rPr>
            </w:pPr>
            <w:r>
              <w:rPr>
                <w:rFonts w:ascii="Arial" w:cs="Arial" w:eastAsia="Arial" w:hAnsi="Arial"/>
                <w:sz w:val="18"/>
                <w:szCs w:val="18"/>
                <w:color w:val="auto"/>
                <w:w w:val="92"/>
              </w:rPr>
              <w:t>per common share, which is the midpoint of the range set forth on the cover page of this prospectus, after deducting</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1"/>
              </w:rPr>
              <w:t>underwriting discounts and commissions and estimated offering expenses payable by us. Does not give effect to the CS AG Share Issuance, as</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1"/>
              </w:rPr>
              <w:t>described under “Management’s Discussion and Analysis of Financial Condition and Results of Operations—Subsequent Events—CS AG Share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Issuance” and in Note 8 (Post balance sheet events) of our unaudited interim condensed financial statements as of and for the three months ended</w:t>
            </w:r>
          </w:p>
        </w:tc>
      </w:tr>
      <w:tr>
        <w:trPr>
          <w:trHeight w:val="216"/>
        </w:trPr>
        <w:tc>
          <w:tcPr>
            <w:tcW w:w="320" w:type="dxa"/>
            <w:vAlign w:val="bottom"/>
          </w:tcPr>
          <w:p>
            <w:pPr>
              <w:spacing w:after="0"/>
              <w:rPr>
                <w:sz w:val="18"/>
                <w:szCs w:val="18"/>
                <w:color w:val="auto"/>
              </w:rPr>
            </w:pP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w w:val="98"/>
              </w:rPr>
              <w:t>March 31, 2016 and March 31, 2015 included elsewhere in this prospectus.</w:t>
            </w:r>
          </w:p>
        </w:tc>
        <w:tc>
          <w:tcPr>
            <w:tcW w:w="462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620" w:type="dxa"/>
            <w:vAlign w:val="bottom"/>
          </w:tcPr>
          <w:p>
            <w:pPr>
              <w:jc w:val="right"/>
              <w:spacing w:after="0"/>
              <w:rPr>
                <w:sz w:val="20"/>
                <w:szCs w:val="20"/>
                <w:color w:val="auto"/>
              </w:rPr>
            </w:pPr>
            <w:r>
              <w:rPr>
                <w:rFonts w:ascii="Arial" w:cs="Arial" w:eastAsia="Arial" w:hAnsi="Arial"/>
                <w:sz w:val="18"/>
                <w:szCs w:val="18"/>
                <w:color w:val="auto"/>
                <w:w w:val="97"/>
              </w:rPr>
              <w:t>per common share, which is the midpoint of the price range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set forth on the cover page of this prospectus, would increase (decrease) our as further adjusted cash and cash equivalents and as further adjusted</w:t>
            </w:r>
          </w:p>
        </w:tc>
      </w:tr>
      <w:tr>
        <w:trPr>
          <w:trHeight w:val="216"/>
        </w:trPr>
        <w:tc>
          <w:tcPr>
            <w:tcW w:w="320" w:type="dxa"/>
            <w:vAlign w:val="bottom"/>
          </w:tcPr>
          <w:p>
            <w:pPr>
              <w:spacing w:after="0"/>
              <w:rPr>
                <w:sz w:val="18"/>
                <w:szCs w:val="18"/>
                <w:color w:val="auto"/>
              </w:rPr>
            </w:pPr>
          </w:p>
        </w:tc>
        <w:tc>
          <w:tcPr>
            <w:tcW w:w="2600" w:type="dxa"/>
            <w:vAlign w:val="bottom"/>
            <w:gridSpan w:val="3"/>
          </w:tcPr>
          <w:p>
            <w:pPr>
              <w:ind w:left="100"/>
              <w:spacing w:after="0"/>
              <w:rPr>
                <w:sz w:val="20"/>
                <w:szCs w:val="20"/>
                <w:color w:val="auto"/>
              </w:rPr>
            </w:pPr>
            <w:r>
              <w:rPr>
                <w:rFonts w:ascii="Arial" w:cs="Arial" w:eastAsia="Arial" w:hAnsi="Arial"/>
                <w:sz w:val="18"/>
                <w:szCs w:val="18"/>
                <w:color w:val="auto"/>
              </w:rPr>
              <w:t>total shareholders’ equity by $</w:t>
            </w:r>
          </w:p>
        </w:tc>
        <w:tc>
          <w:tcPr>
            <w:tcW w:w="980" w:type="dxa"/>
            <w:vAlign w:val="bottom"/>
          </w:tcPr>
          <w:p>
            <w:pPr>
              <w:ind w:left="280"/>
              <w:spacing w:after="0"/>
              <w:rPr>
                <w:sz w:val="20"/>
                <w:szCs w:val="20"/>
                <w:color w:val="auto"/>
              </w:rPr>
            </w:pPr>
            <w:r>
              <w:rPr>
                <w:rFonts w:ascii="Arial" w:cs="Arial" w:eastAsia="Arial" w:hAnsi="Arial"/>
                <w:sz w:val="18"/>
                <w:szCs w:val="18"/>
                <w:color w:val="auto"/>
              </w:rPr>
              <w:t>(CHF</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w w:val="93"/>
              </w:rPr>
              <w:t>), assuming that the number of common shares offered by us, as set forth on the cover page of</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this prospectus, remains the same and after deducting estimated underwriting discounts and commissions and estimated offering expenses payable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8"/>
              </w:rPr>
              <w:t>by us. We may also increase or decrease the number of shares we are offering. An increase (decrease) of 1,000,000 in the number of shares we are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8"/>
              </w:rPr>
              <w:t>offering would increase (decrease) as further adjusted cash and cash equivalents and as further adjusted total shareholders’ equity by</w:t>
            </w:r>
          </w:p>
        </w:tc>
      </w:tr>
      <w:tr>
        <w:trPr>
          <w:trHeight w:val="230"/>
        </w:trPr>
        <w:tc>
          <w:tcPr>
            <w:tcW w:w="32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ind w:left="280"/>
              <w:spacing w:after="0"/>
              <w:rPr>
                <w:sz w:val="20"/>
                <w:szCs w:val="20"/>
                <w:color w:val="auto"/>
              </w:rPr>
            </w:pPr>
            <w:r>
              <w:rPr>
                <w:rFonts w:ascii="Arial" w:cs="Arial" w:eastAsia="Arial" w:hAnsi="Arial"/>
                <w:sz w:val="18"/>
                <w:szCs w:val="18"/>
                <w:color w:val="auto"/>
              </w:rPr>
              <w:t>(CHF</w:t>
            </w:r>
          </w:p>
        </w:tc>
        <w:tc>
          <w:tcPr>
            <w:tcW w:w="9040" w:type="dxa"/>
            <w:vAlign w:val="bottom"/>
            <w:gridSpan w:val="4"/>
          </w:tcPr>
          <w:p>
            <w:pPr>
              <w:jc w:val="right"/>
              <w:ind w:right="90"/>
              <w:spacing w:after="0"/>
              <w:rPr>
                <w:sz w:val="20"/>
                <w:szCs w:val="20"/>
                <w:color w:val="auto"/>
              </w:rPr>
            </w:pPr>
            <w:r>
              <w:rPr>
                <w:rFonts w:ascii="Arial" w:cs="Arial" w:eastAsia="Arial" w:hAnsi="Arial"/>
                <w:sz w:val="18"/>
                <w:szCs w:val="18"/>
                <w:color w:val="auto"/>
                <w:w w:val="92"/>
              </w:rPr>
              <w:t>), assuming that the assumed initial public offering price remains the same and after deducting the underwriting discount</w:t>
            </w:r>
          </w:p>
        </w:tc>
      </w:tr>
    </w:tbl>
    <w:p>
      <w:pPr>
        <w:ind w:left="620"/>
        <w:spacing w:after="0"/>
        <w:rPr>
          <w:sz w:val="20"/>
          <w:szCs w:val="20"/>
          <w:color w:val="auto"/>
        </w:rPr>
      </w:pPr>
      <w:r>
        <w:rPr>
          <w:rFonts w:ascii="Arial" w:cs="Arial" w:eastAsia="Arial" w:hAnsi="Arial"/>
          <w:sz w:val="18"/>
          <w:szCs w:val="18"/>
          <w:color w:val="auto"/>
        </w:rPr>
        <w:t>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b w:val="1"/>
          <w:bCs w:val="1"/>
          <w:i w:val="1"/>
          <w:iCs w:val="1"/>
          <w:color w:val="auto"/>
        </w:rPr>
        <w:t>We depend heavily on the success of crenezumab, and, to a lesser extent, ACI-24 for AD and ACI-35, all of which are in clinical development. If our clinical studies are unsuccessful, we or our collaboration partner do not obtain regulatory approval or we are unable to commercialize crenezumab, ACI-24 for AD and ACI-35, or we experience significant delays in doing so, our business, financial condition and results of operations will be materially adversely affected.</w:t>
      </w:r>
    </w:p>
    <w:p>
      <w:pPr>
        <w:spacing w:after="0" w:line="79"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crenezumab, ACI-24 for AD and ACI-35,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and we may never be able to develop or commercialize a marketable drug. The success of our current and future product candidates will depend on several factors, including the following:</w:t>
      </w:r>
    </w:p>
    <w:p>
      <w:pPr>
        <w:spacing w:after="0" w:line="6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and safety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effectively with other therapies; and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or our collaboration partner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our collaboration partner Genentech may fail to achieve success in Phase 3 clinical studies of crenezumab. In addition, preclinical and clinical data are often susceptible to varying interpretations and analyses. Many companies that believed their product candidates performed satisfactorily in preclinical and clinical studies have nonetheless failed to obtain marketing approval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7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273"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or ANDA, seeking approval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8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Accordingly, if crenezumab, ACI-24 and ACI-35 are approved, competitors could file ANDAs for generic versions of crenezumab, ACI-24 and ACI-35, or 505(b)(2) NDAs that reference crenezumab, ACI-24 and ACI-35, respectively. If there are patents listed for crenezumab, ACI-24 and ACI-35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5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29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Roche, the parent company of our collaboration partner Genentech, is evaluating gantenerumab, which is a product candidate in the same indication as our lead product candidate crenezumab.</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collaboration partner Genentech is a subsidiary of Roche, which is evaluating gantenerumab, a product candidate for the same indication as our lead product candidate crenezumab.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297"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6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9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7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286"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our collaboration partner Genentech will seek to enroll patients in the early stages of AD and it may be unable to successfully identify an adequate number of eligible patients.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296" w:lineRule="exact"/>
        <w:rPr>
          <w:sz w:val="20"/>
          <w:szCs w:val="20"/>
          <w:color w:val="auto"/>
        </w:rPr>
      </w:pPr>
    </w:p>
    <w:p>
      <w:pPr>
        <w:ind w:left="240" w:right="6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5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 stage testing have later been found to cause side effects that restricted their use and prevented further development of the compound for larger indications.</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In addition, two serious adverse events were observed in one patient during clinical studies of ACI-35, although we believe that these serious adverse events were not related to the treatment. The first event, pyelonephritis, was considered likely to have started prior to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study given the patient’s tendency to contract urinary infections, including pyelonephritis. The second event, dizziness accompanied by confusion, was considered likely related to the progression of the patient’s underlying condition, since no abnormalities were noted during repeat MRIs and other examinations. A relationship between these serious adverse effects and ACI-35 cannot be ruled out, however. Non-drug related serious adverse effects observed during clinical studies of ACI-24 were acute chest pain, death, colonic cancer, wound infections and pneumonia. Occurrence of serious procedure-or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studies or change the labeling of the product;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9"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believe that our key competitor product candidates are (i) aducanumab (Biogen), solanezumab (Eli Lilly), gantenerumab (Roche) and bapineuzumab (Elan, Pfizer and Johnson &amp; Johnson) for crenezumab; (ii) CAD-106 (Novartis) for ACI-24; and (iii) AADVAC1 (Axon Neurosciences) for ACI-35, as described under “Business—Competition.”</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333"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5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14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crenezumab and our other product candidates. We have not yet demonstrated an ability successfully to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product candidates.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Loss of our laboratory facilities through fire or other causes could have an adverse effect on our ability to continue to conduct our business. We currently have insurance coverage to compensate us for such business interruptions; however, such coverage may prove insufficient to fully compensate us for the damage to our business resulting from any significant property or casualty loss to our facilities.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1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Dr. Wolfgang Barth, our Director of Development; George Pavey, our Chief Financial Officer; and Jean-Fabien Monin, our Chief Administrative Officer.</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28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356"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a patient population of fewer than 200,000 in the United States, or a patient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ACI-24 and ACI-35 for the treatment of AD.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the activities of these groups are successful, our research and development activities may be interrupted, delayed or become more expensive.</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with our partners and delays in our research and development work. The loss of product development or clinical study data could result in delays in our regulatory approval efforts and significantly increase our costs.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73" w:lineRule="exact"/>
        <w:rPr>
          <w:sz w:val="20"/>
          <w:szCs w:val="20"/>
          <w:color w:val="auto"/>
        </w:rPr>
      </w:pPr>
    </w:p>
    <w:p>
      <w:pPr>
        <w:ind w:left="240" w:right="10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62"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Janssen, Piramal and other of our current or future strategic partners, our business, commercialization prospects and financial condition may be materially adversely affected.</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two partnerships with Genentech. In 2006, we granted Genentech an exclusive, worldwide license for crenezumab. In 2012, we entered into a second partnership to commercialize our anti-tau antibodies for use as immunotherapies. We partner with Janssen to develop and commercialize therapeutic anti-tau vaccines for the treatment of AD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notice period. After a specified amount of time, Janssen and Piramal will also each have the right to terminate their agreements with us for any reason upon providing us with a certain notice period. If Genentech, Janssen, Piramal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6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Good relationships with Genentech, Janssen, Piramal and other of our current or future strategic partners are important for our business prospects. If our relationships with Genentech, Janssen, Piramal or other of our current or future strategic partners were to deteriorate substantially or Genentech, Janssen, Piramal or other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our current or future strategic partners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124"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290"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83" w:lineRule="exact"/>
        <w:rPr>
          <w:sz w:val="20"/>
          <w:szCs w:val="20"/>
          <w:color w:val="auto"/>
        </w:rPr>
      </w:pPr>
    </w:p>
    <w:p>
      <w:pPr>
        <w:ind w:left="5620" w:right="300" w:hanging="5166"/>
        <w:spacing w:after="0" w:line="449" w:lineRule="auto"/>
        <w:tabs>
          <w:tab w:leader="none" w:pos="8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collaboration partner devotes to the product development program; 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complete our obligations under any arrangement.</w:t>
      </w:r>
    </w:p>
    <w:p>
      <w:pPr>
        <w:spacing w:after="0" w:line="279"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7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Our collaboration arrangements with our strategic partners may make us an attractive target for potential acquisitions under certain circumstances.</w:t>
      </w:r>
    </w:p>
    <w:p>
      <w:pPr>
        <w:spacing w:after="0" w:line="140"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275" w:lineRule="exact"/>
        <w:rPr>
          <w:sz w:val="20"/>
          <w:szCs w:val="20"/>
          <w:color w:val="auto"/>
        </w:rPr>
      </w:pPr>
    </w:p>
    <w:p>
      <w:pPr>
        <w:jc w:val="both"/>
        <w:ind w:left="240" w:right="160"/>
        <w:spacing w:after="0" w:line="264" w:lineRule="auto"/>
        <w:rPr>
          <w:sz w:val="20"/>
          <w:szCs w:val="20"/>
          <w:color w:val="auto"/>
        </w:rPr>
      </w:pPr>
      <w:r>
        <w:rPr>
          <w:rFonts w:ascii="Arial" w:cs="Arial" w:eastAsia="Arial" w:hAnsi="Arial"/>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collaborators, any of which could be expensive, time consuming, and unsuccessful, and may ultimately result in our loss of ownership of intellectual property.</w:t>
      </w:r>
    </w:p>
    <w:p>
      <w:pPr>
        <w:spacing w:after="0" w:line="73" w:lineRule="exact"/>
        <w:rPr>
          <w:sz w:val="20"/>
          <w:szCs w:val="20"/>
          <w:color w:val="auto"/>
        </w:rPr>
      </w:pPr>
    </w:p>
    <w:p>
      <w:pPr>
        <w:ind w:right="180" w:firstLine="456"/>
        <w:spacing w:after="0" w:line="270" w:lineRule="auto"/>
        <w:rPr>
          <w:sz w:val="20"/>
          <w:szCs w:val="20"/>
          <w:color w:val="auto"/>
        </w:rPr>
      </w:pPr>
      <w:r>
        <w:rPr>
          <w:rFonts w:ascii="Arial" w:cs="Arial" w:eastAsia="Arial" w:hAnsi="Arial"/>
          <w:sz w:val="17"/>
          <w:szCs w:val="17"/>
          <w:color w:val="auto"/>
        </w:rPr>
        <w:t>Competitors may infringe our patents or the patents of our licensors or collaborators.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7"/>
          <w:szCs w:val="17"/>
          <w:i w:val="1"/>
          <w:iCs w:val="1"/>
          <w:color w:val="auto"/>
        </w:rPr>
        <w:t>, inter partes</w:t>
      </w:r>
      <w:r>
        <w:rPr>
          <w:rFonts w:ascii="Arial" w:cs="Arial" w:eastAsia="Arial" w:hAnsi="Arial"/>
          <w:sz w:val="17"/>
          <w:szCs w:val="17"/>
          <w:color w:val="auto"/>
        </w:rPr>
        <w:t xml:space="preserve"> review, interference and derivation proceedings as well as equivalent proceedings in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foreign jurisdictions.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6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78"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Our defense of litigation, interference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295"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7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United States and in other countries with respect to our proprietary technologies and product candidates. In particular, Genentech or our other licensing or collaboration partners may be dependent on a license with a third party for the development and commercialization of crenezumab or our other product candidates. If such license is terminated, Genentech or such other licensing or collaboration partners may be required to cease development and commercialization of crenezumab or our other product candidates, any of which could have a material adverse effect on our business, financial condition, results of operations or prospects.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6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derivation proceedings. The effects of these changes on the operation of our business are currently unclear as, among other reasons, the USPTO must still implement various regulations and courts must interpret these changes.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66"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licensing and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party contractors and consultants, the need to share intellectual property and other confidential information increases the risk that such confidential information becomes known by our competitors, are inadvertently incorporated into the product development of others or are disclosed or used in violation of these agreements.</w:t>
      </w:r>
    </w:p>
    <w:p>
      <w:pPr>
        <w:spacing w:after="0" w:line="16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licensing or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82"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280" w:lineRule="exact"/>
        <w:rPr>
          <w:sz w:val="20"/>
          <w:szCs w:val="20"/>
          <w:color w:val="auto"/>
        </w:rPr>
      </w:pPr>
    </w:p>
    <w:p>
      <w:pPr>
        <w:jc w:val="both"/>
        <w:ind w:left="240" w:right="46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305"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73"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the licensee or partner that is not subject to the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diligence, development and commercialization obligations under the agreement and what activities satisfy those obligations;</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collaboration partners and us;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2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232" w:lineRule="exact"/>
        <w:rPr>
          <w:sz w:val="20"/>
          <w:szCs w:val="20"/>
          <w:color w:val="auto"/>
        </w:rPr>
      </w:pPr>
    </w:p>
    <w:p>
      <w:pPr>
        <w:ind w:left="240" w:right="12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development and commercialization efforts.</w:t>
      </w:r>
    </w:p>
    <w:p>
      <w:pPr>
        <w:spacing w:after="0" w:line="62" w:lineRule="exact"/>
        <w:rPr>
          <w:sz w:val="20"/>
          <w:szCs w:val="20"/>
          <w:color w:val="auto"/>
        </w:rPr>
      </w:pPr>
    </w:p>
    <w:p>
      <w:pPr>
        <w:jc w:val="both"/>
        <w:ind w:right="120" w:firstLine="456"/>
        <w:spacing w:after="0" w:line="293" w:lineRule="auto"/>
        <w:rPr>
          <w:sz w:val="20"/>
          <w:szCs w:val="20"/>
          <w:color w:val="auto"/>
        </w:rPr>
      </w:pPr>
      <w:r>
        <w:rPr>
          <w:rFonts w:ascii="Arial" w:cs="Arial" w:eastAsia="Arial" w:hAnsi="Arial"/>
          <w:sz w:val="16"/>
          <w:szCs w:val="16"/>
          <w:color w:val="auto"/>
        </w:rPr>
        <w:t xml:space="preserve">Our commercial success depends on our ability and the ability of our licensees or collaborators to develop, manufacture, market and sell our product candidates and use our proprietary technology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derivation proceedings and post grant review before the USPTO and corresponding foreign patent offices.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There may also be other third-party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payments to the licensor.</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301" w:lineRule="exact"/>
        <w:rPr>
          <w:sz w:val="20"/>
          <w:szCs w:val="20"/>
          <w:color w:val="auto"/>
        </w:rPr>
      </w:pPr>
    </w:p>
    <w:p>
      <w:pPr>
        <w:ind w:left="24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We employ and utilize the services of individuals who were previously employed or provided services to universities or other biotechnology or pharmaceutical companies, including our competitors or potential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6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15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11.2 million for the year ended December 31, 2013 and net losses of CHF 6.2 million for the three months ended March 31, 2016. In addition, we had accumulated losses of CHF 46.7 million as of March 31, 2016.</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To date, we have financed our operations through private placements of preferred securities, in addition to upfront and milestone payments from our collaboration partners and certain other revenue.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296" w:lineRule="exact"/>
        <w:rPr>
          <w:sz w:val="20"/>
          <w:szCs w:val="20"/>
          <w:color w:val="auto"/>
        </w:rPr>
      </w:pPr>
    </w:p>
    <w:p>
      <w:pPr>
        <w:ind w:left="240" w:right="52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64" w:lineRule="exact"/>
        <w:rPr>
          <w:sz w:val="20"/>
          <w:szCs w:val="20"/>
          <w:color w:val="auto"/>
        </w:rPr>
      </w:pPr>
    </w:p>
    <w:p>
      <w:pPr>
        <w:ind w:left="900" w:right="20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us or our collaboration partners, as the case may be, successfully completing a Phase 3 clinical study of crenezumab, a Phase 1/2a clinical study of ACI-24 for AD and a Phase 1b clinical study of ACI-35;</w:t>
      </w:r>
    </w:p>
    <w:p>
      <w:pPr>
        <w:spacing w:after="0" w:line="86"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or ACI-35, for which we complete clinical studies;</w:t>
      </w:r>
    </w:p>
    <w:p>
      <w:pPr>
        <w:spacing w:after="0" w:line="75" w:lineRule="exact"/>
        <w:rPr>
          <w:rFonts w:ascii="Arial" w:cs="Arial" w:eastAsia="Arial" w:hAnsi="Arial"/>
          <w:sz w:val="18"/>
          <w:szCs w:val="18"/>
          <w:color w:val="auto"/>
        </w:rPr>
      </w:pPr>
    </w:p>
    <w:p>
      <w:pPr>
        <w:ind w:left="900" w:right="28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87"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1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currently advancing our product candidates through clinical development, either together with a collaboration partner (crenezumab and ACI-35) or independently (ACI-24 for AD). We expect our research and development expenses to continue to increase in connection with our ongoing activities, particularly as we and/or our collaboration partners continue our ongoing studies and initiate new studies of crenezumab, ACI-24 for AD and ACI-35 and initiate preclinical and clinical development of our other product candidates. As of March 31, 2016, we had cash and cash equivalents of CHF 67.9 million. We currently believe that our existing capital resources, not including potential milestone payments and the proceeds we receive from this offering, but including the proceeds we received from the Series E Private Placement Extension, will be sufficient to meet our projected operating requirements for at least through the fourth quarter of fiscal year 2017. We have based this estimate on assumptions that may prove to be wrong, and we could exhaust our capital resources sooner than we currently expect. Our future funding requirements will depend on many factors, including but not limited to:</w:t>
      </w:r>
    </w:p>
    <w:p>
      <w:pPr>
        <w:spacing w:after="0" w:line="18"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 the future, as well as our existing such arrangements, including any required milestone and royalty payments thereunder;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and distribution, depending on where we choose to commercialize. We also expect to incur additional costs associated with operating as a public company following this offering.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28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6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78"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117"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As of December 31, 2015, we reported tax loss carryforwards from financial years 2007 until 2014 for purposes of Swiss corporate income tax in the aggregate amount of CHF 29.1 million that could be available to offset future taxable income. If not used, these tax losses will expire seven years after the year in which they were incurred. Due to our limited income, there is a high risk that the tax loss carryforwards will expire partly or entirely and cannot be used to offset future taxable income thereafter for Swiss corporate income tax purposes.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our existing agreements, we receive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21" w:lineRule="exact"/>
        <w:rPr>
          <w:sz w:val="20"/>
          <w:szCs w:val="20"/>
          <w:color w:val="auto"/>
        </w:rPr>
      </w:pPr>
    </w:p>
    <w:p>
      <w:pPr>
        <w:ind w:left="240" w:right="106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 collaboration partner Genentech started in the first quarter of 2016.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88"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5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142" w:lineRule="exact"/>
        <w:rPr>
          <w:rFonts w:ascii="Arial" w:cs="Arial" w:eastAsia="Arial" w:hAnsi="Arial"/>
          <w:sz w:val="17"/>
          <w:szCs w:val="17"/>
          <w:color w:val="auto"/>
        </w:rPr>
      </w:pPr>
    </w:p>
    <w:p>
      <w:pPr>
        <w:ind w:left="900" w:right="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73"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79"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Crenezumab has completed Phase 2 clinical testing, ACI-24 for AD is in a combined Phase 1/2a clinical study, and ACI-35 is in Phase 1b clinical studies. The development of our other product candidates is less advanced and studies have not yet started.</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76" w:lineRule="exact"/>
        <w:rPr>
          <w:sz w:val="20"/>
          <w:szCs w:val="20"/>
          <w:color w:val="auto"/>
        </w:rPr>
      </w:pPr>
    </w:p>
    <w:p>
      <w:pPr>
        <w:ind w:left="900" w:right="6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295"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62"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Sales of our approved drugs will be subject to U.S. and non-U.S. regulatory requirements governing clinical studies and regulatory approval, and we plan to seek regulatory approval to commercialize our drug candidates in the United States, the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900" w:right="3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01" w:lineRule="exact"/>
        <w:rPr>
          <w:sz w:val="20"/>
          <w:szCs w:val="20"/>
          <w:color w:val="auto"/>
        </w:rPr>
      </w:pPr>
    </w:p>
    <w:p>
      <w:pPr>
        <w:ind w:left="240" w:right="42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62"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have conducted and may in the future choose to conduct one or more of our clinical studies outside the United States, including in Germany, Austria, Denmark, Sweden and Finland. The acceptance of study data from 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that the FDA or any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273"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More recently, in March 2010,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8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President Obama signed into law the American Taxpayer</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European Union, proposed new clinical study regulations will centralize clinical study approval, which eliminates redundancy, but in some cases this may extend timelines for clinical study approvals due to potentially longer wait times. Proposals to require specific consents for use of data in research, among other measures, may increase the costs and timelines for our product development efforts. Austerity measures in certain European nations may also affect the prices we are able to seek if our products are approved, as discussed below.</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95" w:lineRule="exact"/>
        <w:rPr>
          <w:sz w:val="20"/>
          <w:szCs w:val="20"/>
          <w:color w:val="auto"/>
        </w:rPr>
      </w:pPr>
    </w:p>
    <w:p>
      <w:pPr>
        <w:ind w:left="240" w:right="6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166"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255"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00" w:right="340" w:hanging="446"/>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92" w:lineRule="exact"/>
        <w:rPr>
          <w:rFonts w:ascii="Arial" w:cs="Arial" w:eastAsia="Arial" w:hAnsi="Arial"/>
          <w:sz w:val="18"/>
          <w:szCs w:val="18"/>
          <w:color w:val="auto"/>
        </w:rPr>
      </w:pPr>
    </w:p>
    <w:p>
      <w:pPr>
        <w:ind w:left="900" w:right="180" w:hanging="446"/>
        <w:spacing w:after="0" w:line="25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8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We will adopt a code of conduct in connection with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activities may be subject to the Foreign Corrupt Practices Act, or FCPA, and similar anti-bribery and anti-corruption laws.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29"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right="760" w:firstLine="456"/>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289"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common shares prior to this offering, and an active market in our common shares may not develop in which investors can resell our common shares.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Prior to this offering there was no public market for our common shares. We cannot predict the extent to which an active market for our common shares will develop or be sustained after this offering, or how the development of such a market might affect the market price for our common shares. The initial public offering price of our common shares in this offering was agreed between us and the underwriters based on a number of factors, including market conditions in effect at the time of this offering, which may not be indicative of the price at which our common shares will trade following completion of this offering. Investors may not be able to sell their common shares at or above the initial public offering price.</w:t>
      </w:r>
    </w:p>
    <w:p>
      <w:pPr>
        <w:spacing w:after="0" w:line="281"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will continue to be able to exercise significant control over us, and your interests may conflict with the interests of our existing shareholders.</w:t>
      </w:r>
    </w:p>
    <w:p>
      <w:pPr>
        <w:spacing w:after="0" w:line="62"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Following completion of this offering, our existing shareholders are expected to own approximately %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w:t>
      </w:r>
    </w:p>
    <w:p>
      <w:pPr>
        <w:spacing w:after="0" w:line="4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common shares. Following the completion of this offering, we will have common shares outstanding (assuming no exercise of the underwriters’ over-allotment option) based on 9,227,250 common shares outstanding as of March 31, 2016 and 38,577,042 additional common shares issuable upon the conversion of all of our outstanding preferred shares into common shares, excluding 5,300,000 of our common shares issued to Credit Suisse AG, Zurich in the CS AG Share Issuance. This includes the common shares in this offering, which may be resold in the public market immediately upon the closing of this offering without restriction, unless purchased by our affiliates. Approximately % of the common shares outstanding are expected to be held by affiliates (or</w:t>
      </w:r>
    </w:p>
    <w:p>
      <w:pPr>
        <w:spacing w:after="0" w:line="3" w:lineRule="exact"/>
        <w:rPr>
          <w:sz w:val="20"/>
          <w:szCs w:val="20"/>
          <w:color w:val="auto"/>
        </w:rPr>
      </w:pPr>
    </w:p>
    <w:p>
      <w:pPr>
        <w:ind w:right="20" w:firstLine="188"/>
        <w:spacing w:after="0" w:line="267" w:lineRule="auto"/>
        <w:tabs>
          <w:tab w:leader="none" w:pos="37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existing investors, executives and directors purchase all the shares they have indicated an interest in purchasing in this offering). All of these common shares will be subject to the lock-up agreements described in the “Underwriting” section of this prospectus. If, after the end of such lock-up agreements, these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addition, following the completion of this offering, we intend to cease any new grants under our existing equity incentive plans and to adopt a new omnibus equity incentive plan under which we would have the discretion to grant a broad range of equity-based awards to eligible participants. We intend to register all common shares that we may issue under this equity compensation plan. Once we register these common shares, they can be freely sold in the public market upon issuance, subject to volume limitations applicable to affiliates and the lock-up agreements described in the “Underwriting” section of this prospectus.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initial public offering price of our common shares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To the extent outstanding options are exercised, you will incur further dilution. Based on the initial public offering price of</w:t>
      </w:r>
    </w:p>
    <w:p>
      <w:pPr>
        <w:ind w:left="680" w:hanging="672"/>
        <w:spacing w:after="0"/>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 common share, which is the midpoint of the price range set forth on the cover page of this prospectus, you will experience immediate dilution of</w:t>
      </w:r>
    </w:p>
    <w:p>
      <w:pPr>
        <w:spacing w:after="0" w:line="32"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CHF ($ ) per common share, representing the difference between our as adjusted net tangible book value per common share after giving effect to this offering and the initial public offering price. In addition, purchasers of common shares in this offering will have contributed approximately % of the aggregate price paid by all purchasers of our common shares but will own only approximately % of our common shares outstanding after this offering. See “Dilution.”</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jurisdictions.</w:t>
      </w:r>
    </w:p>
    <w:p>
      <w:pPr>
        <w:spacing w:after="0" w:line="10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 See “Description of Share Capital and Articles of Association” and “Comparison of Delaware Law and Swiss Law.”</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implementation of the authorized share capital increase may be blocked.</w:t>
      </w:r>
    </w:p>
    <w:p>
      <w:pPr>
        <w:spacing w:after="0" w:line="117"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This offering is based upon and subject to a resolution regarding the authorized share capital increase that was approved by the shareholders at the shareholders’ meeting held on October 21, 2015, which requires registration with the commercial register of the Canton of Vaud. On May 27, 2016, the commercial register of the Canton of Vaud approved an increase in our authorized share capital of 5,300,000 common shares, all of which were issued to Credit Suisse AG, Zurich. See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 Any registration of a capital increase over and above these 5,300,000 common shares in the commercial register of the Canton of Vaud may be blocked by a shareholder and, therefore, prevent or delay the completion of this offering.</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company law is contained in this prospectus, see “Description of Share Capital and Articles of Association” and “Comparison of Delaware Law and Swiss Law.” However, there can be no assurance that Swiss law will not change in the future or that it will serve to protect investors in a similar fashion afforded under corporate law principles in the U.S., which could adversely affect the rights of investors.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Upon</w:t>
      </w:r>
    </w:p>
    <w:p>
      <w:pPr>
        <w:spacing w:after="0" w:line="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completion of this offering, we expect the Company to have CHF of qualifying capital contributions and CHF of registered share capital on its audited statutory balance sheet. We expect the aggregate of these amounts (less the minimum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 will not be changed or that a change in Swiss law will not adversely affect us or our shareholders, in particular as a result of distributions out of qualifying capital contributions becoming subject to additional corporate law or other restrictions. There are currently motions pending in the Swiss Parliament that purport to limit the distribution of qualifying capital contributions. In addition, over the long term, the amount of par value available to us for nominal value reductions or qualifying capital contributions available to us to pay out as distributions is limited. If we are unable to make a distribution through a reduction in nominal value or out of qualifying capital contributions, we may not be able to make distributions without subjecting our shareholders to Swiss withholding taxes.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Under present Swiss tax laws, repurchases of shares for the purposes of cancellation are treated as a partial liquidation subject to 35% Swiss withholding tax on the difference between the repurchase price and the nominal value except, since January 1, 2011, to the extent attributable to qualifying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266"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279" w:lineRule="exact"/>
        <w:rPr>
          <w:sz w:val="20"/>
          <w:szCs w:val="20"/>
          <w:color w:val="auto"/>
        </w:rPr>
      </w:pPr>
    </w:p>
    <w:p>
      <w:pPr>
        <w:ind w:left="240" w:right="24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6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and “Comparison of Delaware Law and Swiss Law.”</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See “Taxation— Swiss Tax Considerations” for a summary of certain Swiss tax consequences regarding dividends distributed to holders of our common shares.</w:t>
      </w:r>
    </w:p>
    <w:p>
      <w:pPr>
        <w:spacing w:after="0" w:line="27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consummation of this offering, we will report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299"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will rely on certain home country governance practices rather than the corporate governance requirements of NASDAQ.</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be a foreign private issuer as of the effective date of this registration statement. As a result, in accordance with NASDAQ Listing Rule 5615(a)</w:t>
      </w:r>
    </w:p>
    <w:p>
      <w:pPr>
        <w:spacing w:after="0" w:line="4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(3), we will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were subject to NASDAQ Listing Rule 5605(b)(1). In addition, we will not be subject to NASDAQ Listing Rule 5605(b)(2), which requires that independent directors must regularly have scheduled meetings at which only independent directors are present.</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Although Swiss law also requires that we adopt a compensation committee, we will follow home country requirements with respect to such committee and our compensation, nomination and governance committee will also be tasked with certain director nomination and governance responsibilities as described under “Management—Committees of the Board of Directors.”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As a result of the above, you may not have the same protections afforded to shareholders of companies that are not foreign private issuers.</w:t>
      </w:r>
    </w:p>
    <w:p>
      <w:pPr>
        <w:spacing w:after="0" w:line="27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2016 (the end of our second fiscal quarter in the fiscal year after this offering), which would require us to comply with all of the periodic disclosure and current reporting requirements of the Exchange Act applicable to U.S. domestic issuers as of January 1, 2017.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89"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As an “emerging growth company” in our initial registration statement we are required to report only two years of financial results and selected financial data compared to three and five years, respectively, for comparable data reported by other public companies. We could be an “emerging growth company” for up to five years, although circumstances could cause us to lose that status earlier, including if the market value of our common shares held by non-affiliates exceeds $700 million as of any June 30 (the end of our second fiscal quarter) before that time,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281"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will incur additional costs and we may not manage to comply with our internal control procedures and corporate governance structures.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public company, we will incur additional legal, insurance, accounting and other expenses that we did not incur as a private company.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301" w:lineRule="exact"/>
        <w:rPr>
          <w:sz w:val="20"/>
          <w:szCs w:val="20"/>
          <w:color w:val="auto"/>
        </w:rPr>
      </w:pPr>
    </w:p>
    <w:p>
      <w:pPr>
        <w:ind w:left="240"/>
        <w:spacing w:after="0" w:line="279" w:lineRule="auto"/>
        <w:rPr>
          <w:sz w:val="20"/>
          <w:szCs w:val="20"/>
          <w:color w:val="auto"/>
        </w:rPr>
      </w:pPr>
      <w:r>
        <w:rPr>
          <w:rFonts w:ascii="Arial" w:cs="Arial" w:eastAsia="Arial" w:hAnsi="Arial"/>
          <w:sz w:val="17"/>
          <w:szCs w:val="17"/>
          <w:b w:val="1"/>
          <w:bCs w:val="1"/>
          <w:i w:val="1"/>
          <w:iCs w:val="1"/>
          <w:color w:val="auto"/>
        </w:rPr>
        <w:t>In connection with the audit of our financial statements as of and for the years ended December 31, 2014 and December 31, 2015, we and our independent registered public accounting firm identified a material weakness in our internal control over financial reporting. If we fail to maintain an effective system of internal control over financial reporting, we may be unable to accurately report our financial results or prevent fraud, and investor confidence in our company and the market price of our shares may be adversely affected.</w:t>
      </w:r>
    </w:p>
    <w:p>
      <w:pPr>
        <w:spacing w:after="0" w:line="6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over financial reporting. Further, our reporting obligations as a public company will continue to place a significant strain on our management, operational and financial resources and systems for the foreseeable future. In connection with our preparation and the audit of our financial statements as of and for the year ended December 31, 2014, we and our independent registered public accounting firm identified a material weakness as defined under the Exchange Act and by the U.S. Public Company Accounting Oversight Board, or PCAOB, in our internal control over financial reporting, and this material weakness was not remediated as of December 31, 2015. A material weakness is a deficiency, or a combination of deficiencies, in internal control over financial reporting, such that there is a reasonable possibility that a material</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misstatement of the company’s annual financial statements will not be prevented or detected on a timely basis. The material weakness identified relates specifically to the accounting for and disclosure of non-routine and complex accounting transactions and the related internal controls and processes supporting these areas. In light of the material weakness that was identified, we believe it is possible that, had we performed a formal assessment of our internal control over financial reporting or had our independent registered public accounting firm performed an audit of our internal control over financial reporting in accordance with PCAOB standards, additional control deficiencies may have been identified.</w:t>
      </w:r>
    </w:p>
    <w:p>
      <w:pPr>
        <w:spacing w:after="0" w:line="17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Once public, we will be subject to reporting obligations under U.S. securities laws and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2017. If we fail to remediate the material weakness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begun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301"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If in the future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As discussed above, in connection with the audits of our financial statements as and at the year ended December 31, 2014, we identified a material weakness in our internal control over financial reporting, which was not fully remediated as of December 31, 2015.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will be required to disclose changes made in our internal controls and procedures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common shares would likely be negatively affected. In the event securities or industry analysts initiate coverage,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73" w:lineRule="exact"/>
        <w:rPr>
          <w:sz w:val="20"/>
          <w:szCs w:val="20"/>
          <w:color w:val="auto"/>
        </w:rPr>
      </w:pPr>
    </w:p>
    <w:p>
      <w:pPr>
        <w:ind w:left="240" w:right="16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2015 and we do not expect to be a PFIC in the immediately foreseeable future, if we were a PFIC U.S. shareholders may be subject to adverse U.S. federal income tax consequences.</w:t>
      </w:r>
    </w:p>
    <w:p>
      <w:pPr>
        <w:spacing w:after="0" w:line="7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6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right="20" w:firstLine="8"/>
        <w:spacing w:after="0" w:line="261" w:lineRule="auto"/>
        <w:tabs>
          <w:tab w:leader="none" w:pos="3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see “Taxation—Material U.S. Federal Income Tax Considerations for U.S. 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121" w:lineRule="exact"/>
        <w:rPr>
          <w:sz w:val="20"/>
          <w:szCs w:val="20"/>
          <w:color w:val="auto"/>
        </w:rPr>
      </w:pPr>
    </w:p>
    <w:p>
      <w:pPr>
        <w:ind w:left="900" w:right="24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Morphomer and SupraAntigen proprietary technology platforms and their success in building additional product candidates for our pipeline;</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169"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0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that they contain has been obtained from sources believed to be reliable, although they do not guarantee the accuracy or completeness of such information. While we believe that each of these publications, third-party studies and our internal research is reliable and that the definition of our market and industry is appropriate, you are cautioned not to give undue weight to this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Table of Contents</w:t>
              </w:r>
            </w:hyperlink>
          </w:p>
        </w:tc>
        <w:tc>
          <w:tcPr>
            <w:tcW w:w="27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400" w:type="dxa"/>
            <w:vAlign w:val="bottom"/>
          </w:tcPr>
          <w:p>
            <w:pPr>
              <w:ind w:left="620"/>
              <w:spacing w:after="0"/>
              <w:rPr>
                <w:sz w:val="20"/>
                <w:szCs w:val="20"/>
                <w:color w:val="auto"/>
              </w:rPr>
            </w:pPr>
            <w:r>
              <w:rPr>
                <w:rFonts w:ascii="Arial" w:cs="Arial" w:eastAsia="Arial" w:hAnsi="Arial"/>
                <w:sz w:val="18"/>
                <w:szCs w:val="18"/>
                <w:b w:val="1"/>
                <w:bCs w:val="1"/>
                <w:color w:val="auto"/>
              </w:rPr>
              <w:t>USE OF PROCEEDS</w:t>
            </w:r>
          </w:p>
        </w:tc>
        <w:tc>
          <w:tcPr>
            <w:tcW w:w="2740" w:type="dxa"/>
            <w:vAlign w:val="bottom"/>
          </w:tcPr>
          <w:p>
            <w:pPr>
              <w:spacing w:after="0"/>
              <w:rPr>
                <w:sz w:val="24"/>
                <w:szCs w:val="24"/>
                <w:color w:val="auto"/>
              </w:rPr>
            </w:pPr>
          </w:p>
        </w:tc>
      </w:tr>
      <w:tr>
        <w:trPr>
          <w:trHeight w:val="418"/>
        </w:trPr>
        <w:tc>
          <w:tcPr>
            <w:tcW w:w="4260" w:type="dxa"/>
            <w:vAlign w:val="bottom"/>
            <w:gridSpan w:val="3"/>
          </w:tcPr>
          <w:p>
            <w:pPr>
              <w:ind w:left="460"/>
              <w:spacing w:after="0"/>
              <w:rPr>
                <w:sz w:val="20"/>
                <w:szCs w:val="20"/>
                <w:color w:val="auto"/>
              </w:rPr>
            </w:pPr>
            <w:r>
              <w:rPr>
                <w:rFonts w:ascii="Arial" w:cs="Arial" w:eastAsia="Arial" w:hAnsi="Arial"/>
                <w:sz w:val="18"/>
                <w:szCs w:val="18"/>
                <w:color w:val="auto"/>
                <w:w w:val="93"/>
              </w:rPr>
              <w:t>We estimate that the net proceeds from the sale of</w:t>
            </w:r>
          </w:p>
        </w:tc>
        <w:tc>
          <w:tcPr>
            <w:tcW w:w="4400" w:type="dxa"/>
            <w:vAlign w:val="bottom"/>
          </w:tcPr>
          <w:p>
            <w:pPr>
              <w:ind w:left="200"/>
              <w:spacing w:after="0"/>
              <w:rPr>
                <w:sz w:val="20"/>
                <w:szCs w:val="20"/>
                <w:color w:val="auto"/>
              </w:rPr>
            </w:pPr>
            <w:r>
              <w:rPr>
                <w:rFonts w:ascii="Arial" w:cs="Arial" w:eastAsia="Arial" w:hAnsi="Arial"/>
                <w:sz w:val="18"/>
                <w:szCs w:val="18"/>
                <w:color w:val="auto"/>
                <w:w w:val="96"/>
              </w:rPr>
              <w:t>common shares in this offering will be approximately $</w:t>
            </w:r>
          </w:p>
        </w:tc>
        <w:tc>
          <w:tcPr>
            <w:tcW w:w="2740" w:type="dxa"/>
            <w:vAlign w:val="bottom"/>
          </w:tcPr>
          <w:p>
            <w:pPr>
              <w:ind w:left="200"/>
              <w:spacing w:after="0"/>
              <w:rPr>
                <w:sz w:val="20"/>
                <w:szCs w:val="20"/>
                <w:color w:val="auto"/>
              </w:rPr>
            </w:pPr>
            <w:r>
              <w:rPr>
                <w:rFonts w:ascii="Arial" w:cs="Arial" w:eastAsia="Arial" w:hAnsi="Arial"/>
                <w:sz w:val="18"/>
                <w:szCs w:val="18"/>
                <w:color w:val="auto"/>
                <w:w w:val="92"/>
              </w:rPr>
              <w:t>million at an assumed initial public</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offering price of $</w:t>
            </w:r>
          </w:p>
        </w:tc>
        <w:tc>
          <w:tcPr>
            <w:tcW w:w="9860" w:type="dxa"/>
            <w:vAlign w:val="bottom"/>
            <w:gridSpan w:val="3"/>
          </w:tcPr>
          <w:p>
            <w:pPr>
              <w:ind w:left="180"/>
              <w:spacing w:after="0"/>
              <w:rPr>
                <w:sz w:val="20"/>
                <w:szCs w:val="20"/>
                <w:color w:val="auto"/>
              </w:rPr>
            </w:pPr>
            <w:r>
              <w:rPr>
                <w:rFonts w:ascii="Arial" w:cs="Arial" w:eastAsia="Arial" w:hAnsi="Arial"/>
                <w:sz w:val="18"/>
                <w:szCs w:val="18"/>
                <w:color w:val="auto"/>
                <w:w w:val="93"/>
              </w:rPr>
              <w:t>per share (which is the midpoint of the price range set forth on the cover page of this prospectus), after deducting the underwriting</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discount and estimated offering expenses payable by us. If the underwriters exercise their over-allotment option in full, we estimate that the net proceeds will</w:t>
      </w:r>
    </w:p>
    <w:p>
      <w:pPr>
        <w:spacing w:after="0" w:line="3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 approximately $ million, after deducting the underwriting discount and estimated offering expenses payable by us. In addition, we received gross proceeds of approximately $13.5 million from the Series E Private Placement Extension.</w:t>
      </w:r>
    </w:p>
    <w:p>
      <w:pPr>
        <w:spacing w:after="0" w:line="170" w:lineRule="exact"/>
        <w:rPr>
          <w:sz w:val="20"/>
          <w:szCs w:val="20"/>
          <w:color w:val="auto"/>
        </w:rPr>
      </w:pPr>
    </w:p>
    <w:p>
      <w:pPr>
        <w:ind w:left="460"/>
        <w:spacing w:after="0"/>
        <w:tabs>
          <w:tab w:leader="none" w:pos="650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5"/>
          <w:szCs w:val="15"/>
          <w:color w:val="auto"/>
        </w:rPr>
        <w:t>per share would increase (decrease) our net proceeds by</w:t>
      </w:r>
    </w:p>
    <w:p>
      <w:pPr>
        <w:spacing w:after="0" w:line="23" w:lineRule="exact"/>
        <w:rPr>
          <w:sz w:val="20"/>
          <w:szCs w:val="20"/>
          <w:color w:val="auto"/>
        </w:rPr>
      </w:pPr>
    </w:p>
    <w:p>
      <w:pPr>
        <w:ind w:right="300" w:firstLine="8"/>
        <w:spacing w:after="0" w:line="281" w:lineRule="auto"/>
        <w:tabs>
          <w:tab w:leader="none" w:pos="4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as set forth on the cover of this prospectus, remains the same and after deducting the underwriting discount and estimated offering expenses payable by us. We may also increase or decrease the number of shares we are offering. An increase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(decrease) of 1,000,000 in the number of shares we are offering would increase (decrease) the net proceeds to us from this offering, after deducting the</w:t>
      </w:r>
    </w:p>
    <w:p>
      <w:pPr>
        <w:spacing w:after="0" w:line="2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underwriting discount and estimated offering expenses payable by us, by approximately $ million, assuming the assumed initial public offering price stays the same.</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undertaking this offering in order to access the public capital markets and to increase our liquidity. At March 31, 2016, after giving effect to the Series E Private Placement Extension, we would have had cash and cash equivalents of CHF 80.7 million. We intend to use the net proceeds of this offering</w:t>
      </w:r>
    </w:p>
    <w:p>
      <w:pPr>
        <w:ind w:right="80"/>
        <w:spacing w:after="0" w:line="261" w:lineRule="auto"/>
        <w:rPr>
          <w:sz w:val="20"/>
          <w:szCs w:val="20"/>
          <w:color w:val="auto"/>
        </w:rPr>
      </w:pPr>
      <w:r>
        <w:rPr>
          <w:rFonts w:ascii="Arial" w:cs="Arial" w:eastAsia="Arial" w:hAnsi="Arial"/>
          <w:sz w:val="18"/>
          <w:szCs w:val="18"/>
          <w:color w:val="auto"/>
        </w:rPr>
        <w:t>over the next years, together with our existing cash and cash equivalents (including the net proceeds from the Series E Private Placement Extension), as follows:</w:t>
      </w:r>
    </w:p>
    <w:p>
      <w:pPr>
        <w:spacing w:after="0" w:line="89"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our share of the costs for the further development of our therapeutic and diagnostics product candidates</w:t>
      </w:r>
    </w:p>
    <w:p>
      <w:pPr>
        <w:sectPr>
          <w:pgSz w:w="11900" w:h="16838" w:orient="portrait"/>
          <w:cols w:equalWidth="0" w:num="1">
            <w:col w:w="11420"/>
          </w:cols>
          <w:pgMar w:left="240" w:top="446" w:right="239" w:bottom="1440" w:gutter="0" w:footer="0" w:header="0"/>
        </w:sectPr>
      </w:pPr>
    </w:p>
    <w:p>
      <w:pPr>
        <w:spacing w:after="0" w:line="23" w:lineRule="exact"/>
        <w:rPr>
          <w:sz w:val="20"/>
          <w:szCs w:val="20"/>
          <w:color w:val="auto"/>
        </w:rPr>
      </w:pPr>
    </w:p>
    <w:p>
      <w:pPr>
        <w:ind w:left="900" w:right="20"/>
        <w:spacing w:after="0" w:line="277" w:lineRule="auto"/>
        <w:rPr>
          <w:sz w:val="20"/>
          <w:szCs w:val="20"/>
          <w:color w:val="auto"/>
        </w:rPr>
      </w:pPr>
      <w:r>
        <w:rPr>
          <w:rFonts w:ascii="Arial" w:cs="Arial" w:eastAsia="Arial" w:hAnsi="Arial"/>
          <w:sz w:val="17"/>
          <w:szCs w:val="17"/>
          <w:color w:val="auto"/>
        </w:rPr>
        <w:t>under collaboration agreements (anti-tau antibodies and the tau PET tracers) over the next three years, of which approximately $ million will be spent on therapeutic product candidates and of which approximately $ million will be spent on diagnostic product candidates, and we expect these expenditures will take the tau PET tracers into Phase 3 and the anti-tau antibody program into Phase 2;</w:t>
      </w:r>
    </w:p>
    <w:p>
      <w:pPr>
        <w:sectPr>
          <w:pgSz w:w="11900" w:h="16838" w:orient="portrait"/>
          <w:cols w:equalWidth="0" w:num="1">
            <w:col w:w="11420"/>
          </w:cols>
          <w:pgMar w:left="240" w:top="446" w:right="239" w:bottom="1440" w:gutter="0" w:footer="0" w:header="0"/>
          <w:type w:val="continuous"/>
        </w:sectPr>
      </w:pPr>
    </w:p>
    <w:p>
      <w:pPr>
        <w:spacing w:after="0" w:line="79" w:lineRule="exact"/>
        <w:rPr>
          <w:sz w:val="20"/>
          <w:szCs w:val="20"/>
          <w:color w:val="auto"/>
        </w:rPr>
      </w:pPr>
    </w:p>
    <w:p>
      <w:pPr>
        <w:ind w:left="900" w:right="46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 million to fund our share of the costs for the further development of ACI-35, our tau vaccine under collaboration with Janssen, and we expect these expenditures will take ACI-35 into Phase 2;</w:t>
      </w:r>
    </w:p>
    <w:p>
      <w:pPr>
        <w:spacing w:after="0" w:line="75" w:lineRule="exact"/>
        <w:rPr>
          <w:rFonts w:ascii="Arial" w:cs="Arial" w:eastAsia="Arial" w:hAnsi="Arial"/>
          <w:sz w:val="18"/>
          <w:szCs w:val="18"/>
          <w:color w:val="auto"/>
        </w:rPr>
      </w:pPr>
    </w:p>
    <w:p>
      <w:pPr>
        <w:ind w:left="900" w:right="420" w:hanging="325"/>
        <w:spacing w:after="0" w:line="308"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approximately $ million for the further development of ACI-24 for AD through the remainder of the Phase 1/2a study and the Phase 2b study and for our ongoing Phase 1 study and a portion of the proposed Phase 2 study of ACI-24 for Down syndrome;</w:t>
      </w:r>
    </w:p>
    <w:p>
      <w:pPr>
        <w:spacing w:after="0" w:line="51" w:lineRule="exact"/>
        <w:rPr>
          <w:rFonts w:ascii="Arial" w:cs="Arial" w:eastAsia="Arial" w:hAnsi="Arial"/>
          <w:sz w:val="17"/>
          <w:szCs w:val="17"/>
          <w:color w:val="auto"/>
        </w:rPr>
      </w:pPr>
    </w:p>
    <w:p>
      <w:pPr>
        <w:ind w:left="900" w:hanging="325"/>
        <w:spacing w:after="0" w:line="286"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approximately $ million for funding our PD-focused programs, including further pre-clinical development, the completion of Phase 1 studies and commencement of Phase 2 studies for our alpha-synuclein diagnostic product candidate as well as further pre-clinical development and the commencement of a Phase 1 clinical study of Morphomer alpha-synuclein, our alpha-synuclein morphomer product candidate;</w:t>
      </w:r>
    </w:p>
    <w:p>
      <w:pPr>
        <w:spacing w:after="0" w:line="70"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 million for the further development of non-AD and non-PD programs, including our morphomer tau and glaucoma program for which we intend to commence a Phase 1 study;</w:t>
      </w:r>
    </w:p>
    <w:p>
      <w:pPr>
        <w:spacing w:after="0" w:line="75"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 million for new research and development initiatives that are complementary to our existing and planned research initiatives (with the intent to advance these new initiatives through the discovery phase);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46"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this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this offering, and investors will be relying on our judgment regarding the application of the net proceeds. In addition, we might decide to postpone or not pursue certain preclinical activities or clinical studies if the net proceeds from this offering and our other sources of cash are less than expected.</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this offering.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incorporation.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required by Swiss law and its articles of association have been deducted. Distributable reserves are generally booked either as “free reserves”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value of a corporation’s issued shares, may be made only by way of a share capital reduction. See “Description of Share Capital and Articles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cash equivalents and our total capitalization (defined as the sum of total debt and shareholders’ equity)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derived from our unaudited interim financial statements prepared in accordance with IFRS:</w:t>
      </w:r>
    </w:p>
    <w:p>
      <w:pPr>
        <w:spacing w:after="0" w:line="11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conversion of all shares of our preferred stock outstanding as of March 31, 2016 into an aggregate of 37,175,250 common shares;</w:t>
      </w:r>
    </w:p>
    <w:p>
      <w:pPr>
        <w:spacing w:after="0" w:line="140" w:lineRule="exact"/>
        <w:rPr>
          <w:rFonts w:ascii="Arial" w:cs="Arial" w:eastAsia="Arial" w:hAnsi="Arial"/>
          <w:sz w:val="16"/>
          <w:szCs w:val="16"/>
          <w:color w:val="auto"/>
        </w:rPr>
      </w:pPr>
    </w:p>
    <w:p>
      <w:pPr>
        <w:ind w:left="1500" w:right="300" w:hanging="8"/>
        <w:spacing w:after="0" w:line="277" w:lineRule="auto"/>
        <w:tabs>
          <w:tab w:leader="none" w:pos="1765" w:val="left"/>
        </w:tabs>
        <w:numPr>
          <w:ilvl w:val="1"/>
          <w:numId w:val="45"/>
        </w:numPr>
        <w:rPr>
          <w:rFonts w:ascii="Arial" w:cs="Arial" w:eastAsia="Arial" w:hAnsi="Arial"/>
          <w:sz w:val="18"/>
          <w:szCs w:val="18"/>
          <w:color w:val="auto"/>
        </w:rPr>
      </w:pPr>
      <w:r>
        <w:rPr>
          <w:rFonts w:ascii="Arial" w:cs="Arial" w:eastAsia="Arial" w:hAnsi="Arial"/>
          <w:sz w:val="18"/>
          <w:szCs w:val="18"/>
          <w:color w:val="auto"/>
        </w:rPr>
        <w:t>our issuance and sale of preferred shares in the Series E Private Placement Extension and the conversion of all such shares into an aggregate of 1,401,792 common shares; and</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incorporation; and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7980" w:type="dxa"/>
            <w:vAlign w:val="bottom"/>
            <w:gridSpan w:val="3"/>
          </w:tcPr>
          <w:p>
            <w:pPr>
              <w:ind w:left="220"/>
              <w:spacing w:after="0"/>
              <w:rPr>
                <w:sz w:val="20"/>
                <w:szCs w:val="20"/>
                <w:color w:val="auto"/>
              </w:rPr>
            </w:pPr>
            <w:r>
              <w:rPr>
                <w:rFonts w:ascii="Arial" w:cs="Arial" w:eastAsia="Arial" w:hAnsi="Arial"/>
                <w:sz w:val="18"/>
                <w:szCs w:val="18"/>
                <w:color w:val="auto"/>
                <w:w w:val="92"/>
              </w:rPr>
              <w:t>on an as further adjusted basis to further reflect the receipt of the estimated net proceeds from the sale of</w:t>
            </w:r>
          </w:p>
        </w:tc>
        <w:tc>
          <w:tcPr>
            <w:tcW w:w="2760" w:type="dxa"/>
            <w:vAlign w:val="bottom"/>
            <w:gridSpan w:val="8"/>
          </w:tcPr>
          <w:p>
            <w:pPr>
              <w:ind w:left="400"/>
              <w:spacing w:after="0"/>
              <w:rPr>
                <w:sz w:val="20"/>
                <w:szCs w:val="20"/>
                <w:color w:val="auto"/>
              </w:rPr>
            </w:pPr>
            <w:r>
              <w:rPr>
                <w:rFonts w:ascii="Arial" w:cs="Arial" w:eastAsia="Arial" w:hAnsi="Arial"/>
                <w:sz w:val="18"/>
                <w:szCs w:val="18"/>
                <w:color w:val="auto"/>
                <w:w w:val="95"/>
              </w:rPr>
              <w:t>common shares in this offering</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740" w:type="dxa"/>
            <w:vAlign w:val="bottom"/>
            <w:gridSpan w:val="2"/>
          </w:tcPr>
          <w:p>
            <w:pPr>
              <w:ind w:left="220"/>
              <w:spacing w:after="0"/>
              <w:rPr>
                <w:sz w:val="20"/>
                <w:szCs w:val="20"/>
                <w:color w:val="auto"/>
              </w:rPr>
            </w:pPr>
            <w:r>
              <w:rPr>
                <w:rFonts w:ascii="Arial" w:cs="Arial" w:eastAsia="Arial" w:hAnsi="Arial"/>
                <w:sz w:val="18"/>
                <w:szCs w:val="18"/>
                <w:color w:val="auto"/>
                <w:w w:val="97"/>
              </w:rPr>
              <w:t>at an assumed initial public offering price of $</w:t>
            </w:r>
          </w:p>
        </w:tc>
        <w:tc>
          <w:tcPr>
            <w:tcW w:w="7000" w:type="dxa"/>
            <w:vAlign w:val="bottom"/>
            <w:gridSpan w:val="9"/>
          </w:tcPr>
          <w:p>
            <w:pPr>
              <w:ind w:left="220"/>
              <w:spacing w:after="0"/>
              <w:rPr>
                <w:sz w:val="20"/>
                <w:szCs w:val="20"/>
                <w:color w:val="auto"/>
              </w:rPr>
            </w:pPr>
            <w:r>
              <w:rPr>
                <w:rFonts w:ascii="Arial" w:cs="Arial" w:eastAsia="Arial" w:hAnsi="Arial"/>
                <w:sz w:val="18"/>
                <w:szCs w:val="18"/>
                <w:color w:val="auto"/>
                <w:w w:val="92"/>
              </w:rPr>
              <w:t>per share (which is the midpoint of the range set forth on the cover page of this prospectus),</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980" w:type="dxa"/>
            <w:vAlign w:val="bottom"/>
            <w:gridSpan w:val="3"/>
          </w:tcPr>
          <w:p>
            <w:pPr>
              <w:ind w:left="220"/>
              <w:spacing w:after="0"/>
              <w:rPr>
                <w:sz w:val="20"/>
                <w:szCs w:val="20"/>
                <w:color w:val="auto"/>
              </w:rPr>
            </w:pPr>
            <w:r>
              <w:rPr>
                <w:rFonts w:ascii="Arial" w:cs="Arial" w:eastAsia="Arial" w:hAnsi="Arial"/>
                <w:sz w:val="18"/>
                <w:szCs w:val="18"/>
                <w:color w:val="auto"/>
              </w:rPr>
              <w:t>after deducting the underwriting discount and estimated expenses payable by us.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420" w:type="dxa"/>
            <w:vAlign w:val="bottom"/>
            <w:gridSpan w:val="12"/>
          </w:tcPr>
          <w:p>
            <w:pPr>
              <w:ind w:left="460"/>
              <w:spacing w:after="0"/>
              <w:rPr>
                <w:sz w:val="20"/>
                <w:szCs w:val="20"/>
                <w:color w:val="auto"/>
              </w:rPr>
            </w:pPr>
            <w:r>
              <w:rPr>
                <w:rFonts w:ascii="Arial" w:cs="Arial" w:eastAsia="Arial" w:hAnsi="Arial"/>
                <w:sz w:val="18"/>
                <w:szCs w:val="18"/>
                <w:color w:val="auto"/>
                <w:w w:val="94"/>
              </w:rPr>
              <w:t>You should read this table in conjunction with our audited financial statements included in this prospectus as well as “Use of Proceeds,” “Selected</w:t>
            </w:r>
          </w:p>
        </w:tc>
        <w:tc>
          <w:tcPr>
            <w:tcW w:w="0" w:type="dxa"/>
            <w:vAlign w:val="bottom"/>
          </w:tcPr>
          <w:p>
            <w:pPr>
              <w:spacing w:after="0"/>
              <w:rPr>
                <w:sz w:val="1"/>
                <w:szCs w:val="1"/>
                <w:color w:val="auto"/>
              </w:rPr>
            </w:pPr>
          </w:p>
        </w:tc>
      </w:tr>
      <w:tr>
        <w:trPr>
          <w:trHeight w:val="216"/>
        </w:trPr>
        <w:tc>
          <w:tcPr>
            <w:tcW w:w="10660" w:type="dxa"/>
            <w:vAlign w:val="bottom"/>
            <w:gridSpan w:val="11"/>
          </w:tcPr>
          <w:p>
            <w:pPr>
              <w:spacing w:after="0"/>
              <w:rPr>
                <w:sz w:val="20"/>
                <w:szCs w:val="20"/>
                <w:color w:val="auto"/>
              </w:rPr>
            </w:pPr>
            <w:r>
              <w:rPr>
                <w:rFonts w:ascii="Arial" w:cs="Arial" w:eastAsia="Arial" w:hAnsi="Arial"/>
                <w:sz w:val="18"/>
                <w:szCs w:val="18"/>
                <w:color w:val="auto"/>
                <w:w w:val="92"/>
              </w:rPr>
              <w:t>Financial and Other Information” and “Management’s Discussion and Analysis of Financial Condition and Results of Operations” and our financial</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statements included elsewhere in this prospectus.</w:t>
            </w:r>
          </w:p>
        </w:tc>
        <w:tc>
          <w:tcPr>
            <w:tcW w:w="4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5"/>
          </w:tcPr>
          <w:p>
            <w:pPr>
              <w:jc w:val="center"/>
              <w:ind w:right="631"/>
              <w:spacing w:after="0"/>
              <w:rPr>
                <w:sz w:val="20"/>
                <w:szCs w:val="20"/>
                <w:color w:val="auto"/>
              </w:rPr>
            </w:pPr>
            <w:r>
              <w:rPr>
                <w:rFonts w:ascii="Arial" w:cs="Arial" w:eastAsia="Arial" w:hAnsi="Arial"/>
                <w:sz w:val="14"/>
                <w:szCs w:val="14"/>
                <w:b w:val="1"/>
                <w:bCs w:val="1"/>
                <w:color w:val="auto"/>
                <w:w w:val="93"/>
              </w:rPr>
              <w:t>As of March 31, 2016</w:t>
            </w:r>
          </w:p>
        </w:tc>
        <w:tc>
          <w:tcPr>
            <w:tcW w:w="0" w:type="dxa"/>
            <w:vAlign w:val="bottom"/>
          </w:tcPr>
          <w:p>
            <w:pPr>
              <w:spacing w:after="0"/>
              <w:rPr>
                <w:sz w:val="1"/>
                <w:szCs w:val="1"/>
                <w:color w:val="auto"/>
              </w:rPr>
            </w:pPr>
          </w:p>
        </w:tc>
      </w:tr>
      <w:tr>
        <w:trPr>
          <w:trHeight w:val="119"/>
        </w:trPr>
        <w:tc>
          <w:tcPr>
            <w:tcW w:w="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0"/>
                <w:szCs w:val="10"/>
                <w:color w:val="auto"/>
              </w:rPr>
            </w:pPr>
          </w:p>
        </w:tc>
        <w:tc>
          <w:tcPr>
            <w:tcW w:w="102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As</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Further</w:t>
            </w: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3"/>
              </w:rPr>
              <w:t>Adjusted</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Adjusted(1)</w:t>
            </w: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(in CHF thousands)</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Cash and cash equivalents</w:t>
            </w:r>
          </w:p>
        </w:tc>
        <w:tc>
          <w:tcPr>
            <w:tcW w:w="23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67,860</w:t>
            </w:r>
          </w:p>
        </w:tc>
        <w:tc>
          <w:tcPr>
            <w:tcW w:w="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80,662</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2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2"/>
            <w:vMerge w:val="continue"/>
          </w:tcPr>
          <w:p>
            <w:pPr>
              <w:spacing w:after="0"/>
              <w:rPr>
                <w:sz w:val="18"/>
                <w:szCs w:val="18"/>
                <w:color w:val="auto"/>
              </w:rPr>
            </w:pPr>
          </w:p>
        </w:tc>
        <w:tc>
          <w:tcPr>
            <w:tcW w:w="23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6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shares nominal value CHF 0.02 per share, 9,227,250 shares issued and outstanding, actual;</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w w:val="91"/>
              </w:rPr>
              <w:t>69,151,792 shares authorized, 47,804,292 shares issued and outstanding, as adjusted; and 69,151,792 shares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authorized,</w:t>
            </w:r>
          </w:p>
        </w:tc>
        <w:tc>
          <w:tcPr>
            <w:tcW w:w="6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 issued and outstanding, as further adjusted</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4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956</w:t>
            </w: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6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98"/>
              </w:rPr>
              <w:t>Preferred shares nominal value CHF 0.02 per share, 37,175,250 authorized preferred shares, 37,175,250</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gridSpan w:val="4"/>
          </w:tcPr>
          <w:p>
            <w:pPr>
              <w:ind w:left="540"/>
              <w:spacing w:after="0"/>
              <w:rPr>
                <w:sz w:val="20"/>
                <w:szCs w:val="20"/>
                <w:color w:val="auto"/>
              </w:rPr>
            </w:pPr>
            <w:r>
              <w:rPr>
                <w:rFonts w:ascii="Arial" w:cs="Arial" w:eastAsia="Arial" w:hAnsi="Arial"/>
                <w:sz w:val="18"/>
                <w:szCs w:val="18"/>
                <w:color w:val="auto"/>
                <w:w w:val="90"/>
              </w:rPr>
              <w:t>preferred shares issued and outstanding, actual; no shares authorized or issued and outstanding, as adjusted or</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ind w:left="540"/>
              <w:spacing w:after="0"/>
              <w:rPr>
                <w:sz w:val="20"/>
                <w:szCs w:val="20"/>
                <w:color w:val="auto"/>
              </w:rPr>
            </w:pPr>
            <w:r>
              <w:rPr>
                <w:rFonts w:ascii="Arial" w:cs="Arial" w:eastAsia="Arial" w:hAnsi="Arial"/>
                <w:sz w:val="18"/>
                <w:szCs w:val="18"/>
                <w:color w:val="auto"/>
              </w:rPr>
              <w:t>as further adjusted</w:t>
            </w:r>
          </w:p>
        </w:tc>
        <w:tc>
          <w:tcPr>
            <w:tcW w:w="23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236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110,453</w:t>
            </w:r>
          </w:p>
        </w:tc>
        <w:tc>
          <w:tcPr>
            <w:tcW w:w="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123,227</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gridSpan w:val="2"/>
          </w:tcPr>
          <w:p>
            <w:pPr>
              <w:ind w:left="360"/>
              <w:spacing w:after="0"/>
              <w:rPr>
                <w:sz w:val="20"/>
                <w:szCs w:val="20"/>
                <w:color w:val="auto"/>
              </w:rPr>
            </w:pPr>
            <w:r>
              <w:rPr>
                <w:rFonts w:ascii="Arial" w:cs="Arial" w:eastAsia="Arial" w:hAnsi="Arial"/>
                <w:sz w:val="18"/>
                <w:szCs w:val="18"/>
                <w:color w:val="auto"/>
                <w:w w:val="99"/>
              </w:rPr>
              <w:t>Accumulated (deficit)</w:t>
            </w:r>
          </w:p>
        </w:tc>
        <w:tc>
          <w:tcPr>
            <w:tcW w:w="23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(46,702)</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(46,702)</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42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77,481</w:t>
            </w:r>
          </w:p>
        </w:tc>
        <w:tc>
          <w:tcPr>
            <w:tcW w:w="32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3740" w:type="dxa"/>
            <w:vAlign w:val="bottom"/>
            <w:gridSpan w:val="2"/>
          </w:tcPr>
          <w:p>
            <w:pPr>
              <w:ind w:left="400"/>
              <w:spacing w:after="0"/>
              <w:rPr>
                <w:sz w:val="20"/>
                <w:szCs w:val="20"/>
                <w:color w:val="auto"/>
              </w:rPr>
            </w:pPr>
            <w:r>
              <w:rPr>
                <w:rFonts w:ascii="Arial" w:cs="Arial" w:eastAsia="Arial" w:hAnsi="Arial"/>
                <w:sz w:val="18"/>
                <w:szCs w:val="18"/>
                <w:color w:val="auto"/>
              </w:rPr>
              <w:t>Total capitalization</w:t>
            </w:r>
          </w:p>
        </w:tc>
        <w:tc>
          <w:tcPr>
            <w:tcW w:w="4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77,481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9"/>
        <w:spacing w:after="0" w:line="291" w:lineRule="auto"/>
        <w:tabs>
          <w:tab w:leader="none" w:pos="440" w:val="left"/>
        </w:tabs>
        <w:rPr>
          <w:sz w:val="20"/>
          <w:szCs w:val="20"/>
          <w:color w:val="auto"/>
        </w:rPr>
      </w:pPr>
      <w:r>
        <w:rPr>
          <w:rFonts w:ascii="Arial" w:cs="Arial" w:eastAsia="Arial" w:hAnsi="Arial"/>
          <w:sz w:val="16"/>
          <w:szCs w:val="16"/>
          <w:color w:val="auto"/>
        </w:rPr>
        <w:t>(1)</w:t>
        <w:tab/>
        <w:t>A $1.00 increase (decrease) in the assumed initial public offering price of $ per share would increase (decrease) each of as further adjusted cash and cash equivalents, additional paid-in capital, total capitalization and shareholders’ equity by $ million, assuming that the number of shares</w:t>
      </w:r>
    </w:p>
    <w:p>
      <w:pPr>
        <w:ind w:left="460" w:right="20"/>
        <w:spacing w:after="0" w:line="281" w:lineRule="auto"/>
        <w:rPr>
          <w:sz w:val="20"/>
          <w:szCs w:val="20"/>
          <w:color w:val="auto"/>
        </w:rPr>
      </w:pPr>
      <w:r>
        <w:rPr>
          <w:rFonts w:ascii="Arial" w:cs="Arial" w:eastAsia="Arial" w:hAnsi="Arial"/>
          <w:sz w:val="16"/>
          <w:szCs w:val="16"/>
          <w:color w:val="auto"/>
        </w:rPr>
        <w:t>offered by us, as set forth on the cover page of this prospectus, remains the same, and after deducting the underwriting discount and estimated offering expenses payable by us. We may also increase or decrease the number of shares we are offering. Each increase (decrease) of 1,000,000 in the number of shares offered by us would increase (decrease) as further adjusted cash and cash equivalents, additional paid-in capital, total shareholders’ equity and</w:t>
      </w:r>
    </w:p>
    <w:p>
      <w:pPr>
        <w:spacing w:after="0" w:line="2" w:lineRule="exact"/>
        <w:rPr>
          <w:sz w:val="20"/>
          <w:szCs w:val="20"/>
          <w:color w:val="auto"/>
        </w:rPr>
      </w:pPr>
    </w:p>
    <w:p>
      <w:pPr>
        <w:ind w:left="460" w:right="280"/>
        <w:spacing w:after="0" w:line="261" w:lineRule="auto"/>
        <w:rPr>
          <w:sz w:val="20"/>
          <w:szCs w:val="20"/>
          <w:color w:val="auto"/>
        </w:rPr>
      </w:pPr>
      <w:r>
        <w:rPr>
          <w:rFonts w:ascii="Arial" w:cs="Arial" w:eastAsia="Arial" w:hAnsi="Arial"/>
          <w:sz w:val="18"/>
          <w:szCs w:val="18"/>
          <w:color w:val="auto"/>
        </w:rPr>
        <w:t>capitalization by $ million, assuming an initial public offering price of $ per share, after deducting the underwriting discount and estimated offering expenses payable by 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in the table above excludes:</w:t>
      </w:r>
    </w:p>
    <w:p>
      <w:pPr>
        <w:spacing w:after="0" w:line="131" w:lineRule="exact"/>
        <w:rPr>
          <w:sz w:val="20"/>
          <w:szCs w:val="20"/>
          <w:color w:val="auto"/>
        </w:rPr>
      </w:pPr>
    </w:p>
    <w:p>
      <w:pPr>
        <w:ind w:left="900" w:right="10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3,406,625 of our common shares issuable upon the exercise of vested and unvested options outstanding under our existing equity incentive plans as of March 31, 2016 at an exercise price of CHF 0.14548 per common share; and</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in the CS AG Share Issuance, as described under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you invest in our common shares, your interest will be diluted to the extent of the difference between the initial public offering price per share and the as adjusted net tangible book value per share of our common shares immediately after this offering and our preferred shares that will convert into our common shares on a one-for-one basis upon the completion of this offering.</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Net tangible book value is determined by dividing our total tangible assets less our total liabilities by the number of our common shares outstanding. Our historical net tangible book value as of March 31, 2016 was CHF 64.6 ($67.5) million, or CHF 7.01 ($7.31), per common share (on a fully diluted basis). Our as adjusted net tangible book value as of March 31, 2016, before giving effect to this offering was CHF 77.6 ($80.9) million, or CHF 1.62 ($1.69) per common share, based on the total number of our common shares outstanding as of March 31, 2016, after giving effect to the conversion of (i) all preferred stock outstanding as of March 31, 2016 into an aggregate of 37,175,250 common shares and (ii) all shares of our preferred stock issued in the Series E Private Placement Extension into an aggregate of 1,401,792 common shares.</w:t>
      </w:r>
    </w:p>
    <w:p>
      <w:pPr>
        <w:spacing w:after="0" w:line="19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Dilution per share to new investors represents the difference between the amount per share paid by purchasers of common shares in this offering and the as further adjusted net tangible book value per common share immediately after completion of this offering. After giving effect to our sale of common</w:t>
      </w:r>
    </w:p>
    <w:p>
      <w:pPr>
        <w:ind w:right="100"/>
        <w:spacing w:after="0" w:line="281" w:lineRule="auto"/>
        <w:rPr>
          <w:sz w:val="20"/>
          <w:szCs w:val="20"/>
          <w:color w:val="auto"/>
        </w:rPr>
      </w:pPr>
      <w:r>
        <w:rPr>
          <w:rFonts w:ascii="Arial" w:cs="Arial" w:eastAsia="Arial" w:hAnsi="Arial"/>
          <w:sz w:val="16"/>
          <w:szCs w:val="16"/>
          <w:color w:val="auto"/>
        </w:rPr>
        <w:t>shares in this offering at an assumed initial public offering price of $ per share (the midpoint of the price range set forth on the cover page of this prospectus), after deducting the underwriting discount and estimated expenses payable by us. Our as further adjusted net tangible book value as of March 31,</w:t>
      </w:r>
    </w:p>
    <w:tbl>
      <w:tblPr>
        <w:tblLayout w:type="fixed"/>
        <w:tblInd w:w="0" w:type="dxa"/>
        <w:tblCellMar>
          <w:top w:w="0" w:type="dxa"/>
          <w:left w:w="0" w:type="dxa"/>
          <w:bottom w:w="0" w:type="dxa"/>
          <w:right w:w="0" w:type="dxa"/>
        </w:tblCellMar>
      </w:tblPr>
      <w:tr>
        <w:trPr>
          <w:trHeight w:val="203"/>
        </w:trPr>
        <w:tc>
          <w:tcPr>
            <w:tcW w:w="2240" w:type="dxa"/>
            <w:vAlign w:val="bottom"/>
            <w:gridSpan w:val="3"/>
          </w:tcPr>
          <w:p>
            <w:pPr>
              <w:spacing w:after="0" w:line="203" w:lineRule="exact"/>
              <w:rPr>
                <w:sz w:val="20"/>
                <w:szCs w:val="20"/>
                <w:color w:val="auto"/>
              </w:rPr>
            </w:pPr>
            <w:r>
              <w:rPr>
                <w:rFonts w:ascii="Arial" w:cs="Arial" w:eastAsia="Arial" w:hAnsi="Arial"/>
                <w:sz w:val="18"/>
                <w:szCs w:val="18"/>
                <w:color w:val="auto"/>
                <w:w w:val="99"/>
              </w:rPr>
              <w:t>2016 would have been CHF</w:t>
            </w:r>
          </w:p>
        </w:tc>
        <w:tc>
          <w:tcPr>
            <w:tcW w:w="64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3"/>
          </w:tcPr>
          <w:p>
            <w:pPr>
              <w:ind w:left="60"/>
              <w:spacing w:after="0" w:line="203" w:lineRule="exact"/>
              <w:rPr>
                <w:sz w:val="20"/>
                <w:szCs w:val="20"/>
                <w:color w:val="auto"/>
              </w:rPr>
            </w:pPr>
            <w:r>
              <w:rPr>
                <w:rFonts w:ascii="Arial" w:cs="Arial" w:eastAsia="Arial" w:hAnsi="Arial"/>
                <w:sz w:val="18"/>
                <w:szCs w:val="18"/>
                <w:color w:val="auto"/>
              </w:rPr>
              <w:t>) million, or CHF</w:t>
            </w:r>
          </w:p>
        </w:tc>
        <w:tc>
          <w:tcPr>
            <w:tcW w:w="620" w:type="dxa"/>
            <w:vAlign w:val="bottom"/>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6500" w:type="dxa"/>
            <w:vAlign w:val="bottom"/>
            <w:gridSpan w:val="7"/>
          </w:tcPr>
          <w:p>
            <w:pPr>
              <w:ind w:left="200"/>
              <w:spacing w:after="0" w:line="203" w:lineRule="exact"/>
              <w:rPr>
                <w:sz w:val="20"/>
                <w:szCs w:val="20"/>
                <w:color w:val="auto"/>
              </w:rPr>
            </w:pPr>
            <w:r>
              <w:rPr>
                <w:rFonts w:ascii="Arial" w:cs="Arial" w:eastAsia="Arial" w:hAnsi="Arial"/>
                <w:sz w:val="18"/>
                <w:szCs w:val="18"/>
                <w:color w:val="auto"/>
                <w:w w:val="94"/>
              </w:rPr>
              <w:t>) per share. This represents an immediate increase in as adjusted net tangible book</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value of CHF</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460" w:type="dxa"/>
            <w:vAlign w:val="bottom"/>
            <w:gridSpan w:val="8"/>
          </w:tcPr>
          <w:p>
            <w:pPr>
              <w:jc w:val="right"/>
              <w:ind w:right="150"/>
              <w:spacing w:after="0"/>
              <w:rPr>
                <w:sz w:val="20"/>
                <w:szCs w:val="20"/>
                <w:color w:val="auto"/>
              </w:rPr>
            </w:pPr>
            <w:r>
              <w:rPr>
                <w:rFonts w:ascii="Arial" w:cs="Arial" w:eastAsia="Arial" w:hAnsi="Arial"/>
                <w:sz w:val="18"/>
                <w:szCs w:val="18"/>
                <w:color w:val="auto"/>
                <w:w w:val="93"/>
              </w:rPr>
              <w:t>) per share to existing shareholders and an immediate dilution of CHF</w:t>
            </w:r>
          </w:p>
        </w:tc>
        <w:tc>
          <w:tcPr>
            <w:tcW w:w="800" w:type="dxa"/>
            <w:vAlign w:val="bottom"/>
          </w:tcPr>
          <w:p>
            <w:pPr>
              <w:ind w:left="160"/>
              <w:spacing w:after="0"/>
              <w:rPr>
                <w:sz w:val="20"/>
                <w:szCs w:val="20"/>
                <w:color w:val="auto"/>
              </w:rPr>
            </w:pPr>
            <w:r>
              <w:rPr>
                <w:rFonts w:ascii="Arial" w:cs="Arial" w:eastAsia="Arial" w:hAnsi="Arial"/>
                <w:sz w:val="18"/>
                <w:szCs w:val="18"/>
                <w:color w:val="auto"/>
              </w:rPr>
              <w:t>(USD</w:t>
            </w:r>
          </w:p>
        </w:tc>
        <w:tc>
          <w:tcPr>
            <w:tcW w:w="3440" w:type="dxa"/>
            <w:vAlign w:val="bottom"/>
            <w:gridSpan w:val="4"/>
          </w:tcPr>
          <w:p>
            <w:pPr>
              <w:jc w:val="center"/>
              <w:spacing w:after="0"/>
              <w:rPr>
                <w:sz w:val="20"/>
                <w:szCs w:val="20"/>
                <w:color w:val="auto"/>
              </w:rPr>
            </w:pPr>
            <w:r>
              <w:rPr>
                <w:rFonts w:ascii="Arial" w:cs="Arial" w:eastAsia="Arial" w:hAnsi="Arial"/>
                <w:sz w:val="18"/>
                <w:szCs w:val="18"/>
                <w:color w:val="auto"/>
                <w:w w:val="91"/>
              </w:rPr>
              <w:t>) per share to investors participating in this</w:t>
            </w:r>
          </w:p>
        </w:tc>
      </w:tr>
      <w:tr>
        <w:trPr>
          <w:trHeight w:val="230"/>
        </w:trPr>
        <w:tc>
          <w:tcPr>
            <w:tcW w:w="3500" w:type="dxa"/>
            <w:vAlign w:val="bottom"/>
            <w:gridSpan w:val="5"/>
          </w:tcPr>
          <w:p>
            <w:pPr>
              <w:spacing w:after="0"/>
              <w:rPr>
                <w:sz w:val="20"/>
                <w:szCs w:val="20"/>
                <w:color w:val="auto"/>
              </w:rPr>
            </w:pPr>
            <w:r>
              <w:rPr>
                <w:rFonts w:ascii="Arial" w:cs="Arial" w:eastAsia="Arial" w:hAnsi="Arial"/>
                <w:sz w:val="18"/>
                <w:szCs w:val="18"/>
                <w:color w:val="auto"/>
              </w:rPr>
              <w:t>offering, as illustrated in the following table:</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92"/>
        </w:trPr>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(in USD)</w:t>
            </w: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(in CHF)</w:t>
            </w:r>
          </w:p>
        </w:tc>
      </w:tr>
      <w:tr>
        <w:trPr>
          <w:trHeight w:val="210"/>
        </w:trPr>
        <w:tc>
          <w:tcPr>
            <w:tcW w:w="350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5"/>
              </w:rPr>
              <w:t>Assumed initial public offering price per share</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4920" w:type="dxa"/>
            <w:vAlign w:val="bottom"/>
            <w:gridSpan w:val="8"/>
          </w:tcPr>
          <w:p>
            <w:pPr>
              <w:ind w:left="360"/>
              <w:spacing w:after="0"/>
              <w:rPr>
                <w:sz w:val="20"/>
                <w:szCs w:val="20"/>
                <w:color w:val="auto"/>
              </w:rPr>
            </w:pPr>
            <w:r>
              <w:rPr>
                <w:rFonts w:ascii="Arial" w:cs="Arial" w:eastAsia="Arial" w:hAnsi="Arial"/>
                <w:sz w:val="18"/>
                <w:szCs w:val="18"/>
                <w:color w:val="auto"/>
                <w:w w:val="91"/>
              </w:rPr>
              <w:t>Historical net tangible book value per share at March 31, 2016</w:t>
            </w: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40" w:type="dxa"/>
            <w:vAlign w:val="bottom"/>
            <w:gridSpan w:val="2"/>
          </w:tcPr>
          <w:p>
            <w:pPr>
              <w:ind w:left="1900"/>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7.01</w:t>
            </w:r>
          </w:p>
        </w:tc>
      </w:tr>
      <w:tr>
        <w:trPr>
          <w:trHeight w:val="202"/>
        </w:trPr>
        <w:tc>
          <w:tcPr>
            <w:tcW w:w="10740" w:type="dxa"/>
            <w:vAlign w:val="bottom"/>
            <w:gridSpan w:val="14"/>
            <w:shd w:val="clear" w:color="auto" w:fill="CCEEFF"/>
          </w:tcPr>
          <w:p>
            <w:pPr>
              <w:ind w:left="360"/>
              <w:spacing w:after="0" w:line="201" w:lineRule="exact"/>
              <w:rPr>
                <w:sz w:val="20"/>
                <w:szCs w:val="20"/>
                <w:color w:val="auto"/>
              </w:rPr>
            </w:pPr>
            <w:r>
              <w:rPr>
                <w:rFonts w:ascii="Arial" w:cs="Arial" w:eastAsia="Arial" w:hAnsi="Arial"/>
                <w:sz w:val="18"/>
                <w:szCs w:val="18"/>
                <w:color w:val="auto"/>
              </w:rPr>
              <w:t>As adjusted net tangible book value per share at March 31, 2016, before giving effect to this offering but giving effect to the</w:t>
            </w:r>
          </w:p>
        </w:tc>
        <w:tc>
          <w:tcPr>
            <w:tcW w:w="680" w:type="dxa"/>
            <w:vAlign w:val="bottom"/>
            <w:shd w:val="clear" w:color="auto" w:fill="CCEEFF"/>
          </w:tcPr>
          <w:p>
            <w:pPr>
              <w:spacing w:after="0"/>
              <w:rPr>
                <w:sz w:val="17"/>
                <w:szCs w:val="17"/>
                <w:color w:val="auto"/>
              </w:rPr>
            </w:pPr>
          </w:p>
        </w:tc>
      </w:tr>
      <w:tr>
        <w:trPr>
          <w:trHeight w:val="216"/>
        </w:trPr>
        <w:tc>
          <w:tcPr>
            <w:tcW w:w="10740" w:type="dxa"/>
            <w:vAlign w:val="bottom"/>
            <w:gridSpan w:val="14"/>
            <w:shd w:val="clear" w:color="auto" w:fill="CCEEFF"/>
          </w:tcPr>
          <w:p>
            <w:pPr>
              <w:ind w:left="540"/>
              <w:spacing w:after="0"/>
              <w:rPr>
                <w:sz w:val="20"/>
                <w:szCs w:val="20"/>
                <w:color w:val="auto"/>
              </w:rPr>
            </w:pPr>
            <w:r>
              <w:rPr>
                <w:rFonts w:ascii="Arial" w:cs="Arial" w:eastAsia="Arial" w:hAnsi="Arial"/>
                <w:sz w:val="18"/>
                <w:szCs w:val="18"/>
                <w:color w:val="auto"/>
              </w:rPr>
              <w:t>conversion of all outstanding preferred shares, including the preferred shares issued in the Series E Private Placement</w:t>
            </w:r>
          </w:p>
        </w:tc>
        <w:tc>
          <w:tcPr>
            <w:tcW w:w="680" w:type="dxa"/>
            <w:vAlign w:val="bottom"/>
            <w:shd w:val="clear" w:color="auto" w:fill="CCEEFF"/>
          </w:tcPr>
          <w:p>
            <w:pPr>
              <w:spacing w:after="0"/>
              <w:rPr>
                <w:sz w:val="18"/>
                <w:szCs w:val="18"/>
                <w:color w:val="auto"/>
              </w:rPr>
            </w:pPr>
          </w:p>
        </w:tc>
      </w:tr>
      <w:tr>
        <w:trPr>
          <w:trHeight w:val="230"/>
        </w:trPr>
        <w:tc>
          <w:tcPr>
            <w:tcW w:w="288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w w:val="92"/>
              </w:rPr>
              <w:t>Extension, into common shares</w:t>
            </w: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1.62</w:t>
            </w:r>
          </w:p>
        </w:tc>
      </w:tr>
      <w:tr>
        <w:trPr>
          <w:trHeight w:val="216"/>
        </w:trPr>
        <w:tc>
          <w:tcPr>
            <w:tcW w:w="10740" w:type="dxa"/>
            <w:vAlign w:val="bottom"/>
            <w:gridSpan w:val="14"/>
          </w:tcPr>
          <w:p>
            <w:pPr>
              <w:ind w:left="360"/>
              <w:spacing w:after="0"/>
              <w:rPr>
                <w:sz w:val="20"/>
                <w:szCs w:val="20"/>
                <w:color w:val="auto"/>
              </w:rPr>
            </w:pPr>
            <w:r>
              <w:rPr>
                <w:rFonts w:ascii="Arial" w:cs="Arial" w:eastAsia="Arial" w:hAnsi="Arial"/>
                <w:sz w:val="18"/>
                <w:szCs w:val="18"/>
                <w:color w:val="auto"/>
              </w:rPr>
              <w:t>Increase in as adjusted net tangible book value per share attributable to new investors purchasing shares in this offering</w:t>
            </w:r>
          </w:p>
        </w:tc>
        <w:tc>
          <w:tcPr>
            <w:tcW w:w="680" w:type="dxa"/>
            <w:vAlign w:val="bottom"/>
          </w:tcPr>
          <w:p>
            <w:pPr>
              <w:spacing w:after="0"/>
              <w:rPr>
                <w:sz w:val="18"/>
                <w:szCs w:val="18"/>
                <w:color w:val="auto"/>
              </w:rPr>
            </w:pPr>
          </w:p>
        </w:tc>
      </w:tr>
      <w:tr>
        <w:trPr>
          <w:trHeight w:val="216"/>
        </w:trPr>
        <w:tc>
          <w:tcPr>
            <w:tcW w:w="7180" w:type="dxa"/>
            <w:vAlign w:val="bottom"/>
            <w:gridSpan w:val="10"/>
            <w:shd w:val="clear" w:color="auto" w:fill="CCEEFF"/>
          </w:tcPr>
          <w:p>
            <w:pPr>
              <w:ind w:left="360"/>
              <w:spacing w:after="0"/>
              <w:rPr>
                <w:sz w:val="20"/>
                <w:szCs w:val="20"/>
                <w:color w:val="auto"/>
              </w:rPr>
            </w:pPr>
            <w:r>
              <w:rPr>
                <w:rFonts w:ascii="Arial" w:cs="Arial" w:eastAsia="Arial" w:hAnsi="Arial"/>
                <w:sz w:val="18"/>
                <w:szCs w:val="18"/>
                <w:color w:val="auto"/>
                <w:w w:val="99"/>
              </w:rPr>
              <w:t>As further adjusted net tangible book value per share after giving effect to this offering</w:t>
            </w:r>
          </w:p>
        </w:tc>
        <w:tc>
          <w:tcPr>
            <w:tcW w:w="8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4920" w:type="dxa"/>
            <w:vAlign w:val="bottom"/>
            <w:gridSpan w:val="8"/>
          </w:tcPr>
          <w:p>
            <w:pPr>
              <w:ind w:left="360"/>
              <w:spacing w:after="0"/>
              <w:rPr>
                <w:sz w:val="20"/>
                <w:szCs w:val="20"/>
                <w:color w:val="auto"/>
              </w:rPr>
            </w:pPr>
            <w:r>
              <w:rPr>
                <w:rFonts w:ascii="Arial" w:cs="Arial" w:eastAsia="Arial" w:hAnsi="Arial"/>
                <w:sz w:val="18"/>
                <w:szCs w:val="18"/>
                <w:color w:val="auto"/>
                <w:w w:val="99"/>
              </w:rPr>
              <w:t>Dilution per share to investors participating in this offering</w:t>
            </w: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04"/>
        </w:trPr>
        <w:tc>
          <w:tcPr>
            <w:tcW w:w="6320" w:type="dxa"/>
            <w:vAlign w:val="bottom"/>
            <w:gridSpan w:val="9"/>
          </w:tcPr>
          <w:p>
            <w:pPr>
              <w:ind w:left="460"/>
              <w:spacing w:after="0"/>
              <w:rPr>
                <w:sz w:val="20"/>
                <w:szCs w:val="20"/>
                <w:color w:val="auto"/>
              </w:rPr>
            </w:pPr>
            <w:r>
              <w:rPr>
                <w:rFonts w:ascii="Arial" w:cs="Arial" w:eastAsia="Arial" w:hAnsi="Arial"/>
                <w:sz w:val="18"/>
                <w:szCs w:val="18"/>
                <w:color w:val="auto"/>
                <w:w w:val="93"/>
              </w:rPr>
              <w:t>Each $1.00 increase (decrease) in the assumed initial public offering price of $</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(CHF</w:t>
            </w:r>
          </w:p>
        </w:tc>
        <w:tc>
          <w:tcPr>
            <w:tcW w:w="4240" w:type="dxa"/>
            <w:vAlign w:val="bottom"/>
            <w:gridSpan w:val="5"/>
          </w:tcPr>
          <w:p>
            <w:pPr>
              <w:ind w:left="120"/>
              <w:spacing w:after="0"/>
              <w:rPr>
                <w:sz w:val="20"/>
                <w:szCs w:val="20"/>
                <w:color w:val="auto"/>
              </w:rPr>
            </w:pPr>
            <w:r>
              <w:rPr>
                <w:rFonts w:ascii="Arial" w:cs="Arial" w:eastAsia="Arial" w:hAnsi="Arial"/>
                <w:sz w:val="18"/>
                <w:szCs w:val="18"/>
                <w:color w:val="auto"/>
                <w:w w:val="98"/>
              </w:rPr>
              <w:t>) per share would increase (decrease) our as further</w:t>
            </w:r>
          </w:p>
        </w:tc>
      </w:tr>
      <w:tr>
        <w:trPr>
          <w:trHeight w:val="216"/>
        </w:trPr>
        <w:tc>
          <w:tcPr>
            <w:tcW w:w="4100" w:type="dxa"/>
            <w:vAlign w:val="bottom"/>
            <w:gridSpan w:val="6"/>
          </w:tcPr>
          <w:p>
            <w:pPr>
              <w:spacing w:after="0"/>
              <w:rPr>
                <w:sz w:val="20"/>
                <w:szCs w:val="20"/>
                <w:color w:val="auto"/>
              </w:rPr>
            </w:pPr>
            <w:r>
              <w:rPr>
                <w:rFonts w:ascii="Arial" w:cs="Arial" w:eastAsia="Arial" w:hAnsi="Arial"/>
                <w:sz w:val="18"/>
                <w:szCs w:val="18"/>
                <w:color w:val="auto"/>
                <w:w w:val="98"/>
              </w:rPr>
              <w:t>adjusted net tangible book value by approximately $</w:t>
            </w:r>
          </w:p>
        </w:tc>
        <w:tc>
          <w:tcPr>
            <w:tcW w:w="820" w:type="dxa"/>
            <w:vAlign w:val="bottom"/>
            <w:gridSpan w:val="2"/>
          </w:tcPr>
          <w:p>
            <w:pPr>
              <w:jc w:val="right"/>
              <w:ind w:right="230"/>
              <w:spacing w:after="0"/>
              <w:rPr>
                <w:sz w:val="20"/>
                <w:szCs w:val="20"/>
                <w:color w:val="auto"/>
              </w:rPr>
            </w:pPr>
            <w:r>
              <w:rPr>
                <w:rFonts w:ascii="Arial" w:cs="Arial" w:eastAsia="Arial" w:hAnsi="Arial"/>
                <w:sz w:val="18"/>
                <w:szCs w:val="18"/>
                <w:color w:val="auto"/>
              </w:rPr>
              <w:t>(CHF</w:t>
            </w:r>
          </w:p>
        </w:tc>
        <w:tc>
          <w:tcPr>
            <w:tcW w:w="2260" w:type="dxa"/>
            <w:vAlign w:val="bottom"/>
            <w:gridSpan w:val="2"/>
          </w:tcPr>
          <w:p>
            <w:pPr>
              <w:jc w:val="right"/>
              <w:ind w:right="50"/>
              <w:spacing w:after="0"/>
              <w:rPr>
                <w:sz w:val="20"/>
                <w:szCs w:val="20"/>
                <w:color w:val="auto"/>
              </w:rPr>
            </w:pPr>
            <w:r>
              <w:rPr>
                <w:rFonts w:ascii="Arial" w:cs="Arial" w:eastAsia="Arial" w:hAnsi="Arial"/>
                <w:sz w:val="18"/>
                <w:szCs w:val="18"/>
                <w:color w:val="auto"/>
                <w:w w:val="95"/>
              </w:rPr>
              <w:t>) million, or approximately $</w:t>
            </w:r>
          </w:p>
        </w:tc>
        <w:tc>
          <w:tcPr>
            <w:tcW w:w="800" w:type="dxa"/>
            <w:vAlign w:val="bottom"/>
          </w:tcPr>
          <w:p>
            <w:pPr>
              <w:ind w:left="260"/>
              <w:spacing w:after="0"/>
              <w:rPr>
                <w:sz w:val="20"/>
                <w:szCs w:val="20"/>
                <w:color w:val="auto"/>
              </w:rPr>
            </w:pPr>
            <w:r>
              <w:rPr>
                <w:rFonts w:ascii="Arial" w:cs="Arial" w:eastAsia="Arial" w:hAnsi="Arial"/>
                <w:sz w:val="18"/>
                <w:szCs w:val="18"/>
                <w:color w:val="auto"/>
              </w:rPr>
              <w:t>(CHF</w:t>
            </w:r>
          </w:p>
        </w:tc>
        <w:tc>
          <w:tcPr>
            <w:tcW w:w="3440" w:type="dxa"/>
            <w:vAlign w:val="bottom"/>
            <w:gridSpan w:val="4"/>
          </w:tcPr>
          <w:p>
            <w:pPr>
              <w:jc w:val="center"/>
              <w:ind w:right="16"/>
              <w:spacing w:after="0"/>
              <w:rPr>
                <w:sz w:val="20"/>
                <w:szCs w:val="20"/>
                <w:color w:val="auto"/>
              </w:rPr>
            </w:pPr>
            <w:r>
              <w:rPr>
                <w:rFonts w:ascii="Arial" w:cs="Arial" w:eastAsia="Arial" w:hAnsi="Arial"/>
                <w:sz w:val="18"/>
                <w:szCs w:val="18"/>
                <w:color w:val="auto"/>
                <w:w w:val="89"/>
              </w:rPr>
              <w:t>) per share, and the dilution per share to</w:t>
            </w:r>
          </w:p>
        </w:tc>
      </w:tr>
      <w:tr>
        <w:trPr>
          <w:trHeight w:val="230"/>
        </w:trPr>
        <w:tc>
          <w:tcPr>
            <w:tcW w:w="3500" w:type="dxa"/>
            <w:vAlign w:val="bottom"/>
            <w:gridSpan w:val="5"/>
          </w:tcPr>
          <w:p>
            <w:pPr>
              <w:spacing w:after="0"/>
              <w:rPr>
                <w:sz w:val="20"/>
                <w:szCs w:val="20"/>
                <w:color w:val="auto"/>
              </w:rPr>
            </w:pPr>
            <w:r>
              <w:rPr>
                <w:rFonts w:ascii="Arial" w:cs="Arial" w:eastAsia="Arial" w:hAnsi="Arial"/>
                <w:sz w:val="18"/>
                <w:szCs w:val="18"/>
                <w:color w:val="auto"/>
              </w:rPr>
              <w:t>investors in this offering by approximately $</w:t>
            </w:r>
          </w:p>
        </w:tc>
        <w:tc>
          <w:tcPr>
            <w:tcW w:w="600" w:type="dxa"/>
            <w:vAlign w:val="bottom"/>
          </w:tcPr>
          <w:p>
            <w:pPr>
              <w:ind w:left="120"/>
              <w:spacing w:after="0"/>
              <w:rPr>
                <w:sz w:val="20"/>
                <w:szCs w:val="20"/>
                <w:color w:val="auto"/>
              </w:rPr>
            </w:pPr>
            <w:r>
              <w:rPr>
                <w:rFonts w:ascii="Arial" w:cs="Arial" w:eastAsia="Arial" w:hAnsi="Arial"/>
                <w:sz w:val="18"/>
                <w:szCs w:val="18"/>
                <w:color w:val="auto"/>
              </w:rPr>
              <w:t>(CHF</w:t>
            </w:r>
          </w:p>
        </w:tc>
        <w:tc>
          <w:tcPr>
            <w:tcW w:w="200" w:type="dxa"/>
            <w:vAlign w:val="bottom"/>
          </w:tcPr>
          <w:p>
            <w:pPr>
              <w:spacing w:after="0"/>
              <w:rPr>
                <w:sz w:val="20"/>
                <w:szCs w:val="20"/>
                <w:color w:val="auto"/>
              </w:rPr>
            </w:pPr>
          </w:p>
        </w:tc>
        <w:tc>
          <w:tcPr>
            <w:tcW w:w="7120" w:type="dxa"/>
            <w:vAlign w:val="bottom"/>
            <w:gridSpan w:val="8"/>
          </w:tcPr>
          <w:p>
            <w:pPr>
              <w:ind w:left="80"/>
              <w:spacing w:after="0"/>
              <w:rPr>
                <w:sz w:val="20"/>
                <w:szCs w:val="20"/>
                <w:color w:val="auto"/>
              </w:rPr>
            </w:pPr>
            <w:r>
              <w:rPr>
                <w:rFonts w:ascii="Arial" w:cs="Arial" w:eastAsia="Arial" w:hAnsi="Arial"/>
                <w:sz w:val="18"/>
                <w:szCs w:val="18"/>
                <w:color w:val="auto"/>
                <w:w w:val="92"/>
              </w:rPr>
              <w:t>) per share, assuming that the number of shares offered by us, as set forth on the cover page of</w:t>
            </w:r>
          </w:p>
        </w:tc>
      </w:tr>
    </w:tbl>
    <w:p>
      <w:pPr>
        <w:ind w:right="280"/>
        <w:spacing w:after="0" w:line="281" w:lineRule="auto"/>
        <w:rPr>
          <w:sz w:val="20"/>
          <w:szCs w:val="20"/>
          <w:color w:val="auto"/>
        </w:rPr>
      </w:pPr>
      <w:r>
        <w:rPr>
          <w:rFonts w:ascii="Arial" w:cs="Arial" w:eastAsia="Arial" w:hAnsi="Arial"/>
          <w:sz w:val="16"/>
          <w:szCs w:val="16"/>
          <w:color w:val="auto"/>
        </w:rPr>
        <w:t>this prospectus, remains the same and after deducting the underwriting discount and estimated offering expenses payable by us. We may also increase or decrease the number of shares we are offering. An increase (decrease) of 1,000,000 shares in the number of shares offered by us would increase (decrease)</w:t>
      </w:r>
    </w:p>
    <w:p>
      <w:pPr>
        <w:spacing w:after="0" w:line="1" w:lineRule="exact"/>
        <w:rPr>
          <w:sz w:val="20"/>
          <w:szCs w:val="20"/>
          <w:color w:val="auto"/>
        </w:rPr>
      </w:pPr>
    </w:p>
    <w:p>
      <w:pPr>
        <w:spacing w:after="0"/>
        <w:tabs>
          <w:tab w:leader="none" w:pos="5180" w:val="left"/>
          <w:tab w:leader="none" w:pos="5960" w:val="left"/>
          <w:tab w:leader="none" w:pos="8440" w:val="left"/>
          <w:tab w:leader="none" w:pos="9220" w:val="left"/>
        </w:tabs>
        <w:rPr>
          <w:sz w:val="20"/>
          <w:szCs w:val="20"/>
          <w:color w:val="auto"/>
        </w:rPr>
      </w:pPr>
      <w:r>
        <w:rPr>
          <w:rFonts w:ascii="Arial" w:cs="Arial" w:eastAsia="Arial" w:hAnsi="Arial"/>
          <w:sz w:val="18"/>
          <w:szCs w:val="18"/>
          <w:color w:val="auto"/>
        </w:rPr>
        <w:t>our as further adjusted net tangible book value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8"/>
          <w:szCs w:val="18"/>
          <w:color w:val="auto"/>
        </w:rPr>
        <w:t>) million, or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5"/>
          <w:szCs w:val="15"/>
          <w:color w:val="auto"/>
        </w:rPr>
        <w:t>) per share, and decrease the</w:t>
      </w:r>
    </w:p>
    <w:p>
      <w:pPr>
        <w:spacing w:after="0" w:line="9" w:lineRule="exact"/>
        <w:rPr>
          <w:sz w:val="20"/>
          <w:szCs w:val="20"/>
          <w:color w:val="auto"/>
        </w:rPr>
      </w:pPr>
    </w:p>
    <w:p>
      <w:pPr>
        <w:spacing w:after="0"/>
        <w:tabs>
          <w:tab w:leader="none" w:pos="5920" w:val="left"/>
          <w:tab w:leader="none" w:pos="6700" w:val="left"/>
        </w:tabs>
        <w:rPr>
          <w:sz w:val="20"/>
          <w:szCs w:val="20"/>
          <w:color w:val="auto"/>
        </w:rPr>
      </w:pPr>
      <w:r>
        <w:rPr>
          <w:rFonts w:ascii="Arial" w:cs="Arial" w:eastAsia="Arial" w:hAnsi="Arial"/>
          <w:sz w:val="18"/>
          <w:szCs w:val="18"/>
          <w:color w:val="auto"/>
        </w:rPr>
        <w:t>as adjusted dilution per share to investors in this offering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assuming an initial public offering price of</w:t>
      </w:r>
    </w:p>
    <w:p>
      <w:pPr>
        <w:spacing w:after="0" w:line="9" w:lineRule="exact"/>
        <w:rPr>
          <w:sz w:val="20"/>
          <w:szCs w:val="20"/>
          <w:color w:val="auto"/>
        </w:rPr>
      </w:pPr>
    </w:p>
    <w:p>
      <w:pPr>
        <w:spacing w:after="0"/>
        <w:tabs>
          <w:tab w:leader="none" w:pos="480" w:val="left"/>
          <w:tab w:leader="none" w:pos="1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after deducting the underwriting discount and estimated offering expenses payable by us. The as further adjusted information</w:t>
      </w:r>
    </w:p>
    <w:p>
      <w:pPr>
        <w:spacing w:after="0" w:line="9" w:lineRule="exact"/>
        <w:rPr>
          <w:sz w:val="20"/>
          <w:szCs w:val="20"/>
          <w:color w:val="auto"/>
        </w:rPr>
      </w:pPr>
    </w:p>
    <w:p>
      <w:pPr>
        <w:jc w:val="center"/>
        <w:ind w:right="100"/>
        <w:spacing w:after="0" w:line="433" w:lineRule="auto"/>
        <w:rPr>
          <w:sz w:val="20"/>
          <w:szCs w:val="20"/>
          <w:color w:val="auto"/>
        </w:rPr>
      </w:pPr>
      <w:r>
        <w:rPr>
          <w:rFonts w:ascii="Arial" w:cs="Arial" w:eastAsia="Arial" w:hAnsi="Arial"/>
          <w:sz w:val="18"/>
          <w:szCs w:val="18"/>
          <w:color w:val="auto"/>
        </w:rPr>
        <w:t>discussed above is illustrative only and will be adjusted based on the actual initial public offering price and other terms of this offering determined at pricing. 64</w:t>
      </w:r>
    </w:p>
    <w:p>
      <w:pPr>
        <w:sectPr>
          <w:pgSz w:w="11900" w:h="16838" w:orient="portrait"/>
          <w:cols w:equalWidth="0" w:num="1">
            <w:col w:w="11420"/>
          </w:cols>
          <w:pgMar w:left="240" w:top="459"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519"/>
        </w:trPr>
        <w:tc>
          <w:tcPr>
            <w:tcW w:w="280" w:type="dxa"/>
            <w:vAlign w:val="bottom"/>
          </w:tcPr>
          <w:p>
            <w:pPr>
              <w:spacing w:after="0"/>
              <w:rPr>
                <w:sz w:val="24"/>
                <w:szCs w:val="24"/>
                <w:color w:val="auto"/>
              </w:rPr>
            </w:pPr>
          </w:p>
        </w:tc>
        <w:tc>
          <w:tcPr>
            <w:tcW w:w="10800" w:type="dxa"/>
            <w:vAlign w:val="bottom"/>
            <w:gridSpan w:val="7"/>
          </w:tcPr>
          <w:p>
            <w:pPr>
              <w:ind w:left="180"/>
              <w:spacing w:after="0"/>
              <w:rPr>
                <w:sz w:val="20"/>
                <w:szCs w:val="20"/>
                <w:color w:val="auto"/>
              </w:rPr>
            </w:pPr>
            <w:r>
              <w:rPr>
                <w:rFonts w:ascii="Arial" w:cs="Arial" w:eastAsia="Arial" w:hAnsi="Arial"/>
                <w:sz w:val="18"/>
                <w:szCs w:val="18"/>
                <w:color w:val="auto"/>
                <w:w w:val="92"/>
              </w:rPr>
              <w:t>If the underwriters’ over-allotment option is exercised in full, the as further adjusted net tangible book value per share after this offering would be</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ind w:left="220"/>
              <w:spacing w:after="0"/>
              <w:rPr>
                <w:sz w:val="20"/>
                <w:szCs w:val="20"/>
                <w:color w:val="auto"/>
              </w:rPr>
            </w:pPr>
            <w:r>
              <w:rPr>
                <w:rFonts w:ascii="Arial" w:cs="Arial" w:eastAsia="Arial" w:hAnsi="Arial"/>
                <w:sz w:val="18"/>
                <w:szCs w:val="18"/>
                <w:color w:val="auto"/>
              </w:rPr>
              <w:t>(CHF</w:t>
            </w:r>
          </w:p>
        </w:tc>
        <w:tc>
          <w:tcPr>
            <w:tcW w:w="8660" w:type="dxa"/>
            <w:vAlign w:val="bottom"/>
            <w:gridSpan w:val="4"/>
          </w:tcPr>
          <w:p>
            <w:pPr>
              <w:ind w:left="180"/>
              <w:spacing w:after="0"/>
              <w:rPr>
                <w:sz w:val="20"/>
                <w:szCs w:val="20"/>
                <w:color w:val="auto"/>
              </w:rPr>
            </w:pPr>
            <w:r>
              <w:rPr>
                <w:rFonts w:ascii="Arial" w:cs="Arial" w:eastAsia="Arial" w:hAnsi="Arial"/>
                <w:sz w:val="18"/>
                <w:szCs w:val="18"/>
                <w:color w:val="auto"/>
                <w:w w:val="91"/>
              </w:rPr>
              <w:t>) per share, the increase in as further adjusted net tangible book value per share to existing shareholders would be $</w:t>
            </w:r>
          </w:p>
        </w:tc>
        <w:tc>
          <w:tcPr>
            <w:tcW w:w="800" w:type="dxa"/>
            <w:vAlign w:val="bottom"/>
          </w:tcPr>
          <w:p>
            <w:pPr>
              <w:ind w:left="220"/>
              <w:spacing w:after="0"/>
              <w:rPr>
                <w:sz w:val="20"/>
                <w:szCs w:val="20"/>
                <w:color w:val="auto"/>
              </w:rPr>
            </w:pPr>
            <w:r>
              <w:rPr>
                <w:rFonts w:ascii="Arial" w:cs="Arial" w:eastAsia="Arial" w:hAnsi="Arial"/>
                <w:sz w:val="18"/>
                <w:szCs w:val="18"/>
                <w:color w:val="auto"/>
              </w:rPr>
              <w:t>(CHF</w:t>
            </w:r>
          </w:p>
        </w:tc>
        <w:tc>
          <w:tcPr>
            <w:tcW w:w="520" w:type="dxa"/>
            <w:vAlign w:val="bottom"/>
          </w:tcPr>
          <w:p>
            <w:pPr>
              <w:ind w:left="180"/>
              <w:spacing w:after="0"/>
              <w:rPr>
                <w:sz w:val="20"/>
                <w:szCs w:val="20"/>
                <w:color w:val="auto"/>
              </w:rPr>
            </w:pPr>
            <w:r>
              <w:rPr>
                <w:rFonts w:ascii="Arial" w:cs="Arial" w:eastAsia="Arial" w:hAnsi="Arial"/>
                <w:sz w:val="18"/>
                <w:szCs w:val="18"/>
                <w:color w:val="auto"/>
                <w:w w:val="86"/>
              </w:rPr>
              <w:t>) per</w:t>
            </w:r>
          </w:p>
        </w:tc>
      </w:tr>
      <w:tr>
        <w:trPr>
          <w:trHeight w:val="230"/>
        </w:trPr>
        <w:tc>
          <w:tcPr>
            <w:tcW w:w="6280" w:type="dxa"/>
            <w:vAlign w:val="bottom"/>
            <w:gridSpan w:val="4"/>
          </w:tcPr>
          <w:p>
            <w:pPr>
              <w:spacing w:after="0"/>
              <w:rPr>
                <w:sz w:val="20"/>
                <w:szCs w:val="20"/>
                <w:color w:val="auto"/>
              </w:rPr>
            </w:pPr>
            <w:r>
              <w:rPr>
                <w:rFonts w:ascii="Arial" w:cs="Arial" w:eastAsia="Arial" w:hAnsi="Arial"/>
                <w:sz w:val="18"/>
                <w:szCs w:val="18"/>
                <w:color w:val="auto"/>
                <w:w w:val="93"/>
              </w:rPr>
              <w:t>share and the dilution to new investors purchasing shares in this offering would be $</w:t>
            </w:r>
          </w:p>
        </w:tc>
        <w:tc>
          <w:tcPr>
            <w:tcW w:w="780" w:type="dxa"/>
            <w:vAlign w:val="bottom"/>
          </w:tcPr>
          <w:p>
            <w:pPr>
              <w:ind w:left="200"/>
              <w:spacing w:after="0"/>
              <w:rPr>
                <w:sz w:val="20"/>
                <w:szCs w:val="20"/>
                <w:color w:val="auto"/>
              </w:rPr>
            </w:pPr>
            <w:r>
              <w:rPr>
                <w:rFonts w:ascii="Arial" w:cs="Arial" w:eastAsia="Arial" w:hAnsi="Arial"/>
                <w:sz w:val="18"/>
                <w:szCs w:val="18"/>
                <w:color w:val="auto"/>
              </w:rPr>
              <w:t>(CHF</w:t>
            </w:r>
          </w:p>
        </w:tc>
        <w:tc>
          <w:tcPr>
            <w:tcW w:w="2700" w:type="dxa"/>
            <w:vAlign w:val="bottom"/>
          </w:tcPr>
          <w:p>
            <w:pPr>
              <w:ind w:left="180"/>
              <w:spacing w:after="0"/>
              <w:rPr>
                <w:sz w:val="20"/>
                <w:szCs w:val="20"/>
                <w:color w:val="auto"/>
              </w:rPr>
            </w:pPr>
            <w:r>
              <w:rPr>
                <w:rFonts w:ascii="Arial" w:cs="Arial" w:eastAsia="Arial" w:hAnsi="Arial"/>
                <w:sz w:val="18"/>
                <w:szCs w:val="18"/>
                <w:color w:val="auto"/>
              </w:rPr>
              <w:t>) per share.</w:t>
            </w: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80" w:firstLine="456"/>
        <w:spacing w:after="0" w:line="259" w:lineRule="auto"/>
        <w:rPr>
          <w:sz w:val="20"/>
          <w:szCs w:val="20"/>
          <w:color w:val="auto"/>
        </w:rPr>
      </w:pPr>
      <w:r>
        <w:rPr>
          <w:rFonts w:ascii="Arial" w:cs="Arial" w:eastAsia="Arial" w:hAnsi="Arial"/>
          <w:sz w:val="18"/>
          <w:szCs w:val="18"/>
          <w:color w:val="auto"/>
        </w:rPr>
        <w:t>The following table presents, on an as further adjusted basis described above, the difference between the existing shareholders as of March 31, 2016 (including the preferred shares acquired by investors as part of the Series E Private Placement Extension) and the purchasers of shares in this offering with respect to the number of shares purchased from us, the total consideration paid, which includes net proceeds received from the issuance of common and preferred stock and cash received from the exercise of stock options.</w:t>
      </w:r>
    </w:p>
    <w:p>
      <w:pPr>
        <w:sectPr>
          <w:pgSz w:w="11900" w:h="16838" w:orient="portrait"/>
          <w:cols w:equalWidth="0" w:num="1">
            <w:col w:w="11420"/>
          </w:cols>
          <w:pgMar w:left="240" w:top="4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0"/>
        <w:spacing w:after="0" w:line="308" w:lineRule="auto"/>
        <w:rPr>
          <w:sz w:val="20"/>
          <w:szCs w:val="20"/>
          <w:color w:val="auto"/>
        </w:rPr>
      </w:pPr>
      <w:r>
        <w:rPr>
          <w:rFonts w:ascii="Arial" w:cs="Arial" w:eastAsia="Arial" w:hAnsi="Arial"/>
          <w:sz w:val="16"/>
          <w:szCs w:val="16"/>
          <w:color w:val="auto"/>
        </w:rPr>
        <w:t>Existing stockholders before this offering Investors participating in this offering</w:t>
      </w: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gridSpan w:val="4"/>
            <w:vMerge w:val="restart"/>
          </w:tcPr>
          <w:p>
            <w:pPr>
              <w:jc w:val="right"/>
              <w:ind w:right="450"/>
              <w:spacing w:after="0"/>
              <w:rPr>
                <w:sz w:val="20"/>
                <w:szCs w:val="20"/>
                <w:color w:val="auto"/>
              </w:rPr>
            </w:pPr>
            <w:r>
              <w:rPr>
                <w:rFonts w:ascii="Arial" w:cs="Arial" w:eastAsia="Arial" w:hAnsi="Arial"/>
                <w:sz w:val="14"/>
                <w:szCs w:val="14"/>
                <w:b w:val="1"/>
                <w:bCs w:val="1"/>
                <w:color w:val="auto"/>
                <w:w w:val="98"/>
              </w:rPr>
              <w:t>Total Consideration</w:t>
            </w:r>
          </w:p>
        </w:tc>
        <w:tc>
          <w:tcPr>
            <w:tcW w:w="1840" w:type="dxa"/>
            <w:vAlign w:val="bottom"/>
            <w:gridSpan w:val="4"/>
            <w:vMerge w:val="restart"/>
          </w:tcPr>
          <w:p>
            <w:pPr>
              <w:jc w:val="right"/>
              <w:ind w:right="430"/>
              <w:spacing w:after="0"/>
              <w:rPr>
                <w:sz w:val="20"/>
                <w:szCs w:val="20"/>
                <w:color w:val="auto"/>
              </w:rPr>
            </w:pPr>
            <w:r>
              <w:rPr>
                <w:rFonts w:ascii="Arial" w:cs="Arial" w:eastAsia="Arial" w:hAnsi="Arial"/>
                <w:sz w:val="14"/>
                <w:szCs w:val="14"/>
                <w:b w:val="1"/>
                <w:bCs w:val="1"/>
                <w:color w:val="auto"/>
                <w:w w:val="98"/>
              </w:rPr>
              <w:t>Total Consideration</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60" w:type="dxa"/>
            <w:vAlign w:val="bottom"/>
            <w:gridSpan w:val="4"/>
            <w:vMerge w:val="restart"/>
          </w:tcPr>
          <w:p>
            <w:pPr>
              <w:jc w:val="right"/>
              <w:ind w:right="770"/>
              <w:spacing w:after="0"/>
              <w:rPr>
                <w:sz w:val="20"/>
                <w:szCs w:val="20"/>
                <w:color w:val="auto"/>
              </w:rPr>
            </w:pPr>
            <w:r>
              <w:rPr>
                <w:rFonts w:ascii="Arial" w:cs="Arial" w:eastAsia="Arial" w:hAnsi="Arial"/>
                <w:sz w:val="14"/>
                <w:szCs w:val="14"/>
                <w:b w:val="1"/>
                <w:bCs w:val="1"/>
                <w:color w:val="auto"/>
              </w:rPr>
              <w:t>Total Shares</w:t>
            </w:r>
          </w:p>
        </w:tc>
        <w:tc>
          <w:tcPr>
            <w:tcW w:w="1860" w:type="dxa"/>
            <w:vAlign w:val="bottom"/>
            <w:gridSpan w:val="4"/>
            <w:vMerge w:val="continue"/>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per</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171"/>
        </w:trPr>
        <w:tc>
          <w:tcPr>
            <w:tcW w:w="2060" w:type="dxa"/>
            <w:vAlign w:val="bottom"/>
            <w:gridSpan w:val="4"/>
            <w:vMerge w:val="continue"/>
          </w:tcPr>
          <w:p>
            <w:pPr>
              <w:spacing w:after="0"/>
              <w:rPr>
                <w:sz w:val="14"/>
                <w:szCs w:val="14"/>
                <w:color w:val="auto"/>
              </w:rPr>
            </w:pPr>
          </w:p>
        </w:tc>
        <w:tc>
          <w:tcPr>
            <w:tcW w:w="1860" w:type="dxa"/>
            <w:vAlign w:val="bottom"/>
            <w:gridSpan w:val="4"/>
          </w:tcPr>
          <w:p>
            <w:pPr>
              <w:jc w:val="right"/>
              <w:ind w:right="710"/>
              <w:spacing w:after="0"/>
              <w:rPr>
                <w:sz w:val="20"/>
                <w:szCs w:val="20"/>
                <w:color w:val="auto"/>
              </w:rPr>
            </w:pPr>
            <w:r>
              <w:rPr>
                <w:rFonts w:ascii="Arial" w:cs="Arial" w:eastAsia="Arial" w:hAnsi="Arial"/>
                <w:sz w:val="14"/>
                <w:szCs w:val="14"/>
                <w:b w:val="1"/>
                <w:bCs w:val="1"/>
                <w:color w:val="auto"/>
              </w:rPr>
              <w:t>(USD ’000)</w:t>
            </w:r>
          </w:p>
        </w:tc>
        <w:tc>
          <w:tcPr>
            <w:tcW w:w="184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(CHF ’000)</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w:t>
            </w: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20" w:type="dxa"/>
            <w:vAlign w:val="bottom"/>
            <w:vMerge w:val="restart"/>
          </w:tcPr>
          <w:p>
            <w:pPr>
              <w:jc w:val="right"/>
              <w:ind w:right="17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420" w:type="dxa"/>
            <w:vAlign w:val="bottom"/>
            <w:vMerge w:val="restart"/>
          </w:tcPr>
          <w:p>
            <w:pPr>
              <w:jc w:val="right"/>
              <w:ind w:right="19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20" w:type="dxa"/>
            <w:vAlign w:val="bottom"/>
            <w:vMerge w:val="restart"/>
          </w:tcPr>
          <w:p>
            <w:pPr>
              <w:jc w:val="right"/>
              <w:ind w:right="17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(USD)</w:t>
            </w:r>
          </w:p>
        </w:tc>
        <w:tc>
          <w:tcPr>
            <w:tcW w:w="32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(CHF)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47,804,292</w:t>
            </w: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127,054</w:t>
            </w:r>
          </w:p>
        </w:tc>
        <w:tc>
          <w:tcPr>
            <w:tcW w:w="3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124,183</w:t>
            </w: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8"/>
                <w:szCs w:val="18"/>
                <w:color w:val="auto"/>
                <w:w w:val="98"/>
              </w:rPr>
              <w:t>100.0%</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-462280</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-162560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446" w:right="239" w:bottom="1440" w:gutter="0" w:footer="0" w:header="0"/>
          <w:type w:val="continuous"/>
        </w:sectPr>
      </w:pPr>
    </w:p>
    <w:p>
      <w:pPr>
        <w:spacing w:after="0" w:line="15" w:lineRule="exact"/>
        <w:rPr>
          <w:sz w:val="20"/>
          <w:szCs w:val="20"/>
          <w:color w:val="auto"/>
        </w:rPr>
      </w:pPr>
    </w:p>
    <w:p>
      <w:pPr>
        <w:ind w:left="460"/>
        <w:spacing w:after="0"/>
        <w:tabs>
          <w:tab w:leader="none" w:pos="6500" w:val="left"/>
          <w:tab w:leader="none" w:pos="732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would increase (decrease) the total</w:t>
      </w:r>
    </w:p>
    <w:p>
      <w:pPr>
        <w:spacing w:after="0" w:line="23" w:lineRule="exact"/>
        <w:rPr>
          <w:sz w:val="20"/>
          <w:szCs w:val="20"/>
          <w:color w:val="auto"/>
        </w:rPr>
      </w:pPr>
    </w:p>
    <w:p>
      <w:pPr>
        <w:spacing w:after="0"/>
        <w:tabs>
          <w:tab w:leader="none" w:pos="7560" w:val="left"/>
          <w:tab w:leader="none" w:pos="8380" w:val="left"/>
        </w:tabs>
        <w:rPr>
          <w:sz w:val="20"/>
          <w:szCs w:val="20"/>
          <w:color w:val="auto"/>
        </w:rPr>
      </w:pPr>
      <w:r>
        <w:rPr>
          <w:rFonts w:ascii="Arial" w:cs="Arial" w:eastAsia="Arial" w:hAnsi="Arial"/>
          <w:sz w:val="18"/>
          <w:szCs w:val="18"/>
          <w:color w:val="auto"/>
        </w:rPr>
        <w:t>consideration paid to us by new investors and total consideration paid to us by all shareholders by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million, assuming that the number of</w:t>
      </w:r>
    </w:p>
    <w:p>
      <w:pPr>
        <w:spacing w:after="0" w:line="9"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shares offered by us, as set forth on the cover page of this prospectus, remains the same and after deducting the underwriting discount and estimated offering expenses payable by us. An increase (decrease) of 1,000,000 shares in the number of shares offered by us would increase (decrease) the total consideration</w:t>
      </w:r>
    </w:p>
    <w:p>
      <w:pPr>
        <w:spacing w:after="0" w:line="1" w:lineRule="exact"/>
        <w:rPr>
          <w:sz w:val="20"/>
          <w:szCs w:val="20"/>
          <w:color w:val="auto"/>
        </w:rPr>
      </w:pPr>
    </w:p>
    <w:p>
      <w:pPr>
        <w:spacing w:after="0"/>
        <w:tabs>
          <w:tab w:leader="none" w:pos="7640" w:val="left"/>
          <w:tab w:leader="none" w:pos="8460" w:val="left"/>
        </w:tabs>
        <w:rPr>
          <w:sz w:val="20"/>
          <w:szCs w:val="20"/>
          <w:color w:val="auto"/>
        </w:rPr>
      </w:pPr>
      <w:r>
        <w:rPr>
          <w:rFonts w:ascii="Arial" w:cs="Arial" w:eastAsia="Arial" w:hAnsi="Arial"/>
          <w:sz w:val="18"/>
          <w:szCs w:val="18"/>
          <w:color w:val="auto"/>
        </w:rPr>
        <w:t>paid to us by new investors and total consideration paid to us by all shareholders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million, assuming an initial public</w:t>
      </w:r>
    </w:p>
    <w:p>
      <w:pPr>
        <w:spacing w:after="0" w:line="9" w:lineRule="exact"/>
        <w:rPr>
          <w:sz w:val="20"/>
          <w:szCs w:val="20"/>
          <w:color w:val="auto"/>
        </w:rPr>
      </w:pPr>
    </w:p>
    <w:p>
      <w:pPr>
        <w:spacing w:after="0"/>
        <w:tabs>
          <w:tab w:leader="none" w:pos="1700" w:val="left"/>
          <w:tab w:leader="none" w:pos="2520" w:val="left"/>
        </w:tabs>
        <w:rPr>
          <w:sz w:val="20"/>
          <w:szCs w:val="20"/>
          <w:color w:val="auto"/>
        </w:rPr>
      </w:pPr>
      <w:r>
        <w:rPr>
          <w:rFonts w:ascii="Arial" w:cs="Arial" w:eastAsia="Arial" w:hAnsi="Arial"/>
          <w:sz w:val="18"/>
          <w:szCs w:val="18"/>
          <w:color w:val="auto"/>
        </w:rPr>
        <w:t>offering price of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after deducting the underwriting discount and estimated offering expenses payable by us.</w:t>
      </w:r>
    </w:p>
    <w:p>
      <w:pPr>
        <w:spacing w:after="0" w:line="21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calculations above are based on 47,804,292 shares outstanding as of March 31, 2016 after giving effect to the conversion of all outstanding shares of preferred stock (including the preferred shares issued in the Series E Private Placement Extension) into common shares and exclude:</w:t>
      </w:r>
    </w:p>
    <w:p>
      <w:pPr>
        <w:spacing w:after="0" w:line="52" w:lineRule="exact"/>
        <w:rPr>
          <w:sz w:val="20"/>
          <w:szCs w:val="20"/>
          <w:color w:val="auto"/>
        </w:rPr>
      </w:pPr>
    </w:p>
    <w:p>
      <w:pPr>
        <w:ind w:left="900" w:right="10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3,406,625 of our common shares issuable upon the exercise of vested and unvested options outstanding under our existing equity incentive plans as of March 31, 2016 at an exercise price of CHF 0.14548 per common share; and</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in the CS AG Share Issuance, as described under “Management’s Discussion and Analysis of Financial Condition and Results of Operations—Subsequent Events—CS AG Share Issuance” and in Note 8 (Post balance sheet events) of our unaudited interim condensed financial statements as of and for the three months ended March 31, 2016 included elsewhere in this prospectus.</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To the extent that any outstanding options are exercised, new options are issued under our stock-based compensation plans or we issue additional common shares in the future, there will be further dilution to investors participating in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46"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RATES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May 20, 2016, the exchange rate as reported by the U.S. Federal Reserve Bank was CHF 0.9920 to $1.00. In this prospectus, translations from CHF to U.S. dollars were made at the rate of 0.9583 to $1.00, the official exchange rate quoted as of March 31, 2016 by the U.S. Federal Reserve Bank.</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0"/>
              </w:rPr>
              <w:t>Period-end</w:t>
            </w: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rPr>
              <w:t>Average for</w:t>
            </w:r>
          </w:p>
        </w:tc>
        <w:tc>
          <w:tcPr>
            <w:tcW w:w="10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(CHF per U.S. dollar)</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Ended December 31:</w:t>
            </w:r>
          </w:p>
        </w:tc>
        <w:tc>
          <w:tcPr>
            <w:tcW w:w="2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2011</w:t>
            </w:r>
          </w:p>
        </w:tc>
        <w:tc>
          <w:tcPr>
            <w:tcW w:w="3340" w:type="dxa"/>
            <w:vAlign w:val="bottom"/>
            <w:gridSpan w:val="2"/>
          </w:tcPr>
          <w:p>
            <w:pPr>
              <w:jc w:val="right"/>
              <w:ind w:right="168"/>
              <w:spacing w:after="0"/>
              <w:rPr>
                <w:sz w:val="20"/>
                <w:szCs w:val="20"/>
                <w:color w:val="auto"/>
              </w:rPr>
            </w:pPr>
            <w:r>
              <w:rPr>
                <w:rFonts w:ascii="Arial" w:cs="Arial" w:eastAsia="Arial" w:hAnsi="Arial"/>
                <w:sz w:val="18"/>
                <w:szCs w:val="18"/>
                <w:color w:val="auto"/>
              </w:rPr>
              <w:t>0.9374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0.8802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0.7296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0.9755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0.9155</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0.9331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0.8949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0.9957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2013</w:t>
            </w:r>
          </w:p>
        </w:tc>
        <w:tc>
          <w:tcPr>
            <w:tcW w:w="3340" w:type="dxa"/>
            <w:vAlign w:val="bottom"/>
            <w:gridSpan w:val="2"/>
          </w:tcPr>
          <w:p>
            <w:pPr>
              <w:jc w:val="right"/>
              <w:ind w:right="168"/>
              <w:spacing w:after="0"/>
              <w:rPr>
                <w:sz w:val="20"/>
                <w:szCs w:val="20"/>
                <w:color w:val="auto"/>
              </w:rPr>
            </w:pPr>
            <w:r>
              <w:rPr>
                <w:rFonts w:ascii="Arial" w:cs="Arial" w:eastAsia="Arial" w:hAnsi="Arial"/>
                <w:sz w:val="18"/>
                <w:szCs w:val="18"/>
                <w:color w:val="auto"/>
              </w:rPr>
              <w:t>0.8904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0.9241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0.8856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0.9814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0.9934</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0.9195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0.8712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2015</w:t>
            </w:r>
          </w:p>
        </w:tc>
        <w:tc>
          <w:tcPr>
            <w:tcW w:w="3340" w:type="dxa"/>
            <w:vAlign w:val="bottom"/>
            <w:gridSpan w:val="2"/>
          </w:tcPr>
          <w:p>
            <w:pPr>
              <w:jc w:val="right"/>
              <w:ind w:right="168"/>
              <w:spacing w:after="0"/>
              <w:rPr>
                <w:sz w:val="20"/>
                <w:szCs w:val="20"/>
                <w:color w:val="auto"/>
              </w:rPr>
            </w:pPr>
            <w:r>
              <w:rPr>
                <w:rFonts w:ascii="Arial" w:cs="Arial" w:eastAsia="Arial" w:hAnsi="Arial"/>
                <w:sz w:val="18"/>
                <w:szCs w:val="18"/>
                <w:color w:val="auto"/>
              </w:rPr>
              <w:t>1.0017</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0.9654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0.8488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Months Ended:</w:t>
            </w:r>
          </w:p>
        </w:tc>
        <w:tc>
          <w:tcPr>
            <w:tcW w:w="2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November 30, 2015</w:t>
            </w:r>
          </w:p>
        </w:tc>
        <w:tc>
          <w:tcPr>
            <w:tcW w:w="3340" w:type="dxa"/>
            <w:vAlign w:val="bottom"/>
            <w:gridSpan w:val="2"/>
          </w:tcPr>
          <w:p>
            <w:pPr>
              <w:jc w:val="right"/>
              <w:ind w:right="168"/>
              <w:spacing w:after="0"/>
              <w:rPr>
                <w:sz w:val="20"/>
                <w:szCs w:val="20"/>
                <w:color w:val="auto"/>
              </w:rPr>
            </w:pPr>
            <w:r>
              <w:rPr>
                <w:rFonts w:ascii="Arial" w:cs="Arial" w:eastAsia="Arial" w:hAnsi="Arial"/>
                <w:sz w:val="18"/>
                <w:szCs w:val="18"/>
                <w:color w:val="auto"/>
              </w:rPr>
              <w:t>1.0282</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1.0098</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0.9853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3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1.0017</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0.9951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0.9823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1.0296</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January 29, 2016</w:t>
            </w:r>
          </w:p>
        </w:tc>
        <w:tc>
          <w:tcPr>
            <w:tcW w:w="3340" w:type="dxa"/>
            <w:vAlign w:val="bottom"/>
            <w:gridSpan w:val="2"/>
          </w:tcPr>
          <w:p>
            <w:pPr>
              <w:jc w:val="right"/>
              <w:ind w:right="168"/>
              <w:spacing w:after="0"/>
              <w:rPr>
                <w:sz w:val="20"/>
                <w:szCs w:val="20"/>
                <w:color w:val="auto"/>
              </w:rPr>
            </w:pPr>
            <w:r>
              <w:rPr>
                <w:rFonts w:ascii="Arial" w:cs="Arial" w:eastAsia="Arial" w:hAnsi="Arial"/>
                <w:sz w:val="18"/>
                <w:szCs w:val="18"/>
                <w:color w:val="auto"/>
              </w:rPr>
              <w:t>1.0226</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1.0082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0.9972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February 29, 2016</w:t>
            </w:r>
          </w:p>
        </w:tc>
        <w:tc>
          <w:tcPr>
            <w:tcW w:w="3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0.9960</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0.9920</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0.9706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March 31, 2016</w:t>
            </w:r>
          </w:p>
        </w:tc>
        <w:tc>
          <w:tcPr>
            <w:tcW w:w="3340" w:type="dxa"/>
            <w:vAlign w:val="bottom"/>
            <w:gridSpan w:val="2"/>
          </w:tcPr>
          <w:p>
            <w:pPr>
              <w:jc w:val="right"/>
              <w:ind w:right="168"/>
              <w:spacing w:after="0"/>
              <w:rPr>
                <w:sz w:val="20"/>
                <w:szCs w:val="20"/>
                <w:color w:val="auto"/>
              </w:rPr>
            </w:pPr>
            <w:r>
              <w:rPr>
                <w:rFonts w:ascii="Arial" w:cs="Arial" w:eastAsia="Arial" w:hAnsi="Arial"/>
                <w:sz w:val="18"/>
                <w:szCs w:val="18"/>
                <w:color w:val="auto"/>
              </w:rPr>
              <w:t>0.9583</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0.9811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0.9583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0.9994</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April 30, 2016</w:t>
            </w:r>
          </w:p>
        </w:tc>
        <w:tc>
          <w:tcPr>
            <w:tcW w:w="3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0.9598</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0.9634</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0.9536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0.9774</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May 31, 2016 (through May 20, 2016)</w:t>
            </w:r>
          </w:p>
        </w:tc>
        <w:tc>
          <w:tcPr>
            <w:tcW w:w="3340" w:type="dxa"/>
            <w:vAlign w:val="bottom"/>
            <w:gridSpan w:val="2"/>
          </w:tcPr>
          <w:p>
            <w:pPr>
              <w:jc w:val="right"/>
              <w:ind w:right="168"/>
              <w:spacing w:after="0"/>
              <w:rPr>
                <w:sz w:val="20"/>
                <w:szCs w:val="20"/>
                <w:color w:val="auto"/>
              </w:rPr>
            </w:pPr>
            <w:r>
              <w:rPr>
                <w:rFonts w:ascii="Arial" w:cs="Arial" w:eastAsia="Arial" w:hAnsi="Arial"/>
                <w:sz w:val="18"/>
                <w:szCs w:val="18"/>
                <w:color w:val="auto"/>
              </w:rPr>
              <w:t>0.9920</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0.9721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0.9541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0.9920</w:t>
            </w:r>
          </w:p>
        </w:tc>
        <w:tc>
          <w:tcPr>
            <w:tcW w:w="0" w:type="dxa"/>
            <w:vAlign w:val="bottom"/>
          </w:tcPr>
          <w:p>
            <w:pPr>
              <w:spacing w:after="0"/>
              <w:rPr>
                <w:sz w:val="1"/>
                <w:szCs w:val="1"/>
                <w:color w:val="auto"/>
              </w:rPr>
            </w:pPr>
          </w:p>
        </w:tc>
      </w:tr>
      <w:tr>
        <w:trPr>
          <w:trHeight w:val="364"/>
        </w:trPr>
        <w:tc>
          <w:tcPr>
            <w:tcW w:w="3980" w:type="dxa"/>
            <w:vAlign w:val="bottom"/>
          </w:tcPr>
          <w:p>
            <w:pPr>
              <w:spacing w:after="0"/>
              <w:rPr>
                <w:sz w:val="24"/>
                <w:szCs w:val="24"/>
                <w:color w:val="auto"/>
              </w:rPr>
            </w:pPr>
          </w:p>
        </w:tc>
        <w:tc>
          <w:tcPr>
            <w:tcW w:w="2400" w:type="dxa"/>
            <w:vAlign w:val="bottom"/>
          </w:tcPr>
          <w:p>
            <w:pPr>
              <w:jc w:val="right"/>
              <w:ind w:right="95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INFORMATION</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tables summarize our financial data as of the dates and for the periods indicated. The financial data for the years ended December 31, 2015 and 2014 have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prospectus.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financial data as of March 31, 2016 and for the three months ended March 31, 2016 and 2015 have been derived from our unaudited interim condensed financial statements included elsewhere in this prospectus. The unaudited interim condensed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 We maintain our books and records in, and our financial statements are prepared and presented in, Swiss Francs, our presentation currency.</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Our interim financial results for the periods presented are not necessarily indicative of results for a full year or for any subsequent interim period. The following summary financial data should be read in conjunction with “Management’s Discussion and Analysis of Financial Condition and Results of Operations” and our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For the Three Months Ended</w:t>
            </w: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March 31,</w:t>
            </w: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(in CHF ‘000 except for share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487</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39,090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(5,372)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(2,736)</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(17,049)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(774)</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income /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18,624</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Finance result—net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before tax</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for the period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(1)</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0.44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number of shares used to compute earnings per share basic</w:t>
            </w:r>
            <w:r>
              <w:rPr>
                <w:rFonts w:ascii="Arial" w:cs="Arial" w:eastAsia="Arial" w:hAnsi="Arial"/>
                <w:sz w:val="15"/>
                <w:szCs w:val="15"/>
                <w:color w:val="auto"/>
                <w:w w:val="99"/>
              </w:rPr>
              <w:t>(1)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46,402,500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42,709,750</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43,412,250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2"/>
              </w:rPr>
              <w:t>Weighted-average number of shares used to compute earnings per share fully diluted</w:t>
            </w:r>
            <w:r>
              <w:rPr>
                <w:rFonts w:ascii="Arial" w:cs="Arial" w:eastAsia="Arial" w:hAnsi="Arial"/>
                <w:sz w:val="15"/>
                <w:szCs w:val="15"/>
                <w:color w:val="auto"/>
                <w:w w:val="92"/>
              </w:rPr>
              <w:t>(1)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46,402,500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42,709,750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46,043,198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40" w:hanging="452"/>
        <w:spacing w:after="0" w:line="276"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common shares and preferred shares outstanding as of the dates indicated adjusted for the 250-for-1 stock split effected on November 2, 2015, and these preferred shares will be converted on a one-for-one basis upon the closing of this offering, but does not give effect to the CS AG Share Issuance, as described under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March 31,</w:t>
            </w:r>
          </w:p>
        </w:tc>
        <w:tc>
          <w:tcPr>
            <w:tcW w:w="138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4900" w:type="dxa"/>
            <w:vAlign w:val="bottom"/>
            <w:gridSpan w:val="3"/>
          </w:tcPr>
          <w:p>
            <w:pPr>
              <w:jc w:val="right"/>
              <w:ind w:right="140"/>
              <w:spacing w:after="0"/>
              <w:rPr>
                <w:sz w:val="20"/>
                <w:szCs w:val="20"/>
                <w:color w:val="auto"/>
              </w:rPr>
            </w:pPr>
            <w:r>
              <w:rPr>
                <w:rFonts w:ascii="Arial" w:cs="Arial" w:eastAsia="Arial" w:hAnsi="Arial"/>
                <w:sz w:val="18"/>
                <w:szCs w:val="18"/>
                <w:color w:val="auto"/>
              </w:rPr>
              <w:t>73,545</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(46,702)</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equity</w:t>
            </w:r>
          </w:p>
        </w:tc>
        <w:tc>
          <w:tcPr>
            <w:tcW w:w="4900" w:type="dxa"/>
            <w:vAlign w:val="bottom"/>
            <w:gridSpan w:val="3"/>
          </w:tcPr>
          <w:p>
            <w:pPr>
              <w:jc w:val="right"/>
              <w:ind w:right="140"/>
              <w:spacing w:after="0"/>
              <w:rPr>
                <w:sz w:val="20"/>
                <w:szCs w:val="20"/>
                <w:color w:val="auto"/>
              </w:rPr>
            </w:pPr>
            <w:r>
              <w:rPr>
                <w:rFonts w:ascii="Arial" w:cs="Arial" w:eastAsia="Arial" w:hAnsi="Arial"/>
                <w:sz w:val="18"/>
                <w:szCs w:val="18"/>
                <w:color w:val="auto"/>
              </w:rPr>
              <w:t>64,679</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71,043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4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73,545</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365"/>
        </w:trPr>
        <w:tc>
          <w:tcPr>
            <w:tcW w:w="3300" w:type="dxa"/>
            <w:vAlign w:val="bottom"/>
          </w:tcPr>
          <w:p>
            <w:pPr>
              <w:spacing w:after="0"/>
              <w:rPr>
                <w:sz w:val="24"/>
                <w:szCs w:val="24"/>
                <w:color w:val="auto"/>
              </w:rPr>
            </w:pPr>
          </w:p>
        </w:tc>
        <w:tc>
          <w:tcPr>
            <w:tcW w:w="4120" w:type="dxa"/>
            <w:vAlign w:val="bottom"/>
          </w:tcPr>
          <w:p>
            <w:pPr>
              <w:jc w:val="right"/>
              <w:ind w:right="2450"/>
              <w:spacing w:after="0"/>
              <w:rPr>
                <w:sz w:val="20"/>
                <w:szCs w:val="20"/>
                <w:color w:val="auto"/>
              </w:rPr>
            </w:pPr>
            <w:r>
              <w:rPr>
                <w:rFonts w:ascii="Arial" w:cs="Arial" w:eastAsia="Arial" w:hAnsi="Arial"/>
                <w:sz w:val="18"/>
                <w:szCs w:val="18"/>
                <w:color w:val="auto"/>
              </w:rPr>
              <w:t>68</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“Selected Financial and Other Information,” and our financial statements included elsewhere in this prospectus. We present our financial statements in Swiss Francs and in accordance with International Financial Reporting Standards, or IFRS, as issued by the International Accounting Standards Board, or IASB.</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strategy,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“Risk Factors” and “Cautionary Statement Regarding Forward-Looking Statements” in this prospectus. Our actual results may differ materially from those contained in or implied by any forward-looking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commenced Phase 3 clinical studies in the first quarter of 2016 and we believe it has the potential to become a best-in-class disease-modifying treatment for Alzheimer’s disease, 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w:t>
      </w:r>
    </w:p>
    <w:p>
      <w:pPr>
        <w:spacing w:after="0" w:line="16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right="60" w:hanging="325"/>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ACI-24 is also being studied in a Phase 1 clinical study in patients with Down syndrome, a population that is at high risk for AD.</w:t>
      </w:r>
    </w:p>
    <w:p>
      <w:pPr>
        <w:spacing w:after="0" w:line="86"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8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4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To date, we have primarily financed our operations through private placements of preferred securities, in addition to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while we have received upfront and milestone payments from our collaboration partners and certain other revenue. We have also incurred significant operating losses. For example, we incurred net losses of CHF 6.2 million for the three months ended March 31, 2016. In addition, we had accumulated losses of CHF 46.7 million as of March 31, 2016.</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collaboration agreement with Piramal Imaging, a leader in imaging agents, covering our tau PET Imaging tracer. In December 2014,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2016, we entered into a non-exclusive collaboration with Biogen covering our alpha-synuclein PET imaging tracer and future initiatives targeted at TDP-43 PET imaging tracers, which is a protein that has been recently linked to neurodegeneration in diseases including AD, PD and amyotrophic lateral sclerosis (commonly known as ALS or Lou Gehrig’s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Crenezumab—Collaboration with Genentech</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Under the 2006 Genentech agreement, we may become entitled to receive upfront and milestone payments totaling up to approximately $340 million, excluding royalties. We received an upfront payment of $25 million in 2006 and are entitled to various milestone payments based on the achievement of specified development and commercialization milestones. To date, we have received payments totaling $65 million from Genentech, including the $25 million upfront payment and milestone payments totaling $40 million for crenezumab entering into Phase 1, Phase 2 and Phase 3 clinical studies. Under the 2006 Genentech agreement, we are entitled to various regulatory and marketing approval milestone payments.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2006 Genentech agreement also provides for a second indication for which we would be eligible to receive clinical milestone payments payable upon commencement of each of Phase 2 and 3 of clinical development as well as regulatory and marketing milestone payments similar to those applicable to crenezumab. If this second indication receives regulatory approval, we will be entitled to receive royalties that are tied to annual sales volumes at the same rates applicable to crenezumab.</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Antibodies—Collaboration with Genentech</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the 2012 Genentech agreement, we are entitled to receive upfront and milestone payments in excess of CHF 400 million, excluding royalties. We received an upfront payment of CHF 17 million in 2012 and are entitled to various milestone payments based on the achievement of specified clinical, regulatory and commercialization milestones. To date, we have received payments totaling CHF 31 million from Genentech. In addition to milestones, we will be eligible to receive royalties on sales at a percentage rate ranging from the mid-single digits to low double digits.</w:t>
      </w:r>
    </w:p>
    <w:p>
      <w:pPr>
        <w:spacing w:after="0" w:line="17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2012 Genentech agreement also provides for a second indication for which we would be eligible to receive clinical milestone payments payable upon commencement of each of Phase 2 and 3 of clinical development as well as regulatory and marketing milestone payments. If this second indication receives regulatory approval, we will be entitled to receive royalties that are tied to annual sales volumes at the same rates applicable to the lead indication.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Tau PET Imaging Tracer—Collaboration with Piramal Imaging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our agreement with Piramal Imaging covering our anti-tau PET imaging agent, we received an upfront payment of €0.5 million in May 2014 and are entitled to various clinical milestone payments totaling up to €7 million based on the achievement of specified development milestones. In addition, we are entitled to further regulatory and sales-based milestones totaling €150.0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ACI-35—Collaboration with Janssen</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collaboration agreement with Janssen regarding the development of ACI-35, we may become entitled to receive upfront and milestone payments totaling up to CHF 500 million, plus royalties on sales at a percentage rate ranging from low double digits to mid-teens. To date, we have received an upfront payment of CHF 25.9 million and a research contribution of CHF 1.5 million. The total future payments that we would be entitled to under the agreement for clinical milestones amounts to CHF 82.0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Tracers—Collaboration with Biogen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April 2016, we entered into a non-exclusive research and development agreement with Biogen covering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Under the agreement, we are entitled to a technology access fee and will receive funding from Biogen towards FTE and research and development activities on both PET imaging programs. We will retain all intellectual property rights to any PET product developed for further commercialization.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September 2011, we were included in a research study focused on Huntington’s disease as part of the 7</w:t>
      </w:r>
      <w:r>
        <w:rPr>
          <w:rFonts w:ascii="Arial" w:cs="Arial" w:eastAsia="Arial" w:hAnsi="Arial"/>
          <w:sz w:val="14"/>
          <w:szCs w:val="14"/>
          <w:color w:val="auto"/>
        </w:rPr>
        <w:t>th</w:t>
      </w:r>
      <w:r>
        <w:rPr>
          <w:rFonts w:ascii="Arial" w:cs="Arial" w:eastAsia="Arial" w:hAnsi="Arial"/>
          <w:sz w:val="17"/>
          <w:szCs w:val="17"/>
          <w:color w:val="auto"/>
        </w:rPr>
        <w:t xml:space="preserve"> Framework Program of the European Union under the Marie Currie Actions program. This research study was coordinated by the University of Tübingen and ran over a 3 year period between September 2011 and September 2014. We recognized revenues from this grant on a straight-line basis over the study period.</w:t>
      </w:r>
    </w:p>
    <w:p>
      <w:pPr>
        <w:spacing w:after="0" w:line="166"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In February 2015, we were awarded a grant from the Michael J. Fox Parkinson’s Foundation for the further research and development of an alpha-synuclein diagnostic imaging agent. Under the terms of the grant, we retain all rights, results and intellectual property relating to the program. The grant covers research and development work over a 1.5 year period. We recognize revenues from this grant on a straight line basis over the life of the grant.</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January 2016, we were awarded a grant from the LuMind Research Down Syndrome Foundation to support our ACI-24 Phase 1 clinical study in patients with Down Syndrome.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Given our stage of development, we have not generated any revenue from product sales. Our revenue to date has been derived primarily from four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 deemed substantive, are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8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Our revenues have experienced significant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and Piramal Imaging, research and development grants, and any future collaboration partners will fluctuate from year to year as a result of the timing and amount of milestones and other payments.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5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80%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and Piramal Imaging. We recognize all research and development costs as they are incurred. Clinical study costs, contract manufacturing and other development costs incurred by third parties are expensed as the contracted work is performed. At present, our research activities comprise five major areas:</w:t>
      </w:r>
    </w:p>
    <w:p>
      <w:pPr>
        <w:spacing w:after="0" w:line="83"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Non-AD therapies that are not neuro-orphans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Neuro-orphan disease therapies;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Diagnostics;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New discovery projects.</w:t>
      </w:r>
    </w:p>
    <w:p>
      <w:pPr>
        <w:spacing w:after="0" w:line="225"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Due to the limited financial resources of the Company, we have historically allocated over 70% of our research and development budget to AD therapies. We expect our research and development expenses to increase substantially in the future and expect to fund a broader number of projects. Specifically, the planned capital raising will impact our research strategy in four key ways:</w:t>
      </w:r>
    </w:p>
    <w:p>
      <w:pPr>
        <w:spacing w:after="0" w:line="87" w:lineRule="exact"/>
        <w:rPr>
          <w:sz w:val="20"/>
          <w:szCs w:val="20"/>
          <w:color w:val="auto"/>
        </w:rPr>
      </w:pPr>
    </w:p>
    <w:p>
      <w:pPr>
        <w:ind w:left="900" w:right="2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As a result, research initiatives targeting AD will continue to be the primary focus of our research efforts. However, other indications including PD, selected neuro-orphans and diagnostics are likely to consume an increasing share of the total research and development expenditures.</w:t>
      </w:r>
    </w:p>
    <w:p>
      <w:pPr>
        <w:spacing w:after="0" w:line="14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table below provides a breakdown of our research and development costs, including direct research and development costs and manufacturing costs related to research and development, by major development program for the periods covered by this “Management’s Discussion and Analysis of Financial Condition and Results of Operations” section. These research and development costs exclude employment costs, regulatory, quality assurance and intellectual property costs. With the exception of ACI-35, research costs that are subject to collaboration agreements (for example, crenezumab for all periods, anti-tau antibodies for the years ended December 31, 2013 and 2014 and the tau PET tracer for the year ended December 31, 2014) typically have a limited amount research expenses since our partners bear most or all of the research and development costs. We have shown below our research and development costs associated with advancing ACI-35, the tau vaccine candidate that is being developed jointly with Janssen, since pursuant to our agreement we are required to provide significant research support for this program until the end of 2016. Our research and development costs for ACI-24 for AD and Down syndrome are expected to increase significantly in the coming years as we fund Phase 2b and Phase 1 clinical studies for ACI-24 in AD and ACI-24 in Down syndrome, respectively. Research and development costs for our alpha-synuclein PET tracer diagnostics program and other new discovery areas are also likely to rise substantially in the coming years.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Program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Three Months</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5"/>
              </w:rPr>
              <w:t>Change</w:t>
            </w:r>
          </w:p>
        </w:tc>
        <w:tc>
          <w:tcPr>
            <w:tcW w:w="17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4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4"/>
          </w:tcPr>
          <w:p>
            <w:pPr>
              <w:jc w:val="right"/>
              <w:ind w:right="480"/>
              <w:spacing w:after="0" w:line="155" w:lineRule="exact"/>
              <w:rPr>
                <w:sz w:val="20"/>
                <w:szCs w:val="20"/>
                <w:color w:val="auto"/>
              </w:rPr>
            </w:pPr>
            <w:r>
              <w:rPr>
                <w:rFonts w:ascii="Arial" w:cs="Arial" w:eastAsia="Arial" w:hAnsi="Arial"/>
                <w:sz w:val="14"/>
                <w:szCs w:val="14"/>
                <w:b w:val="1"/>
                <w:bCs w:val="1"/>
                <w:color w:val="auto"/>
                <w:w w:val="97"/>
              </w:rPr>
              <w:t>(in CHF thousands)</w:t>
            </w:r>
          </w:p>
        </w:tc>
        <w:tc>
          <w:tcPr>
            <w:tcW w:w="4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Programs subject to collaboration agreements(1)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145</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1,292</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1,269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ACI-35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1,679</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446</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1,233</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3,611</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2,389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ACI-24 (for AD and Down syndrome)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203</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638</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1,495</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1,918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PD (therapeutics and diagnostics)</w:t>
            </w:r>
          </w:p>
        </w:tc>
        <w:tc>
          <w:tcPr>
            <w:tcW w:w="460" w:type="dxa"/>
            <w:vAlign w:val="bottom"/>
          </w:tcPr>
          <w:p>
            <w:pPr>
              <w:jc w:val="right"/>
              <w:spacing w:after="0"/>
              <w:rPr>
                <w:sz w:val="20"/>
                <w:szCs w:val="20"/>
                <w:color w:val="auto"/>
              </w:rPr>
            </w:pPr>
            <w:r>
              <w:rPr>
                <w:rFonts w:ascii="Arial" w:cs="Arial" w:eastAsia="Arial" w:hAnsi="Arial"/>
                <w:sz w:val="18"/>
                <w:szCs w:val="18"/>
                <w:color w:val="auto"/>
              </w:rPr>
              <w:t>207</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52</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155</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757</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685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New discovery programs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183</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276</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1,315</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2,064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644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3,420</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1,029</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2,391</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8,470</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8,325</w:t>
            </w:r>
          </w:p>
        </w:tc>
        <w:tc>
          <w:tcPr>
            <w:tcW w:w="4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Includes research and development expenditures for crenezumab, anti-tau antibodies and tau PET imaging tracer. Does not include research and development expenditures for ACI-35.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then traded (including the NASDAQ on which we intend to list our common shares in connection with this offering), additional insurance expenses, investor relations activities and other administrative and professional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expenses are bank fees associated with charges levied by banks on foreign payments and foreign exchange transactions.</w:t>
      </w:r>
    </w:p>
    <w:p>
      <w:pPr>
        <w:spacing w:after="0" w:line="22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Interest income consists of interest received from banks on our cash balances. Other financial income relates principally to gains that we have made historically on foreign currency transactions, which arise from the fact that some of our collaboration agreements such as the collaboration agreements with Janssen and Piramal Imaging are in currencies other than Swiss Francs, and selected purchases, which we effect in foreign currencies.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are subject to corporate taxation in Switzerland. In 2005, the Canton of Vaud granted us a ten year tax holiday for all income and capital taxes on a communal and cantonal level commencing in fiscal 2005 and valid through to 2014. In 2005, under a ruling created by the Swiss Federal Government to encourage the creation of new enterprises, we were granted a tax holiday of nine years from inception. Both tax holidays expired on December 31, 2014.</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of December 31, 2015, we had tax loss carryforwards totaling CHF 29.1 million. There is no certainty that we will make sufficient profits to avail ourselves of these tax loss carryforwards.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corporate tax rate in the Canton of Vaud where we are domiciled is currently 22.5%. The Canton does from time to time, amend the level of taxation levied on corporations and there is no certainty that the tax rate currently in effect will not change in the future. At present, there are discussions on lowering the corporate tax rate in the Canton of Vaud to below 15% by 2021.</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00"/>
          </w:cols>
          <w:pgMar w:left="24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First Three Months Ended March 31, 2016 and March 31,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three months ended March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7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For the Three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174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0" w:type="dxa"/>
            <w:vAlign w:val="bottom"/>
          </w:tcPr>
          <w:p>
            <w:pPr>
              <w:spacing w:after="0"/>
              <w:rPr>
                <w:sz w:val="14"/>
                <w:szCs w:val="14"/>
                <w:color w:val="auto"/>
              </w:rPr>
            </w:pPr>
          </w:p>
        </w:tc>
        <w:tc>
          <w:tcPr>
            <w:tcW w:w="17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820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8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jc w:val="right"/>
              <w:ind w:right="254"/>
              <w:spacing w:after="0" w:line="142" w:lineRule="exact"/>
              <w:rPr>
                <w:sz w:val="20"/>
                <w:szCs w:val="20"/>
                <w:color w:val="auto"/>
              </w:rPr>
            </w:pPr>
            <w:r>
              <w:rPr>
                <w:rFonts w:ascii="Arial" w:cs="Arial" w:eastAsia="Arial" w:hAnsi="Arial"/>
                <w:sz w:val="14"/>
                <w:szCs w:val="14"/>
                <w:b w:val="1"/>
                <w:bCs w:val="1"/>
                <w:color w:val="auto"/>
                <w:w w:val="95"/>
              </w:rPr>
              <w:t>(all figures in CHF ‘000)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3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187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Grant revenue</w:t>
            </w:r>
          </w:p>
        </w:tc>
        <w:tc>
          <w:tcPr>
            <w:tcW w:w="360" w:type="dxa"/>
            <w:vAlign w:val="bottom"/>
          </w:tcPr>
          <w:p>
            <w:pPr>
              <w:jc w:val="right"/>
              <w:spacing w:after="0"/>
              <w:rPr>
                <w:sz w:val="20"/>
                <w:szCs w:val="20"/>
                <w:color w:val="auto"/>
              </w:rPr>
            </w:pPr>
            <w:r>
              <w:rPr>
                <w:rFonts w:ascii="Arial" w:cs="Arial" w:eastAsia="Arial" w:hAnsi="Arial"/>
                <w:sz w:val="18"/>
                <w:szCs w:val="18"/>
                <w:color w:val="auto"/>
              </w:rPr>
              <w:t>105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5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40" w:firstLine="456"/>
        <w:spacing w:after="0" w:line="275" w:lineRule="auto"/>
        <w:rPr>
          <w:sz w:val="20"/>
          <w:szCs w:val="20"/>
          <w:color w:val="auto"/>
        </w:rPr>
      </w:pPr>
      <w:r>
        <w:rPr>
          <w:rFonts w:ascii="Arial" w:cs="Arial" w:eastAsia="Arial" w:hAnsi="Arial"/>
          <w:sz w:val="17"/>
          <w:szCs w:val="17"/>
          <w:color w:val="auto"/>
        </w:rPr>
        <w:t>Total revenues rose to CHF 0.5 million for the three months ended March 31, 2016 from CHF 0.2 million for the three months ended March 31, 2015, an increase of CHF 0.3 million. The increase in revenues was principally attributable to an increase in collaboration revenues. Specifically, pursuant to the collaboration agreement for ACI-35 with Janssen, we were entitled to a payment of CHF 1.5 million in January 2016 to cover part of our research costs associated with this program. As there is a performance obligation to the end of the phase 1b clinical study which we expect will be completed in late 2016, we are recognizing the revenues on a straight line basis through December 31, 2016.</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three months ended March 31, 2016 and 2015:</w:t>
      </w:r>
    </w:p>
    <w:tbl>
      <w:tblPr>
        <w:tblLayout w:type="fixed"/>
        <w:tblInd w:w="0" w:type="dxa"/>
        <w:tblCellMar>
          <w:top w:w="0" w:type="dxa"/>
          <w:left w:w="0" w:type="dxa"/>
          <w:bottom w:w="0" w:type="dxa"/>
          <w:right w:w="0" w:type="dxa"/>
        </w:tblCellMar>
      </w:tblPr>
      <w:tr>
        <w:trPr>
          <w:trHeight w:val="149"/>
        </w:trPr>
        <w:tc>
          <w:tcPr>
            <w:tcW w:w="930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For the Three</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30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300" w:type="dxa"/>
            <w:vAlign w:val="bottom"/>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93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3,789</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1,343</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1,324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5,372</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2,736</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Research and development expenses increased to CHF 5.4 million for the three months ended March 31, 2016 from CHF 2.7 million for the three</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months ended March 31, 2015, an increase of CHF 2.6 million. The significant increase in research and development costs are attributable to four key factors:</w:t>
      </w:r>
    </w:p>
    <w:p>
      <w:pPr>
        <w:spacing w:after="0" w:line="32" w:lineRule="exact"/>
        <w:rPr>
          <w:sz w:val="20"/>
          <w:szCs w:val="20"/>
          <w:color w:val="auto"/>
        </w:rPr>
      </w:pPr>
    </w:p>
    <w:p>
      <w:pPr>
        <w:ind w:firstLine="8"/>
        <w:spacing w:after="0" w:line="269" w:lineRule="auto"/>
        <w:tabs>
          <w:tab w:leader="none" w:pos="2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increased expenditures on ACI-35, (ii) increased expenditures on manufacturing, (iii) greater wages expenses due to additional headcount in our research team, and (iv) enhanced expenditures on the ACI-24 programs. Pursuant to our collaboration agreement with Janssen for ACI-35, we committed to spending a total of CHF 13.8 million over a two year period starting in January 2015 to help bring ACI-35 to the end of the Phase 1b clinical trial. Because the scope of the Phase 1b clinical trial was not agreed to until mid 2015, we spent less than CHF 0.5 million, excluding wages, on research and development activities related to ACI-35 in the first quarter of 2015 on ACI-35. In contrast, in the three months period ended March 31, 2016, research and development expenses totalled CHF 1.7 million, excluding wages. As we are in the process of transitioning from an early stage development company to a more mature company, we are having to make substantial investments to upgrade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improve our manufacturing infrastructure. As a result, in the three month period ended March 31, 2016 we spent over CHF 1.3 million on manufacturing related initiatives, as compared to the CHF 0.2 million we spend in the three months period ended March 31, 2015. We have added one scientist to our research and development team which has resulted in our wages and share based compensation attributable to research and development staff rising to CHF 1.5 million for the first three months of 2016 from CHF 1.3 million for the same period in 2015. Finally, during the first quarter of 2016, we spent CHF 0.8 million on the ACI-24 programs, as compared to CHF 0.2 million for the first three months ended March 31, 2015.</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three months ended March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2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3"/>
              </w:rPr>
              <w:t>For the Three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6"/>
              </w:rPr>
              <w:t>Months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2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5"/>
              </w:rPr>
              <w:t>Ended March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5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344</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w:t>
            </w: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774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For the first three months ended March 31, 2016 our general and administrative expenses totaled CHF 0.9 million, up CHF 0.1 million from the CHF 0.8 million we incurred during the three months ended March 31, 2015. The increase is due primarily with increased wage costs and information technology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three months ended March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tcPr>
          <w:p>
            <w:pPr>
              <w:spacing w:after="0"/>
              <w:rPr>
                <w:sz w:val="14"/>
                <w:szCs w:val="14"/>
                <w:color w:val="auto"/>
              </w:rPr>
            </w:pPr>
          </w:p>
        </w:tc>
        <w:tc>
          <w:tcPr>
            <w:tcW w:w="18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Ended March 31,</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(388)</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(391)</w:t>
            </w:r>
          </w:p>
        </w:tc>
        <w:tc>
          <w:tcPr>
            <w:tcW w:w="5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5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Financial expenses amounted to CHF 0.4 million for the three months period ended March 31, 2016 compared with net financial income of CHF 0.3 million for the three months period ended March 31, 2015. The principal difference in the net financial result is attributable to exchange rate gains and losses on cash balances held by us. Whereas we experienced a CHF 0.4 million loss on foreign currency balances in the first quarter of 2016 due to adverse movements in the US dollar and Euro against the Swiss franc, we incurred a profit of CHF 0.3 million due to the positive impact of exchange rate movements of financial assets and payables owed by us for the three months ended March 31, 2015.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38,745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30,179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8,566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75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39,090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30,269</w:t>
            </w:r>
          </w:p>
        </w:tc>
        <w:tc>
          <w:tcPr>
            <w:tcW w:w="4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Total revenues rose to CHF 39.1 million for the year ended December 31, 2015 from CHF 30.3 million for the year ended December 31, 2014, an increase of CHF 8.8 million. The increase was principally due to collaboration and license revenues rising to CHF 38.8 million for the year ended December 31, 2015 from CHF 30.2 million for the year ended December 31, 2014. In 2015, we recognized revenue from two collaboration agreements, including a $25 million milestone payment related to our collaboration with Genentech for crenezumab and a CHF 14 million milestone payment associated with the Genentech collaboration agreement for our anti-tau antibody.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10,476</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9,990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6,286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5,828</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17,049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16,116</w:t>
            </w: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research and development expenses rose to CHF 17.0 million for the year ended December 31, 2015 from CHF 16.1 million, an increase of CHF 0.9 million, as compared to year ended December 31, 2014.</w:t>
      </w:r>
    </w:p>
    <w:p>
      <w:pPr>
        <w:spacing w:after="0" w:line="186"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For the year ended December 31, 2015 our research and development operating costs increased by CHF 0.5 million to CHF 10.5 million due principally to the increase in expenditures related to ACI-35 which we are developing jointly with Janssen.</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Our salaries and related costs, excluding share-based compensation, related to our research and development activities rose by CHF 0.4 million to CHF 6.2 million for the year ended December 31, 2015 from CHF 5.8 million for the year ended December 31, 2014. The increase is due to an average increase in the base compensation of 1.4% and the addition of two scientists to our research and development team.</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share based compensation related to our research and development employees rose to CHF 0.4 million for the year ended December 31, 2015 from CHF 0.2 million for the year ended December 31, 2014. The increase is primarily due to the fact that the company valuation used as the basis for expensing share based compensation was nearly doubled during 2015 compared to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2,040</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1,999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1,437</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3,436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General and administrative expenses for the year ended December 31, 2015 were CHF 3.4 million which is in line with the CHF 3.4 million for the year ended December 31, 2014. It should be noted that CHF 2.2 million of costs associated with the preparations for becoming a public company in the United States were not expensed in the year ended December 31, 2015 but rather were accrued and carried forward into 2016 and appear under prepaid expenses on our balance sheet for the year ended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4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2014</w:t>
            </w:r>
          </w:p>
        </w:tc>
        <w:tc>
          <w:tcPr>
            <w:tcW w:w="6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12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Net financial income increased to CHF 1.6 million for the year ended December 31, 2015 from CHF 27 thousand for the year ended December 31, 2014. The increase was driven primarily by gains related to foreign exchange rates on our cash balances in US dollars as well as an increase in the interest income due to significantly higher cash balances on hand during the year in 2015 as compared to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operations have been financed primarily by proceeds from the collaboration and license agreements we have with a number of partners, including Genentech, Janssen and Piramal Imaging, research grants awarded to us and net proceeds from the issuance of preferred shares. At March 31, 2016, we had cash and cash equivalents of CHF 67.9 million. At March 31, 2016, after giving effect to the Series E Private Placement Extension, we would have had cash and cash equivalents of CHF 80.7 million.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2b study, ACI-24 in Down syndrome, our PET imaging candidates focused on alpha-synuclein and TDP-43 which we are developing together with Biogen and a number of research initiatives focused on neurodegenerative orphan diseases other than AD.</w:t>
      </w:r>
    </w:p>
    <w:p>
      <w:pPr>
        <w:spacing w:after="0" w:line="165"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 The sale of additional equity would result in additional dilution to our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First Three Months Ended March 31, 2016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9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9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March 31,</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2540" w:type="dxa"/>
            <w:vAlign w:val="bottom"/>
            <w:tcBorders>
              <w:top w:val="single" w:sz="8" w:color="auto"/>
            </w:tcBorders>
            <w:gridSpan w:val="5"/>
          </w:tcPr>
          <w:p>
            <w:pPr>
              <w:jc w:val="right"/>
              <w:ind w:right="434"/>
              <w:spacing w:after="0" w:line="142" w:lineRule="exact"/>
              <w:rPr>
                <w:sz w:val="20"/>
                <w:szCs w:val="20"/>
                <w:color w:val="auto"/>
              </w:rPr>
            </w:pPr>
            <w:r>
              <w:rPr>
                <w:rFonts w:ascii="Arial" w:cs="Arial" w:eastAsia="Arial" w:hAnsi="Arial"/>
                <w:sz w:val="14"/>
                <w:szCs w:val="14"/>
                <w:b w:val="1"/>
                <w:bCs w:val="1"/>
                <w:color w:val="auto"/>
              </w:rPr>
              <w:t>(all figures in CHF ‘000)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(7,685)</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20,397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(378)</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(8,273)</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20,317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Net cash used in operating activities was CHF 7.7 million for the three months ended March 31, 2016 compared with net cash generated in operating activities of CHF 20.4 million for the three months ended March 31, 2015. The significant change in cash used in operating activities in the first three months of 2016 was due to (i) our producing a loss of CHF 6.2 million in the first three months of 2016 compared with a loss of CHF 3.0 million during the same period in 2015, and (ii) the receivables balances which were bolstered in the first quarter of 2015 due to receipt in January 2015 of the CHF 25.9 million upfront payment associated with the collaboration with Janssen on ACI-35.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Net cash used in investing activities rose to CHF 0.2 million for the three months ended March 31, 2016 compared with net cash used in investing activities of CHF 0.1 million in the first three months of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Net cash used in financing activities was CHF 0.4 million for the three months ended March 31, 2016 compared with net cash from investing activities of CHF 1 thousand for the first three months of 2015. The difference between the first quarter 2016 and the same period in 2015 is principally due to the payment of costs related to the Series E Extension private placement which was concluded in April 2015.</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9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Years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9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4"/>
              </w:rPr>
              <w:t>(in CHF thousands)</w:t>
            </w: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44,084</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(17,624)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61,708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27,778</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9,801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17,977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71,618</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(7,954)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79,572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cash provided by operating activities rose to CHF 44.1 million for the year ended December 31, 2015 from net cash used by operating activities of CHF 17.6 million for the year ended December 31, 2014. The significant improvement is driven by three key factors: (i) a significant change in our current receivables which amounted to CHF 0.3 million for the year ended December 31, 2015 compared with CHF 25.9 million for the year ended December 31, 2014 driven by the receipt of the upfront payment from Janssen related to our collaboration on ACI-35, (ii) we generated a net income of CHF 20.3 million for the year ended December 31, 2015 compared with net income of CHF 10.7 million for the year ended December 31, 2014 and (iii) a reduction in the amount deferred revenue which declined to CHF 0.2 million for the year ended December 31, 2015 from CHF 3.7 million for the year ended December 31,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Net cash used in investing activities was CHF 0.2 million for the year ended December 31, 2015, compared with CHF 0.1 million for the year ended December 31, 2014. The CHF 0.1 million increase was due to a slight increase in investments in fixed assets in the laboratory.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Net cash provided by financing activities was CHF 27.8 million for the year ended December 31, 2015, compared to CHF 9.8 million for the year ended December 31, 2014. The increase was driven primarily by the $30 million Series E Private Placement which we completed in October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117" w:lineRule="exact"/>
        <w:rPr>
          <w:sz w:val="20"/>
          <w:szCs w:val="20"/>
          <w:color w:val="auto"/>
        </w:rPr>
      </w:pPr>
    </w:p>
    <w:p>
      <w:pPr>
        <w:ind w:right="140" w:firstLine="456"/>
        <w:spacing w:after="0" w:line="285" w:lineRule="auto"/>
        <w:rPr>
          <w:sz w:val="20"/>
          <w:szCs w:val="20"/>
          <w:color w:val="auto"/>
        </w:rPr>
      </w:pPr>
      <w:r>
        <w:rPr>
          <w:rFonts w:ascii="Arial" w:cs="Arial" w:eastAsia="Arial" w:hAnsi="Arial"/>
          <w:sz w:val="16"/>
          <w:szCs w:val="16"/>
          <w:color w:val="auto"/>
        </w:rPr>
        <w:t>We do not expect to generate revenues from royalties based on product sales unless and until our partners obtain regulatory approval of and commercialize our current or any future product candidates. As of March 31, 2016 we had cash balances totaling CHF 67.9 million. The decrease relative to December 31, 2015 is due to a significant rise in total operating expenses driven by CHF 5.4 million spent on research and development.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and development strategy and expenditures and assuming our receipt of the net proceeds from this offering in the amount of $ (based on the midpoint of the range set forth in the cover of this prospectus), we believe that our existing capital resources (including the proceeds we received from the Series E Private Placement Extension, as described below under “—Subsequent Events—Series E Private Placement Extension”) will be sufficient to meet our projected</w:t>
      </w:r>
    </w:p>
    <w:p>
      <w:pPr>
        <w:spacing w:after="0" w:line="2"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operating requirements through</w:t>
      </w:r>
      <w:r>
        <w:rPr>
          <w:sz w:val="20"/>
          <w:szCs w:val="20"/>
          <w:color w:val="auto"/>
        </w:rPr>
        <w:tab/>
      </w:r>
      <w:r>
        <w:rPr>
          <w:rFonts w:ascii="Arial" w:cs="Arial" w:eastAsia="Arial" w:hAnsi="Arial"/>
          <w:sz w:val="14"/>
          <w:szCs w:val="14"/>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this offering, we expect to incur additional costs associated with operating a public company and we anticipate that we will need substantial additional funding in connection with our continuing operations.</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we need to raise additional capital to fund our operations and complete our ongoing and planned clinical studies, funding may not be available to us on acceptable terms, or at 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13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preparing our financial statements as of and for the years ended December 31, 2014 and December 31, 2015, a material weakness in our internal control over financial reporting was identified, as defined in the SEC guidelines for public companies. The material weakness identified relates specifically to the accounting for and disclosure of non-routine and complex accounting transactions and the related internal controls and processes supporting these areas. As a result, there is a reasonable possibility that a material misstatement of our consolidated financial statements will not be prevented or detected on a timely basis.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improvements and remedial measures in response to these assessments and recommendations, including:</w:t>
      </w:r>
    </w:p>
    <w:p>
      <w:pPr>
        <w:spacing w:after="0" w:line="154" w:lineRule="exact"/>
        <w:rPr>
          <w:sz w:val="20"/>
          <w:szCs w:val="20"/>
          <w:color w:val="auto"/>
        </w:rPr>
      </w:pPr>
    </w:p>
    <w:p>
      <w:pPr>
        <w:ind w:left="9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assembling a team from our finance department to be responsible for the preparation of financial statements under U.S. Securities laws, including hiring additional qualified personnel as necessary;</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organizing regular training sessions on IFRS for our finance department in the form of workshops, seminars and newsletters as well as requiring our finance personnel to participate in annual in-house or public IFRS training courses; and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setting up an internal audit department to review our internal control processes, policies and procedures to ensure compliance with the Sarbanes-Oxley Act.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Although we have been implementing these measures, the implementation of these measures has not fully remediated the material weakness and they may not fully address this material weakness in our internal control over financial reporting, and we therefore may not be able to conclude that it has been fully remedied.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9"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4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 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liabilities on the balance sheets and within research and development expenses in the statement of operations and comprehensive income. These costs are a significant component of our research and development expenses. We record accrued expenses for these costs based on the estimated amount of work completed in accordance with agreements established with these third parties.</w:t>
      </w:r>
    </w:p>
    <w:p>
      <w:pPr>
        <w:spacing w:after="0" w:line="17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estimate the amount of work completed through discussions with our project leaders and external service providers as to the progress or stage of completion of the services and the agreed-upon fee to be paid for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recorded share-based compensation expense related to options granted of CHF 0.5 million and CHF 0.2 million in each of the years ended December 31, 2015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expected term represents the period that share-based awards are expected to be outstanding. We used the simplified method to determine the expected term, which is calculated as the mid-point between the vesting date and the end of the contractual term of the options.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Since we are not yet a public company and do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until a sufficient amount of historical information regarding the volatility of our own stock price becomes available.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risk-free rate is based on long dated Swiss government zero coupon bond issues in effect at the time of the grant for periods corresponding with the expected term of the 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never paid dividends on our common shares and have no plans to pay dividends on our common shares. Therefore, we used an expected dividend yield of zero percent.</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Black-Scholes assumptions, we estimate our forfeiture rate based on our actual forfeitures and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Historically, for all periods prior to this offering,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companies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marketability of our common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2015 Option Plan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2015, we changed the character of our current option scheme. Historically, we have granted options at the outset of the award period with the options vesting over a four year period. In line with IFRS accounting principles for option awards, we expensed the fair value of the awards on a straight line basis over the four year vesting period of the options. Starting in 2015, we changed the nature of our option awards such that only one quarter of the total options awarded are issued at the end first year, with a further quarter of the options granted issued at the end of year two, three and four. This requires us to change the way we account for our options. Specifically, rather than recognizing as an expense one quarter of the option value each year over four years, accounting rules require us to recognize that four separate options with four separate option periods were issued. Consequently, in year one, we need to expense (i) the fair value of the awards issued in the first year, (ii) one half of the fair value of the awards to be issued in year two, (iii) one third of the value of the awards to be issued in year three and (iv) 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2015, we amended the Plan A stock option plan that we developed in 2004. Two key amendments were made to the program: (i) the duration of the stock option plan was increased by two years from 10.5 to 12.5 years and (ii) the split adjusted strike price of the option was reduced from CHF 0.93188 to a split adjusted strike price of CHF 0.14548. The lengthening of the plan’s term and lowering of the strike price was effected to bring the plan in line with our other plans, and resulted in a material increase in the value of the options to the option holders and required us to recognize the impact of the transfer in value on our accounts in the first half of 2015. The impact of the amendment of the Plan A stock option plan totaled CHF 0.4 million. There are no further expenses that we need to recognize in the future associated with this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Options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have the right, but not the obligation, to have their unvested options accelerated such that they vest immediately. A total of 110,500 options could be accelerated upon completion of this offering.</w:t>
      </w:r>
    </w:p>
    <w:p>
      <w:pPr>
        <w:spacing w:after="0" w:line="17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board of directors has the authority to accelerate the vesting of all outstanding unvested options granted to employees prior to July 2014, in the event of an initial public offering. Pursuant to a board decision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October 13, 2015, if we are successful in completing this offering, the board will accelerate a total of 129,250 options which were granted to directors and executive officers which were tied to the consummation of this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Private Placement Extension</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On April 15, 2016, we completed an extension of a private placement of Series E preferred shares, each with a nominal value of CHF 0.02 per share (the “Series E Private Placement Extension”). An aggregate of 1,401,792 Series E preferred shares were issued to certain strategic investors, individuals and existing shareholders in the Series E Private Placement for an aggregate subscription amount of approximately $13.5 million. The Series E preferred shares have substantially the same terms as the Series A, B, C and D preferred shares, will be accounted for as equity on our balance sheet and will convert into common shares on a one-for-one basis upon the closing of this offering.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CS AG Share Issuance</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May 25, 2016, we entered into a subscription agreement, pursuant to which we issued 5,300,000 of our common shares, each with a nominal value of CHF 0.02 per share to Credit Suisse AG, Zurich, or CS AG, at a price share equal to the CHF 0.02 per share nominal value for an aggregate subscription amount of CHF 0.1 million. CS AG will hold these shares as nominee in anticipation of the consummation of this offering and CS AG has agreed not to exercise any voting rights with respect to these shares. Following the effectiveness of the registration statement of which this prospectus is a part, CS AG will transfer these shares back to us for no consideration and, at the closing of this offering, we will transfer these shares to the underwriters pursuant to the terms of the underwriting agreement. Pursuant to the subscription agreement, CS AG has an option to sell the shares back to us at a price of CHF 0.02 per share and we also have an option to acquire the shares at a price of CHF 0.02 per share if this offering is not consummated. The transactions contemplated in the subscription agreement were undertaken to increase our authorized share capital and facilitate the offering.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material off-balance sheet arrangements or commitments.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Market risk arises from our exposure to fluctuation in interest rates and currency exchange rates. We are exposed to market risks in the ordinary course of our business, which are principally limited to foreign currency exchange rate fluctuations and to a lesser degree, interest rate fluctuations.</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March 31, 2016 we had cash and cash equivalents of CHF 67.9 million (or CHF 80.7 million after giving effect to the Series E Private Placement Extension), which consisted exclusively of bank deposits. Such interest-earning instruments carry a degree of interest rate risk. However, historical fluctuations of interest income have not been significant and have been principally impacted by the change in our cash balances as opposed to changes in interest rates received on the cash balances.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not been exposed nor do we anticipate being exposed to material risks due to changes in interest rates. A hypothetical 10% change in interest rates during any of the periods presented would not have had a material impact on our financial statements.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including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80"/>
          </w:cols>
          <w:pgMar w:left="240" w:top="459"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and three diagnostic candidates has the potential to drive a paradigm shift in the treatment of a broad spectrum of neurodegenerative and other diseases related to protein misfolding.</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SupraAntigen™ platform. Crenezumab commenced Phase 3 clinical studies in the first quarter of 2016. Genentech, Inc., a wholly owned subsidiary of Roche, or Genentech, is advancing crenezumab under a collaboration agreement with us for the treatment of AD, a progressive neurodegenerative disease that affected an estimated 9.0 million people in the United States, the United Kingdom, Western Europe, Japan, China and India in 2013. Under this collaboration agreement, Genentech is responsible for the clinical development of crenezumab, including the costs associated with seeking and obtaining regulatory and marketing approvals, manufacturing costs and sales and marketing costs. We believe our collaboration with Genentech validates our technology and crenezumab’s potential to become a best-in-class disease-modifying treatment for AD. We are eligible to receive up to $340 million in total payments from Genentech, as well as sales royalties. Crenezumab has received Fast Track designation from the U.S. Food and Drug Administration, or FDA. The Fast Track program is intended to expedite or facilitate the process for reviewing new drugs that are designed to treat a serious or life-threatening condition and demonstrate the potential to address unmet medical needs, as further described under “—Government Regulation and Our Regulatory Department—Product Approval Process.” In 2012, crenezumab was independently selected by the National Institute of Health, or NIH, the Banner Alzheimer’s Institute and Genentech for use in the first-ever AD prevention study, which serves as the cornerstone of the global Alzheimer’s Prevention Initiative.</w:t>
      </w:r>
    </w:p>
    <w:p>
      <w:pPr>
        <w:spacing w:after="0" w:line="169"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the key advantages of crenezumab include:</w:t>
      </w:r>
    </w:p>
    <w:p>
      <w:pPr>
        <w:spacing w:after="0" w:line="87"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jc w:val="both"/>
        <w:ind w:left="1480" w:right="380" w:hanging="446"/>
        <w:spacing w:after="0" w:line="286" w:lineRule="auto"/>
        <w:tabs>
          <w:tab w:leader="none" w:pos="14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ABBY cognition study: although the study did not meet its co-primary endpoints, which were assessments under the ADAS-cog and CDR-Sum of boxes, the sample size was not expected to have adequate power to detect a modest but clinically significant difference between active medication and placebo at the 5% significance level (as is commonly the case in Phase 2 studies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88" w:lineRule="auto"/>
        <w:rPr>
          <w:sz w:val="20"/>
          <w:szCs w:val="20"/>
          <w:color w:val="auto"/>
        </w:rPr>
      </w:pPr>
      <w:r>
        <w:rPr>
          <w:rFonts w:ascii="Arial" w:cs="Arial" w:eastAsia="Arial" w:hAnsi="Arial"/>
          <w:sz w:val="16"/>
          <w:szCs w:val="16"/>
          <w:color w:val="auto"/>
        </w:rPr>
        <w:t>in AD). Instead, consistent trends across different endpoints and dose dependency are considered indicators of a response in this learning phase of development, with confirmation then sought in Phase 3. The results showed trends favoring crenezumab in the milder patient population. Notably, in an exploratory analysis, the high-dose crenezumab arm showed a non-significant slowing of cognition in the overall and mildly demented populations, which was statistically significant (p=0.036) with a 35% slowing of the rate of cognitive decline measured by the ADAS-cog Scale over 73 weeks in patients with the non-pre-specified milder cognitive impairment (Mini-Mental State Examination score, or MMSE, of 22-26). The MMSE is a widely used test of overall cognitive function, which assesses memory, orientation and ability to perform simple tasks. Scores range from 0 (worst) to 30 (best) with a score of 0-11 indicating severe dementia, a score of 12-19 indicating moderate dementia and a score of 20-26 indicating mild dementia. Statistical significance is an indicator of the likelihood of an observed effect being due to the study drug rather than due to chance. The “p” value is the probability of an event occurring by chance alone. When the p value is less than 5% (0.05) the results are considered to be statistically significant.</w:t>
      </w:r>
    </w:p>
    <w:p>
      <w:pPr>
        <w:spacing w:after="0" w:line="75" w:lineRule="exact"/>
        <w:rPr>
          <w:sz w:val="20"/>
          <w:szCs w:val="20"/>
          <w:color w:val="auto"/>
        </w:rPr>
      </w:pPr>
    </w:p>
    <w:p>
      <w:pPr>
        <w:ind w:left="1480" w:right="40" w:hanging="446"/>
        <w:spacing w:after="0" w:line="264"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in cerebrospinal fluid, or CSF,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hanging="325"/>
        <w:spacing w:after="0" w:line="273"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ACI-24 is our wholly-owned anti-Abeta vaccine candidate that is T-cell independent, meaning it can generate an antibody response in the absence of T-cells. This product candidate is currently in a Phase 1/2a clinical study to evaluate safety, tolerability, immunogenicity and biomarker endpoints in patients with mild to moderate AD in Europe. We expect to complete our Phase 1/2a clinical study of ACI-24 and announce top line results in the second half of 2016. ACI-24 is also being studied in a Phase 1 clinical study in patients with Down syndrome, a population which is at high risk for AD. A protocol amendment for the Phase 1b study of ACI-24 was submitted to the FDA in September 2015. Phase 1 and 2 studies are also currently ongoing in Finland, Sweden and Denmark.</w:t>
      </w:r>
    </w:p>
    <w:p>
      <w:pPr>
        <w:spacing w:after="0" w:line="83" w:lineRule="exact"/>
        <w:rPr>
          <w:rFonts w:ascii="Arial" w:cs="Arial" w:eastAsia="Arial" w:hAnsi="Arial"/>
          <w:sz w:val="17"/>
          <w:szCs w:val="17"/>
          <w:color w:val="auto"/>
        </w:rPr>
      </w:pPr>
    </w:p>
    <w:p>
      <w:pPr>
        <w:ind w:left="900" w:right="40" w:hanging="325"/>
        <w:spacing w:after="0" w:line="297"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ACI-35 is an anti-tau vaccine candidate that is T-cell independent. We are developing ACI-35 under a collaboration agreement with Janssen, which we entered into in December 2014. A Phase 1b clinical study to evaluate the safety, tolerability and immunogenicity of ACI-35 in patients with mild to moderate AD is ongoing in Finland and the United Kingdom. We and Janssen are co-developing ACI-35 through this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 candidates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900" w:hanging="325"/>
        <w:spacing w:after="0" w:line="31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Our tau PET imaging agent is currently in a First-in-Man study (a clinical study in which a medical procedure, previously developed and assessed through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are also developing PET imaging diagnostics for diseases resulting from the misfolding of alpha-synuclein proteins, such as PD.</w:t>
      </w:r>
    </w:p>
    <w:p>
      <w:pPr>
        <w:spacing w:after="0" w:line="130" w:lineRule="exact"/>
        <w:rPr>
          <w:rFonts w:ascii="Arial" w:cs="Arial" w:eastAsia="Arial" w:hAnsi="Arial"/>
          <w:sz w:val="18"/>
          <w:szCs w:val="18"/>
          <w:color w:val="auto"/>
        </w:rPr>
      </w:pPr>
    </w:p>
    <w:p>
      <w:pPr>
        <w:ind w:left="900" w:right="240" w:hanging="325"/>
        <w:spacing w:after="0" w:line="286"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April 2016, we entered into a non-exclusive collaboration with Biogen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w:t>
      </w:r>
    </w:p>
    <w:p>
      <w:pPr>
        <w:spacing w:after="0" w:line="166"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 Neurodegenerative diseases, such as AD and PD as well as other neuro-orphan diseases, such as progressive supranuclear palsy, amyotrophic lateral sclerosis, or ALS, and Huntington’s disease, are all associated with pathologies that involve misfolded proteins. Research has shown that misfolded proteins are unable to carry out their normal functions and aggregate to form certain types of deposits such as Abeta plaques or tau tangles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31642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0573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71" w:lineRule="exact"/>
        <w:rPr>
          <w:sz w:val="20"/>
          <w:szCs w:val="20"/>
          <w:color w:val="auto"/>
        </w:rPr>
      </w:pPr>
    </w:p>
    <w:p>
      <w:pPr>
        <w:ind w:left="900" w:right="40" w:hanging="446"/>
        <w:spacing w:after="0" w:line="255"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 is the most common form of dementia, which affects an estimated worldwide patient population of 47 million in 2015, and is expected to grow to 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treatments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81" w:lineRule="exact"/>
        <w:rPr>
          <w:sz w:val="20"/>
          <w:szCs w:val="20"/>
          <w:color w:val="auto"/>
        </w:rPr>
      </w:pPr>
    </w:p>
    <w:p>
      <w:pPr>
        <w:ind w:left="920" w:right="300"/>
        <w:spacing w:after="0" w:line="257" w:lineRule="auto"/>
        <w:rPr>
          <w:sz w:val="20"/>
          <w:szCs w:val="20"/>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8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specific clinical study subjects, tracking patient progress and results, managing patients receiving treatment and ultimately diagnosing the disease at its earliest stage for immediate treatment.</w:t>
      </w:r>
    </w:p>
    <w:p>
      <w:pPr>
        <w:spacing w:after="0" w:line="76" w:lineRule="exact"/>
        <w:rPr>
          <w:sz w:val="20"/>
          <w:szCs w:val="20"/>
          <w:color w:val="auto"/>
        </w:rPr>
      </w:pPr>
    </w:p>
    <w:p>
      <w:pPr>
        <w:ind w:left="900" w:right="80" w:hanging="446"/>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3" w:lineRule="exact"/>
        <w:rPr>
          <w:sz w:val="20"/>
          <w:szCs w:val="20"/>
          <w:color w:val="auto"/>
        </w:rPr>
      </w:pPr>
    </w:p>
    <w:p>
      <w:pPr>
        <w:ind w:left="900" w:right="960" w:hanging="325"/>
        <w:spacing w:after="0" w:line="282"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Advance our product candidates, in partnership or alone, through clinical development to regulatory approval and potential commercialization.</w:t>
      </w:r>
    </w:p>
    <w:p>
      <w:pPr>
        <w:spacing w:after="0" w:line="71" w:lineRule="exact"/>
        <w:rPr>
          <w:rFonts w:ascii="Arial" w:cs="Arial" w:eastAsia="Arial" w:hAnsi="Arial"/>
          <w:sz w:val="18"/>
          <w:szCs w:val="18"/>
          <w:color w:val="auto"/>
        </w:rPr>
      </w:pPr>
    </w:p>
    <w:p>
      <w:pPr>
        <w:ind w:left="1480" w:right="440" w:hanging="446"/>
        <w:spacing w:after="0" w:line="264"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Crenezumab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will advance crenezumab through Phase 3 clinical studies and seek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We believe that crenezumab’s efficacy, coupled with its safety profile, has the potential to become a best-in-class disease-modifying treatment for AD.</w:t>
      </w:r>
    </w:p>
    <w:p>
      <w:pPr>
        <w:spacing w:after="0" w:line="86" w:lineRule="exact"/>
        <w:rPr>
          <w:rFonts w:ascii="Arial" w:cs="Arial" w:eastAsia="Arial" w:hAnsi="Arial"/>
          <w:sz w:val="18"/>
          <w:szCs w:val="18"/>
          <w:color w:val="auto"/>
        </w:rPr>
      </w:pPr>
    </w:p>
    <w:p>
      <w:pPr>
        <w:ind w:left="1480" w:right="160" w:hanging="446"/>
        <w:spacing w:after="0" w:line="297"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ACI-24</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continue to advance ACI-24, both through completion of an ongoing Phase 1/2a clinical study to evaluate the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tolerability, immunogenicity and biomarker endpoints in patients with mild to moderate AD and, if the Phase 1/2a results are favorable, through a Phase 2/3 clinical study in patients with Down syndrome. We expect top line results from our Phase 1/2a clinical study in the second half of 2016. Our Phase 1 clinical study of ACI-24 in patients with Down syndrome is intended to assess safety and started in December 2015. We own the global rights to ACI-24 and we intend to continue to develop ACI-24 in-house as a therapeutic candidate.</w:t>
      </w:r>
    </w:p>
    <w:p>
      <w:pPr>
        <w:spacing w:after="0" w:line="63" w:lineRule="exact"/>
        <w:rPr>
          <w:rFonts w:ascii="Arial" w:cs="Arial" w:eastAsia="Arial" w:hAnsi="Arial"/>
          <w:sz w:val="16"/>
          <w:szCs w:val="16"/>
          <w:color w:val="auto"/>
        </w:rPr>
      </w:pPr>
    </w:p>
    <w:p>
      <w:pPr>
        <w:ind w:left="1480" w:right="140" w:hanging="446"/>
        <w:spacing w:after="0" w:line="308" w:lineRule="auto"/>
        <w:tabs>
          <w:tab w:leader="none" w:pos="1480" w:val="left"/>
        </w:tabs>
        <w:numPr>
          <w:ilvl w:val="1"/>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ACI-35</w:t>
      </w:r>
      <w:r>
        <w:rPr>
          <w:rFonts w:ascii="Arial" w:cs="Arial" w:eastAsia="Arial" w:hAnsi="Arial"/>
          <w:sz w:val="17"/>
          <w:szCs w:val="17"/>
          <w:color w:val="auto"/>
        </w:rPr>
        <w:t>. We will continue to advance ACI-35 through Phase 1b clinical studies in collaboration with Janssen. If the Phase 1b results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favorable, Janssen will advance ACI-35 through the additional clinical development stages in collaboration with us.</w:t>
      </w:r>
    </w:p>
    <w:p>
      <w:pPr>
        <w:spacing w:after="0" w:line="51" w:lineRule="exact"/>
        <w:rPr>
          <w:rFonts w:ascii="Arial" w:cs="Arial" w:eastAsia="Arial" w:hAnsi="Arial"/>
          <w:sz w:val="17"/>
          <w:szCs w:val="17"/>
          <w:color w:val="auto"/>
        </w:rPr>
      </w:pPr>
    </w:p>
    <w:p>
      <w:pPr>
        <w:ind w:left="1480" w:right="160" w:hanging="446"/>
        <w:spacing w:after="0" w:line="308" w:lineRule="auto"/>
        <w:tabs>
          <w:tab w:leader="none" w:pos="1480" w:val="left"/>
        </w:tabs>
        <w:numPr>
          <w:ilvl w:val="1"/>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Diagnostic candidates</w:t>
      </w:r>
      <w:r>
        <w:rPr>
          <w:rFonts w:ascii="Arial" w:cs="Arial" w:eastAsia="Arial" w:hAnsi="Arial"/>
          <w:sz w:val="17"/>
          <w:szCs w:val="17"/>
          <w:color w:val="auto"/>
        </w:rPr>
        <w:t>. In addition to the above product candidates, we will continue to develop our complementary diagnostic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and to advance these through clinical development, either independently or with collaboration partners.</w:t>
      </w:r>
    </w:p>
    <w:p>
      <w:pPr>
        <w:spacing w:after="0" w:line="47" w:lineRule="exact"/>
        <w:rPr>
          <w:rFonts w:ascii="Arial" w:cs="Arial" w:eastAsia="Arial" w:hAnsi="Arial"/>
          <w:sz w:val="17"/>
          <w:szCs w:val="17"/>
          <w:color w:val="auto"/>
        </w:rPr>
      </w:pPr>
    </w:p>
    <w:p>
      <w:pPr>
        <w:jc w:val="both"/>
        <w:ind w:left="900" w:right="360" w:hanging="325"/>
        <w:spacing w:after="0" w:line="314"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Expand into other neurodegenerative and neuro-orphan diseases. </w:t>
      </w:r>
      <w:r>
        <w:rPr>
          <w:rFonts w:ascii="Arial" w:cs="Arial" w:eastAsia="Arial" w:hAnsi="Arial"/>
          <w:sz w:val="16"/>
          <w:szCs w:val="16"/>
          <w:color w:val="auto"/>
        </w:rPr>
        <w:t>We intend to leverage our proprietary technology platforms to develop</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candidates that share the same disease targets as misfolded Abeta, tau and alpha-synuclein proteins, which are the key features in the pathology of many neurodegenerative diseases. We plan to pursue selected neuro-orphan indications, such as PSP and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264" w:lineRule="auto"/>
        <w:rPr>
          <w:sz w:val="20"/>
          <w:szCs w:val="20"/>
          <w:color w:val="auto"/>
        </w:rPr>
      </w:pPr>
      <w:r>
        <w:rPr>
          <w:rFonts w:ascii="Arial" w:cs="Arial" w:eastAsia="Arial" w:hAnsi="Arial"/>
          <w:sz w:val="18"/>
          <w:szCs w:val="18"/>
          <w:color w:val="auto"/>
        </w:rPr>
        <w:t>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w:t>
      </w:r>
    </w:p>
    <w:p>
      <w:pPr>
        <w:spacing w:after="0" w:line="83" w:lineRule="exact"/>
        <w:rPr>
          <w:sz w:val="20"/>
          <w:szCs w:val="20"/>
          <w:color w:val="auto"/>
        </w:rPr>
      </w:pPr>
    </w:p>
    <w:p>
      <w:pPr>
        <w:ind w:left="900" w:right="80" w:hanging="325"/>
        <w:spacing w:after="0" w:line="25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Accelerate the advancement of our diagnostic portfolio. </w:t>
      </w:r>
      <w:r>
        <w:rPr>
          <w:rFonts w:ascii="Arial" w:cs="Arial" w:eastAsia="Arial" w:hAnsi="Arial"/>
          <w:sz w:val="18"/>
          <w:szCs w:val="18"/>
          <w:color w:val="auto"/>
        </w:rPr>
        <w:t>We are also developing a complementary diagnostic portfolio. We currently have</w:t>
      </w:r>
      <w:r>
        <w:rPr>
          <w:rFonts w:ascii="Arial" w:cs="Arial" w:eastAsia="Arial" w:hAnsi="Arial"/>
          <w:sz w:val="18"/>
          <w:szCs w:val="18"/>
          <w:b w:val="1"/>
          <w:bCs w:val="1"/>
          <w:color w:val="auto"/>
        </w:rPr>
        <w:t xml:space="preserve"> </w:t>
      </w:r>
      <w:r>
        <w:rPr>
          <w:rFonts w:ascii="Arial" w:cs="Arial" w:eastAsia="Arial" w:hAnsi="Arial"/>
          <w:sz w:val="18"/>
          <w:szCs w:val="18"/>
          <w:color w:val="auto"/>
        </w:rPr>
        <w:t>three diagnostics candidates in our pipeline that we developed using our Morphomer and SupraAntigen platforms. Our tau PET imaging agent is currently undergoing First-in-Man studies and we intend to work with our partner, Piramal Imaging, to advance this product candidate through the clinical development process. We are also developing PET imaging diagnostics for diseases resulting from the misfolding of alpha-synuclein proteins.</w:t>
      </w:r>
    </w:p>
    <w:p>
      <w:pPr>
        <w:spacing w:after="0" w:line="8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duality of our therapeutic and diagnostic approaches to become the leader in personalized treatment of neurodegenerative diseases. </w:t>
      </w:r>
      <w:r>
        <w:rPr>
          <w:rFonts w:ascii="Arial" w:cs="Arial" w:eastAsia="Arial" w:hAnsi="Arial"/>
          <w:sz w:val="16"/>
          <w:szCs w:val="16"/>
          <w:color w:val="auto"/>
        </w:rPr>
        <w:t>Personalized medicine involves the development of diagnostics, therapies and treatment procedures best suited for an individual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taking into consideration the stage of the disease, as well as genetic and environmental factors.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65"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collaborate or selectively partner for the development and commercialization of product candidates. </w:t>
      </w:r>
      <w:r>
        <w:rPr>
          <w:rFonts w:ascii="Arial" w:cs="Arial" w:eastAsia="Arial" w:hAnsi="Arial"/>
          <w:sz w:val="16"/>
          <w:szCs w:val="16"/>
          <w:color w:val="auto"/>
        </w:rPr>
        <w:t>Historically,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146050</wp:posOffset>
            </wp:positionV>
            <wp:extent cx="4364990" cy="17665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6499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130810</wp:posOffset>
            </wp:positionV>
            <wp:extent cx="5145405" cy="18522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540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 in patients with milder stages of the disease. As a result of this, in recent years, there has been a movement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change the way that neurodegenerative diseases are treated by combining reliable diagnostic tools that facilitate intervening at earlier stages of the disease with therapies that treat the underlying disease process, as shown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seeks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PSP, ALS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We believe that we are a leader in discovering new PET imaging agents to improve the timing and accuracy of diagnoses in neurodegenerative diseases. We have three diagnostic candidates in our pipeline that were developed through our Morphomer and SupraAntigen platforms and that target Abeta, tau and alpha-synuclein. We believe our tau-PET imaging program has received external validation through our partnership with Piramal Imaging, a leader in imaging agents. We are also developing an Abeta and tau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agent for AD and an alpha-synuclein PET imaging agent for PD. We believe that our diagnostic product candidate pipeline will complement our disease-modifying treatment product candidate pipeline, with the ultimate goal of reshaping the clinical course and treatment of neurodegenerative diseases.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research and development program is based on our two unique proprietary technology platforms: our SupraAntigen platform, which is our biological and immunological platform, and our Morphomer platform, which is our small molecule, chemical platform. These platforms are designed to generate antibodies and small molecules, respectively, which selectively bind to misfolded proteins which are common in a broad range of neurodegenerative diseases.</w:t>
      </w:r>
    </w:p>
    <w:p>
      <w:pPr>
        <w:spacing w:after="0" w:line="18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Abeta and tau typically found in AD and certain other neurodegenerative diseases. In addition to the high target specificity, the generated antibodies clear the misfolded proteins from the brain without generating inflammation. This characteristic was clinically confirmed in the Phase 2 clinical studies of crenezumab, where a favorable safety profile was demonstrated. Similarly, ACI-35 and ACI-24 have been well tolerated in their respective Phase 1b and 1/2a clinical studies. Our diagnostic portfolio is also an important part of our strategy, as PET and molecular diagnostics should enable earlier diagnosis of neurodegeneration than current approaches that are based on clinical symptoms, a result that we believe will result in better clinical outcomes.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has shown that misfolded proteins are not only unable to carry out their normal functions but that they also aggregate to form deposits commonly known as plaques and tangles that damage neuronal tissue and lead to cell death. Our SupraAntigen and Morphomer platforms seek to produce conformationally specific molecules, which are molecules that are able to differentiate between misfolded proteins and normally-folded proteins, and target misfolded proteins with minimal side effects on normally-folded proteins. We believe that our platforms can also generate compounds in indications related to protein misfolding outside of neurodegenerative disease, such as in glaucoma where aggregated Abeta peptides and tau proteins have been shown to cause damage to the optic nerve.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platforms address two key issues in the development of drugs against diseases of protein misfolding:</w:t>
      </w:r>
    </w:p>
    <w:p>
      <w:pPr>
        <w:spacing w:after="0" w:line="131" w:lineRule="exact"/>
        <w:rPr>
          <w:sz w:val="20"/>
          <w:szCs w:val="20"/>
          <w:color w:val="auto"/>
        </w:rPr>
      </w:pPr>
    </w:p>
    <w:p>
      <w:pPr>
        <w:ind w:left="900" w:right="18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body does not make antibodies against misfolded proteins because, although pathogenic, they are still recognized as “self-proteins” and do not trigger an immune response.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difference between a normal protein and a pathological protein is only related to a conformational change in protein structure making drug specificity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134620</wp:posOffset>
            </wp:positionV>
            <wp:extent cx="3696335" cy="18694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9633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diagram above shows the process by which conformationally-specific molecules break down the aggregation of misfolded proteins. We expect that antibodies and Morphomers should prevent or disrupt the formation of insoluble plaques and stabilize soluble non-pathological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-34290</wp:posOffset>
            </wp:positionV>
            <wp:extent cx="2607310" cy="1560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0731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SupraAntigen platform was created by our scientific founders Dr. Claude Nicolau in collaboration with Dr. Fred Van Leuven. This technology generates conformation-sensitive antibodies and is used by us to create product candidates for both passive and active immunization. Passive immunization involves the application of therapeutic antibodies, whereas active immunization stimulates the human body to make its own antibodies against pathological proteins, as shown in the diagram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Active Immunization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approach is based on the ability of antigens attached to liposomes to elicit the immune system to produce antibodies against self-proteins. The liposome is constructed of cholesterol, phospholipids and monophospholipid-A as an adjuvant. The liposome can accommodate antigens, or peptides, of different lengths that are chemically modified with palmitic acids to “anchor” them in the liposomal membrane. The interaction between the charged liposome surface and the peptides force the peptide into the pathological conformation that mimics the targeted misfolded proteins. The diagram below shows the vaccine construct which is used as a basis for ACI-24 and ACI-35 vaccine candidates. ACI-24 and ACI-35 are vaccine candidates developed using our SupraAntigen platform for active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71755</wp:posOffset>
            </wp:positionV>
            <wp:extent cx="3009900" cy="258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00990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Passive Immunization</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SupraAntigen platform can also be used to develop passive immunization product candidates. The antibodies are created by injecting the SupraAntigen constructs in mice and by selecting the antibodies for their ability to break up aggregated fibers. The antibodies eliminate protein aggregates such as plaques and tangles by changing the equilibrium from the insoluble pathological to the soluble fibers which are depleted by the antibodies. Both crenezumab and the anti-tau antibodies were derived from this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Morphomer Platform</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Our Morphomer platform represents a highly promising technology to identify and develop therapeutic small molecules for the treatment of diseases resulting from misfolded proteins. This proprietary platform enables us to generate small molecules that bind to their target and break up neurotoxic protein aggregates. As of March 31, 2016, the Morphomer library consisted of more than 2,400 compounds. Our key platform assets have been validated for selective binding to Abeta, tau and alpha-synuclein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efficacy studies and have a validated mechanism of action through reproducible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for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146050</wp:posOffset>
            </wp:positionV>
            <wp:extent cx="4168140" cy="30702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68140"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figure above shows a Morphomer blocking amyloid growth. Only one end of aggregated amyloid fibers grows, and these molecules are designed to inhibit that growing end as shown in the above diagram.</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Most molecules involved in neurodegenerative diseases follow the same overall disease development and aggregation process, including Abeta in AD, alpha-synuclein in PD and huntingtin in Huntington’s disease.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advantages of our Morphomer platform include:</w:t>
      </w:r>
    </w:p>
    <w:p>
      <w:pPr>
        <w:spacing w:after="0" w:line="131"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High specificity for the targeted misfolded protein;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One Morphomer can inhibit multiple protein units in oligomers and fibers;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Early inhibition of aggregation and seeding.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Morphomer platform was developed through a collaboration of our scientific founders Dr. Jean-Marie Lehn, a recipient of the Nobel Prize in chemistry, and Dr. Claude Nicolau, a former Harvard University professor, and our board member Dr. Detlev Riesner.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the misfolded version of Abeta and has a broad binding profile. Crenezumab was developed using our proprietary SupraAntigen platform. In 2006, we licensed crenezumab to Genentech and a company with a long history of developing and commercializing innovative biologics.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Abeta is produced by the breakdown of a larger protein called amyloid precursor protein, or APP. The Abeta fragment containing 42 amino acids, or Abeta</w:t>
      </w:r>
      <w:r>
        <w:rPr>
          <w:rFonts w:ascii="Arial" w:cs="Arial" w:eastAsia="Arial" w:hAnsi="Arial"/>
          <w:sz w:val="14"/>
          <w:szCs w:val="14"/>
          <w:color w:val="auto"/>
        </w:rPr>
        <w:t>1–42</w:t>
      </w:r>
      <w:r>
        <w:rPr>
          <w:rFonts w:ascii="Arial" w:cs="Arial" w:eastAsia="Arial" w:hAnsi="Arial"/>
          <w:sz w:val="17"/>
          <w:szCs w:val="17"/>
          <w:color w:val="auto"/>
        </w:rPr>
        <w:t>,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w:t>
      </w:r>
      <w:r>
        <w:rPr>
          <w:rFonts w:ascii="Arial" w:cs="Arial" w:eastAsia="Arial" w:hAnsi="Arial"/>
          <w:sz w:val="14"/>
          <w:szCs w:val="14"/>
          <w:color w:val="auto"/>
        </w:rPr>
        <w:t>1–42</w:t>
      </w:r>
      <w:r>
        <w:rPr>
          <w:rFonts w:ascii="Arial" w:cs="Arial" w:eastAsia="Arial" w:hAnsi="Arial"/>
          <w:sz w:val="17"/>
          <w:szCs w:val="17"/>
          <w:color w:val="auto"/>
        </w:rPr>
        <w:t>, as well as multiple forms of Abeta, including monomers, oligomers, and fibrils, which reduces Abeta</w:t>
      </w:r>
      <w:r>
        <w:rPr>
          <w:rFonts w:ascii="Arial" w:cs="Arial" w:eastAsia="Arial" w:hAnsi="Arial"/>
          <w:sz w:val="14"/>
          <w:szCs w:val="14"/>
          <w:color w:val="auto"/>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crenezumab may have the following important competitive advantages relative to other drugs targeting Abeta in development</w:t>
      </w:r>
      <w:r>
        <w:rPr>
          <w:rFonts w:ascii="Arial" w:cs="Arial" w:eastAsia="Arial" w:hAnsi="Arial"/>
          <w:sz w:val="17"/>
          <w:szCs w:val="17"/>
          <w:i w:val="1"/>
          <w:iCs w:val="1"/>
          <w:color w:val="auto"/>
        </w:rPr>
        <w:t>:</w:t>
      </w:r>
    </w:p>
    <w:p>
      <w:pPr>
        <w:spacing w:after="0" w:line="142"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right="240" w:hanging="446"/>
        <w:spacing w:after="0" w:line="264"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Due to its high affinity to the multiple forms of Abeta, crenezumab also protects against oligomer-induced neurotoxicity.</w:t>
      </w:r>
    </w:p>
    <w:p>
      <w:pPr>
        <w:spacing w:after="0" w:line="130" w:lineRule="exact"/>
        <w:rPr>
          <w:rFonts w:ascii="Arial" w:cs="Arial" w:eastAsia="Arial" w:hAnsi="Arial"/>
          <w:sz w:val="18"/>
          <w:szCs w:val="18"/>
          <w:color w:val="auto"/>
        </w:rPr>
      </w:pPr>
    </w:p>
    <w:p>
      <w:pPr>
        <w:ind w:left="1480" w:right="440" w:hanging="446"/>
        <w:spacing w:after="0" w:line="277"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Linked to its unique epitope, crenezumab has been shown to promote disaggregation of existing Abeta aggregates and disrupt their assembly to prevent amyloid plaque formation.</w:t>
      </w:r>
    </w:p>
    <w:p>
      <w:pPr>
        <w:spacing w:after="0" w:line="75" w:lineRule="exact"/>
        <w:rPr>
          <w:rFonts w:ascii="Arial" w:cs="Arial" w:eastAsia="Arial" w:hAnsi="Arial"/>
          <w:sz w:val="18"/>
          <w:szCs w:val="18"/>
          <w:color w:val="auto"/>
        </w:rPr>
      </w:pPr>
    </w:p>
    <w:p>
      <w:pPr>
        <w:ind w:left="1480" w:right="80" w:hanging="446"/>
        <w:spacing w:after="0" w:line="277"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-19050</wp:posOffset>
            </wp:positionV>
            <wp:extent cx="4081780" cy="2066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8178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(MMSE 22-26):</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75"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BLAZE biomarker study, the high-dose arm showed a consistent trend of reduced Abeta accumulation in the brain over time, as shown in two independent exploratory analyses of florbetapir-PET data. In addition, it has been shown that crenezumab has the ability to enhance the removal of these proteins from the brain as evidenced by a significant increase in CSF Abeta, confirming target engagement by crenezumab.</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180" w:hanging="446"/>
        <w:spacing w:after="0" w:line="25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Phase 2 data from ABBY and BLAZE studies suggested that there were no imbalances in overall rate of Adverse Events, or AEs, and overall rate of AEs was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 believe were related to the administration of crenezumab.</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20" w:hanging="446"/>
        <w:spacing w:after="0" w:line="302" w:lineRule="auto"/>
        <w:tabs>
          <w:tab w:leader="none" w:pos="14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w:t>
      </w:r>
    </w:p>
    <w:p>
      <w:pPr>
        <w:spacing w:after="0" w:line="59" w:lineRule="exact"/>
        <w:rPr>
          <w:rFonts w:ascii="Arial" w:cs="Arial" w:eastAsia="Arial" w:hAnsi="Arial"/>
          <w:sz w:val="16"/>
          <w:szCs w:val="16"/>
          <w:color w:val="auto"/>
        </w:rPr>
      </w:pPr>
    </w:p>
    <w:p>
      <w:pPr>
        <w:ind w:left="1480" w:right="220" w:hanging="446"/>
        <w:spacing w:after="0" w:line="277"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Due to its favorable safety profile, there is an ongoing Phase 1 study in which crenezumab is currently being studied at higher doses to potentially increase its efficacy signal.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relative incidence of ARIA-E of crenezumab and other competitive product candidates.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Antibody</w:t>
            </w:r>
          </w:p>
        </w:tc>
        <w:tc>
          <w:tcPr>
            <w:tcW w:w="1060" w:type="dxa"/>
            <w:vAlign w:val="bottom"/>
          </w:tcPr>
          <w:p>
            <w:pPr>
              <w:spacing w:after="0"/>
              <w:rPr>
                <w:sz w:val="16"/>
                <w:szCs w:val="16"/>
                <w:color w:val="auto"/>
              </w:rPr>
            </w:pPr>
          </w:p>
        </w:tc>
        <w:tc>
          <w:tcPr>
            <w:tcW w:w="2280" w:type="dxa"/>
            <w:vAlign w:val="bottom"/>
          </w:tcPr>
          <w:p>
            <w:pPr>
              <w:ind w:left="480"/>
              <w:spacing w:after="0"/>
              <w:rPr>
                <w:sz w:val="20"/>
                <w:szCs w:val="20"/>
                <w:color w:val="auto"/>
              </w:rPr>
            </w:pPr>
            <w:r>
              <w:rPr>
                <w:rFonts w:ascii="Arial" w:cs="Arial" w:eastAsia="Arial" w:hAnsi="Arial"/>
                <w:sz w:val="14"/>
                <w:szCs w:val="14"/>
                <w:b w:val="1"/>
                <w:bCs w:val="1"/>
                <w:color w:val="auto"/>
              </w:rPr>
              <w:t>Stage of development</w:t>
            </w:r>
          </w:p>
        </w:tc>
        <w:tc>
          <w:tcPr>
            <w:tcW w:w="30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Isotype</w:t>
            </w:r>
          </w:p>
        </w:tc>
        <w:tc>
          <w:tcPr>
            <w:tcW w:w="2900" w:type="dxa"/>
            <w:vAlign w:val="bottom"/>
          </w:tcPr>
          <w:p>
            <w:pPr>
              <w:ind w:left="940"/>
              <w:spacing w:after="0"/>
              <w:rPr>
                <w:sz w:val="20"/>
                <w:szCs w:val="20"/>
                <w:color w:val="auto"/>
              </w:rPr>
            </w:pPr>
            <w:r>
              <w:rPr>
                <w:rFonts w:ascii="Arial" w:cs="Arial" w:eastAsia="Arial" w:hAnsi="Arial"/>
                <w:sz w:val="14"/>
                <w:szCs w:val="14"/>
                <w:b w:val="1"/>
                <w:bCs w:val="1"/>
                <w:color w:val="auto"/>
              </w:rPr>
              <w:t>ARIA-E (safety)</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060" w:type="dxa"/>
            <w:vAlign w:val="bottom"/>
            <w:vMerge w:val="restart"/>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0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Crenezumab</w:t>
            </w:r>
          </w:p>
        </w:tc>
        <w:tc>
          <w:tcPr>
            <w:tcW w:w="1060" w:type="dxa"/>
            <w:vAlign w:val="bottom"/>
            <w:vMerge w:val="continue"/>
            <w:shd w:val="clear" w:color="auto" w:fill="CCEEFF"/>
          </w:tcPr>
          <w:p>
            <w:pPr>
              <w:spacing w:after="0"/>
              <w:rPr>
                <w:sz w:val="15"/>
                <w:szCs w:val="15"/>
                <w:color w:val="auto"/>
              </w:rPr>
            </w:pPr>
          </w:p>
        </w:tc>
        <w:tc>
          <w:tcPr>
            <w:tcW w:w="228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Phase 3</w:t>
            </w:r>
          </w:p>
        </w:tc>
        <w:tc>
          <w:tcPr>
            <w:tcW w:w="30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jc w:val="right"/>
              <w:ind w:right="19"/>
              <w:spacing w:after="0" w:line="178" w:lineRule="exact"/>
              <w:rPr>
                <w:sz w:val="20"/>
                <w:szCs w:val="20"/>
                <w:color w:val="auto"/>
              </w:rPr>
            </w:pPr>
            <w:r>
              <w:rPr>
                <w:rFonts w:ascii="Arial" w:cs="Arial" w:eastAsia="Arial" w:hAnsi="Arial"/>
                <w:sz w:val="18"/>
                <w:szCs w:val="18"/>
                <w:color w:val="auto"/>
                <w:w w:val="86"/>
              </w:rPr>
              <w:t>IgG4</w:t>
            </w:r>
          </w:p>
        </w:tc>
        <w:tc>
          <w:tcPr>
            <w:tcW w:w="400" w:type="dxa"/>
            <w:vAlign w:val="bottom"/>
            <w:vMerge w:val="continue"/>
            <w:shd w:val="clear" w:color="auto" w:fill="CCEEFF"/>
          </w:tcPr>
          <w:p>
            <w:pPr>
              <w:spacing w:after="0"/>
              <w:rPr>
                <w:sz w:val="15"/>
                <w:szCs w:val="15"/>
                <w:color w:val="auto"/>
              </w:rPr>
            </w:pPr>
          </w:p>
        </w:tc>
        <w:tc>
          <w:tcPr>
            <w:tcW w:w="290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&lt; 0.3% in Ph2</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(Genentech / AC Immune)</w:t>
            </w:r>
          </w:p>
        </w:tc>
        <w:tc>
          <w:tcPr>
            <w:tcW w:w="106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Solanezumab</w:t>
            </w:r>
          </w:p>
        </w:tc>
        <w:tc>
          <w:tcPr>
            <w:tcW w:w="3340" w:type="dxa"/>
            <w:vAlign w:val="bottom"/>
            <w:gridSpan w:val="2"/>
          </w:tcPr>
          <w:p>
            <w:pPr>
              <w:ind w:left="1060"/>
              <w:spacing w:after="0" w:line="198" w:lineRule="exact"/>
              <w:rPr>
                <w:sz w:val="20"/>
                <w:szCs w:val="20"/>
                <w:color w:val="auto"/>
              </w:rPr>
            </w:pPr>
            <w:r>
              <w:rPr>
                <w:rFonts w:ascii="Arial" w:cs="Arial" w:eastAsia="Arial" w:hAnsi="Arial"/>
                <w:sz w:val="18"/>
                <w:szCs w:val="18"/>
                <w:color w:val="auto"/>
              </w:rPr>
              <w:t>Phase 3</w:t>
            </w:r>
          </w:p>
        </w:tc>
        <w:tc>
          <w:tcPr>
            <w:tcW w:w="1160" w:type="dxa"/>
            <w:vAlign w:val="bottom"/>
            <w:gridSpan w:val="3"/>
          </w:tcPr>
          <w:p>
            <w:pPr>
              <w:jc w:val="right"/>
              <w:ind w:right="500"/>
              <w:spacing w:after="0" w:line="198" w:lineRule="exact"/>
              <w:rPr>
                <w:sz w:val="20"/>
                <w:szCs w:val="20"/>
                <w:color w:val="auto"/>
              </w:rPr>
            </w:pPr>
            <w:r>
              <w:rPr>
                <w:rFonts w:ascii="Arial" w:cs="Arial" w:eastAsia="Arial" w:hAnsi="Arial"/>
                <w:sz w:val="18"/>
                <w:szCs w:val="18"/>
                <w:color w:val="auto"/>
              </w:rPr>
              <w:t>IgG1</w:t>
            </w:r>
          </w:p>
        </w:tc>
        <w:tc>
          <w:tcPr>
            <w:tcW w:w="2900" w:type="dxa"/>
            <w:vAlign w:val="bottom"/>
          </w:tcPr>
          <w:p>
            <w:pPr>
              <w:spacing w:after="0" w:line="198" w:lineRule="exact"/>
              <w:rPr>
                <w:sz w:val="20"/>
                <w:szCs w:val="20"/>
                <w:color w:val="auto"/>
              </w:rPr>
            </w:pPr>
            <w:r>
              <w:rPr>
                <w:rFonts w:ascii="Arial" w:cs="Arial" w:eastAsia="Arial" w:hAnsi="Arial"/>
                <w:sz w:val="18"/>
                <w:szCs w:val="18"/>
                <w:color w:val="auto"/>
              </w:rPr>
              <w:t>0.9% in Ph3</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(Eli Lilly)</w:t>
            </w:r>
          </w:p>
        </w:tc>
        <w:tc>
          <w:tcPr>
            <w:tcW w:w="10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Gantenerumab</w:t>
            </w:r>
          </w:p>
        </w:tc>
        <w:tc>
          <w:tcPr>
            <w:tcW w:w="3340" w:type="dxa"/>
            <w:vAlign w:val="bottom"/>
            <w:gridSpan w:val="2"/>
            <w:shd w:val="clear" w:color="auto" w:fill="CCEEFF"/>
          </w:tcPr>
          <w:p>
            <w:pPr>
              <w:ind w:left="1060"/>
              <w:spacing w:after="0" w:line="198" w:lineRule="exact"/>
              <w:rPr>
                <w:sz w:val="20"/>
                <w:szCs w:val="20"/>
                <w:color w:val="auto"/>
              </w:rPr>
            </w:pPr>
            <w:r>
              <w:rPr>
                <w:rFonts w:ascii="Arial" w:cs="Arial" w:eastAsia="Arial" w:hAnsi="Arial"/>
                <w:sz w:val="18"/>
                <w:szCs w:val="18"/>
                <w:color w:val="auto"/>
              </w:rPr>
              <w:t>Phase 3</w:t>
            </w:r>
          </w:p>
        </w:tc>
        <w:tc>
          <w:tcPr>
            <w:tcW w:w="1160" w:type="dxa"/>
            <w:vAlign w:val="bottom"/>
            <w:gridSpan w:val="3"/>
            <w:shd w:val="clear" w:color="auto" w:fill="CCEEFF"/>
          </w:tcPr>
          <w:p>
            <w:pPr>
              <w:jc w:val="right"/>
              <w:ind w:right="500"/>
              <w:spacing w:after="0" w:line="198" w:lineRule="exact"/>
              <w:rPr>
                <w:sz w:val="20"/>
                <w:szCs w:val="20"/>
                <w:color w:val="auto"/>
              </w:rPr>
            </w:pPr>
            <w:r>
              <w:rPr>
                <w:rFonts w:ascii="Arial" w:cs="Arial" w:eastAsia="Arial" w:hAnsi="Arial"/>
                <w:sz w:val="18"/>
                <w:szCs w:val="18"/>
                <w:color w:val="auto"/>
              </w:rPr>
              <w:t>IgG1</w:t>
            </w:r>
          </w:p>
        </w:tc>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1"/>
              </w:rPr>
              <w:t>~10% in Ph1 Multiple Ascending Doses</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(Roche)</w:t>
            </w:r>
          </w:p>
        </w:tc>
        <w:tc>
          <w:tcPr>
            <w:tcW w:w="106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Aducanumab</w:t>
            </w:r>
          </w:p>
        </w:tc>
        <w:tc>
          <w:tcPr>
            <w:tcW w:w="3340" w:type="dxa"/>
            <w:vAlign w:val="bottom"/>
            <w:gridSpan w:val="2"/>
          </w:tcPr>
          <w:p>
            <w:pPr>
              <w:ind w:left="1060"/>
              <w:spacing w:after="0" w:line="198" w:lineRule="exact"/>
              <w:rPr>
                <w:sz w:val="20"/>
                <w:szCs w:val="20"/>
                <w:color w:val="auto"/>
              </w:rPr>
            </w:pPr>
            <w:r>
              <w:rPr>
                <w:rFonts w:ascii="Arial" w:cs="Arial" w:eastAsia="Arial" w:hAnsi="Arial"/>
                <w:sz w:val="18"/>
                <w:szCs w:val="18"/>
                <w:color w:val="auto"/>
              </w:rPr>
              <w:t>Phase 3</w:t>
            </w:r>
          </w:p>
        </w:tc>
        <w:tc>
          <w:tcPr>
            <w:tcW w:w="1160" w:type="dxa"/>
            <w:vAlign w:val="bottom"/>
            <w:gridSpan w:val="3"/>
          </w:tcPr>
          <w:p>
            <w:pPr>
              <w:jc w:val="right"/>
              <w:ind w:right="500"/>
              <w:spacing w:after="0" w:line="198" w:lineRule="exact"/>
              <w:rPr>
                <w:sz w:val="20"/>
                <w:szCs w:val="20"/>
                <w:color w:val="auto"/>
              </w:rPr>
            </w:pPr>
            <w:r>
              <w:rPr>
                <w:rFonts w:ascii="Arial" w:cs="Arial" w:eastAsia="Arial" w:hAnsi="Arial"/>
                <w:sz w:val="18"/>
                <w:szCs w:val="18"/>
                <w:color w:val="auto"/>
              </w:rPr>
              <w:t>IgG1</w:t>
            </w:r>
          </w:p>
        </w:tc>
        <w:tc>
          <w:tcPr>
            <w:tcW w:w="2900" w:type="dxa"/>
            <w:vAlign w:val="bottom"/>
          </w:tcPr>
          <w:p>
            <w:pPr>
              <w:spacing w:after="0" w:line="198" w:lineRule="exact"/>
              <w:rPr>
                <w:sz w:val="20"/>
                <w:szCs w:val="20"/>
                <w:color w:val="auto"/>
              </w:rPr>
            </w:pPr>
            <w:r>
              <w:rPr>
                <w:rFonts w:ascii="Arial" w:cs="Arial" w:eastAsia="Arial" w:hAnsi="Arial"/>
                <w:sz w:val="18"/>
                <w:szCs w:val="18"/>
                <w:color w:val="auto"/>
              </w:rPr>
              <w:t>41% in Ph1b</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(Biogen)</w:t>
            </w:r>
          </w:p>
        </w:tc>
        <w:tc>
          <w:tcPr>
            <w:tcW w:w="10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Bapineuzumab</w:t>
            </w:r>
          </w:p>
        </w:tc>
        <w:tc>
          <w:tcPr>
            <w:tcW w:w="3340" w:type="dxa"/>
            <w:vAlign w:val="bottom"/>
            <w:gridSpan w:val="2"/>
            <w:shd w:val="clear" w:color="auto" w:fill="CCEEFF"/>
          </w:tcPr>
          <w:p>
            <w:pPr>
              <w:ind w:left="1060"/>
              <w:spacing w:after="0" w:line="198" w:lineRule="exact"/>
              <w:rPr>
                <w:sz w:val="20"/>
                <w:szCs w:val="20"/>
                <w:color w:val="auto"/>
              </w:rPr>
            </w:pPr>
            <w:r>
              <w:rPr>
                <w:rFonts w:ascii="Arial" w:cs="Arial" w:eastAsia="Arial" w:hAnsi="Arial"/>
                <w:sz w:val="18"/>
                <w:szCs w:val="18"/>
                <w:color w:val="auto"/>
              </w:rPr>
              <w:t>Terminated after Phase 3</w:t>
            </w:r>
          </w:p>
        </w:tc>
        <w:tc>
          <w:tcPr>
            <w:tcW w:w="1160" w:type="dxa"/>
            <w:vAlign w:val="bottom"/>
            <w:gridSpan w:val="3"/>
            <w:shd w:val="clear" w:color="auto" w:fill="CCEEFF"/>
          </w:tcPr>
          <w:p>
            <w:pPr>
              <w:jc w:val="right"/>
              <w:ind w:right="500"/>
              <w:spacing w:after="0" w:line="198" w:lineRule="exact"/>
              <w:rPr>
                <w:sz w:val="20"/>
                <w:szCs w:val="20"/>
                <w:color w:val="auto"/>
              </w:rPr>
            </w:pPr>
            <w:r>
              <w:rPr>
                <w:rFonts w:ascii="Arial" w:cs="Arial" w:eastAsia="Arial" w:hAnsi="Arial"/>
                <w:sz w:val="18"/>
                <w:szCs w:val="18"/>
                <w:color w:val="auto"/>
              </w:rPr>
              <w:t>IgG1</w:t>
            </w:r>
          </w:p>
        </w:tc>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 in Ph3</w:t>
            </w:r>
          </w:p>
        </w:tc>
        <w:tc>
          <w:tcPr>
            <w:tcW w:w="0" w:type="dxa"/>
            <w:vAlign w:val="bottom"/>
          </w:tcPr>
          <w:p>
            <w:pPr>
              <w:spacing w:after="0"/>
              <w:rPr>
                <w:sz w:val="1"/>
                <w:szCs w:val="1"/>
                <w:color w:val="auto"/>
              </w:rPr>
            </w:pPr>
          </w:p>
        </w:tc>
      </w:tr>
      <w:tr>
        <w:trPr>
          <w:trHeight w:val="248"/>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(Elan / Pfizer / J&amp;J)</w:t>
            </w:r>
          </w:p>
        </w:tc>
        <w:tc>
          <w:tcPr>
            <w:tcW w:w="106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2 Studies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2 Study Design Overview</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Design</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ABBY study was a randomized, double-blind, parallel group, placebo-controlled study to evaluate the safety and efficacy of crenezumab in patients with mild to moderate AD, with an MMSE score at screening of 18-26 points. 444 patients were enrolled into the study including 13 patients who were included in a safety run-in cohort to support the use of the 15 mg/kg intravenous dose, which had not been tested in Phase 1. Since these patients received active medication after the second infusion and were then no longer blinded, they were included in the safety, but not the primary efficacy, analysis. The remaining 431 patients were randomized separately to</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receive crenezumab, either subcutaneously at a dose of 300 mg every two weeks (low dose) or intravenously at a dose of 15 mg/kg once every 4 weeks (high-dose), with a 2:1 active:placebo ratio in each dose group. In the subcutaneous injection dose arm, 122 patients received crenezumab and 62 patients received placebo. In the intravenous dose arm, 163 patients received crenezumab and 84 patients received placebo.</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Co-primary endpoints were cognition assessed using the Alzheimer Disease Assessment Scale-Cognitive Subscale, or ADAS-cog 12 scale, and global function assessed by the Clinical Dementia Rating-Sum of Boxes (CDR-Sum of boxes). Secondary endpoints such as the MMSE score and Digit Symbol Substitution Test, or DSST, were also included in the study. ADAS-cog is a widely used scale in clinical studies that measures a patient’s performance on tests of memory and other areas of cognition, especially orientation, praxis and language. Scores range from 0 (best) to 70 (worst). The ADAS-cog 12 score includes an additional item of delayed recall, leading to a highest possible score of 80 points. On average, the score of patients with mild to moderate AD increases by 5 to 8 points per year.</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CDR-Sum of boxes is an assessment of “global” (overall) function of the patient in daily life. The patient’s performance in the six domains of memory, orientation, judgment and problem solving, community affairs, home and hobbies and personal care are assessed through interviews with the patient and caregiver. Each domain is scored from 0 (best) to 3 (worst) based on the level of impairment. The scores for the six domains are then summed up and the resulting score or “sum of boxes” ranges from 0 to 18, with a higher score indicating greater impairment.</w:t>
      </w:r>
    </w:p>
    <w:p>
      <w:pPr>
        <w:spacing w:after="0" w:line="131"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DSST is a classic paper and pencil test used to assess a patient’s processing speed in the so-called digit symbol substitution test during which the patient is asked to insert a symbol in place of a digit according to a scheme as quickly as possible over a set period of time. The DSST measures the number of correct symbols the patient inserts within the allowed time, i.e. 90 or 120 seconds. A higher score demonstrates better performance.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96840" cy="33788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9684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Results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171450</wp:posOffset>
            </wp:positionV>
            <wp:extent cx="5213985" cy="4982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498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An exploratory subanalysis in a non-pre-specified subgroup of patients with milder symptoms (MMSE 22-26) showed a 35.4% reduction in cognitive decline. The sample size of the study was not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High Dose Arm: Change in DSST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402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3985" cy="540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ABBY high-dose arm result for DSST was significant in the milder patient sub-group (MMSE 22-26). The mild and milder patients that were given crenezumab intravenously showed no further cognitive deterioration between 12 and 18 months.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patients with milder symptoms (MMSE 22-26) showed a 19.6% reduction in global functional decline. Although the results were not statistically significant, it should be noted that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Trends favoring crenezumab were not observed in the activities of daily living scale (ADCS-ADL) although the study was significantly underpowered for this type of assessment.</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Design</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BLAZE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171450</wp:posOffset>
            </wp:positionV>
            <wp:extent cx="4673600" cy="28644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7360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Results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 results using white matter reference region were conducted independently by two laboratories, the Banner Alzheimer’s Institute and MNI Laboratories. The analyses produced analogous results where a trend in the reduction of Abeta accumulation was observed in the high-dose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139700</wp:posOffset>
            </wp:positionV>
            <wp:extent cx="5213985" cy="25387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398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172085</wp:posOffset>
            </wp:positionV>
            <wp:extent cx="2538730" cy="22637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3873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sample size of the study was not expected to have adequate power to detect a modest but clinically significant difference between active medication and placebo at the 5% significance level (as is commonly the case in Phase 2 studies in AD). BLAZE study results suggest that Abeta is being eliminated from the brain as patients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confirms target engagement by crenezumab.</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25901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398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sample size of the study was not expected to have adequate power to detect a modest but clinically significant difference between active medication and placebo at the 5% significance level (as is commonly the case in Phase 2 studies in AD). Effect sizes and p-values were not adjusted for multiplicity.</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sample size of the study was not expected to have adequate power to detect a modest but clinically significant difference between active medication and placebo at the 5% significance level (as is commonly the case in Phase 2 studies in AD).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117"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crenuzamab’s potential safety at high doses is a key distinguishing product feature.</w:t>
      </w:r>
    </w:p>
    <w:p>
      <w:pPr>
        <w:spacing w:after="0" w:line="1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6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1 Study</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To explore safety at higher doses, crenezumab is currently being tested in a Phase 1 clinical study conducted in the United States. This randomized, placebo-controlled, double-blind, four parallel-arm study will evaluate the safety and tolerability of at least two doses of intravenous crenezumab in up to 72 patients with mild to moderate AD (MMSE 18-28) between the ages of 50 to 90. An optional open-label extension stage will be offered to patients after completion of the double-blind stage of the study. This study is expected to be completed in May 2017.</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expected in 2017, but the data and results of that analysis may not be made public given patient sensitivity.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3 Study (CREAD Study)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Genentech entered Phase 3 clinical development of crenezumab in the first quarter of 2016. The CREAD Study is ongoing. This randomized, double-blind, placebo-controlled, parallel group Phase 3 study will enroll about 750 participants with prodromal or mild AD at the age of 50-85 years. A high dose of crenezumab (dose not disclosed) is administered intravenously once every 4 weeks for 100 weeks. Primary outcome measure is change from baseline to week 105 in Clinical Dementia Rating - Sum of Boxes (CDR-SB) score. Final data collection date for primary outcome measures is expected by August 2020, with study completion by July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1/2a Study</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To be considered a Phase 1/2a study, a study or part of it must include as a primary goal the assessment of efficacy in a patient population, assessed using either clinical endpoints or biomarkers. This is in contrast to a Phase 1 study where the primary goal typically includes safety and pharmacokinetic or pharmacodynamic measures. The ACI-24 study is an adaptive design study where, after completion of a first step assessment of safety and immunogenicity at different doses, the study may be expanded to assess the efficacy at the best dose in a Phase 2a-type design.</w:t>
      </w:r>
    </w:p>
    <w:p>
      <w:pPr>
        <w:spacing w:after="0" w:line="17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Phase 1 part of the combined Phase 1/2a study is currently ongoing. The efficacy, tolerability and immunogenicity of ACI-24 are being tested in mild to moderate AD patients with four different doses. It is a randomized, placebo controlled, double blind study. The different doses are tested via an ascending dose design in four consecutive cohorts with 12 patients each (9 on active, 3 on placebo treatment). ACI-24 is administered by subcutaneous injection with multiple injections per cohort. Each dose cohort is followed by a two-year treatment-free safety follow-up period.</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treatment of the first three cohorts has been completed. The treatment of the fourth cohort is ongoing. To date, ACI-24 has shown a favorable safety profile and has been well tolerated. None of the observed serious adverse events were considered related to the administration of ACI-24. The Phase 2a study of the combined Phase 1/2a study will focus on safety, tolerability and efficacy and will be conducted after all data of Phase 1 are available.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results showed that ACI-24 induced a rapid and significant anti-Abeta antibody response in a T-cell independent manner, which is linked to a more favorable safety profile. The antibody response following treatment with ACI-24 reduced the Abeta brain burden and restored the memory capacity in double-transgenic AD mice. Anti-Abeta antibodies induced by ACI-24 preferentially bind to both pathologically aggregated Abeta species such as oligomers and fibrils. Relative to other anti-Abeta vaccines currently or previously in clinical development ACI-24 has shown differentiation in pre-clinical studies on the basis of mechanism of action,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13985" cy="19723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shown in the diagram above, immunization of an AD mouse model with ACI-24 led to a significant decrease of insoluble, plaque-related (black bars) and soluble (grey bars) oligomeric Abeta</w:t>
      </w:r>
      <w:r>
        <w:rPr>
          <w:rFonts w:ascii="Arial" w:cs="Arial" w:eastAsia="Arial" w:hAnsi="Arial"/>
          <w:sz w:val="15"/>
          <w:szCs w:val="15"/>
          <w:color w:val="auto"/>
        </w:rPr>
        <w:t>1-40</w:t>
      </w:r>
      <w:r>
        <w:rPr>
          <w:rFonts w:ascii="Arial" w:cs="Arial" w:eastAsia="Arial" w:hAnsi="Arial"/>
          <w:sz w:val="18"/>
          <w:szCs w:val="18"/>
          <w:color w:val="auto"/>
        </w:rPr>
        <w:t xml:space="preserve"> and Abeta</w:t>
      </w:r>
      <w:r>
        <w:rPr>
          <w:rFonts w:ascii="Arial" w:cs="Arial" w:eastAsia="Arial" w:hAnsi="Arial"/>
          <w:sz w:val="15"/>
          <w:szCs w:val="15"/>
          <w:color w:val="auto"/>
        </w:rPr>
        <w:t>1-42</w:t>
      </w:r>
      <w:r>
        <w:rPr>
          <w:rFonts w:ascii="Arial" w:cs="Arial" w:eastAsia="Arial" w:hAnsi="Arial"/>
          <w:sz w:val="18"/>
          <w:szCs w:val="18"/>
          <w:color w:val="auto"/>
        </w:rPr>
        <w:t>. This target engagement was accompanied by the significant improvement of cognitive memory capacity in the novel object recognition test, or ORT. In contrast, immunization with ACI-01, the vaccine candidate which did not present the antigen in its pathological conformation, did not result in any restoration of memory.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Individuals with Down syndrome have an extra copy of chromosome 21 where the gene for APP resides. These individuals have a rate of AD that is three to five times that of the general population and develop the disease at a much younger age. At autopsy, AD has been reported in 80% of people with Down syndrome over age 40 and 100% over age 60.</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ACI-24 is a vaccine candidate against the pathological form of Abeta in plaques of AD patients. It contains a palmitic-acid Abeta peptide corresponding to amino acids 1-15 of the Abeta molecule anchored in liposomes and adopts the conformation of the pathological Abeta conformers found in plaques. ACI-24 has a novel mode of action whereby antibody production is induced through direct B-cell (antibody producing cell) activation that is independent of T-helper cells.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An IND to study the disease-modifying properties of ACI-24 for the prevention of cognitive decline with Down syndrome was filed and cleared by the FDA. ACI-24 commenced the Phase 1 clinical study for Down syndrome at the end of 2015 after the authorization of the amended protocol. The study is supported by a substantial NIH grant and other grants from the LuMind Research Down Syndrome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131445</wp:posOffset>
            </wp:positionV>
            <wp:extent cx="4570730" cy="1912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57073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diagram above, based on work published by AC Immune in collaboration with Dr. Mobley of University of California, San Diego in March 2016, shows in a Down syndrome mouse model (Ts65Dn) a 20% significant improvement of the memory (left) and a 27% reduction of Abeta in the brain following vaccination with ACI-DS-01, the mouse equivalent of ACI-24 (right).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is designed to stimulate a patient’s immune system to produce antibodies against the misfolded and phosphorylated pathogenic conformers of tau protein that aggregate to create the neurofibrillary tangles that characterize AD. ACI-35 is the first vaccine candidate against phosphorylated pathological tau in clinical studies, and is currently in Phase 1b clinical testing in patients with mild to moderate AD. In 2015, we entered into a partnership with Janssen Pharmaceuticals, a subsidiary of Johnson &amp; Johnson, for the clinical development of ACI-35 beyond Phase 1b.</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dendrites and axons, or nerve endings, of the neurons contain an elaborate series of thin tubes, or microtubules, which serve to support them and transport nutrients down to the nerve endings. Tau proteins are a key component of these microtubules, and, hence, are known as microtubule associated proteins.</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AD, tau protein is misfolded, becomes hyperphosphorylated and aggregates into neurotoxic oligomers that ultimately form neurofibrillary tangles within neurons. The degree of tau pathology correlates strongly with the degree of cognitive loss in AD. Approaches to reducing the level of abnormal tau proteins and slowing their build-up in the brain are considered important targets for new AD therapies.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developed ACI-35 using our SupraAntigen technology. In pre-clinical testing, the vaccine candidate induced an antibody response that was highly specific to misfolded and phosphorylated tau. This antibody response resulted in a reduction of phosphorylated misfolded tau and an improvement in cognitive clinical parameters.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1b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1b Study Design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Safety, tolerability and immunogenicity of ACI-35 are being tested in an ongoing Phase 1b study in mild to moderate AD patients. It is a randomized, placebo controlled double blind study, where ACI-35 is administered via subcutaneous injection. Different doses and dosing schedules are being investigated in an ascending dose design. Multiple injections of ACI-35 are administered per cohort for active or placebo treatment in a three-to-one ratio. To date, ACI-35 has been generally safe and well tolerated.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research and pre-clinical studies, ACI-35 demonstrated:</w:t>
      </w:r>
    </w:p>
    <w:p>
      <w:pPr>
        <w:spacing w:after="0" w:line="13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high and specific anti-p-tau IgG antibody response in wild-type mice, tau transgenic mice and primates (cynomolgus and rhesus monkeys);</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induction of highly specific antibodies that are able to recognize p-tau over non-phosphorylated tau peptide and yield a 30-100 fold higher titer for p-tau over non-phosphorylated tau;</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favorable safety profile by showing that multiple doses in mice and monkeys induced strong antibody responses that were well tolerated and not associated with organ toxicity. The main adverse events were local reactions observed at the injection site and were consistent with a normal granulomatous inflammatory reaction after subcutaneous injection of a foreign body;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observable toxicity at the highest dose used in cynomolgus monkeys or mice;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cross-reactivity to any human tissue with the antibodies induced in monkeys by ACI-35 immunization.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ACI-35 generated antibodies that are phosphor-specific for the full-length p-tau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169545</wp:posOffset>
            </wp:positionV>
            <wp:extent cx="4690745" cy="14751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6907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left graph shows that the ACI-35 vaccination raised highly-specific antibodies against phosphorylated tau protein in both transgenic and wild type mice. On the other hand, the right graph shows that a classical vaccine, composed of a p-tau peptide adsorbed to aluminum phosphate, raised antibody responses that do not discriminate between phosphorylated tau and non-phosphorylated tau protein in both wild type and tau transgenic mice.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Discovery Stage Therapeutic Programs</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Using our SupraAntigen and Morphomer platforms, we have generated additional discovery and pre-clinical stage molecules targeting neurodegenerative diseases, and diagnostics targeting both Abeta and tau. We currently have four therapeutic product candidates and two diagnostic product candidates in various stages of pre-clinical development. A number of our therapeutic product candidates in pre-clinical development are focused 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indications outside of AD and evidence our expansion strategy. Based on the data we have received to date, we believe that our technology platforms can be applied to misfolded proteins across a broad range of indications. The table below lists our four pre-clinical product candidates, the platform from which each candidate stems and the lead indication being pursued: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Product Candidate</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Lead Indication</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Platform</w:t>
            </w:r>
          </w:p>
        </w:tc>
      </w:tr>
      <w:tr>
        <w:trPr>
          <w:trHeight w:val="191"/>
        </w:trPr>
        <w:tc>
          <w:tcPr>
            <w:tcW w:w="3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Anti-tau antibody</w:t>
            </w:r>
          </w:p>
        </w:tc>
        <w:tc>
          <w:tcPr>
            <w:tcW w:w="900" w:type="dxa"/>
            <w:vAlign w:val="bottom"/>
          </w:tcPr>
          <w:p>
            <w:pPr>
              <w:spacing w:after="0"/>
              <w:rPr>
                <w:sz w:val="16"/>
                <w:szCs w:val="16"/>
                <w:color w:val="auto"/>
              </w:rPr>
            </w:pPr>
          </w:p>
        </w:tc>
        <w:tc>
          <w:tcPr>
            <w:tcW w:w="1840" w:type="dxa"/>
            <w:vAlign w:val="bottom"/>
          </w:tcPr>
          <w:p>
            <w:pPr>
              <w:spacing w:after="0" w:line="191" w:lineRule="exact"/>
              <w:rPr>
                <w:sz w:val="20"/>
                <w:szCs w:val="20"/>
                <w:color w:val="auto"/>
              </w:rPr>
            </w:pPr>
            <w:r>
              <w:rPr>
                <w:rFonts w:ascii="Arial" w:cs="Arial" w:eastAsia="Arial" w:hAnsi="Arial"/>
                <w:sz w:val="18"/>
                <w:szCs w:val="18"/>
                <w:color w:val="auto"/>
              </w:rPr>
              <w:t>tau</w:t>
            </w:r>
          </w:p>
        </w:tc>
        <w:tc>
          <w:tcPr>
            <w:tcW w:w="100" w:type="dxa"/>
            <w:vAlign w:val="bottom"/>
          </w:tcPr>
          <w:p>
            <w:pPr>
              <w:spacing w:after="0"/>
              <w:rPr>
                <w:sz w:val="16"/>
                <w:szCs w:val="16"/>
                <w:color w:val="auto"/>
              </w:rPr>
            </w:pPr>
          </w:p>
        </w:tc>
        <w:tc>
          <w:tcPr>
            <w:tcW w:w="1600" w:type="dxa"/>
            <w:vAlign w:val="bottom"/>
          </w:tcPr>
          <w:p>
            <w:pPr>
              <w:spacing w:after="0" w:line="191" w:lineRule="exact"/>
              <w:rPr>
                <w:sz w:val="20"/>
                <w:szCs w:val="20"/>
                <w:color w:val="auto"/>
              </w:rPr>
            </w:pPr>
            <w:r>
              <w:rPr>
                <w:rFonts w:ascii="Arial" w:cs="Arial" w:eastAsia="Arial" w:hAnsi="Arial"/>
                <w:sz w:val="18"/>
                <w:szCs w:val="18"/>
                <w:color w:val="auto"/>
              </w:rPr>
              <w:t>AD</w:t>
            </w:r>
          </w:p>
        </w:tc>
        <w:tc>
          <w:tcPr>
            <w:tcW w:w="10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Genentech</w:t>
            </w:r>
          </w:p>
        </w:tc>
        <w:tc>
          <w:tcPr>
            <w:tcW w:w="12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SupraAntigen</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tau</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tau</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AD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abeta</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Abeta</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Glaucoma</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alpha-synuclein</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alpha-synuclein</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bl>
    <w:p>
      <w:pPr>
        <w:spacing w:after="0" w:line="21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b w:val="1"/>
          <w:bCs w:val="1"/>
          <w:i w:val="1"/>
          <w:iCs w:val="1"/>
          <w:color w:val="auto"/>
        </w:rPr>
        <w:t xml:space="preserve">Anti-tau antibody: </w:t>
      </w:r>
      <w:r>
        <w:rPr>
          <w:rFonts w:ascii="Arial" w:cs="Arial" w:eastAsia="Arial" w:hAnsi="Arial"/>
          <w:sz w:val="17"/>
          <w:szCs w:val="17"/>
          <w:color w:val="auto"/>
        </w:rPr>
        <w:t>Our anti-tau monoclonal antibody program uses the SupraAntigen platform to generate humanized monoclonal antibodies for use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passive immunotherapies that are highly specific for pathological forms of tau found in AD brains and other tauopathies. Results from studies conducted in pre-clinical development demonstrate a significant reduction in pathological tau with reduced effector function, meaning decreased ability to affect the function of tau, as well as improvement of long-term spatial memory. A lead development candidate has been selected, and Genentech, our collaboration partner for the anti-tau antibody program, announced that it intends to move this program into Phase 1 clinical studies in late 2016.</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Anti-tau Morphomers are small molecule compounds designed to inhibit tau aggregation with the aim of interacting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beta sheet 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Morphomer abeta: </w:t>
      </w:r>
      <w:r>
        <w:rPr>
          <w:rFonts w:ascii="Arial" w:cs="Arial" w:eastAsia="Arial" w:hAnsi="Arial"/>
          <w:sz w:val="17"/>
          <w:szCs w:val="17"/>
          <w:color w:val="auto"/>
        </w:rPr>
        <w:t>Our Morphomer abeta product candidate is a small molecule that inhibits and disrupts Abeta propagation and aggregation,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being evaluated for the treatment of glaucoma, where its anti-Abeta properties represent a novel mechanism of action for that disease. In pre-clinical testing, Morphomer abeta demonstrated a strong ability to protect the eyes of rats exposed to increased ocular pressure and chronic ocular hypertension which are clinical features of glaucoma. This molecule is expected to enter Phase 1 clinical studies in 2017.</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Morphomer alpha-synuclein: </w:t>
      </w:r>
      <w:r>
        <w:rPr>
          <w:rFonts w:ascii="Arial" w:cs="Arial" w:eastAsia="Arial" w:hAnsi="Arial"/>
          <w:sz w:val="18"/>
          <w:szCs w:val="18"/>
          <w:color w:val="auto"/>
        </w:rPr>
        <w:t>Our Morphomer alpha-synuclein product candidate is a small molecule that reduces the cytotoxicity of alpha-synuclein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aggregates by a decrease in their beta sheet content. In pre-clinical studies, Morphomer alpha-synuclein significantly reduced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Scientists increasingly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and alpha-synuclein aggregates. In May 2014, we established a licensing collaboration for our tau-PET imaging program with Piramal Imaging. Our tau-PET imaging agent is currently in a First-in-Man clinical study. Piramal Imaging is expecting to advance this program into Phase 1 clinical development in 2016.</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PET tracers are designed to bind specifically to tau tangles and have demonstrated their ability to cross the blood-brain barrier. The severity of cognitive impairment in AD patients is correlated with the presence of tau protein tangles, leading us to believe that an imaging agent for tau is equally important. Our tau-PET tracers are more selective for tau than Abeta when compared to current published tau-PET agents in development and can be readily radiolabelled.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22212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858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diagrams above show that our lead tau-PET imaging compound has high selectivity and can identify tau aggregates as early as stage one of the six stages of the Braak scale, which is the pre-symptomatic stage (as indicated with arrows in the far left diagram), and have a favorable uptake in the brain (right diagram).</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drug development. We have identified molecules from our Morphomer library that stain selectively alpha-synuclein pathological structures in human PD brain sections. Ongoing work to optimize the potency, selectivity and pharmacokinetics of these tracers is being funded by the Michael J. Fox Foundation for Parkinson’s Research.</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52" w:lineRule="exact"/>
        <w:rPr>
          <w:sz w:val="20"/>
          <w:szCs w:val="20"/>
          <w:color w:val="auto"/>
        </w:rPr>
      </w:pPr>
    </w:p>
    <w:p>
      <w:pPr>
        <w:ind w:left="900" w:right="38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use of alpha-synuclein as a surrogate marker in clinical studies of novel therapeutic regimens designed to slow or halt progression of PD;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PD market size is estimated to grow from $3.6 billion in 2012 to approximately $5.3 billion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77" w:lineRule="exact"/>
        <w:rPr>
          <w:sz w:val="20"/>
          <w:szCs w:val="20"/>
          <w:color w:val="auto"/>
        </w:rPr>
      </w:pPr>
    </w:p>
    <w:p>
      <w:pPr>
        <w:ind w:left="900" w:right="20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totaling up to approximately $340 million, excluding royalties.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totaling up to $418 million, excluding royalties.</w:t>
      </w:r>
    </w:p>
    <w:p>
      <w:pPr>
        <w:spacing w:after="0" w:line="75" w:lineRule="exact"/>
        <w:rPr>
          <w:rFonts w:ascii="Arial" w:cs="Arial" w:eastAsia="Arial" w:hAnsi="Arial"/>
          <w:sz w:val="18"/>
          <w:szCs w:val="18"/>
          <w:color w:val="auto"/>
        </w:rPr>
      </w:pPr>
    </w:p>
    <w:p>
      <w:pPr>
        <w:ind w:left="900" w:right="740" w:hanging="325"/>
        <w:spacing w:after="0" w:line="308"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worldwide licensing agreement with Janssen signed in December 2014 for therapeutic anti-tau vaccines for AD, and potentially other tauopathies, under which we may become eligible to receive payments totaling up to CHF 500 million, excluding royalties.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worldwide licensing agreement with Piramal Imaging signed in May 2014 for small molecule tau ligands for use as PET tracers under which we may become eligible to receive payments totaling up to €157 million, excluding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 targeting misfolded Abeta. The agreement provides for a second therapeutic product based on the same intellectual property and anti-Abeta antibody compound, as well as an anti-Abeta diagnostic product. Genentech commenced Phase 3 clinical studies for crenezumab in the first quarter of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Under the agreement with Genentech, we may become eligible to receive payments totaling up to approximately $340 million, excluding royalties. The agreement includes upfront and milestone payments. In addition, we will receive royalties on sales. The structure of the collaboration agreement is as follows:</w:t>
      </w:r>
    </w:p>
    <w:p>
      <w:pPr>
        <w:spacing w:after="0" w:line="29"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net high single digits to the mid-teens.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date, we have received total payments of $65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$418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associated with the recent selection of the lead candidate to be taken forward into Phase 1 clinical studies. Genentech recently announced that it intends to commence Phase 1 clinical studies for this product candidate in 2016.</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w:t>
      </w:r>
    </w:p>
    <w:p>
      <w:pPr>
        <w:spacing w:after="0" w:line="75" w:lineRule="exact"/>
        <w:rPr>
          <w:rFonts w:ascii="Arial" w:cs="Arial" w:eastAsia="Arial" w:hAnsi="Arial"/>
          <w:sz w:val="18"/>
          <w:szCs w:val="18"/>
          <w:color w:val="auto"/>
        </w:rPr>
      </w:pPr>
    </w:p>
    <w:p>
      <w:pPr>
        <w:ind w:left="900" w:right="44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19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to develop and commercialize therapeutic anti-tau vaccines for the treatment of AD and potentially other tauopathies. The partnership includes a worldwide exclusive license and research collaboration. We and Janssen will co-develop the lead therapeutic vaccine candidate, ACI-35, through Phase 1b completion. From Phase 2 and onward, Janssen will assume responsibility for the clinical development, manufacturing and commercialization of ACI-35. ACI-35 is an active therapeutic vaccine candidate stimulating the patient’s immune system to produce a polyclonal antibody response against phosphorylated tau protein. The agreement also allows for the collaboration to be expanded to include a second indication based on the same anti-tau vaccine program and intellectual property related to this program.</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received an upfront payment of about CHF 25.9 million and are eligible to receive development, regulatory and commercialization milestone payments potentially totaling up to CHF 500 million for AD and a potential second indication outside of AD. Additionally, we will receive royalties on sales at a percentage rate ranging from the low double digits to mid-teens. We have entered into a three-year joint research collaboration to further characterize and develop novel vaccine therapies for the treatment of tauopathies.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jc w:val="both"/>
        <w:ind w:left="900" w:right="48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cohort, a milestone payment is payable to us upon commencement of Phase 2 clinical studies. In addition, for a second indication, clinical milestone payments would be payable upon commencement of Phase 3 clinical studies.</w:t>
      </w:r>
    </w:p>
    <w:p>
      <w:pPr>
        <w:spacing w:after="0" w:line="86"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Also, for a second indication, additional regulatory milestone payments are payable by Janssen to us upon receipt of each of the regulatory approvals in the U.S., Europe and Japan.</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Piramal Imaging</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to pathogenic tau for use as a PET tracer.</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exclusive, worldwide licensing agreement with Piramal Imaging includes upfront and milestone payments totaling up to €157 million, plus royalties on sales at percentage rates ranging from mid-single digits to low teens.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the commencement of Phase 1, 2 and 3 for the lead indication. We would be entitled to further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payments for the commencement of Phase 2 and 3 for a second indication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Regulatory approval and marketing approval milestones </w:t>
      </w:r>
      <w:r>
        <w:rPr>
          <w:rFonts w:ascii="Arial" w:cs="Arial" w:eastAsia="Arial" w:hAnsi="Arial"/>
          <w:sz w:val="18"/>
          <w:szCs w:val="18"/>
          <w:color w:val="auto"/>
        </w:rPr>
        <w:t>upon filing and approval in each of the U.S. and Europe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total sales amounts</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agreement will terminate by its terms on the date of expiration of the last-to-expire royalty term, where each royalty term under the agreement expires on a product-by-product basis and country-by-country basis on the later of (i) ten years after the first commercial sale of the relevant product in such country or (ii) the date on which the patent covering the sale of such product in such country is no longer valid or enforceable. However, Piramal Imaging may terminate the agreement at any time after the first eighteen months from the effective date of this agreement by providing three months’ notice to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 – Collaboration with Biogen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April 2016, we entered into a non-exclusive research and development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earlier terminated, the agreement will expire upon the later of three years or the completion of the collaboration, but in no event later than four years, unless we and Biogen mutually agree to extend the term of the agreement. Biogen may terminate the agreement for any reason upon thirty days’ written notice to us. Following the expiration of the agreement, we may be required to negotiate and enter into a supply agreement with Biogen pursuant to which we would supply Biogen with PET tracers created under the collaboration for Biogen’s continued development activities. Under certain circumstances, including prior to the expiration of the collaboration agreement, we may also be required to grant Biogen a license or other rights to develop and commercialize such PET tracers outside of the collaboration.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Health/Banner Alzheimer’s Institute</w:t>
      </w:r>
    </w:p>
    <w:p>
      <w:pPr>
        <w:spacing w:after="0" w:line="11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2013, the NIH and Banner Alzheimer’s Institute selected crenezumab for the first ever AD prevention study before onset of symptoms in highest-risk individuals. This landmark study is being performed on a family clan in Colombia with Paisa mutation leading to Abeta accumulation and early onset AD. The $100 million multi-year study is being funded with grants from the NIH, Banner Alzheimer’s Institute and our partner, Genentech. Interim results from this study are expected to be available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2015, we were awarded an important grant from the Michael J. Fox Foundation for Parkinson’s Research. The grant is funding the development of a diagnostic imaging agent capable of detecting PD at an early stage. 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in the first quarter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Nestlé Institute of Health Sciences SA</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September 2015, we entered into a research collaboration agreement with the Nestlé Institute of Health Sciences SA, or NIHS, a fundamental research institute of the global nutrition, health and wellness company Nestlé, to develop a novel, minimally invasive tau diagnostic assay for the early diagnosis of AD. Under the terms of the agreement, we will provide expertise in the biology and pathology of tau as well as commit our laboratory capabilities to support the collaborative research program. NIHS will apply its proprietary multiplexed antibody technology platform to the research program with the goal of identifying and validating a highly sensitive diagnostic assay for the detection of tau in human cerebrospinal fluid and blood plasma.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such class is monoclonal antibodies that target Abeta plaques, the same target as for our candidate product crenezumab. Another target for monoclonal antibodies is tau protein aggregates. Therapeutic vaccines are a second class of disease-modifying therapies, and include our candidate products ACI-24, that targets Abeta plaque, and ACI-35, that targets aggregated tau protein.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87" w:lineRule="exact"/>
        <w:rPr>
          <w:sz w:val="20"/>
          <w:szCs w:val="20"/>
          <w:color w:val="auto"/>
        </w:rPr>
      </w:pPr>
    </w:p>
    <w:p>
      <w:pPr>
        <w:ind w:left="900" w:right="62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If crenezumab is approved, it would compete with other monoclonal antibody products that target Abeta plaques and act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disease-modifying agents. Currently, no product has been approved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400"/>
        <w:spacing w:after="0" w:line="312" w:lineRule="auto"/>
        <w:rPr>
          <w:sz w:val="20"/>
          <w:szCs w:val="20"/>
          <w:color w:val="auto"/>
        </w:rPr>
      </w:pPr>
      <w:r>
        <w:rPr>
          <w:rFonts w:ascii="Arial" w:cs="Arial" w:eastAsia="Arial" w:hAnsi="Arial"/>
          <w:sz w:val="16"/>
          <w:szCs w:val="16"/>
          <w:color w:val="auto"/>
        </w:rPr>
        <w:t>that is a disease-modifying agent targeting Abeta plaques; however, a number of such product candidates are in clinical development. These include solanezumab, gantenerumab and aducanumab, each of which is in Phase 3 clinical study and which are being advanced by Eli Lilly, Roche and Biogen, respectively. Biogen has a second product candidate known as BAN2401, which is currently in Phase 2 clinical study.</w:t>
      </w:r>
    </w:p>
    <w:p>
      <w:pPr>
        <w:spacing w:after="0" w:line="52" w:lineRule="exact"/>
        <w:rPr>
          <w:sz w:val="20"/>
          <w:szCs w:val="20"/>
          <w:color w:val="auto"/>
        </w:rPr>
      </w:pPr>
    </w:p>
    <w:p>
      <w:pPr>
        <w:ind w:left="900" w:right="80" w:hanging="325"/>
        <w:spacing w:after="0" w:line="30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ACI-24 in AD: </w:t>
      </w:r>
      <w:r>
        <w:rPr>
          <w:rFonts w:ascii="Arial" w:cs="Arial" w:eastAsia="Arial" w:hAnsi="Arial"/>
          <w:sz w:val="16"/>
          <w:szCs w:val="16"/>
          <w:color w:val="auto"/>
        </w:rPr>
        <w:t>ACI-24, if approved, would compete with other approved anti-Abeta-targeting therapeutic vaccines. Several potential competing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have not continued through the regulatory approval process, including ACC-001 (Janssen / Pfizer) and AN-1792 (Elan / Janssen), both of which were discontinued after completing Phase 2 studies. Other potential competing product candidates for ACI-24 include Affitope-AD-02 (AFFiRiS AG / GlaxoSmithKline) and CAD-106 (Novartis International AG), each of which has completed a Phase 2 study.</w:t>
      </w:r>
    </w:p>
    <w:p>
      <w:pPr>
        <w:spacing w:after="0" w:line="59" w:lineRule="exact"/>
        <w:rPr>
          <w:rFonts w:ascii="Arial" w:cs="Arial" w:eastAsia="Arial" w:hAnsi="Arial"/>
          <w:sz w:val="16"/>
          <w:szCs w:val="16"/>
          <w:color w:val="auto"/>
        </w:rPr>
      </w:pPr>
    </w:p>
    <w:p>
      <w:pPr>
        <w:ind w:left="900" w:right="260" w:hanging="325"/>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preventive and therapeutic application. While there are symptomatic treatments of Down syndrome in clinical development, to our knowledge there are no other disease-modifying treatments for AD in Down syndrome.</w:t>
      </w:r>
    </w:p>
    <w:p>
      <w:pPr>
        <w:spacing w:after="0" w:line="86" w:lineRule="exact"/>
        <w:rPr>
          <w:rFonts w:ascii="Arial" w:cs="Arial" w:eastAsia="Arial" w:hAnsi="Arial"/>
          <w:sz w:val="18"/>
          <w:szCs w:val="18"/>
          <w:color w:val="auto"/>
        </w:rPr>
      </w:pPr>
    </w:p>
    <w:p>
      <w:pPr>
        <w:jc w:val="both"/>
        <w:ind w:left="900" w:right="400" w:hanging="325"/>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ACI-35: </w:t>
      </w:r>
      <w:r>
        <w:rPr>
          <w:rFonts w:ascii="Arial" w:cs="Arial" w:eastAsia="Arial" w:hAnsi="Arial"/>
          <w:sz w:val="18"/>
          <w:szCs w:val="18"/>
          <w:color w:val="auto"/>
        </w:rPr>
        <w:t>ACI-35, if approved, would compete with other approved tau-targeting therapeutic vaccines. This includes AADVAC1, an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vaccine product candidate currently being advanced in the regulatory approval process by Axon Neurosciences. AADVAC1 entered Phase 1 clinical studies in May 2013.</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To our knowledge, there are no competing products currently in clinical development for AD. However, the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BMS-986168 (Bristol-Myers Squibb Company) and ABBV-812E (AbbVie) are currently in Phase 1 clinical development in the orphan indication PSP, a tau protein-based neurodegenerative disease.</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 potential competitor to our anti-tau Morphomers is LMTX. LMTX is a methylene blue derivative that is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by TauRx Therapeutics and is intended to target tau protein aggregation. LMTX entered Phase 3 clinical study in September 2012. No clinical data read-out has been made available.</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Diagnostics: </w:t>
      </w:r>
      <w:r>
        <w:rPr>
          <w:rFonts w:ascii="Arial" w:cs="Arial" w:eastAsia="Arial" w:hAnsi="Arial"/>
          <w:sz w:val="18"/>
          <w:szCs w:val="18"/>
          <w:color w:val="auto"/>
        </w:rPr>
        <w:t>Currently, there are no approved tau PET imaging products. However, should our tau PET imaging agent be approved, it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 with other approved tau-PET agents. These include (i) 18F-AV-1451 (previously T807), which is being advanced by Eli Lilly subsidiary, Avid Radiopharmaceuticals, and is currently in Phase 2 clinical studies that began in December 2013, (ii) THK-5117, is being advanced by GE Healthcare under license from the Tohoku University School of Medicine and is currently in Phase 1/2 studies, (iii) PBB3, a product candidate in Phase 1 studies and being advanced by the National Institute of Radiological Services and (iv) Roche is evaluating internal tau PET imaging ligands in Phase 1 clinical studies in AD patients.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May 20, 2016, we owned or co-owned approximately 21 issued U.S. patents and 149 issued patents in other jurisdictions, as well as 19 pending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 patent applications and 322 pending foreign patent applications. As of May 20, 2016, we licensed approximately 11 issued U.S. patents and 13 pending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patent applications, as well as 96 issued patents in other jurisdictions and 243 pending foreign patent applications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three most advanced product candidates as of May 20, 2016 are summarized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ind w:firstLine="456"/>
        <w:spacing w:after="0" w:line="268" w:lineRule="auto"/>
        <w:rPr>
          <w:sz w:val="20"/>
          <w:szCs w:val="20"/>
          <w:color w:val="auto"/>
        </w:rPr>
      </w:pPr>
      <w:r>
        <w:rPr>
          <w:rFonts w:ascii="Arial" w:cs="Arial" w:eastAsia="Arial" w:hAnsi="Arial"/>
          <w:sz w:val="17"/>
          <w:szCs w:val="17"/>
          <w:color w:val="auto"/>
        </w:rPr>
        <w:t>Our patent portfolio relating to crenezumab includes patents and patent applications that we own or co-own in four different patent families. As of May 20, 2016, we owned or co-owned approximately 19 patents (not including the patents in the individual countries where the issued European patent was validated) and 37 patent applications in 34 countries in our main patent family directed to the crenezumab antibody and methods of using the crenezumab antibody to treat certain indications, including AD. This patent portfolio includes three issued U.S. patents and one pending U.S. patent application, which, if the appropriate maintenance or other governmental fees are paid, are expected to expire in 2027, excluding any additional term for patent term adjustments or patent term extensions. This patent portfolio also includes a PCT patent application which was filed on July 13, 2007. If the appropriate maintenance, renewal, annuity, or other governmental fees are paid, national stage applications issuing from this PCT patent application, are expected to expire in 2027, excluding any additional term for patent term adjustments or patent term extensions, as applicable.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patent portfolio for ACI-24 consists of approximately 21 issued patents and 13 pending patent applications in 30 countries. With respect to the U.S., we own two issued U.S. patents.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patent portfolio for ACI-35 includes composition of matter claims (including claims directed to the ACI-35 antigenic peptide and a pharmaceutical composition comprising such an antigenic peptide), claims directed to treating certain indications using ACI-35 including AD, and claims directed to using ACI-35 to induce an immune response.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patent portfolio for ACI-35 consists of approximately 11 issued patents and 18 pending patent applications in 27 countries. With respect to the U.S., we own one issued U.S. patent.</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manufacturing and supply of the clinical study materials are currently done in collaboration with our collaboration partners (</w:t>
      </w:r>
      <w:r>
        <w:rPr>
          <w:rFonts w:ascii="Arial" w:cs="Arial" w:eastAsia="Arial" w:hAnsi="Arial"/>
          <w:sz w:val="18"/>
          <w:szCs w:val="18"/>
          <w:i w:val="1"/>
          <w:iCs w:val="1"/>
          <w:color w:val="auto"/>
        </w:rPr>
        <w:t>e.g.</w:t>
      </w:r>
      <w:r>
        <w:rPr>
          <w:rFonts w:ascii="Arial" w:cs="Arial" w:eastAsia="Arial" w:hAnsi="Arial"/>
          <w:sz w:val="18"/>
          <w:szCs w:val="18"/>
          <w:color w:val="auto"/>
        </w:rPr>
        <w:t>, Genentech in the case of crenezumab and anti-tau antibodies and Piramal Imaging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a well-established Indian company with a strong chemical background supported by an India based contract manufacturing organization.</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ACI-24 and ACI-35 APIs (active pharmaceutical ingredients) are produced by Bachem AG, an experienced company based in Switzerland. Drug products for the advancement of ACI-24 are manufactured by Polymun, a company based in Austria with significant experience in developing and producing Liposomal formulations, while drug products for the advancement of ACI-35 are produced by Northern Lipids, a company based in Canada with a strong and long experience in the field of liposomal formulation and production.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 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131"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regulatory department has conducted four pre-IND meetings with the FDA (ACI-24 for AD and Down’s syndrome, ACI-91 and tau Imaging) and five Scientific Advice meetings, which are the European equivalent of pre-IND meetings (with German BfArM, Swedish Medical Products Agency; Medicine</w:t>
      </w:r>
    </w:p>
    <w:p>
      <w:pPr>
        <w:ind w:right="80" w:firstLine="8"/>
        <w:spacing w:after="0" w:line="252" w:lineRule="auto"/>
        <w:tabs>
          <w:tab w:leader="none" w:pos="1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Healthcare Products Regulatory Agency (UK), Finnish Medicines Agency, and the European Medicines Agency). Since 2008, our regulatory department has filed a total of six clinical study applications in the EU (Germany, Austria, Denmark, Sweden, UK and two in Finland) and one IND in the US. Given the seriousness of AD and public pressure for new therapeutics, we consider regulatory agencies to be important stakeholders in our clinical studies. We are committed to working closely with world regulatory authorities to adhere to and achieve the highest levels of safety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regulatory department contains a quality assurance, or QA, function. As every quality issue ultimately requires regulatory involvement and input, this approach is intended to lead to rapid resolution of issues and ensure full compliance to satisfy both the reviewers and the inspectors at the government health authorities. The mission of our QA function is to establish, maintain and manage the corporate quality management system. Our regulatory department is charged with keeping our entire organization directly or indirectly involved in the clinical study application process in a state of “inspection readiness.” To that end, we ensure that the study master file is 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Other supervision by our QA function involves their service procedures standard operating procedures and periodic communication. In addition, we have recently added a corporate documentation specialist to ensure good documentation practice.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117"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77" w:lineRule="exact"/>
        <w:rPr>
          <w:sz w:val="20"/>
          <w:szCs w:val="20"/>
          <w:color w:val="auto"/>
        </w:rPr>
      </w:pPr>
    </w:p>
    <w:p>
      <w:pPr>
        <w:jc w:val="center"/>
        <w:ind w:left="5580" w:right="1340" w:hanging="5126"/>
        <w:spacing w:after="0" w:line="449"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 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75"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pre-NDA submission meeting with FDA (highly recommended);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submission to the FDA of a New Drug Application, or NDA;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130"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5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97" w:lineRule="exact"/>
        <w:rPr>
          <w:sz w:val="20"/>
          <w:szCs w:val="20"/>
          <w:color w:val="auto"/>
        </w:rPr>
      </w:pPr>
    </w:p>
    <w:p>
      <w:pPr>
        <w:ind w:left="1660" w:right="340" w:hanging="1431"/>
        <w:spacing w:after="0" w:line="264" w:lineRule="auto"/>
        <w:tabs>
          <w:tab w:leader="none" w:pos="1640" w:val="left"/>
        </w:tabs>
        <w:rPr>
          <w:sz w:val="20"/>
          <w:szCs w:val="20"/>
          <w:color w:val="auto"/>
        </w:rPr>
      </w:pPr>
      <w:r>
        <w:rPr>
          <w:rFonts w:ascii="Arial" w:cs="Arial" w:eastAsia="Arial" w:hAnsi="Arial"/>
          <w:sz w:val="18"/>
          <w:szCs w:val="18"/>
          <w:color w:val="auto"/>
        </w:rPr>
        <w:t>Phase 1.</w:t>
      </w:r>
      <w:r>
        <w:rPr>
          <w:sz w:val="20"/>
          <w:szCs w:val="20"/>
          <w:color w:val="auto"/>
        </w:rPr>
        <w:tab/>
      </w:r>
      <w:r>
        <w:rPr>
          <w:rFonts w:ascii="Arial" w:cs="Arial" w:eastAsia="Arial" w:hAnsi="Arial"/>
          <w:sz w:val="18"/>
          <w:szCs w:val="18"/>
          <w:color w:val="auto"/>
        </w:rPr>
        <w:t>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41" w:lineRule="exact"/>
        <w:rPr>
          <w:sz w:val="20"/>
          <w:szCs w:val="20"/>
          <w:color w:val="auto"/>
        </w:rPr>
      </w:pPr>
    </w:p>
    <w:p>
      <w:pPr>
        <w:ind w:left="1660" w:right="400" w:hanging="1431"/>
        <w:spacing w:after="0" w:line="264" w:lineRule="auto"/>
        <w:tabs>
          <w:tab w:leader="none" w:pos="1640" w:val="left"/>
        </w:tabs>
        <w:rPr>
          <w:sz w:val="20"/>
          <w:szCs w:val="20"/>
          <w:color w:val="auto"/>
        </w:rPr>
      </w:pPr>
      <w:r>
        <w:rPr>
          <w:rFonts w:ascii="Arial" w:cs="Arial" w:eastAsia="Arial" w:hAnsi="Arial"/>
          <w:sz w:val="18"/>
          <w:szCs w:val="18"/>
          <w:color w:val="auto"/>
        </w:rPr>
        <w:t>Phase 2.</w:t>
      </w:r>
      <w:r>
        <w:rPr>
          <w:sz w:val="20"/>
          <w:szCs w:val="20"/>
          <w:color w:val="auto"/>
        </w:rPr>
        <w:tab/>
      </w:r>
      <w:r>
        <w:rPr>
          <w:rFonts w:ascii="Arial" w:cs="Arial" w:eastAsia="Arial" w:hAnsi="Arial"/>
          <w:sz w:val="18"/>
          <w:szCs w:val="18"/>
          <w:color w:val="auto"/>
        </w:rPr>
        <w:t>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141" w:lineRule="exact"/>
        <w:rPr>
          <w:sz w:val="20"/>
          <w:szCs w:val="20"/>
          <w:color w:val="auto"/>
        </w:rPr>
      </w:pPr>
    </w:p>
    <w:p>
      <w:pPr>
        <w:ind w:left="1660" w:right="560" w:hanging="1431"/>
        <w:spacing w:after="0" w:line="286" w:lineRule="auto"/>
        <w:tabs>
          <w:tab w:leader="none" w:pos="1640" w:val="left"/>
        </w:tabs>
        <w:rPr>
          <w:sz w:val="20"/>
          <w:szCs w:val="20"/>
          <w:color w:val="auto"/>
        </w:rPr>
      </w:pPr>
      <w:r>
        <w:rPr>
          <w:rFonts w:ascii="Arial" w:cs="Arial" w:eastAsia="Arial" w:hAnsi="Arial"/>
          <w:sz w:val="18"/>
          <w:szCs w:val="18"/>
          <w:color w:val="auto"/>
        </w:rPr>
        <w:t>Phase 3.</w:t>
      </w:r>
      <w:r>
        <w:rPr>
          <w:sz w:val="20"/>
          <w:szCs w:val="20"/>
          <w:color w:val="auto"/>
        </w:rPr>
        <w:tab/>
      </w:r>
      <w:r>
        <w:rPr>
          <w:rFonts w:ascii="Arial" w:cs="Arial" w:eastAsia="Arial" w:hAnsi="Arial"/>
          <w:sz w:val="17"/>
          <w:szCs w:val="17"/>
          <w:color w:val="auto"/>
        </w:rPr>
        <w:t>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66"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preparing and submitting an NDA is substantial. Under federal law, NDAs are subject to substantial application user fees and the sponsor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approved NDA is also subject to annual product and establishment user fees. Under the Prescription Drug User Fee Act, or PDUFA, as amended,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NDA must be accompanied by a user fee. The FDA adjusts the PDUFA user fees on an annual basis. According to the FDA’s fee schedule,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the user fee for each NDA application requiring clinical data is $2,374,200. PDUFA also imposes an annual product fee for drugs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($114,450), and an annual establishment fee ($585,200) on facilities used to manufacture prescription drugs. Fee waivers or reductions are available in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including a waiver of the application fee for the first application filed by a small business. Additionally, no user fees are assessed on NDAs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designated as orphan drugs, unless the product also includes a non-orphan indication.</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78"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specific scope varies, but fundamentally the FDCA provides a five-year period of non-patent marketing exclusivity within the United States to the first applicant to gain approval of an NDA for a new chemical entity never previously approved by the FDA either alone or in combination. For a new chemical entity that was issued orphan drug designation, the FDCA provides marketing exclusivity for the “same drug” and ‘‘same indication’’ for a period of seven years. A drug is a new chemical entity if the FDA has not previously approved any other new drug containing the same active moiety, which is the compound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trials,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trials and adequate and well-controlled clinical trials necessary to demonstrate safety and effectiveness.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17" w:lineRule="exact"/>
        <w:rPr>
          <w:sz w:val="20"/>
          <w:szCs w:val="20"/>
          <w:color w:val="auto"/>
        </w:rPr>
      </w:pPr>
    </w:p>
    <w:p>
      <w:pPr>
        <w:ind w:right="320" w:firstLine="456"/>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Union Drug Review Approval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 in the European Union</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European Union legislation also provides for a system of regulatory data and market exclusivity. According to Article 14(11) of Regulation (EC)</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154" w:lineRule="exact"/>
        <w:rPr>
          <w:sz w:val="20"/>
          <w:szCs w:val="20"/>
          <w:color w:val="auto"/>
        </w:rPr>
      </w:pPr>
    </w:p>
    <w:p>
      <w:pPr>
        <w:ind w:left="900" w:right="80" w:hanging="325"/>
        <w:spacing w:after="0" w:line="279"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83"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Manufacturers’ License</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Wholesale Distribution and License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Regulatory Requirements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an MAH include:</w:t>
      </w:r>
    </w:p>
    <w:p>
      <w:pPr>
        <w:spacing w:after="0" w:line="131" w:lineRule="exact"/>
        <w:rPr>
          <w:sz w:val="20"/>
          <w:szCs w:val="20"/>
          <w:color w:val="auto"/>
        </w:rPr>
      </w:pPr>
    </w:p>
    <w:p>
      <w:pPr>
        <w:ind w:left="900" w:right="40" w:hanging="325"/>
        <w:spacing w:after="0" w:line="26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responsibilities, ensure appropriate and continued supplies of that medicinal product to pharmacies and persons authorized to supply medicinal products so that the needs of patients in the Member State in question are covered.</w:t>
      </w:r>
    </w:p>
    <w:p>
      <w:pPr>
        <w:spacing w:after="0" w:line="76" w:lineRule="exact"/>
        <w:rPr>
          <w:sz w:val="20"/>
          <w:szCs w:val="20"/>
          <w:color w:val="auto"/>
        </w:rPr>
      </w:pPr>
    </w:p>
    <w:p>
      <w:pPr>
        <w:ind w:left="900" w:right="440" w:hanging="325"/>
        <w:spacing w:after="0" w:line="34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29"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 Legal representation and distributor issues. MAHs are responsible for regulatory actions or inactions of their distributors and agents.</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and Reimbursement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March 2010, PPACA was signed into law. PPACA has the potential to substantially change the way healthcare is financed by both governmental and private insurers. PPACA,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8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2016, we employed 54 employees, 9 of whom were part-time employees. 29 of our employees hold Ph.D. degrees and 15 hold M.Sc. degrees. Our 54 employees are from over 21 countries. We have never had a work stoppage, and none of our employees is represented by a labor organization or under any collective-bargaining arrangements. We consider our employee relations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lease approximately 10,700 square feet of space at the Innovation Park of the EPFL (École Polytechnique Fédérale Lausanne), Switzerland. This property serves as our corporate headquarters, our research facility and laboratories. We believe that using the EPFL facilities instead of building our own infrastructure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helps us to maximize the value of our research and development capital and make efficient use of our funds as we continue to build and develop our pipeline. We believe that our existing facility is sufficient to meet our current needs and that suitable additional space is available as and when needed in the future on commercially reasonable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40"/>
          </w:cols>
          <w:pgMar w:left="240" w:top="459" w:right="3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Board of Directors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following table presents information about our executive officers, other key employees and, directors and director nominees, including their ages, as of May 25, 2016. The term of each of our directors is one year and, accordingly, will expire at our 2016 annual shareholder meeting to be held in August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vMerge w:val="restart"/>
          </w:tcPr>
          <w:p>
            <w:pPr>
              <w:spacing w:after="0"/>
              <w:rPr>
                <w:sz w:val="14"/>
                <w:szCs w:val="1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Initial Year of</w:t>
            </w:r>
          </w:p>
        </w:tc>
        <w:tc>
          <w:tcPr>
            <w:tcW w:w="0" w:type="dxa"/>
            <w:vAlign w:val="bottom"/>
          </w:tcPr>
          <w:p>
            <w:pPr>
              <w:spacing w:after="0"/>
              <w:rPr>
                <w:sz w:val="1"/>
                <w:szCs w:val="1"/>
                <w:color w:val="auto"/>
              </w:rPr>
            </w:pPr>
          </w:p>
        </w:tc>
      </w:tr>
      <w:tr>
        <w:trPr>
          <w:trHeight w:val="185"/>
        </w:trPr>
        <w:tc>
          <w:tcPr>
            <w:tcW w:w="380" w:type="dxa"/>
            <w:vAlign w:val="bottom"/>
            <w:vMerge w:val="continue"/>
          </w:tcPr>
          <w:p>
            <w:pPr>
              <w:spacing w:after="0"/>
              <w:rPr>
                <w:sz w:val="16"/>
                <w:szCs w:val="16"/>
                <w:color w:val="auto"/>
              </w:rPr>
            </w:pPr>
          </w:p>
        </w:tc>
        <w:tc>
          <w:tcPr>
            <w:tcW w:w="4280" w:type="dxa"/>
            <w:vAlign w:val="bottom"/>
            <w:vMerge w:val="continue"/>
          </w:tcPr>
          <w:p>
            <w:pPr>
              <w:spacing w:after="0"/>
              <w:rPr>
                <w:sz w:val="16"/>
                <w:szCs w:val="16"/>
                <w:color w:val="auto"/>
              </w:rPr>
            </w:pPr>
          </w:p>
        </w:tc>
        <w:tc>
          <w:tcPr>
            <w:tcW w:w="51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Appointment</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5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Andrea Pfeifer,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 Nominee</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Andreas Muhs,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George Pavey, CFA</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2"/>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Jean-Fabien Monin</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Administrative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w:t>
            </w:r>
          </w:p>
        </w:tc>
        <w:tc>
          <w:tcPr>
            <w:tcW w:w="5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Wolfgang Barth,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 of Development</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0"/>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David A. Lowe,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Innovation Fellow</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Joseph Wettstein</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Scientific Officer, Deputy and Head of Non-AD</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Non-Executive Directors</w:t>
            </w:r>
          </w:p>
        </w:tc>
        <w:tc>
          <w:tcPr>
            <w:tcW w:w="5120" w:type="dxa"/>
            <w:vAlign w:val="bottom"/>
            <w:gridSpan w:val="2"/>
          </w:tcPr>
          <w:p>
            <w:pPr>
              <w:spacing w:after="0"/>
              <w:rPr>
                <w:sz w:val="20"/>
                <w:szCs w:val="20"/>
                <w:color w:val="auto"/>
              </w:rPr>
            </w:pPr>
            <w:r>
              <w:rPr>
                <w:rFonts w:ascii="Arial" w:cs="Arial" w:eastAsia="Arial" w:hAnsi="Arial"/>
                <w:sz w:val="18"/>
                <w:szCs w:val="18"/>
                <w:color w:val="auto"/>
              </w:rPr>
              <w:t>Proteinopathies</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Martin Velasco</w:t>
            </w:r>
          </w:p>
        </w:tc>
        <w:tc>
          <w:tcPr>
            <w:tcW w:w="512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Detlev Riesner,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74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Mathias Hothum,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Friedrich von Bohlen und Halbach</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Peter Bollmann</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directors and director nominee is AC Immune SA, EPFL Innovation Park, Building B, 1015 Lausanne, Switzerland.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Andrea Pfeifer, Ph.D., Co-Founder, Chief Executive Officer and Director Nominee: </w:t>
      </w:r>
      <w:r>
        <w:rPr>
          <w:rFonts w:ascii="Arial" w:cs="Arial" w:eastAsia="Arial" w:hAnsi="Arial"/>
          <w:sz w:val="16"/>
          <w:szCs w:val="16"/>
          <w:color w:val="auto"/>
        </w:rPr>
        <w:t>Dr. Pfeifer co-founded AC Immune in April 2003, and has</w:t>
      </w:r>
      <w:r>
        <w:rPr>
          <w:rFonts w:ascii="Arial" w:cs="Arial" w:eastAsia="Arial" w:hAnsi="Arial"/>
          <w:sz w:val="16"/>
          <w:szCs w:val="16"/>
          <w:b w:val="1"/>
          <w:bCs w:val="1"/>
          <w:color w:val="auto"/>
        </w:rPr>
        <w:t xml:space="preserve"> </w:t>
      </w:r>
      <w:r>
        <w:rPr>
          <w:rFonts w:ascii="Arial" w:cs="Arial" w:eastAsia="Arial" w:hAnsi="Arial"/>
          <w:sz w:val="16"/>
          <w:szCs w:val="16"/>
          <w:color w:val="auto"/>
        </w:rPr>
        <w:t>agreed to serve as a director on our board effective upon completion of this offering.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Dr. Pfeifer is a member of the CEOi Initiative on Alzheimer’s Disease.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Ecole Polytechnique Fédérale de Lausanne (EPFL).</w:t>
      </w:r>
    </w:p>
    <w:p>
      <w:pPr>
        <w:spacing w:after="0" w:line="18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Andreas Muhs, Ph.D., Chief Scientific Officer: </w:t>
      </w:r>
      <w:r>
        <w:rPr>
          <w:rFonts w:ascii="Arial" w:cs="Arial" w:eastAsia="Arial" w:hAnsi="Arial"/>
          <w:sz w:val="18"/>
          <w:szCs w:val="18"/>
          <w:color w:val="auto"/>
        </w:rPr>
        <w:t>Dr. Muhs has served as our Chief Scientific Officer since 2005. Prior to joining AC Immune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he was 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George Pavey, CFA, Chief Financial Officer: </w:t>
      </w:r>
      <w:r>
        <w:rPr>
          <w:rFonts w:ascii="Arial" w:cs="Arial" w:eastAsia="Arial" w:hAnsi="Arial"/>
          <w:sz w:val="18"/>
          <w:szCs w:val="18"/>
          <w:color w:val="auto"/>
        </w:rPr>
        <w:t>Mr. Pavey has served as our Chief Financial Officer since July 2015. Before joining AC Immune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Mr. Pavey was an independent financial advisor to a broad range of private and public companies from June 2013 to July 2015. Between 1991 and 2012, Mr. Pavey was an investment banker at various financial institutions including Credit Suisse, UBS and HSBC. His most recent role at Credit Suisse was that of Co-Head of the Global Markets Solutions Group for Asia-Pacific at Credit Suisse where he was responsible for Credit Suisse’s equity and debt capital markets businesses and structured products business across Asia-Pacific. He has a degree in Bachelor of Arts from the Richard Ivey School of Business, Canada. He is also a Chartered Financial Analyst.</w:t>
      </w:r>
    </w:p>
    <w:p>
      <w:pPr>
        <w:spacing w:after="0" w:line="18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11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Wolfgang Barth, Ph.D., Director of Development: </w:t>
      </w:r>
      <w:r>
        <w:rPr>
          <w:rFonts w:ascii="Arial" w:cs="Arial" w:eastAsia="Arial" w:hAnsi="Arial"/>
          <w:sz w:val="18"/>
          <w:szCs w:val="18"/>
          <w:color w:val="auto"/>
        </w:rPr>
        <w:t>Dr. Barth has served as our Director of Development since June 2010. Prior to joining AC</w:t>
      </w:r>
      <w:r>
        <w:rPr>
          <w:rFonts w:ascii="Arial" w:cs="Arial" w:eastAsia="Arial" w:hAnsi="Arial"/>
          <w:sz w:val="18"/>
          <w:szCs w:val="18"/>
          <w:b w:val="1"/>
          <w:bCs w:val="1"/>
          <w:color w:val="auto"/>
        </w:rPr>
        <w:t xml:space="preserve"> </w:t>
      </w:r>
      <w:r>
        <w:rPr>
          <w:rFonts w:ascii="Arial" w:cs="Arial" w:eastAsia="Arial" w:hAnsi="Arial"/>
          <w:sz w:val="18"/>
          <w:szCs w:val="18"/>
          <w:color w:val="auto"/>
        </w:rPr>
        <w:t>Immune, he was the Head of Development at TRIN-Pharma. Previous to TRIN-Pharma, Dr. Barth was at Bayer Healthcare, where he was the responsible project leader of numerous preclinical and clinical development projects. The most important project was the development of the PDE5 inhibitor Levitra which he led from the start of preclinical development until market launch. Wolfgang Barth holds a Ph.D. in Chemistry from the University of Marburg and received a NATO stipend for a postdoctoral staff position at the Ohio State University.</w:t>
      </w:r>
    </w:p>
    <w:p>
      <w:pPr>
        <w:spacing w:after="0" w:line="184"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David A. Lowe, Ph.D., Innovation Fellow: </w:t>
      </w:r>
      <w:r>
        <w:rPr>
          <w:rFonts w:ascii="Arial" w:cs="Arial" w:eastAsia="Arial" w:hAnsi="Arial"/>
          <w:sz w:val="16"/>
          <w:szCs w:val="16"/>
          <w:color w:val="auto"/>
        </w:rPr>
        <w:t>Dr. Lowe has served as our Deputy Chief Scientific Officer and more recently as Innovation Fellow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2014.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 Dr. Lowe is also an adjunct professor of Neuroscience at the Icahn School of Medicine in New York City. He received his Ph.D. in Neurobiology from the University of Leeds, UK.</w:t>
      </w:r>
    </w:p>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Joseph G. Wettstein, Ph.D., Chief Scientific Officer Deputy and Department Head of non-AD Proteinopathies: </w:t>
      </w:r>
      <w:r>
        <w:rPr>
          <w:rFonts w:ascii="Arial" w:cs="Arial" w:eastAsia="Arial" w:hAnsi="Arial"/>
          <w:sz w:val="18"/>
          <w:szCs w:val="18"/>
          <w:color w:val="auto"/>
        </w:rPr>
        <w:t>Dr. Wettstein has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Chief Scientific Officer Deputy since February 2016 and leads all of our non-AD programs including our initiatives focused on Parkinson’s disease, Huntington’s disease and TDP-43 across both therapeutic and diagnostic programs. Prior to AC Immune, Dr. Wettstein was Vice President in Neuroscience with Roche Pharmaceuticals in Basel where he oversaw R&amp;D activities associated with programs designed to discover drugs for patients covering a range of brain disorders including Parkinson’s, schizophrenia, Huntington’s, Down syndrome, Alzheimer’s, autism, bipolar disorder, depression and Fragile X. As Head of Systems Pharmacology, CNS Research at Aventis, he played a critical role in the discovery of the immunomodulatory drug teriflunomide (Aubagio</w:t>
      </w:r>
      <w:r>
        <w:rPr>
          <w:rFonts w:ascii="Arial" w:cs="Arial" w:eastAsia="Arial" w:hAnsi="Arial"/>
          <w:sz w:val="15"/>
          <w:szCs w:val="15"/>
          <w:color w:val="auto"/>
        </w:rPr>
        <w:t>®</w:t>
      </w:r>
      <w:r>
        <w:rPr>
          <w:rFonts w:ascii="Arial" w:cs="Arial" w:eastAsia="Arial" w:hAnsi="Arial"/>
          <w:sz w:val="18"/>
          <w:szCs w:val="18"/>
          <w:color w:val="auto"/>
        </w:rPr>
        <w:t>) for multiple sclerosis. Dr. Wettstein holds a Ph.D. from the College of Medicine at the University of Kentucky and was a Postdoctoral Fellow then instructor at Harvard Medical School.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11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color w:val="auto"/>
        </w:rPr>
        <w:t xml:space="preserve">Martin Velasco, Chairman and Director: </w:t>
      </w:r>
      <w:r>
        <w:rPr>
          <w:rFonts w:ascii="Arial" w:cs="Arial" w:eastAsia="Arial" w:hAnsi="Arial"/>
          <w:sz w:val="16"/>
          <w:szCs w:val="16"/>
          <w:color w:val="auto"/>
        </w:rPr>
        <w:t>Mr. Velasco has served on our board of directors since December 2003. Martin Velasco is an entrepreneur</w:t>
      </w:r>
      <w:r>
        <w:rPr>
          <w:rFonts w:ascii="Arial" w:cs="Arial" w:eastAsia="Arial" w:hAnsi="Arial"/>
          <w:sz w:val="16"/>
          <w:szCs w:val="16"/>
          <w:b w:val="1"/>
          <w:bCs w:val="1"/>
          <w:color w:val="auto"/>
        </w:rPr>
        <w:t xml:space="preserve"> </w:t>
      </w:r>
      <w:r>
        <w:rPr>
          <w:rFonts w:ascii="Arial" w:cs="Arial" w:eastAsia="Arial" w:hAnsi="Arial"/>
          <w:sz w:val="16"/>
          <w:szCs w:val="16"/>
          <w:color w:val="auto"/>
        </w:rPr>
        <w:t>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Founder and Chairman of Sumerian, an Analytics company transforming Big Data into business focused IT intelligence, as Chairman of the Supervisory Board of Cocomore, a digital communications agency and IT services firm, as Board Member of Aridhia, a Health Informatics company, and as Board Member of Aleva Neurotherapeutics, a Deep Brain Stimulation (DBS) company. Martin is also the Founder and Chairman of Infantia Foundation, a philanthropic organization aiding children in the developing world. He is a member of the Board of BlueOrchard, the leading private microfinance investment advisory company, member of the Strategic Advisory Board of the EPFL, Vice President of the Board of the Foundation EPFL</w:t>
      </w:r>
      <w:r>
        <w:rPr>
          <w:rFonts w:ascii="Arial" w:cs="Arial" w:eastAsia="Arial" w:hAnsi="Arial"/>
          <w:sz w:val="16"/>
          <w:szCs w:val="16"/>
          <w:b w:val="1"/>
          <w:bCs w:val="1"/>
          <w:color w:val="auto"/>
        </w:rPr>
        <w:t>+</w:t>
      </w:r>
      <w:r>
        <w:rPr>
          <w:rFonts w:ascii="Arial" w:cs="Arial" w:eastAsia="Arial" w:hAnsi="Arial"/>
          <w:sz w:val="16"/>
          <w:szCs w:val="16"/>
          <w:color w:val="auto"/>
        </w:rPr>
        <w:t xml:space="preserve"> and Vice Chairman of the European Tech Tour Association.</w:t>
      </w:r>
    </w:p>
    <w:p>
      <w:pPr>
        <w:spacing w:after="0" w:line="16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Detlev H. Riesner, Ph.D., Director: </w:t>
      </w:r>
      <w:r>
        <w:rPr>
          <w:rFonts w:ascii="Arial" w:cs="Arial" w:eastAsia="Arial" w:hAnsi="Arial"/>
          <w:sz w:val="18"/>
          <w:szCs w:val="18"/>
          <w:color w:val="auto"/>
        </w:rPr>
        <w:t>Prof. Riesner has served on our board since 2004. He held the Chair of Biophysics at the Heinrich-Heine-University in Düsseldorf, Germany from 1980 to 2007. He has also held the positions of Dean of the Science Faculty and Vice-President of Research. In 2007 he became member of the university’s Board of Trustees. He worked as a research fellow at Princeton University and held a guest professorship at the department of Neurology at the University of California, San Francisco. Prof. Riesner is a co-founder of Qiagen N.V., Netherlands, was a member and from 1999 to 2014 chairman of the Supervisory Board. He was also a member of the supervisory boards of NewLab Bioquality AG, Erkrath, Direvo AG, Köln, and Alantos AG, Heidelberg.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185"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Mathias Hothum, Ph.D., Director: </w:t>
      </w:r>
      <w:r>
        <w:rPr>
          <w:rFonts w:ascii="Arial" w:cs="Arial" w:eastAsia="Arial" w:hAnsi="Arial"/>
          <w:sz w:val="18"/>
          <w:szCs w:val="18"/>
          <w:color w:val="auto"/>
        </w:rPr>
        <w:t>Dr. Hothum has served on our board of directors since April 2013. He is managing director of Dievini, a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investment fund. He holds a Ph.D. in Economics from the University of Magdeburg, Germany.</w:t>
      </w:r>
    </w:p>
    <w:p>
      <w:pPr>
        <w:spacing w:after="0" w:line="162"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Friedrich von Bohlen und Halbach, Ph.D., Director: </w:t>
      </w:r>
      <w:r>
        <w:rPr>
          <w:rFonts w:ascii="Arial" w:cs="Arial" w:eastAsia="Arial" w:hAnsi="Arial"/>
          <w:sz w:val="18"/>
          <w:szCs w:val="18"/>
          <w:color w:val="auto"/>
        </w:rPr>
        <w:t>Dr. von Bohlen has served on our board since October 2015. He is co-founder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dievini Hopp BioTech holding GmbH &amp; Co. KG. He brings extensive industry experience from Fresenius AG, FAG Kugelfischer, and WASAG-Chemie AG, founded LION bioscience AG in 1997 (now SYGNIS Pharma AG) and served as the company’s CEO. Dr. von Bohlen is a board member of various companies of the dievini portfolio and Chairman of Apogenix AG, CureVac AG and Molecular Health GmbH. He holds a PhD in Neurobiology from the Swiss Federal Institute of Technology in Zurich, Switzerland.</w:t>
      </w:r>
    </w:p>
    <w:p>
      <w:pPr>
        <w:spacing w:after="0" w:line="184"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b w:val="1"/>
          <w:bCs w:val="1"/>
          <w:color w:val="auto"/>
        </w:rPr>
        <w:t xml:space="preserve">Peter Bollmann, Ph.D., Director: </w:t>
      </w:r>
      <w:r>
        <w:rPr>
          <w:rFonts w:ascii="Arial" w:cs="Arial" w:eastAsia="Arial" w:hAnsi="Arial"/>
          <w:sz w:val="18"/>
          <w:szCs w:val="18"/>
          <w:color w:val="auto"/>
        </w:rPr>
        <w:t>Dr. Bollmann has joined our board in December 2015. He has extensive management and finance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and abroad as CEO, CFO and member of the board. His broad industry experience embraces biotechnology and medical technology firms including previous Board positions with Cytos Biotechnology and Prionics.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board of directors is composed of five members and will be expanded to a total of six members upon completion of this offering with Andrea Pfeifer, CEO, joining the board. Each director is elected for a one-year term. The current members of our board of directors were appointed at a shareholders’ meeting held on April 14, 2015 to serve until the 2016 shareholders’ meeting to be held in August 2016.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be a foreign private issuer. As a result, in accordance with the NASDAQ stock exchange listing requirements, we will rely on home country governance requirements and certain exemptions thereunder rather than relying on the stock exchange corporate governance requirements. For an overview of our corporate governance principles, see “Description of Share Capital and Articles of Association.”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taking account any applicable committee independence standards, Martin Velasco, Detlev Riesner and Peter Bollmann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board of directors will establish two separate committees prior to the consummation of this offering: an audit and finance committee and a compensation, nomination and governance committee.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audit and finance committee, which is expected to consist of Peter Bollmann, Detlev Riesner and Martin Velasco, will assist our board of directors in overseeing our accounting and financial reporting processes and the audits of our financial statements. In addition, the audit and finance committee will be directly responsible for the appointment, compensation, retention and oversight of the work of our independent registered public accounting firm. Peter Bollmann will serve as Chairman of the committee. The audit and finance committee will consist exclusively of members of our supervisory board who are financially literate, and Peter Bollmann is considered an “audit committee financial expert” as defined by the SEC. Our board of directors has determined that Peter Bollmann, Detlev Riesner and Martin Velasco satisfy the “independence” requirements set forth in Rule 10A-3 under the Exchange Act.</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audit and finance committee will be governed by a charter that complies with NASDAQ rules. Upon the completion of this offering, the audit and finance committee has the responsibility to, among other things:</w:t>
      </w:r>
    </w:p>
    <w:p>
      <w:pPr>
        <w:spacing w:after="0" w:line="76"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approve any audit and non-audit services proposed to be provided by the independent auditor to ensure independent auditor independence;</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review, discuss with the chief financial officer and the independent auditor and approve (i) the annual and quarterly financial statements,</w:t>
      </w:r>
    </w:p>
    <w:p>
      <w:pPr>
        <w:spacing w:after="0" w:line="34" w:lineRule="exact"/>
        <w:rPr>
          <w:rFonts w:ascii="Arial" w:cs="Arial" w:eastAsia="Arial" w:hAnsi="Arial"/>
          <w:sz w:val="17"/>
          <w:szCs w:val="17"/>
          <w:color w:val="auto"/>
        </w:rPr>
      </w:pPr>
    </w:p>
    <w:p>
      <w:pPr>
        <w:ind w:left="900" w:right="220"/>
        <w:spacing w:after="0" w:line="255" w:lineRule="auto"/>
        <w:rPr>
          <w:rFonts w:ascii="Arial" w:cs="Arial" w:eastAsia="Arial" w:hAnsi="Arial"/>
          <w:sz w:val="17"/>
          <w:szCs w:val="17"/>
          <w:color w:val="auto"/>
        </w:rPr>
      </w:pPr>
      <w:r>
        <w:rPr>
          <w:rFonts w:ascii="Arial" w:cs="Arial" w:eastAsia="Arial" w:hAnsi="Arial"/>
          <w:sz w:val="18"/>
          <w:szCs w:val="18"/>
          <w:color w:val="auto"/>
        </w:rPr>
        <w:t>(ii)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95" w:lineRule="exact"/>
        <w:rPr>
          <w:rFonts w:ascii="Arial" w:cs="Arial" w:eastAsia="Arial" w:hAnsi="Arial"/>
          <w:sz w:val="17"/>
          <w:szCs w:val="17"/>
          <w:color w:val="auto"/>
        </w:rPr>
      </w:pPr>
    </w:p>
    <w:p>
      <w:pPr>
        <w:ind w:left="900" w:right="120" w:hanging="325"/>
        <w:spacing w:after="0" w:line="25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93"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and approve our quarterly financial statements for the first three quarters of each calendar year and the corresponding financial results releases;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51" w:lineRule="exact"/>
        <w:rPr>
          <w:rFonts w:ascii="Arial" w:cs="Arial" w:eastAsia="Arial" w:hAnsi="Arial"/>
          <w:sz w:val="17"/>
          <w:szCs w:val="17"/>
          <w:color w:val="auto"/>
        </w:rPr>
      </w:pPr>
    </w:p>
    <w:p>
      <w:pPr>
        <w:ind w:left="900" w:right="54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which shall include significant deficiencies and material weaknesses in the design or operation of internal controls over financial reporting;</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recommend to the board whether to approve and ratify any related person transaction in accordance with our related person transaction policy.</w:t>
      </w:r>
    </w:p>
    <w:p>
      <w:pPr>
        <w:spacing w:after="0" w:line="24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compensation, nomination and governance committee, which is expected to consist of Detlev Riesner (chair) and Martin Velasco,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 Swiss law 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8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this offering, we will adopt a Code of Business Conduct and Ethics, or the Code of Conduct, that is applicable to all of our employees, executive officers and directors. Following the completion of this offering, the Code of Conduct will be available on our website www.acimmune.com. The audit and finance committee of our board of directors will be responsible for overseeing the Code of Conduct and will be required to approve any waivers of the Code of Conduct for employees, executive officers and directors. We expect that any amendments to the Code of Conduct, or any waivers of its requirements, will be disclosed on our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2015, the aggregate compensation accrued or paid to the members of our board of directors and our executive officers for services in all capacities was CHF 1,784,000.</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During the year ended December 31, 2015, the total payment made to directors and executive officers under performance incentive plans was CHF 495,000.</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or executive officers amounted to a total of CHF 124,000 in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Following the completion of this offering, we intend to cease issuing new grants under our existing equity incentive plans, which we refer to as the Prior Plans, and to adopt a new omnibus equity incentive plan under which we would have the discretion to grant a broad range of equity-based awards to eligible participants.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Plans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2003/2004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As of March 31, 2016, there were 340,625 and 3,066,000 common shares underlying outstanding unvested options and vested options granted pursuant to our Prior Plans, respectively.</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have the right, but not the obligation, to have their unvested options accelerated such that they vest immediately. A total of 110,500 options could be accelerated in the event this offering is completed.</w:t>
      </w:r>
    </w:p>
    <w:p>
      <w:pPr>
        <w:spacing w:after="0" w:line="17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Furthermore, pursuant to a board resolution on October 13, 2015 all options which were granted to directors and executive officers in connection with this offering will be accelerated upon consummation of this offering. This will result in the acceleration of a total of 129,250 unvested options.</w:t>
      </w:r>
    </w:p>
    <w:p>
      <w:pPr>
        <w:spacing w:after="0" w:line="124" w:lineRule="exact"/>
        <w:rPr>
          <w:sz w:val="20"/>
          <w:szCs w:val="20"/>
          <w:color w:val="auto"/>
        </w:rPr>
      </w:pPr>
    </w:p>
    <w:p>
      <w:pPr>
        <w:jc w:val="both"/>
        <w:ind w:right="180" w:firstLine="456"/>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each of the Prior Plans, an option, which can only be granted with the approval of our board of directors, is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agreement signed by the participant to indicate his or her acceptance of the option subject to the terms and conditions of the applicable Prior Plan.</w:t>
      </w:r>
    </w:p>
    <w:p>
      <w:pPr>
        <w:spacing w:after="0" w:line="124"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Under Plans A, B and C1, options were granted to our directors, employees, advisors and agents. Under Plan C2, options were granted only</w:t>
      </w:r>
      <w:r>
        <w:rPr>
          <w:rFonts w:ascii="Arial" w:cs="Arial" w:eastAsia="Arial" w:hAnsi="Arial"/>
          <w:sz w:val="16"/>
          <w:szCs w:val="16"/>
          <w:i w:val="1"/>
          <w:iCs w:val="1"/>
          <w:color w:val="auto"/>
        </w:rPr>
        <w:t xml:space="preserve"> </w:t>
      </w:r>
      <w:r>
        <w:rPr>
          <w:rFonts w:ascii="Arial" w:cs="Arial" w:eastAsia="Arial" w:hAnsi="Arial"/>
          <w:sz w:val="16"/>
          <w:szCs w:val="16"/>
          <w:color w:val="auto"/>
        </w:rPr>
        <w:t>to selected members of our board of directors. Under the Equity Incentive Plan 2013, options were granted to our director, employees, advisors and agents.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i w:val="1"/>
          <w:iCs w:val="1"/>
          <w:color w:val="auto"/>
        </w:rPr>
        <w:t>Option Exercise Price</w:t>
      </w:r>
      <w:r>
        <w:rPr>
          <w:rFonts w:ascii="Arial" w:cs="Arial" w:eastAsia="Arial" w:hAnsi="Arial"/>
          <w:sz w:val="16"/>
          <w:szCs w:val="16"/>
          <w:color w:val="auto"/>
        </w:rPr>
        <w:t>. With the exception of Plan A, the exercise price of all options issued under the Prior Plans is CHF 0.14548. The original</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for options issued under Plan A was CHF 0.93186. However, this exercise price was amended in June 2015 with the approval of our board of directors to be CHF 0.14548. As a result, as of March 31, 2016, all options outstanding under our Prior Plans have an exercise price of CHF 0.14548.</w:t>
      </w:r>
    </w:p>
    <w:p>
      <w:pPr>
        <w:spacing w:after="0" w:line="147" w:lineRule="exact"/>
        <w:rPr>
          <w:sz w:val="20"/>
          <w:szCs w:val="20"/>
          <w:color w:val="auto"/>
        </w:rPr>
      </w:pPr>
    </w:p>
    <w:p>
      <w:pPr>
        <w:jc w:val="both"/>
        <w:ind w:right="480" w:firstLine="456"/>
        <w:spacing w:after="0" w:line="279" w:lineRule="auto"/>
        <w:rPr>
          <w:sz w:val="20"/>
          <w:szCs w:val="20"/>
          <w:color w:val="auto"/>
        </w:rPr>
      </w:pPr>
      <w:r>
        <w:rPr>
          <w:rFonts w:ascii="Arial" w:cs="Arial" w:eastAsia="Arial" w:hAnsi="Arial"/>
          <w:sz w:val="17"/>
          <w:szCs w:val="17"/>
          <w:i w:val="1"/>
          <w:iCs w:val="1"/>
          <w:color w:val="auto"/>
        </w:rPr>
        <w:t>Vesting Period</w:t>
      </w:r>
      <w:r>
        <w:rPr>
          <w:rFonts w:ascii="Arial" w:cs="Arial" w:eastAsia="Arial" w:hAnsi="Arial"/>
          <w:sz w:val="17"/>
          <w:szCs w:val="17"/>
          <w:color w:val="auto"/>
        </w:rPr>
        <w:t>. The vesting periods of options issued under our Prior Plans vary. The options granted under Plan A vested immediately but were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Consideration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Since the beginning of the last fiscal year ended December 31, 2015, we have granted our executive officers, in the aggregate, the right to acquire 196,750 shares at a price of CHF 0.14548 per share. Contingent upon continued employment and approval of our Board of Directors, such options will vest as follows:</w:t>
      </w:r>
    </w:p>
    <w:p>
      <w:pPr>
        <w:spacing w:after="0" w:line="87" w:lineRule="exact"/>
        <w:rPr>
          <w:sz w:val="20"/>
          <w:szCs w:val="20"/>
          <w:color w:val="auto"/>
        </w:rPr>
      </w:pPr>
    </w:p>
    <w:p>
      <w:pPr>
        <w:ind w:left="900" w:right="60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45,000 shares which became purchasable on July 1, 2015, on a monthly basis over a 24-month period but become fully exerciseable upon completion of the offering at a price of CHF 0.14548 per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98,500 shares which will become purchasable on July 1, 2016, on a monthly basis over a 48-month period;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53,250 shares which will become purchasable starting on July 1, 2017, on a monthly basis over a 48-month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presents information relating to the beneficial ownership of our common shares as of March 31, 2016, as if the conversion of our preferred shares into common shares on a one-for-one basis had occurred, by:</w:t>
      </w:r>
    </w:p>
    <w:p>
      <w:pPr>
        <w:spacing w:after="0" w:line="76"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Upon completion of this offering, all of our outstanding preferred shares, including the preferred shares issued in the Series E Private Placement Extension, will be converted into common shares on a one-for-one basis and we will have only one class of shares issued and outstanding. All holders of our common shares will have the same voting rights upon the completion of this offering.</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March 31, 2016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percentage of outstanding common shares is computed on the basis of 47,804,292 common shares outstanding as of March 31, 2016 (including the additional common shares issuable upon conversion of all of our preferred shares, including the preferred shares issued in the Series E Private Placement Extension, into common shares on a one-for-one basis upon the closing of this offering). Common shares that a person has the right to acquire within 60 days of March 31, 2016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 As of March 31, 2016, a total of 2,991,500 of our common shares (including the additional common shares issuable upon conversion of all of our preferred shares, including the preferred shares issued in the Series E Private Placement Extension, into common shares on a one-for-one basis upon the closing of this offering) were held by a total of ten U.S. record 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percentage of common shares beneficially owned before this offering is computed on the basis of common shares issued and outstanding as of</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March 31, 2016. The percentage of common shares beneficially owned after this offering is based on common shares that will be issued and outstanding upon the completion of this offering (including the additional common shares issuable upon conversion of all of our preferred shares, including the preferred shares issued in the Series E Private Placement Extension, on a one-for-one basis upon the closing of this offering).</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9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1"/>
              </w:rPr>
              <w:t>Shares Beneficially Owned</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Shares Beneficially Owned</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92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Before This Offering</w:t>
            </w: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After This Offering</w:t>
            </w:r>
          </w:p>
        </w:tc>
        <w:tc>
          <w:tcPr>
            <w:tcW w:w="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Assuming Full Exercise</w:t>
            </w:r>
          </w:p>
        </w:tc>
        <w:tc>
          <w:tcPr>
            <w:tcW w:w="0" w:type="dxa"/>
            <w:vAlign w:val="bottom"/>
          </w:tcPr>
          <w:p>
            <w:pPr>
              <w:spacing w:after="0"/>
              <w:rPr>
                <w:sz w:val="1"/>
                <w:szCs w:val="1"/>
                <w:color w:val="auto"/>
              </w:rPr>
            </w:pPr>
          </w:p>
        </w:tc>
      </w:tr>
      <w:tr>
        <w:trPr>
          <w:trHeight w:val="27"/>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Shareholder</w:t>
            </w: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4"/>
              </w:rPr>
              <w:t>of Underwriters’ Over-</w:t>
            </w:r>
          </w:p>
        </w:tc>
        <w:tc>
          <w:tcPr>
            <w:tcW w:w="0" w:type="dxa"/>
            <w:vAlign w:val="bottom"/>
          </w:tcPr>
          <w:p>
            <w:pPr>
              <w:spacing w:after="0"/>
              <w:rPr>
                <w:sz w:val="1"/>
                <w:szCs w:val="1"/>
                <w:color w:val="auto"/>
              </w:rPr>
            </w:pPr>
          </w:p>
        </w:tc>
      </w:tr>
      <w:tr>
        <w:trPr>
          <w:trHeight w:val="79"/>
        </w:trPr>
        <w:tc>
          <w:tcPr>
            <w:tcW w:w="6280" w:type="dxa"/>
            <w:vAlign w:val="bottom"/>
            <w:gridSpan w:val="2"/>
            <w:vMerge w:val="continue"/>
          </w:tcPr>
          <w:p>
            <w:pPr>
              <w:spacing w:after="0"/>
              <w:rPr>
                <w:sz w:val="6"/>
                <w:szCs w:val="6"/>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Allotment Option</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5% Shareholders</w:t>
            </w: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dievini Hopp BioTech holding GmbH &amp; Co KG(1)</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18,041,000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37.7%</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Varuma AG(2)</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11,400,000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 and Directors</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Andrea Pfeifer(3)</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3,083,250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Andreas Muhs(4)</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898,500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George Pavey(5)</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Jean-Fabien Monin(6)</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327,500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Martin Velasco(7)</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949,750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Mathias Hothum(8)</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51,250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Detlev Riesner(9)</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625,500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tcPr>
          <w:p>
            <w:pPr>
              <w:spacing w:after="0" w:line="149" w:lineRule="exact"/>
              <w:rPr>
                <w:sz w:val="20"/>
                <w:szCs w:val="20"/>
                <w:color w:val="auto"/>
              </w:rPr>
            </w:pPr>
            <w:r>
              <w:rPr>
                <w:rFonts w:ascii="Arial" w:cs="Arial" w:eastAsia="Arial" w:hAnsi="Arial"/>
                <w:sz w:val="14"/>
                <w:szCs w:val="14"/>
                <w:color w:val="auto"/>
              </w:rPr>
              <w:t>Friedrich von Bohlen und Halbach(10)</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78,750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Bollmann</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80" w:type="dxa"/>
            <w:vAlign w:val="bottom"/>
            <w:gridSpan w:val="2"/>
          </w:tcPr>
          <w:p>
            <w:pPr>
              <w:spacing w:after="0"/>
              <w:rPr>
                <w:sz w:val="20"/>
                <w:szCs w:val="20"/>
                <w:color w:val="auto"/>
              </w:rPr>
            </w:pPr>
            <w:r>
              <w:rPr>
                <w:rFonts w:ascii="Arial" w:cs="Arial" w:eastAsia="Arial" w:hAnsi="Arial"/>
                <w:sz w:val="14"/>
                <w:szCs w:val="14"/>
                <w:color w:val="auto"/>
              </w:rPr>
              <w:t>All executive officers and directors as a group (9 persons)</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6,059,500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12.8%</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issued and outstanding common shares.</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18,041,000 shares held by dievini Hopp BioTech holding CmbH &amp; Co KG. Dietmar Hopp controls the voting and investment decisions of the ultimate parent company of dievini Hopp BioTech holding CmbH &amp; Co KG. The shares registered in the name of dievini Hopp BioTech holding CmbH &amp; Co KG may also be deemed to be beneficially owned by Friedrich von Bohlen und Halbach and Matthias Hothum, each of whom is a managing director of dievini Hopp BioTech holding CmbH &amp; Co KG. The address for dievini Hopp BioTech holding CmbH &amp; Co KG, Friedrich von Bohlen und Halbach and Matthias Hothum is Johann-Jakob-Astor Str. 57, 69190 Walldorf, Germany.</w:t>
      </w:r>
    </w:p>
    <w:p>
      <w:pPr>
        <w:spacing w:after="0" w:line="1" w:lineRule="exact"/>
        <w:rPr>
          <w:rFonts w:ascii="Arial" w:cs="Arial" w:eastAsia="Arial" w:hAnsi="Arial"/>
          <w:sz w:val="14"/>
          <w:szCs w:val="14"/>
          <w:color w:val="auto"/>
        </w:rPr>
      </w:pP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address for Varuma AG is Aeschenvorstadt 55, CH-4051 Basel, Switzerland. Rudolf Maag controls the voting and investment decisions of Varuma AG.</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1,944,500 of our common shares and options to purchase 1,138,750 of our common shares exercisable within 60 days of March 31, 2016.</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279,000 of our common shares and options to purchase 619,500 of our common shares exercisable within 60 days of March 31, 2016.</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options to purchase 45,000 of our common shares exercisable within 60 days of March 31, 2016.</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198,750 of our common shares and options to purchase 128,750 of our common shares exercisable within 60 days of March 31, 2016.</w:t>
      </w:r>
    </w:p>
    <w:p>
      <w:pPr>
        <w:ind w:left="460" w:right="34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845,250 of our common shares and options to purchase 104,500 of our common shares exercisable within 60 days of March 31, 2016. Includes shares held through an entity controlled by Mr. Velasco and, as such, Mr. Velasco has sole voting and dispositive power over such shares.</w:t>
      </w:r>
    </w:p>
    <w:p>
      <w:pPr>
        <w:ind w:left="460" w:right="38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options to purchase 51,250 of our common shares exercisable within 60 days of March 31, 2016, and excludes the 18,041,000 shares registered in the name of dievini Hopp BioTech holding CmbH &amp; Co KG that may also be deemed to be beneficially owned by Friedrich von Bohlen und Halbach. See note (1) above.</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557,750 of our common shares and options to purchase 67,750 of our common shares exercisable within 60 days of March 31, 2016.</w:t>
      </w:r>
    </w:p>
    <w:p>
      <w:pPr>
        <w:ind w:left="460" w:right="80" w:hanging="452"/>
        <w:spacing w:after="0" w:line="237"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78,750 of our common shares, and excludes the 18,041,000 shares registered in the name of dievini Hopp BioTech holding CmbH &amp; Co KG that may also be beneficially owned by Friedrich von Bohlen und Halbach. See note (1) above.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2013 with any of our executive officers, directors and holders of more than 10% of any class of our voting securities, or any member of the immediate family of any of the foregoing persons, other than the compensation arrangements we describe under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Series D Preferred Shares Financing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October 2013, we agreed to the terms of our Series D preferred share financing with certain of our existing shareholders, including dievini Hopp BioTech holding GmbH &amp; Co GK, Varuma AG, Dr. Riesner and Dr. Andrea Pfeifer. These shareholders agreed to subscribe to a CHF 20 million capital increase with an understanding that the capital increase would be executed via two separate tranches on the same terms. Subsequently, we offered our shareholders the option to subscribe for 4,122,500 Preferred Series D Shares for CHF 4.8516 each (in two tranches), and all shares were subscribed by current shareholders. On December 10, 2013, we entered into agreement with our shareholders and investors pursuant to which we agreed to issue 2,061,250 Series D preferred shares in exchange for a contribution of CHF 10 million as a first tranche and an additional 2,061,250 Series D preferred shares in exchange for a contribution of CHF 10 million. The 2,061,250 Series D shares of the first tranche were issued on January 7, 2014 for CHF 10 million and the 2,061,250 Series D shares of the second tranche were issued on July 7, 2014 for CHF 10 million.</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the number of our Series D preferred shares purchased by our executive officers, directors and certain related parties and their affiliates: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0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90"/>
              </w:rPr>
              <w:t>Series D Preferred Shares</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Series D Preferred Shares Total</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4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Varuma AG</w:t>
            </w:r>
          </w:p>
        </w:tc>
        <w:tc>
          <w:tcPr>
            <w:tcW w:w="1580" w:type="dxa"/>
            <w:vAlign w:val="bottom"/>
          </w:tcPr>
          <w:p>
            <w:pPr>
              <w:jc w:val="right"/>
              <w:spacing w:after="0"/>
              <w:rPr>
                <w:sz w:val="20"/>
                <w:szCs w:val="20"/>
                <w:color w:val="auto"/>
              </w:rPr>
            </w:pPr>
            <w:r>
              <w:rPr>
                <w:rFonts w:ascii="Arial" w:cs="Arial" w:eastAsia="Arial" w:hAnsi="Arial"/>
                <w:sz w:val="18"/>
                <w:szCs w:val="18"/>
                <w:color w:val="auto"/>
              </w:rPr>
              <w:t>1,433,500</w:t>
            </w:r>
          </w:p>
        </w:tc>
        <w:tc>
          <w:tcPr>
            <w:tcW w:w="14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1,433,500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Dr. Andrea Pfeifer</w:t>
            </w:r>
          </w:p>
        </w:tc>
        <w:tc>
          <w:tcPr>
            <w:tcW w:w="306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12,500</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Dr. Riesner(1)</w:t>
            </w:r>
          </w:p>
        </w:tc>
        <w:tc>
          <w:tcPr>
            <w:tcW w:w="3060" w:type="dxa"/>
            <w:vAlign w:val="bottom"/>
            <w:gridSpan w:val="2"/>
          </w:tcPr>
          <w:p>
            <w:pPr>
              <w:jc w:val="right"/>
              <w:ind w:right="1480"/>
              <w:spacing w:after="0"/>
              <w:rPr>
                <w:sz w:val="20"/>
                <w:szCs w:val="20"/>
                <w:color w:val="auto"/>
              </w:rPr>
            </w:pPr>
            <w:r>
              <w:rPr>
                <w:rFonts w:ascii="Arial" w:cs="Arial" w:eastAsia="Arial" w:hAnsi="Arial"/>
                <w:sz w:val="18"/>
                <w:szCs w:val="18"/>
                <w:color w:val="auto"/>
              </w:rPr>
              <w:t>58,000</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58,000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480" w:type="dxa"/>
            <w:vAlign w:val="bottom"/>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64"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Dr. Riesner acquired a total of 58,000 preferred shares as part of the Series D financing with 2,000 preferred shares being acquired by Dr. Riesner directly, 4,000 shares being acquired by Dr. Riesner’s wife, Hannelore Riesner, and 52,000 shares being acquired by Riesner Verwaltungs GmbH / Peter Esser.</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the number of our Series E preferred shares purchased for $9.6384 by our executive officers, directors and certain related parties and their affiliates: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Series E</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Series E</w:t>
            </w:r>
          </w:p>
        </w:tc>
      </w:tr>
      <w:tr>
        <w:trPr>
          <w:trHeight w:val="171"/>
        </w:trPr>
        <w:tc>
          <w:tcPr>
            <w:tcW w:w="6760" w:type="dxa"/>
            <w:vAlign w:val="bottom"/>
          </w:tcPr>
          <w:p>
            <w:pPr>
              <w:spacing w:after="0"/>
              <w:rPr>
                <w:sz w:val="14"/>
                <w:szCs w:val="14"/>
                <w:color w:val="auto"/>
              </w:rPr>
            </w:pPr>
          </w:p>
        </w:tc>
        <w:tc>
          <w:tcPr>
            <w:tcW w:w="22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0"/>
              </w:rPr>
              <w:t>Preferred Shares</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Preferred Shares Total</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Varuma AG</w:t>
            </w:r>
          </w:p>
        </w:tc>
        <w:tc>
          <w:tcPr>
            <w:tcW w:w="2240" w:type="dxa"/>
            <w:vAlign w:val="bottom"/>
            <w:gridSpan w:val="2"/>
          </w:tcPr>
          <w:p>
            <w:pPr>
              <w:jc w:val="right"/>
              <w:ind w:right="1180"/>
              <w:spacing w:after="0"/>
              <w:rPr>
                <w:sz w:val="20"/>
                <w:szCs w:val="20"/>
                <w:color w:val="auto"/>
              </w:rPr>
            </w:pPr>
            <w:r>
              <w:rPr>
                <w:rFonts w:ascii="Arial" w:cs="Arial" w:eastAsia="Arial" w:hAnsi="Arial"/>
                <w:sz w:val="18"/>
                <w:szCs w:val="18"/>
                <w:color w:val="auto"/>
              </w:rPr>
              <w:t>547,000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547,000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We and all of our then-existing shareholders entered into a shareholders agreement in November 2013, which replaced a prior shareholders agreement entered into in November 2008. The agreement entered into in November 2013 provided our shareholders with certain board nomination rights, pre-emptive subscription rights, certain rights of first refusal and tag-along rights. The agreement was replaced by a shareholders agreement entered into in October 2015 in connection with the Series E Private Placement. However, the October 2015 agreement will terminate in connection with this offering.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680" w:firstLine="456"/>
        <w:spacing w:after="0" w:line="291" w:lineRule="auto"/>
        <w:rPr>
          <w:sz w:val="20"/>
          <w:szCs w:val="20"/>
          <w:color w:val="auto"/>
        </w:rPr>
      </w:pPr>
      <w:r>
        <w:rPr>
          <w:rFonts w:ascii="Arial" w:cs="Arial" w:eastAsia="Arial" w:hAnsi="Arial"/>
          <w:sz w:val="16"/>
          <w:szCs w:val="16"/>
          <w:color w:val="auto"/>
        </w:rPr>
        <w:t>We entered into a registration rights agreement in connection with the Series E Private Placement with certain investors in the Series E Private Placement pursuant to which we granted them certain demand and piggyback registration rights for the resale of the common shares held by them, as</w:t>
      </w:r>
    </w:p>
    <w:p>
      <w:pPr>
        <w:spacing w:after="0"/>
        <w:tabs>
          <w:tab w:leader="none" w:pos="7560" w:val="left"/>
        </w:tabs>
        <w:rPr>
          <w:sz w:val="20"/>
          <w:szCs w:val="20"/>
          <w:color w:val="auto"/>
        </w:rPr>
      </w:pPr>
      <w:r>
        <w:rPr>
          <w:rFonts w:ascii="Arial" w:cs="Arial" w:eastAsia="Arial" w:hAnsi="Arial"/>
          <w:sz w:val="18"/>
          <w:szCs w:val="18"/>
          <w:color w:val="auto"/>
        </w:rPr>
        <w:t>described below. The shareholders party to the registration rights agreement hold an aggregate of</w:t>
      </w:r>
      <w:r>
        <w:rPr>
          <w:sz w:val="20"/>
          <w:szCs w:val="20"/>
          <w:color w:val="auto"/>
        </w:rPr>
        <w:tab/>
      </w:r>
      <w:r>
        <w:rPr>
          <w:rFonts w:ascii="Arial" w:cs="Arial" w:eastAsia="Arial" w:hAnsi="Arial"/>
          <w:sz w:val="16"/>
          <w:szCs w:val="16"/>
          <w:color w:val="auto"/>
        </w:rPr>
        <w:t>of our common shares, representing approximately</w:t>
      </w:r>
    </w:p>
    <w:p>
      <w:pPr>
        <w:spacing w:after="0" w:line="9" w:lineRule="exact"/>
        <w:rPr>
          <w:sz w:val="20"/>
          <w:szCs w:val="20"/>
          <w:color w:val="auto"/>
        </w:rPr>
      </w:pPr>
    </w:p>
    <w:p>
      <w:pPr>
        <w:ind w:right="220" w:firstLine="188"/>
        <w:spacing w:after="0" w:line="271" w:lineRule="auto"/>
        <w:tabs>
          <w:tab w:leader="none" w:pos="375" w:val="left"/>
        </w:tabs>
        <w:numPr>
          <w:ilvl w:val="0"/>
          <w:numId w:val="98"/>
        </w:numPr>
        <w:rPr>
          <w:rFonts w:ascii="Arial" w:cs="Arial" w:eastAsia="Arial" w:hAnsi="Arial"/>
          <w:sz w:val="17"/>
          <w:szCs w:val="17"/>
          <w:color w:val="auto"/>
        </w:rPr>
      </w:pPr>
      <w:r>
        <w:rPr>
          <w:rFonts w:ascii="Arial" w:cs="Arial" w:eastAsia="Arial" w:hAnsi="Arial"/>
          <w:sz w:val="17"/>
          <w:szCs w:val="17"/>
          <w:color w:val="auto"/>
        </w:rPr>
        <w:t>of the voting power of our common shares outstanding upon completion of this offering (assuming no exercise of the underwriters’ over-allotment option). The registration rights described below will expire on the earlier to occur of (i) the fifth anniversary of the completion of the offering contemplated by this prospectus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terms of the registration rights agreement, at any time after the date that is six months after completion of the offering contemplated by this prospectus, or the trigger date, a shareholder or group of shareholders holding at least 10% of our outstanding common shares may request that we effect a registration under the Securities Act of all or any portion of such requesting shareholders’ registrable securities.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$10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$5 million). In no event will we be required to effect more than two demand registrations or underwritten take downs referred to under “—Shelf Registration Rights” below. Depending on certain conditions, we may postpone a demand registration on two occasions during any period of twelve consecutive months for up to 90 days.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each their shares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Pursuant to the terms of the registration rights agreement, at any time after the first anniversary of the completion of the offering contemplated by this prospectus,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We will only be required to effect one public offering from such shelf registration statement within any six month period, each of which shall be deemed to constitute a demand registration for purposes of the number of demand registrations we are required to effect as described under “—Demand Registration Rights” above.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consummation of this offering, we intend to adopt a new related person transaction policy.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intend to enter into indemnification agreements with our executive officers and directors. The indemnification agreements and our Articles of Association require us to indemnify our executive officers and directors to the fullest extent permitted by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enter into employment agreements with certain of our executive officers in connection with this offering.</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940"/>
          </w:cols>
          <w:pgMar w:left="240" w:top="459" w:right="7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As of the date of this prospectus, our share capital is divided into common shares and five categories of preferred shares. Conditional upon the closing of this offering, all of our preferred shares will be converted into common shares on a one-for-one basis, effective upon the registration of the revised articles of association with the commercial register of the Canton of Vaud, Switzerland. See “—Articles of Association.” Upon the closing of this offering, giving effect to (i) the issuance of the common shares to be sold in this offering and (ii) the conversion of our preferred shares into common shares on a one-for-one</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basis, our issued fully paid-in share capital will consist of CHF divided into common shares with a nominal value of CHF 0.02 each and no preferred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closing of this offering, we intend to adopt amended and restated articles of association which will become effective upon the closing of this offering and the registration of the revised articles of association with the commercial register of the Canton of Vaud, Switzerland. When we refer to our articles of association in this prospectus, we refer to our amended and restated articles of association as they will be in force upon the closing of this offering.</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an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8"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71" w:lineRule="exact"/>
        <w:rPr>
          <w:sz w:val="20"/>
          <w:szCs w:val="20"/>
          <w:color w:val="auto"/>
        </w:rPr>
      </w:pPr>
    </w:p>
    <w:p>
      <w:pPr>
        <w:ind w:left="900" w:right="120" w:hanging="446"/>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92"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Pursuant to the CO, shareholders have pre-emptive subscription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pre-emptive subscription rights are granted, but not exercised, the board of directors may allocate the pre-emptive subscription rights as it elects.</w:t>
      </w:r>
    </w:p>
    <w:p>
      <w:pPr>
        <w:spacing w:after="0" w:line="24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With respect to our authorized share capital, the board of directors is authorized by our articles of association to withdraw or to limit the pre-emptive subscription rights of shareholders, and to allocate them to third parties or to us, in the event that the newly issued shares are used for the following purposes:</w:t>
      </w:r>
    </w:p>
    <w:p>
      <w:pPr>
        <w:spacing w:after="0" w:line="29"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9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35" w:lineRule="exact"/>
        <w:rPr>
          <w:rFonts w:ascii="Arial" w:cs="Arial" w:eastAsia="Arial" w:hAnsi="Arial"/>
          <w:sz w:val="18"/>
          <w:szCs w:val="18"/>
          <w:color w:val="auto"/>
        </w:rPr>
      </w:pPr>
    </w:p>
    <w:p>
      <w:pPr>
        <w:ind w:left="900" w:right="20" w:hanging="446"/>
        <w:spacing w:after="0" w:line="334"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35" w:lineRule="exact"/>
        <w:rPr>
          <w:rFonts w:ascii="Arial" w:cs="Arial" w:eastAsia="Arial" w:hAnsi="Arial"/>
          <w:sz w:val="18"/>
          <w:szCs w:val="18"/>
          <w:color w:val="auto"/>
        </w:rPr>
      </w:pPr>
    </w:p>
    <w:p>
      <w:pPr>
        <w:ind w:left="900" w:right="200" w:hanging="446"/>
        <w:spacing w:after="0" w:line="25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following a shareholder or a group of shareholders acting in concert having accumulated shareholdings in excess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55" w:lineRule="exact"/>
        <w:rPr>
          <w:rFonts w:ascii="Arial" w:cs="Arial" w:eastAsia="Arial" w:hAnsi="Arial"/>
          <w:sz w:val="17"/>
          <w:szCs w:val="17"/>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our articles of association, our board of directors is authorized at any time until December 31, 2016 to increase our nominal share capital by a maximum aggregate amount of CHF 426,950 (or CHF 320,950 after giving effect to the CS AG Share Issuance) through the issuance of not more than 21,347,500 shares (or 16,047,500 shares after giving effect to the CS AG Share Issuance), which would have to be fully paid-in, with a nominal value of CHF 0.02 each.</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board of directors is also authorized to withdraw or limit pre-emptive subscription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subscription rights lapses simultaneously with such capital.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shares to be sold in this offering will be issued out of our authorized share capital. Accordingly, upon the consummation of this offering,</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authorized but unissued share capital will decrease by the amount of CHF (or by a larger amount, to the extent that any over-allotment shares will be issued).</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Warrants and Convertible Bonds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nominal share capital may be increased by a maximum aggregate amount of CHF 91,867.50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76" w:lineRule="exact"/>
        <w:rPr>
          <w:sz w:val="20"/>
          <w:szCs w:val="20"/>
          <w:color w:val="auto"/>
        </w:rPr>
      </w:pPr>
    </w:p>
    <w:p>
      <w:pPr>
        <w:ind w:left="900" w:right="18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To the extent that the advance subscription rights are withdrawn, (i) the convertible bonds are to be issued at market conditions; (ii) the term to exercise the option or conversion rights may not exceed ten years as of the date of the convertible bond issue and twenty years for conversion rights; and (iii) the exercise price for the new shares must at least correspond to the market conditions at the time of the convertible bond issuance.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Equity Incentive Plans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nominal share capital may, to the exclusion of the pre-emptive subscription rights of shareholders, be increased by a maximum aggregate amount of CHF 110,241 through the issuance of not more than 5,512,050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shares are uncertificated securities (</w:t>
      </w:r>
      <w:r>
        <w:rPr>
          <w:rFonts w:ascii="Arial" w:cs="Arial" w:eastAsia="Arial" w:hAnsi="Arial"/>
          <w:sz w:val="17"/>
          <w:szCs w:val="17"/>
          <w:i w:val="1"/>
          <w:iCs w:val="1"/>
          <w:color w:val="auto"/>
        </w:rPr>
        <w:t>droits-valeurs</w:t>
      </w:r>
      <w:r>
        <w:rPr>
          <w:rFonts w:ascii="Arial" w:cs="Arial" w:eastAsia="Arial" w:hAnsi="Arial"/>
          <w:sz w:val="17"/>
          <w:szCs w:val="17"/>
          <w:color w:val="auto"/>
        </w:rPr>
        <w:t>, within the meaning of Article 973c of the CO) and, when administered by a financial intermediary (</w:t>
      </w:r>
      <w:r>
        <w:rPr>
          <w:rFonts w:ascii="Arial" w:cs="Arial" w:eastAsia="Arial" w:hAnsi="Arial"/>
          <w:sz w:val="17"/>
          <w:szCs w:val="17"/>
          <w:i w:val="1"/>
          <w:iCs w:val="1"/>
          <w:color w:val="auto"/>
        </w:rPr>
        <w:t>dépositaire,</w:t>
      </w:r>
      <w:r>
        <w:rPr>
          <w:rFonts w:ascii="Arial" w:cs="Arial" w:eastAsia="Arial" w:hAnsi="Arial"/>
          <w:sz w:val="17"/>
          <w:szCs w:val="17"/>
          <w:color w:val="auto"/>
        </w:rPr>
        <w:t xml:space="preserve"> within the meaning of the Federal Act on Intermediated Securities, “FISA”), qualify as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within the meaning of the FISA). In accordance with Article 973c of the CO, we will maintain a non-public register of uncertificated securities (</w:t>
      </w:r>
      <w:r>
        <w:rPr>
          <w:rFonts w:ascii="Arial" w:cs="Arial" w:eastAsia="Arial" w:hAnsi="Arial"/>
          <w:sz w:val="17"/>
          <w:szCs w:val="17"/>
          <w:i w:val="1"/>
          <w:iCs w:val="1"/>
          <w:color w:val="auto"/>
        </w:rPr>
        <w:t>registre des</w:t>
      </w:r>
      <w:r>
        <w:rPr>
          <w:rFonts w:ascii="Arial" w:cs="Arial" w:eastAsia="Arial" w:hAnsi="Arial"/>
          <w:sz w:val="17"/>
          <w:szCs w:val="17"/>
          <w:color w:val="auto"/>
        </w:rPr>
        <w:t xml:space="preserve"> </w:t>
      </w:r>
      <w:r>
        <w:rPr>
          <w:rFonts w:ascii="Arial" w:cs="Arial" w:eastAsia="Arial" w:hAnsi="Arial"/>
          <w:sz w:val="17"/>
          <w:szCs w:val="17"/>
          <w:i w:val="1"/>
          <w:iCs w:val="1"/>
          <w:color w:val="auto"/>
        </w:rPr>
        <w:t>droits-valeurs</w:t>
      </w:r>
      <w:r>
        <w:rPr>
          <w:rFonts w:ascii="Arial" w:cs="Arial" w:eastAsia="Arial" w:hAnsi="Arial"/>
          <w:sz w:val="17"/>
          <w:szCs w:val="17"/>
          <w:color w:val="auto"/>
        </w:rPr>
        <w:t>). We may at any time convert uncertificated securities into share certificates (including global certificates), one kind of certificate into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or share certificates (including global certificates) into uncertificated securities. Following entry in the share register, a shareholder may at any time request from us a written confirmation in respect of the shares. Shareholders are not entitled, however, to request the printing and delivery of certificates. We may print and deliver certificates for shares at any time.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 although in 2016 we expect to hold our ordinary general meeting in August, which we believe is permissible under Swiss law as the investors acquiring shares in this offering will be permitted to participate in such ordinary general meeting.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31"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76"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increasing the share capital out of equity, against contributions in-kind or for the purpose of acquiring specific assets and granting specific benefits;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limiting or suppressing shareholder’s pre-emptive subscription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registered shares and the removal of the voting cap of 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Agenda Requests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92" w:lineRule="exact"/>
        <w:rPr>
          <w:sz w:val="20"/>
          <w:szCs w:val="20"/>
          <w:color w:val="auto"/>
        </w:rPr>
      </w:pPr>
    </w:p>
    <w:p>
      <w:pPr>
        <w:ind w:left="900" w:right="10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Our articles contain provisions that prevent investors from acquiring voting rights exceeding 15% of the outstanding share capital. Specifically, no individual or legal entity may, directly or indirectly, control voting rights with respect to 15% or more of the registered share capital recorded in the Commercial Register. In the event that a shareholder should exceed the 15% ownership threshold, the registered shares exceeding the limit of 15% shall be entered in our share registered as shares without voting rights. The board of directors may in special cases approve exceptions to the above regulations.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an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taxation of dividends, see “Taxation—Swiss Tax Considerations—Taxation of Common Shares—Swiss Federal Withholding Tax on Dividends and Distributions.”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intermédiés) </w:t>
      </w:r>
      <w:r>
        <w:rPr>
          <w:rFonts w:ascii="Arial" w:cs="Arial" w:eastAsia="Arial" w:hAnsi="Arial"/>
          <w:sz w:val="18"/>
          <w:szCs w:val="18"/>
          <w:color w:val="auto"/>
        </w:rPr>
        <w:t>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456"/>
        <w:spacing w:after="0" w:line="202" w:lineRule="auto"/>
        <w:rPr>
          <w:sz w:val="20"/>
          <w:szCs w:val="20"/>
          <w:color w:val="auto"/>
        </w:rPr>
      </w:pPr>
      <w:r>
        <w:rPr>
          <w:rFonts w:ascii="Arial" w:cs="Arial" w:eastAsia="Arial" w:hAnsi="Arial"/>
          <w:sz w:val="17"/>
          <w:szCs w:val="17"/>
          <w:color w:val="auto"/>
        </w:rPr>
        <w:t>Voting rights may be exercised only after a shareholder has been entered in our share register (</w:t>
      </w:r>
      <w:r>
        <w:rPr>
          <w:rFonts w:ascii="Arial" w:cs="Arial" w:eastAsia="Arial" w:hAnsi="Arial"/>
          <w:sz w:val="17"/>
          <w:szCs w:val="17"/>
          <w:i w:val="1"/>
          <w:iCs w:val="1"/>
          <w:color w:val="auto"/>
        </w:rPr>
        <w:t>registre des actions</w:t>
      </w:r>
      <w:r>
        <w:rPr>
          <w:rFonts w:ascii="Arial" w:cs="Arial" w:eastAsia="Arial" w:hAnsi="Arial"/>
          <w:sz w:val="17"/>
          <w:szCs w:val="17"/>
          <w:color w:val="auto"/>
        </w:rPr>
        <w:t xml:space="preserve">) with his or her name and address (in the case of legal entities, the registered office) as a shareholder with voting rights. Our articles contain provisions that prevent investors from acquiring voting rights exceeding 15% of the outstanding share capital. Specifically, no individual or legal entity may, directly or indirectly, control voting rights with respect to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or more of the registered share capital recorded in the Commercial Register except if such individual or legal entity has submitted a tender offer to all shareholders. In the event that a shareholder should exceed the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ownership threshold, the registered shares exceeding the limit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shall be entered in our share registered as shares without voting rights.</w:t>
      </w: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Investigation</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demerger requires approval of two-thirds of the shares represented at a general meeting of shareholders and the absolute majority of the nominal value of the shares represented.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87"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Powers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31"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or will enter into indemnification agreements with each of the members of our board of directors and executive management. See “Related Party Transactions—Indemnification Agreements.”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Upon the closing of this offering, our board of directors will adopt a Code of Business Conduct and Ethics that will cover a broad range of matters, including the handling of conflicts of interest.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31" w:lineRule="exact"/>
        <w:rPr>
          <w:sz w:val="20"/>
          <w:szCs w:val="20"/>
          <w:color w:val="auto"/>
        </w:rPr>
      </w:pPr>
    </w:p>
    <w:p>
      <w:pPr>
        <w:ind w:left="900" w:right="34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131"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Initial settlement of the common shares issued in this offering will take place on the consummation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shares.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380"/>
          </w:cols>
          <w:pgMar w:left="240" w:top="460"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share register will initially be kept by Computershare Trust Company, N.A., which acts as transfer agent and registrar. The share register reflects only record owners of our shares. Swiss law does not recognize fractional share interests.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80"/>
          </w:cols>
          <w:pgMar w:left="240" w:top="460"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380"/>
          </w:cols>
          <w:pgMar w:left="240" w:top="459" w:right="279" w:bottom="1440" w:gutter="0" w:footer="0" w:header="0"/>
        </w:sectPr>
      </w:pP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w:t>
      </w:r>
      <w:r>
        <w:rPr>
          <w:rFonts w:ascii="Arial" w:cs="Arial" w:eastAsia="Arial" w:hAnsi="Arial"/>
          <w:sz w:val="16"/>
          <w:szCs w:val="16"/>
          <w:color w:val="auto"/>
        </w:rPr>
        <w:t xml:space="preserve"> </w:t>
      </w:r>
      <w:r>
        <w:rPr>
          <w:rFonts w:ascii="Arial" w:cs="Arial" w:eastAsia="Arial" w:hAnsi="Arial"/>
          <w:sz w:val="16"/>
          <w:szCs w:val="16"/>
          <w:i w:val="1"/>
          <w:iCs w:val="1"/>
          <w:color w:val="auto"/>
        </w:rPr>
        <w:t>sur la fusion</w:t>
      </w:r>
      <w:r>
        <w:rPr>
          <w:rFonts w:ascii="Arial" w:cs="Arial" w:eastAsia="Arial" w:hAnsi="Arial"/>
          <w:sz w:val="16"/>
          <w:szCs w:val="16"/>
          <w:color w:val="auto"/>
        </w:rPr>
        <w:t>) can file a lawsuit against the surviving company.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90.0% of all members in the transferring legal entity, who are entitled to vote, shall approve the merger agreement.</w:t>
      </w:r>
    </w:p>
    <w:p>
      <w:pPr>
        <w:spacing w:after="0" w:line="184" w:lineRule="exact"/>
        <w:rPr>
          <w:sz w:val="20"/>
          <w:szCs w:val="20"/>
          <w:color w:val="auto"/>
        </w:rPr>
      </w:pPr>
    </w:p>
    <w:p>
      <w:pPr>
        <w:sectPr>
          <w:pgSz w:w="11900" w:h="16838" w:orient="portrait"/>
          <w:cols w:equalWidth="0" w:num="2">
            <w:col w:w="5720" w:space="340"/>
            <w:col w:w="532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380"/>
          </w:cols>
          <w:pgMar w:left="240" w:top="459" w:right="279" w:bottom="1440" w:gutter="0" w:footer="0" w:header="0"/>
          <w:type w:val="continuous"/>
        </w:sectPr>
      </w:pPr>
    </w:p>
    <w:p>
      <w:pPr>
        <w:spacing w:after="0" w:line="14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to the individual shareholder and creditors. Likewise, an appraisal lawsuit won by a shareholder will may indirectly compensate all shareholders. In addition, to the extent that US laws and regulations provide a basis for liability and US courts have jurisdiction, a class action may be available.</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Swiss law, the winning party is generally entitled to recover or to partially recover attorneys’</w:t>
      </w:r>
    </w:p>
    <w:p>
      <w:pPr>
        <w:sectPr>
          <w:pgSz w:w="11900" w:h="16838" w:orient="portrait"/>
          <w:cols w:equalWidth="0" w:num="2">
            <w:col w:w="5840" w:space="220"/>
            <w:col w:w="5320"/>
          </w:cols>
          <w:pgMar w:left="240" w:top="459" w:right="27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fees incurred in connection with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court has broad discretion to permit the shareholder whose claim has been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dismissed to recover attorneys’ fees incurred to the extent he or she acted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good faith.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fixed and on the variable compensation of the members of the board of directors, of the executive management and of the advisory boards.</w:t>
      </w:r>
    </w:p>
    <w:p>
      <w:pPr>
        <w:spacing w:after="0" w:line="165" w:lineRule="exact"/>
        <w:rPr>
          <w:sz w:val="20"/>
          <w:szCs w:val="20"/>
          <w:color w:val="auto"/>
        </w:rPr>
      </w:pPr>
    </w:p>
    <w:p>
      <w:pPr>
        <w:sectPr>
          <w:pgSz w:w="11900" w:h="16838" w:orient="portrait"/>
          <w:cols w:equalWidth="0" w:num="2">
            <w:col w:w="5760" w:space="30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200"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99" w:lineRule="exact"/>
        <w:rPr>
          <w:sz w:val="20"/>
          <w:szCs w:val="20"/>
          <w:color w:val="auto"/>
        </w:rPr>
      </w:pPr>
    </w:p>
    <w:p>
      <w:pPr>
        <w:ind w:left="720" w:right="400" w:hanging="352"/>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75" w:lineRule="exact"/>
        <w:rPr>
          <w:rFonts w:ascii="Arial" w:cs="Arial" w:eastAsia="Arial" w:hAnsi="Arial"/>
          <w:sz w:val="18"/>
          <w:szCs w:val="18"/>
          <w:color w:val="auto"/>
        </w:rPr>
      </w:pPr>
    </w:p>
    <w:p>
      <w:pPr>
        <w:ind w:left="720" w:right="520" w:hanging="352"/>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720" w:right="420" w:hanging="352"/>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75" w:lineRule="exact"/>
        <w:rPr>
          <w:rFonts w:ascii="Arial" w:cs="Arial" w:eastAsia="Arial" w:hAnsi="Arial"/>
          <w:sz w:val="18"/>
          <w:szCs w:val="18"/>
          <w:color w:val="auto"/>
        </w:rPr>
      </w:pPr>
    </w:p>
    <w:p>
      <w:pPr>
        <w:ind w:left="720" w:right="80" w:hanging="352"/>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w:t>
      </w:r>
    </w:p>
    <w:p>
      <w:pPr>
        <w:spacing w:after="0" w:line="468"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1400"/>
          </w:cols>
          <w:pgMar w:left="240" w:top="460" w:right="25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87" w:lineRule="exact"/>
        <w:rPr>
          <w:sz w:val="20"/>
          <w:szCs w:val="20"/>
          <w:color w:val="auto"/>
        </w:rPr>
      </w:pPr>
    </w:p>
    <w:p>
      <w:pPr>
        <w:ind w:left="720" w:right="700" w:hanging="352"/>
        <w:spacing w:after="0" w:line="277"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75" w:lineRule="exact"/>
        <w:rPr>
          <w:rFonts w:ascii="Arial" w:cs="Arial" w:eastAsia="Arial" w:hAnsi="Arial"/>
          <w:sz w:val="18"/>
          <w:szCs w:val="18"/>
          <w:color w:val="auto"/>
        </w:rPr>
      </w:pPr>
    </w:p>
    <w:p>
      <w:pPr>
        <w:ind w:left="720" w:right="400" w:hanging="352"/>
        <w:spacing w:after="0" w:line="277"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75" w:lineRule="exact"/>
        <w:rPr>
          <w:rFonts w:ascii="Arial" w:cs="Arial" w:eastAsia="Arial" w:hAnsi="Arial"/>
          <w:sz w:val="18"/>
          <w:szCs w:val="18"/>
          <w:color w:val="auto"/>
        </w:rPr>
      </w:pPr>
    </w:p>
    <w:p>
      <w:pPr>
        <w:ind w:left="720" w:right="420" w:hanging="352"/>
        <w:spacing w:after="0" w:line="308" w:lineRule="auto"/>
        <w:tabs>
          <w:tab w:leader="none" w:pos="73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51" w:lineRule="exact"/>
        <w:rPr>
          <w:rFonts w:ascii="Arial" w:cs="Arial" w:eastAsia="Arial" w:hAnsi="Arial"/>
          <w:sz w:val="17"/>
          <w:szCs w:val="17"/>
          <w:color w:val="auto"/>
        </w:rPr>
      </w:pPr>
    </w:p>
    <w:p>
      <w:pPr>
        <w:ind w:left="740" w:hanging="372"/>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corporate law, including shareholders of the corporation.</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2741" w:lineRule="exact"/>
        <w:rPr>
          <w:sz w:val="20"/>
          <w:szCs w:val="20"/>
          <w:color w:val="auto"/>
        </w:rPr>
      </w:pPr>
    </w:p>
    <w:p>
      <w:pPr>
        <w:sectPr>
          <w:pgSz w:w="11900" w:h="16838" w:orient="portrait"/>
          <w:cols w:equalWidth="0" w:num="2">
            <w:col w:w="5760" w:space="300"/>
            <w:col w:w="5340"/>
          </w:cols>
          <w:pgMar w:left="240" w:top="459" w:right="259" w:bottom="1440" w:gutter="0" w:footer="0" w:header="0"/>
        </w:sectPr>
      </w:pPr>
    </w:p>
    <w:p>
      <w:pPr>
        <w:spacing w:after="0" w:line="52" w:lineRule="exact"/>
        <w:rPr>
          <w:sz w:val="20"/>
          <w:szCs w:val="20"/>
          <w:color w:val="auto"/>
        </w:rPr>
      </w:pPr>
    </w:p>
    <w:p>
      <w:pPr>
        <w:ind w:right="5620"/>
        <w:spacing w:after="0" w:line="273" w:lineRule="auto"/>
        <w:rPr>
          <w:sz w:val="20"/>
          <w:szCs w:val="20"/>
          <w:color w:val="auto"/>
        </w:rPr>
      </w:pPr>
      <w:r>
        <w:rPr>
          <w:rFonts w:ascii="Arial" w:cs="Arial" w:eastAsia="Arial" w:hAnsi="Arial"/>
          <w:sz w:val="17"/>
          <w:szCs w:val="17"/>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Directors’ fiduciary duties</w:t>
      </w:r>
    </w:p>
    <w:p>
      <w:pPr>
        <w:sectPr>
          <w:pgSz w:w="11900" w:h="16838" w:orient="portrait"/>
          <w:cols w:equalWidth="0" w:num="1">
            <w:col w:w="11400"/>
          </w:cols>
          <w:pgMar w:left="240" w:top="459" w:right="259" w:bottom="1440" w:gutter="0" w:footer="0" w:header="0"/>
          <w:type w:val="continuous"/>
        </w:sectPr>
      </w:pP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76" w:lineRule="exact"/>
        <w:rPr>
          <w:sz w:val="20"/>
          <w:szCs w:val="20"/>
          <w:color w:val="auto"/>
        </w:rPr>
      </w:pPr>
    </w:p>
    <w:p>
      <w:pPr>
        <w:ind w:left="740" w:hanging="372"/>
        <w:spacing w:after="0"/>
        <w:tabs>
          <w:tab w:leader="none" w:pos="7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130" w:lineRule="exact"/>
        <w:rPr>
          <w:rFonts w:ascii="Arial" w:cs="Arial" w:eastAsia="Arial" w:hAnsi="Arial"/>
          <w:sz w:val="18"/>
          <w:szCs w:val="18"/>
          <w:color w:val="auto"/>
        </w:rPr>
      </w:pPr>
    </w:p>
    <w:p>
      <w:pPr>
        <w:ind w:left="740" w:hanging="372"/>
        <w:spacing w:after="0"/>
        <w:tabs>
          <w:tab w:leader="none" w:pos="7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duty of care requires that a director act in good faith, with the care that an ordinarily prudent person would exercise under similar circumstances. Under this duty, a director must inform himself or herself of, and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not been delegated to the executive management (for example by organizational rules and comparable bylaws). However, there are several non-transferable duties of the board of directors:</w:t>
      </w:r>
    </w:p>
    <w:p>
      <w:pPr>
        <w:spacing w:after="0" w:line="78" w:lineRule="exact"/>
        <w:rPr>
          <w:sz w:val="20"/>
          <w:szCs w:val="20"/>
          <w:color w:val="auto"/>
        </w:rPr>
      </w:pPr>
    </w:p>
    <w:p>
      <w:pPr>
        <w:ind w:left="720" w:hanging="361"/>
        <w:spacing w:after="0" w:line="277" w:lineRule="auto"/>
        <w:tabs>
          <w:tab w:leader="none" w:pos="73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ectPr>
          <w:pgSz w:w="11900" w:h="16838" w:orient="portrait"/>
          <w:cols w:equalWidth="0" w:num="2">
            <w:col w:w="5840" w:space="220"/>
            <w:col w:w="5340"/>
          </w:cols>
          <w:pgMar w:left="240" w:top="459" w:right="259" w:bottom="1440" w:gutter="0" w:footer="0" w:header="0"/>
          <w:type w:val="continuous"/>
        </w:sectPr>
      </w:pPr>
    </w:p>
    <w:bookmarkStart w:id="172" w:name="page173"/>
    <w:bookmarkEnd w:id="1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disclose to shareholders, all material information reasonably available regarding a significant transaction.</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left="740" w:hanging="381"/>
        <w:spacing w:after="0"/>
        <w:tabs>
          <w:tab w:leader="none" w:pos="7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130" w:lineRule="exact"/>
        <w:rPr>
          <w:rFonts w:ascii="Arial" w:cs="Arial" w:eastAsia="Arial" w:hAnsi="Arial"/>
          <w:sz w:val="18"/>
          <w:szCs w:val="18"/>
          <w:color w:val="auto"/>
        </w:rPr>
      </w:pPr>
    </w:p>
    <w:p>
      <w:pPr>
        <w:ind w:left="720" w:right="200" w:hanging="361"/>
        <w:spacing w:after="0" w:line="264" w:lineRule="auto"/>
        <w:tabs>
          <w:tab w:leader="none" w:pos="7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86" w:lineRule="exact"/>
        <w:rPr>
          <w:rFonts w:ascii="Arial" w:cs="Arial" w:eastAsia="Arial" w:hAnsi="Arial"/>
          <w:sz w:val="18"/>
          <w:szCs w:val="18"/>
          <w:color w:val="auto"/>
        </w:rPr>
      </w:pPr>
    </w:p>
    <w:p>
      <w:pPr>
        <w:ind w:left="720" w:right="580" w:hanging="361"/>
        <w:spacing w:after="0" w:line="308" w:lineRule="auto"/>
        <w:tabs>
          <w:tab w:leader="none" w:pos="73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appointment and dismissal of persons entrusted with managing and representing the corporation;</w:t>
      </w:r>
    </w:p>
    <w:p>
      <w:pPr>
        <w:spacing w:after="0" w:line="51" w:lineRule="exact"/>
        <w:rPr>
          <w:rFonts w:ascii="Arial" w:cs="Arial" w:eastAsia="Arial" w:hAnsi="Arial"/>
          <w:sz w:val="17"/>
          <w:szCs w:val="17"/>
          <w:color w:val="auto"/>
        </w:rPr>
      </w:pPr>
    </w:p>
    <w:p>
      <w:pPr>
        <w:ind w:left="720" w:right="100" w:hanging="361"/>
        <w:spacing w:after="0" w:line="259" w:lineRule="auto"/>
        <w:tabs>
          <w:tab w:leader="none" w:pos="7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92" w:lineRule="exact"/>
        <w:rPr>
          <w:rFonts w:ascii="Arial" w:cs="Arial" w:eastAsia="Arial" w:hAnsi="Arial"/>
          <w:sz w:val="18"/>
          <w:szCs w:val="18"/>
          <w:color w:val="auto"/>
        </w:rPr>
      </w:pPr>
    </w:p>
    <w:p>
      <w:pPr>
        <w:jc w:val="both"/>
        <w:ind w:left="720" w:right="300" w:hanging="361"/>
        <w:spacing w:after="0" w:line="264" w:lineRule="auto"/>
        <w:tabs>
          <w:tab w:leader="none" w:pos="7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the compensation report and implementation of its resolutions; and</w:t>
      </w:r>
    </w:p>
    <w:p>
      <w:pPr>
        <w:spacing w:after="0" w:line="86" w:lineRule="exact"/>
        <w:rPr>
          <w:rFonts w:ascii="Arial" w:cs="Arial" w:eastAsia="Arial" w:hAnsi="Arial"/>
          <w:sz w:val="18"/>
          <w:szCs w:val="18"/>
          <w:color w:val="auto"/>
        </w:rPr>
      </w:pPr>
    </w:p>
    <w:p>
      <w:pPr>
        <w:ind w:left="720" w:right="580" w:hanging="361"/>
        <w:spacing w:after="0" w:line="277" w:lineRule="auto"/>
        <w:tabs>
          <w:tab w:leader="none" w:pos="7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burden of proof for a violation of these duties is with the corporation or with the shareholder bringing a suit against the director.</w:t>
      </w:r>
    </w:p>
    <w:p>
      <w:pPr>
        <w:spacing w:after="0" w:line="160" w:lineRule="exact"/>
        <w:rPr>
          <w:sz w:val="20"/>
          <w:szCs w:val="20"/>
          <w:color w:val="auto"/>
        </w:rPr>
      </w:pPr>
    </w:p>
    <w:p>
      <w:pPr>
        <w:sectPr>
          <w:pgSz w:w="11900" w:h="16838" w:orient="portrait"/>
          <w:cols w:equalWidth="0" w:num="2">
            <w:col w:w="5800" w:space="26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158" w:lineRule="exact"/>
        <w:rPr>
          <w:sz w:val="20"/>
          <w:szCs w:val="20"/>
          <w:color w:val="auto"/>
        </w:rPr>
      </w:pPr>
    </w:p>
    <w:p>
      <w:pPr>
        <w:sectPr>
          <w:pgSz w:w="11900" w:h="16838" w:orient="portrait"/>
          <w:cols w:equalWidth="0" w:num="2">
            <w:col w:w="5540" w:space="5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proposals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No resolution may be made on proposals relating to the agenda items that were not duly notified. Unless the articles of</w:t>
      </w:r>
    </w:p>
    <w:p>
      <w:pPr>
        <w:sectPr>
          <w:pgSz w:w="11900" w:h="16838" w:orient="portrait"/>
          <w:cols w:equalWidth="0" w:num="2">
            <w:col w:w="5840" w:space="220"/>
            <w:col w:w="5360"/>
          </w:cols>
          <w:pgMar w:left="240" w:top="460" w:right="239" w:bottom="1440" w:gutter="0" w:footer="0" w:header="0"/>
          <w:type w:val="continuous"/>
        </w:sectPr>
      </w:pPr>
    </w:p>
    <w:bookmarkStart w:id="173" w:name="page174"/>
    <w:bookmarkEnd w:id="1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association provide for a lower threshold or for additional shareholders’ rights:</w:t>
      </w:r>
    </w:p>
    <w:p>
      <w:pPr>
        <w:spacing w:after="0" w:line="76" w:lineRule="exact"/>
        <w:rPr>
          <w:sz w:val="20"/>
          <w:szCs w:val="20"/>
          <w:color w:val="auto"/>
        </w:rPr>
      </w:pPr>
    </w:p>
    <w:p>
      <w:pPr>
        <w:ind w:left="720" w:right="180" w:hanging="361"/>
        <w:spacing w:after="0" w:line="312" w:lineRule="auto"/>
        <w:tabs>
          <w:tab w:leader="none" w:pos="73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shareholders together representing at least 10% of the share capital may demand that a general meeting of shareholders be called for specific agenda items and specific proposals; and</w:t>
      </w:r>
    </w:p>
    <w:p>
      <w:pPr>
        <w:spacing w:after="0" w:line="52" w:lineRule="exact"/>
        <w:rPr>
          <w:rFonts w:ascii="Arial" w:cs="Arial" w:eastAsia="Arial" w:hAnsi="Arial"/>
          <w:sz w:val="16"/>
          <w:szCs w:val="16"/>
          <w:color w:val="auto"/>
        </w:rPr>
      </w:pPr>
    </w:p>
    <w:p>
      <w:pPr>
        <w:ind w:left="720" w:right="140" w:hanging="361"/>
        <w:spacing w:after="0" w:line="297" w:lineRule="auto"/>
        <w:tabs>
          <w:tab w:leader="none" w:pos="73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shareholders together representing at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5" w:lineRule="exact"/>
        <w:rPr>
          <w:sz w:val="20"/>
          <w:szCs w:val="20"/>
          <w:color w:val="auto"/>
        </w:rPr>
      </w:pPr>
    </w:p>
    <w:p>
      <w:pPr>
        <w:sectPr>
          <w:pgSz w:w="11900" w:h="16838" w:orient="portrait"/>
          <w:cols w:equalWidth="0" w:num="2">
            <w:col w:w="5640" w:space="420"/>
            <w:col w:w="5360"/>
          </w:cols>
          <w:pgMar w:left="240" w:top="460"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Any shareholder can propose candidates for election as directors without</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 written notice.</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any shareholder is entitled, at a general meeting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and without advance notice, to (i) request information from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Board on the affairs of the company (note, however,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 such information is limited), (ii) request information from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auditors on the methods and results of their audit, (iii) request to convene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 extraordinary general meeting or (iv) to carry out a special audit and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appoint an auditor at the request of a shareholder.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Swiss corporation may remove, with or without cause, any director at any time with a resolution passed by a simple majority of the shares represented at a general meeting of shareholders concerned. The</w:t>
      </w:r>
    </w:p>
    <w:p>
      <w:pPr>
        <w:spacing w:after="0" w:line="7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1420"/>
          </w:cols>
          <w:pgMar w:left="240" w:top="460" w:right="23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articles of association may require the approval by a qualified majority of</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shares represented at a meeting for the removal of a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The Delaware General Corporation Law generally prohibits a Delaware</w:t>
      </w:r>
      <w:r>
        <w:rPr>
          <w:sz w:val="20"/>
          <w:szCs w:val="20"/>
          <w:color w:val="auto"/>
        </w:rPr>
        <w:tab/>
      </w:r>
      <w:r>
        <w:rPr>
          <w:rFonts w:ascii="Arial" w:cs="Arial" w:eastAsia="Arial" w:hAnsi="Arial"/>
          <w:sz w:val="16"/>
          <w:szCs w:val="16"/>
          <w:color w:val="auto"/>
        </w:rPr>
        <w:t>No such rule applies to a Swiss corporation.</w:t>
      </w:r>
    </w:p>
    <w:p>
      <w:pPr>
        <w:spacing w:after="0" w:line="23" w:lineRule="exact"/>
        <w:rPr>
          <w:sz w:val="20"/>
          <w:szCs w:val="20"/>
          <w:color w:val="auto"/>
        </w:rPr>
      </w:pPr>
    </w:p>
    <w:p>
      <w:pPr>
        <w:ind w:right="5660"/>
        <w:spacing w:after="0" w:line="271" w:lineRule="auto"/>
        <w:rPr>
          <w:sz w:val="20"/>
          <w:szCs w:val="20"/>
          <w:color w:val="auto"/>
        </w:rPr>
      </w:pPr>
      <w:r>
        <w:rPr>
          <w:rFonts w:ascii="Arial" w:cs="Arial" w:eastAsia="Arial" w:hAnsi="Arial"/>
          <w:sz w:val="17"/>
          <w:szCs w:val="17"/>
          <w:color w:val="auto"/>
        </w:rPr>
        <w:t>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Dissolution; Winding up</w:t>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78"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84" w:lineRule="exact"/>
        <w:rPr>
          <w:sz w:val="20"/>
          <w:szCs w:val="20"/>
          <w:color w:val="auto"/>
        </w:rPr>
      </w:pPr>
    </w:p>
    <w:p>
      <w:pPr>
        <w:sectPr>
          <w:pgSz w:w="11900" w:h="16838" w:orient="portrait"/>
          <w:cols w:equalWidth="0" w:num="2">
            <w:col w:w="5340" w:space="72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w:t>
      </w:r>
    </w:p>
    <w:p>
      <w:pPr>
        <w:sectPr>
          <w:pgSz w:w="11900" w:h="16838" w:orient="portrait"/>
          <w:cols w:equalWidth="0" w:num="2">
            <w:col w:w="5840" w:space="220"/>
            <w:col w:w="5340"/>
          </w:cols>
          <w:pgMar w:left="240" w:top="460" w:right="25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an amendment of the stated purpose of the corporation, the introduction</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authorized and conditional capital and the introduction of shares with</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preferential voting rights that require the approval by two-thirds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votes and an absolute majority of the nominal value of the shares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represented at a shareholders’ meeting. The articles of association may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increase the voting thresholds.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2" w:lineRule="exact"/>
        <w:rPr>
          <w:sz w:val="20"/>
          <w:szCs w:val="20"/>
          <w:color w:val="auto"/>
        </w:rPr>
      </w:pPr>
    </w:p>
    <w:p>
      <w:pPr>
        <w:sectPr>
          <w:pgSz w:w="11900" w:h="16838" w:orient="portrait"/>
          <w:cols w:equalWidth="0" w:num="2">
            <w:col w:w="5780" w:space="28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52" w:lineRule="exact"/>
        <w:rPr>
          <w:sz w:val="20"/>
          <w:szCs w:val="20"/>
          <w:color w:val="auto"/>
        </w:rPr>
      </w:pPr>
    </w:p>
    <w:p>
      <w:pPr>
        <w:ind w:left="740" w:hanging="372"/>
        <w:spacing w:after="0"/>
        <w:tabs>
          <w:tab w:leader="none" w:pos="7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130" w:lineRule="exact"/>
        <w:rPr>
          <w:rFonts w:ascii="Arial" w:cs="Arial" w:eastAsia="Arial" w:hAnsi="Arial"/>
          <w:sz w:val="18"/>
          <w:szCs w:val="18"/>
          <w:color w:val="auto"/>
        </w:rPr>
      </w:pPr>
    </w:p>
    <w:p>
      <w:pPr>
        <w:ind w:left="720" w:hanging="352"/>
        <w:spacing w:after="0" w:line="342" w:lineRule="auto"/>
        <w:tabs>
          <w:tab w:leader="none" w:pos="73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5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0" w:lineRule="exact"/>
        <w:rPr>
          <w:sz w:val="20"/>
          <w:szCs w:val="20"/>
          <w:color w:val="auto"/>
        </w:rPr>
      </w:pPr>
    </w:p>
    <w:p>
      <w:pPr>
        <w:sectPr>
          <w:pgSz w:w="11900" w:h="16838" w:orient="portrait"/>
          <w:cols w:equalWidth="0" w:num="2">
            <w:col w:w="5800" w:space="260"/>
            <w:col w:w="53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w:t>
      </w:r>
    </w:p>
    <w:p>
      <w:pPr>
        <w:spacing w:after="0" w:line="119" w:lineRule="exact"/>
        <w:rPr>
          <w:sz w:val="20"/>
          <w:szCs w:val="20"/>
          <w:color w:val="auto"/>
        </w:rPr>
      </w:pPr>
    </w:p>
    <w:p>
      <w:pPr>
        <w:sectPr>
          <w:pgSz w:w="11900" w:h="16838" w:orient="portrait"/>
          <w:cols w:equalWidth="0" w:num="2">
            <w:col w:w="5620" w:space="44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1420"/>
          </w:cols>
          <w:pgMar w:left="240" w:top="459" w:right="23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value of shares represented. Authorized shares can be, once created by</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shareholder resolution, issued by the board of directors (subject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fulfillment of the authorization). Conditional shares are created and 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through the exercise of options and conversion rights related to debt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instruments issued by the board of directors or such rights issued to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employees.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Prior to this offering, there was no public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88"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Upon completion of this offering, we will have common shares outstanding assuming no exercise of the underwriters’ over-allotment option. Of these shares, common shares, or common shares if the underwriters exercise their option in full to purchase additional common shares, sold in</w:t>
      </w:r>
    </w:p>
    <w:p>
      <w:pPr>
        <w:spacing w:after="0"/>
        <w:rPr>
          <w:sz w:val="20"/>
          <w:szCs w:val="20"/>
          <w:color w:val="auto"/>
        </w:rPr>
      </w:pPr>
      <w:r>
        <w:rPr>
          <w:rFonts w:ascii="Arial" w:cs="Arial" w:eastAsia="Arial" w:hAnsi="Arial"/>
          <w:sz w:val="16"/>
          <w:szCs w:val="16"/>
          <w:color w:val="auto"/>
        </w:rPr>
        <w:t>this offering will be freely transferable without restriction or registration under the Securities Act, except for any common shares purchased by one of our</w:t>
      </w:r>
    </w:p>
    <w:p>
      <w:pPr>
        <w:spacing w:after="0" w:line="3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existing “affiliates,” as that term is defined in Rule 144 under the Securities Act. The remaining common shares outstanding are “restricted shares” as defined in Rule 144. Restricted shares may be sold in the public market only if registered or if they qualify for an exemption from registration under Rules 144 or 701 of the Securities Act. After the expiration of the contractual 180-day lock-up period described below, these common shares may be sold in the public market only if registered or pursuant to an exemption under Rules 144 or 701, which are summarized below.</w:t>
      </w:r>
    </w:p>
    <w:p>
      <w:pPr>
        <w:sectPr>
          <w:pgSz w:w="11900" w:h="16838" w:orient="portrait"/>
          <w:cols w:equalWidth="0" w:num="1">
            <w:col w:w="11400"/>
          </w:cols>
          <w:pgMar w:left="240" w:top="460" w:right="259" w:bottom="1440" w:gutter="0" w:footer="0" w:header="0"/>
        </w:sectPr>
      </w:pPr>
    </w:p>
    <w:p>
      <w:pPr>
        <w:spacing w:after="0" w:line="177" w:lineRule="exact"/>
        <w:rPr>
          <w:sz w:val="20"/>
          <w:szCs w:val="20"/>
          <w:color w:val="auto"/>
        </w:rPr>
      </w:pPr>
    </w:p>
    <w:p>
      <w:pPr>
        <w:ind w:left="460"/>
        <w:spacing w:after="0"/>
        <w:tabs>
          <w:tab w:leader="none" w:pos="3880" w:val="left"/>
        </w:tabs>
        <w:rPr>
          <w:sz w:val="20"/>
          <w:szCs w:val="20"/>
          <w:color w:val="auto"/>
        </w:rPr>
      </w:pPr>
      <w:r>
        <w:rPr>
          <w:rFonts w:ascii="Arial" w:cs="Arial" w:eastAsia="Arial" w:hAnsi="Arial"/>
          <w:sz w:val="18"/>
          <w:szCs w:val="18"/>
          <w:color w:val="auto"/>
        </w:rPr>
        <w:t>Additionally, of the options to purchase</w:t>
      </w:r>
      <w:r>
        <w:rPr>
          <w:sz w:val="20"/>
          <w:szCs w:val="20"/>
          <w:color w:val="auto"/>
        </w:rPr>
        <w:tab/>
      </w:r>
      <w:r>
        <w:rPr>
          <w:rFonts w:ascii="Arial" w:cs="Arial" w:eastAsia="Arial" w:hAnsi="Arial"/>
          <w:sz w:val="15"/>
          <w:szCs w:val="15"/>
          <w:color w:val="auto"/>
        </w:rPr>
        <w:t>common shares outstanding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no exercise of the underwriters’ option to purchase additional shares, options exercisable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180 days after the date of this prospectus.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hanging="308"/>
        <w:spacing w:after="0" w:line="342" w:lineRule="auto"/>
        <w:rPr>
          <w:sz w:val="20"/>
          <w:szCs w:val="20"/>
          <w:color w:val="auto"/>
        </w:rPr>
      </w:pPr>
      <w:r>
        <w:rPr>
          <w:rFonts w:ascii="Arial" w:cs="Arial" w:eastAsia="Arial" w:hAnsi="Arial"/>
          <w:sz w:val="16"/>
          <w:szCs w:val="16"/>
          <w:color w:val="auto"/>
        </w:rPr>
        <w:t>, 2016 and assuming no outstanding options are exercised common shares will be vested and eligible for sale</w:t>
      </w:r>
    </w:p>
    <w:p>
      <w:pPr>
        <w:spacing w:after="0" w:line="329" w:lineRule="exact"/>
        <w:rPr>
          <w:sz w:val="20"/>
          <w:szCs w:val="20"/>
          <w:color w:val="auto"/>
        </w:rPr>
      </w:pPr>
    </w:p>
    <w:p>
      <w:pPr>
        <w:sectPr>
          <w:pgSz w:w="11900" w:h="16838" w:orient="portrait"/>
          <w:cols w:equalWidth="0" w:num="2">
            <w:col w:w="6960" w:space="600"/>
            <w:col w:w="3840"/>
          </w:cols>
          <w:pgMar w:left="240" w:top="460" w:right="2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common shares for at least one year, then the requirement in clause (ii) will not apply to the sale.</w:t>
      </w:r>
    </w:p>
    <w:p>
      <w:pPr>
        <w:spacing w:after="0" w:line="15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400"/>
          </w:cols>
          <w:pgMar w:left="240" w:top="460" w:right="259" w:bottom="1440" w:gutter="0" w:footer="0" w:header="0"/>
          <w:type w:val="continuous"/>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our common shares then outstanding, which will equal approximately offering, assuming no exercise of the underwriters’ over-allotment option;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common shares immediately after this</w:t>
      </w:r>
    </w:p>
    <w:p>
      <w:pPr>
        <w:spacing w:after="0" w:line="369" w:lineRule="exact"/>
        <w:rPr>
          <w:sz w:val="20"/>
          <w:szCs w:val="20"/>
          <w:color w:val="auto"/>
        </w:rPr>
      </w:pPr>
    </w:p>
    <w:p>
      <w:pPr>
        <w:sectPr>
          <w:pgSz w:w="11900" w:h="16838" w:orient="portrait"/>
          <w:cols w:equalWidth="0" w:num="3">
            <w:col w:w="520" w:space="380"/>
            <w:col w:w="6560" w:space="620"/>
            <w:col w:w="3320"/>
          </w:cols>
          <w:pgMar w:left="240" w:top="460" w:right="259" w:bottom="1440" w:gutter="0" w:footer="0" w:header="0"/>
          <w:type w:val="continuous"/>
        </w:sectPr>
      </w:pPr>
    </w:p>
    <w:p>
      <w:pPr>
        <w:ind w:left="900" w:right="28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during the four calendar weeks preceding the filing of a notice on Form 144 with respect to the sale;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in each case, that we are subject to, and in compliance with certain of, the Exchange Act periodic reporting requirements for at least 90 days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Such sales must also comply with the manner of sale and notice provisions of Rule 144.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share or option plan or other written agreement before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the one-year minimum holding period requirement.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to Purchase Common Shares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common shares issued or issuable pursuant to the exercise of outstanding options and reserved for issuance under our new omnibus equity incentive plan. We expect to file the registration statements, which will become effective immediately upon filing, shortly after the date of this prospectus. Shares covered by these registration statements will then be eligible for sale in the public markets, subject to vesting restrictions and any applicable holding periods, any applicable lock-up agreements described below and Rule 144 limitations applicable to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entered into a registration rights agreement in connection with the Series E Private Placement with certain investors in the Series E Private Placement pursuant to which we agreed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Transactions—Registration Rights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All of our directors, executive officers and the holders of all of our capital stock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for a period of 180 days after the date of this prospectus without the prior written consent of Credit Suisse Securities (USA) LLC. See “Underwriting.”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The following summary does not purport to address all tax consequences of this offering, the acquisition, the ownership and sale or other disposition of our common shares (such shares for the purposes of this “Taxation” section, “Shares”) and does not take into account the specific circumstances of any particular investor. This summary is based on the tax laws, regulations and regulatory practices of Switzerland and the U.S. as in effect on the date hereof, which are subject to change (or subject to changes in interpretation), possibly with retroactive effect.</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Current and prospective shareholders are advised to consult their own tax advisers in light of their particular circumstances as to the Swiss or U.S. tax laws, regulations and regulatory practices that could be relevant for them in connection with this offering, the acquiring, owning and selling or otherwise disposing of Shares and receiving dividends and similar cash or in-kind distributions on Shares (including dividends on liquidation proceeds and stock dividends) or distributions on Shares based upon a capital reduction (remboursements liés à la réduction de la valeur nominale des actions) or reserves paid out of capital contributions (apports de capital) and the consequences thereof under the tax laws, regulations and regulatory practices of Switzerland or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cantonal and communal individual income tax and corporate income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on Shares, or capital gains realized on the sale or other disposition of Shares (see, however, “—S</w:t>
      </w:r>
      <w:r>
        <w:rPr>
          <w:rFonts w:ascii="Arial" w:cs="Arial" w:eastAsia="Arial" w:hAnsi="Arial"/>
          <w:sz w:val="17"/>
          <w:szCs w:val="17"/>
          <w:i w:val="1"/>
          <w:iCs w:val="1"/>
          <w:color w:val="auto"/>
        </w:rPr>
        <w:t xml:space="preserve">wiss Federal Withholding Tax” </w:t>
      </w:r>
      <w:r>
        <w:rPr>
          <w:rFonts w:ascii="Arial" w:cs="Arial" w:eastAsia="Arial" w:hAnsi="Arial"/>
          <w:sz w:val="17"/>
          <w:szCs w:val="17"/>
          <w:color w:val="auto"/>
        </w:rPr>
        <w:t>below for a</w:t>
      </w:r>
      <w:r>
        <w:rPr>
          <w:rFonts w:ascii="Arial" w:cs="Arial" w:eastAsia="Arial" w:hAnsi="Arial"/>
          <w:sz w:val="17"/>
          <w:szCs w:val="17"/>
          <w:i w:val="1"/>
          <w:iCs w:val="1"/>
          <w:color w:val="auto"/>
        </w:rPr>
        <w:t xml:space="preserve"> </w:t>
      </w:r>
      <w:r>
        <w:rPr>
          <w:rFonts w:ascii="Arial" w:cs="Arial" w:eastAsia="Arial" w:hAnsi="Arial"/>
          <w:sz w:val="17"/>
          <w:szCs w:val="17"/>
          <w:color w:val="auto"/>
        </w:rPr>
        <w:t>summary of Swiss federal withholding tax on Dividends, and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Capital gains resulting from the sale or other 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Domestic Commercial Shareholders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Corporate and individual shareholders who are resident in Switzerland for tax purposes, and corporate and individual shareholders who are not resident in Switzerland, and who, in each case, hold their Shares as part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7"/>
          <w:szCs w:val="17"/>
          <w:i w:val="1"/>
          <w:iCs w:val="1"/>
          <w:color w:val="auto"/>
        </w:rPr>
        <w:t>inter alia</w:t>
      </w:r>
      <w:r>
        <w:rPr>
          <w:rFonts w:ascii="Arial" w:cs="Arial" w:eastAsia="Arial" w:hAnsi="Arial"/>
          <w:sz w:val="17"/>
          <w:szCs w:val="17"/>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7"/>
          <w:szCs w:val="17"/>
          <w:i w:val="1"/>
          <w:iCs w:val="1"/>
          <w:color w:val="auto"/>
        </w:rPr>
        <w:t>réduction pour participations</w:t>
      </w:r>
      <w:r>
        <w:rPr>
          <w:rFonts w:ascii="Arial" w:cs="Arial" w:eastAsia="Arial" w:hAnsi="Arial"/>
          <w:sz w:val="17"/>
          <w:szCs w:val="17"/>
          <w:color w:val="auto"/>
        </w:rPr>
        <w:t>) in respect of Dividends and distributions based upon a capital reduction (</w:t>
      </w:r>
      <w:r>
        <w:rPr>
          <w:rFonts w:ascii="Arial" w:cs="Arial" w:eastAsia="Arial" w:hAnsi="Arial"/>
          <w:sz w:val="17"/>
          <w:szCs w:val="17"/>
          <w:i w:val="1"/>
          <w:iCs w:val="1"/>
          <w:color w:val="auto"/>
        </w:rPr>
        <w:t>remboursements liés à la réduction de la valeur</w:t>
      </w:r>
      <w:r>
        <w:rPr>
          <w:rFonts w:ascii="Arial" w:cs="Arial" w:eastAsia="Arial" w:hAnsi="Arial"/>
          <w:sz w:val="17"/>
          <w:szCs w:val="17"/>
          <w:color w:val="auto"/>
        </w:rPr>
        <w:t xml:space="preserve"> </w:t>
      </w:r>
      <w:r>
        <w:rPr>
          <w:rFonts w:ascii="Arial" w:cs="Arial" w:eastAsia="Arial" w:hAnsi="Arial"/>
          <w:sz w:val="17"/>
          <w:szCs w:val="17"/>
          <w:i w:val="1"/>
          <w:iCs w:val="1"/>
          <w:color w:val="auto"/>
        </w:rPr>
        <w:t>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if the Shares held by them as part of a Swiss business have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market value of at least CHF 1 million.</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reserves paid out of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 the bilateral tax treaty between the U.S. and Switzerland is eligible for a partial refund of the amount of the withholding tax in excess of the 15% treaty rate, provided such shareholder: (i) qualifies for benefits under this treaty and qualifies as beneficial owner of the Dividends; (ii) holds, directly or indirectly, less than 10%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voting stock of the Company; (iii) does not qualify as a pension scheme or retirement arrangement for the purpose of the bilateral treaty; and (iv) 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Foreign Final Withholding Tax</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January 1, 2013, treaties on final withholding taxes of Switzerland with the United Kingdom and Austria entered into force (each, a “Contracting State”). The treaties require a Swiss paying agent, as defined in the treaties, to levy a flat-rate final withholding tax (</w:t>
      </w:r>
      <w:r>
        <w:rPr>
          <w:rFonts w:ascii="Arial" w:cs="Arial" w:eastAsia="Arial" w:hAnsi="Arial"/>
          <w:sz w:val="17"/>
          <w:szCs w:val="17"/>
          <w:i w:val="1"/>
          <w:iCs w:val="1"/>
          <w:color w:val="auto"/>
        </w:rPr>
        <w:t>impôt libératoire</w:t>
      </w:r>
      <w:r>
        <w:rPr>
          <w:rFonts w:ascii="Arial" w:cs="Arial" w:eastAsia="Arial" w:hAnsi="Arial"/>
          <w:sz w:val="17"/>
          <w:szCs w:val="17"/>
          <w:color w:val="auto"/>
        </w:rPr>
        <w:t>) at rates specified in the treaties on certain capital gains and income items (interest, dividends, other income items, all as defined in the treaties), deriving from assets, including the Shares, held in accounts or deposits with a Swiss paying agent by (i) an individual resident in a Contracting State or, (ii) if certain requirements are met, by a domiciliary company (</w:t>
      </w:r>
      <w:r>
        <w:rPr>
          <w:rFonts w:ascii="Arial" w:cs="Arial" w:eastAsia="Arial" w:hAnsi="Arial"/>
          <w:sz w:val="17"/>
          <w:szCs w:val="17"/>
          <w:i w:val="1"/>
          <w:iCs w:val="1"/>
          <w:color w:val="auto"/>
        </w:rPr>
        <w:t>société de domicile</w:t>
      </w:r>
      <w:r>
        <w:rPr>
          <w:rFonts w:ascii="Arial" w:cs="Arial" w:eastAsia="Arial" w:hAnsi="Arial"/>
          <w:sz w:val="17"/>
          <w:szCs w:val="17"/>
          <w:color w:val="auto"/>
        </w:rPr>
        <w:t>), an insurance company in connection with a so-called insurance wrapper (</w:t>
      </w:r>
      <w:r>
        <w:rPr>
          <w:rFonts w:ascii="Arial" w:cs="Arial" w:eastAsia="Arial" w:hAnsi="Arial"/>
          <w:sz w:val="17"/>
          <w:szCs w:val="17"/>
          <w:i w:val="1"/>
          <w:iCs w:val="1"/>
          <w:color w:val="auto"/>
        </w:rPr>
        <w:t>contrat d’assurance vie utilisé comme</w:t>
      </w:r>
      <w:r>
        <w:rPr>
          <w:rFonts w:ascii="Arial" w:cs="Arial" w:eastAsia="Arial" w:hAnsi="Arial"/>
          <w:sz w:val="17"/>
          <w:szCs w:val="17"/>
          <w:color w:val="auto"/>
        </w:rPr>
        <w:t xml:space="preserve"> </w:t>
      </w:r>
      <w:r>
        <w:rPr>
          <w:rFonts w:ascii="Arial" w:cs="Arial" w:eastAsia="Arial" w:hAnsi="Arial"/>
          <w:sz w:val="17"/>
          <w:szCs w:val="17"/>
          <w:i w:val="1"/>
          <w:iCs w:val="1"/>
          <w:color w:val="auto"/>
        </w:rPr>
        <w:t>enveloppe</w:t>
      </w:r>
      <w:r>
        <w:rPr>
          <w:rFonts w:ascii="Arial" w:cs="Arial" w:eastAsia="Arial" w:hAnsi="Arial"/>
          <w:sz w:val="17"/>
          <w:szCs w:val="17"/>
          <w:color w:val="auto"/>
        </w:rPr>
        <w:t>) or other individuals if the beneficial owner is an individual resident in a Contracting State. The flat-rate tax withheld substitutes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respective capital gains and income items in the Contracting State where the individual is tax resident. In order to avoid the withholding of the flat-rate tax by the Swiss paying agent, such individuals may opt for a disclosure of the respective capital gains and income items to the tax authorities of the Contracting State where they are tax residents. If Swiss federal withholding tax of 35% has been withheld on dividends, the Swiss paying agent will—to the extent provided in the applicable bilateral treaty for the avoidance of double taxation between Switzerland and the Contracting State—in its own name and on behalf of the relevant shareholder file with the Swiss tax authorities a request for the partial refund of the Swiss federal withholding tax. The Swiss federal withholding tax, which is not refundable according to the bilateral tax treaty (residual tax), is credited against the flat-rate final withholding tax. Switzerland may conclude similar treaties with other European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following is a description of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2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potential application of the provisions of the Code known as the Medicare contribution tax and tax consequences applicable to U.S. Holders subject to special rules, such as:</w:t>
      </w:r>
    </w:p>
    <w:p>
      <w:pPr>
        <w:spacing w:after="0" w:line="76"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voting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116"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60"/>
          </w:cols>
          <w:pgMar w:left="240" w:top="460" w:right="3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9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we were a PFIC for any taxable year during which a U.S. Holder held common shares (assuming such U.S. Holder has not made a timely mark-to-market election, as described below), gain recognized by a 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If a U.S. Holder owns common shares during any year in which we are a PFIC, the holder generally must file annual reports containing such information as the U.S. Treasury may require on IRS Form 8621 (or any successor form) with respect to us, generally with the holder’s federal income tax return for that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pricing of this offering, we have agreed to sell to the underwriters named below the following number of common shares: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080" w:type="dxa"/>
            <w:vAlign w:val="bottom"/>
          </w:tcPr>
          <w:p>
            <w:pPr>
              <w:jc w:val="center"/>
              <w:ind w:left="442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5080" w:type="dxa"/>
            <w:vAlign w:val="bottom"/>
          </w:tcPr>
          <w:p>
            <w:pPr>
              <w:jc w:val="center"/>
              <w:ind w:left="4428"/>
              <w:spacing w:after="0"/>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46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14605</wp:posOffset>
            </wp:positionV>
            <wp:extent cx="47180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31750</wp:posOffset>
            </wp:positionV>
            <wp:extent cx="4718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5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the common shares in this offering if any are purchased, other than those shares covered by the over-allotment option described below.</w:t>
      </w:r>
    </w:p>
    <w:p>
      <w:pPr>
        <w:spacing w:after="0" w:line="170"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have granted to the underwriters a 30-day over-allotment option to purchase up to additional common shares from us at the initial public offering price less the underwriting discounts and commissions. The option may be exercised only to cover any over-allotments of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proposed to offer the common shares initially at the public offering price on the cover page of this prospectus and to selling group</w:t>
      </w:r>
    </w:p>
    <w:p>
      <w:pPr>
        <w:spacing w:after="0" w:line="4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members at that price less a selling concession not in excess of $ per share. The underwriters and selling group members may allow a discount of $ per share on sales to other broker/dealers. After the initial public offering the underwriters may change the initial public offering price and concession and discount to broker/dealers.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Per Share</w:t>
            </w:r>
          </w:p>
        </w:tc>
        <w:tc>
          <w:tcPr>
            <w:tcW w:w="16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19"/>
        </w:trPr>
        <w:tc>
          <w:tcPr>
            <w:tcW w:w="72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Without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49"/>
        </w:trPr>
        <w:tc>
          <w:tcPr>
            <w:tcW w:w="7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Over-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Over-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Over-</w:t>
            </w:r>
          </w:p>
        </w:tc>
      </w:tr>
      <w:tr>
        <w:trPr>
          <w:trHeight w:val="171"/>
        </w:trPr>
        <w:tc>
          <w:tcPr>
            <w:tcW w:w="7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allotment</w:t>
            </w:r>
          </w:p>
        </w:tc>
        <w:tc>
          <w:tcPr>
            <w:tcW w:w="1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allotment</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Underwriting discounts and commissions payable by us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estimate the expenses paid or payable by us in connection with this offering, other than the underwriting discounts and commissions referred to above, will be approximately $ .</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underwriters have informed us that they do not expect sales to accounts over which they have discretionary authority to exceed 5% of the common shares being offered.</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Securities and Exchange Commission a registration statement under the Securities Act of 1933, the Securities Act, relating to, any common shares or securities convertible into or exchangeable or exercisable for any common shares, or publicly disclose the intention to make any offer, sale, pledge, disposition or filing, without the prior written consent of Credit Suisse Securities (USA) LLC for a period of 180 days after the date of this prospectus, except issuances pursuant to the exercise of employee stock options outstanding on the date hereof or pursuant to our dividend reinvestment plan and in certain other limited circumstances.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officers and directors and all of our shareholders have agreed that they will not offer, sell, contract to sell, pledge or otherwise dispose of, directly or indirectly, any common shares or securities convertible into or exchangeable or exercisable for any common shares, enter into a transaction which would have the same effect, or enter into any swap, hedge or other arrangement that transfers, in whole or in part, any of the economic consequences of ownership of the common shares, whether any such aforementioned transaction is to be settled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by delivery of the common shares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In addition, each such person has agreed that, without the prior written consent of Credit Suisse Securities (USA) LLC, it will not, during the</w:t>
      </w:r>
    </w:p>
    <w:p>
      <w:pPr>
        <w:spacing w:after="0" w:line="255" w:lineRule="auto"/>
        <w:rPr>
          <w:sz w:val="20"/>
          <w:szCs w:val="20"/>
          <w:color w:val="auto"/>
        </w:rPr>
      </w:pPr>
      <w:r>
        <w:rPr>
          <w:rFonts w:ascii="Arial" w:cs="Arial" w:eastAsia="Arial" w:hAnsi="Arial"/>
          <w:sz w:val="18"/>
          <w:szCs w:val="18"/>
          <w:color w:val="auto"/>
        </w:rPr>
        <w:t>180-day lock-up period, make any demand for or exercise any right with respect to, the registration of any common shares or any security convertible into or exercisable or exchangeable for the common shares. Any common shares received upon exercise of options granted to each such person will also be subject to the lock-up agreement.</w:t>
      </w:r>
    </w:p>
    <w:p>
      <w:pPr>
        <w:spacing w:after="0" w:line="190"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However, notwithstanding the immediately preceding paragraph, the restrictions described in the lock-up agreement will not apply in certain circumstances, including to:</w:t>
      </w:r>
    </w:p>
    <w:p>
      <w:pPr>
        <w:spacing w:after="0" w:line="76" w:lineRule="exact"/>
        <w:rPr>
          <w:sz w:val="20"/>
          <w:szCs w:val="20"/>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transactions relating to common shares or other securities acquired by such person in this offering or in open market transactions;</w:t>
      </w:r>
    </w:p>
    <w:p>
      <w:pPr>
        <w:spacing w:after="0" w:line="130" w:lineRule="exact"/>
        <w:rPr>
          <w:rFonts w:ascii="Arial" w:cs="Arial" w:eastAsia="Arial" w:hAnsi="Arial"/>
          <w:sz w:val="18"/>
          <w:szCs w:val="18"/>
          <w:color w:val="auto"/>
        </w:rPr>
      </w:pPr>
    </w:p>
    <w:p>
      <w:pPr>
        <w:ind w:left="900" w:right="40" w:hanging="325"/>
        <w:spacing w:after="0" w:line="290"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(i) the exercise of stock options or other similar awards granted pursuant to our equity incentive plans or the vesting or settlement of awards granted pursuant to our equity incentive plans (including the delivery and receipt of common shares, other awards or any securities convertible into or exercisable or exchangeable for common shares in connection with such vesting or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clause (i), the foregoing restrictions shall apply to any of such person’s common shares issued upon such exercise, vesting or settlement; or (ii) the transfer of common shares or any securities convertible into or exercisable or exchangeable for common shares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in 2015 and 2016 of options for our common shares, whether by means of a “net settlement” or otherwise;</w:t>
      </w:r>
    </w:p>
    <w:p>
      <w:pPr>
        <w:spacing w:after="0" w:line="71" w:lineRule="exact"/>
        <w:rPr>
          <w:rFonts w:ascii="Arial" w:cs="Arial" w:eastAsia="Arial" w:hAnsi="Arial"/>
          <w:sz w:val="16"/>
          <w:szCs w:val="16"/>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w:t>
      </w:r>
    </w:p>
    <w:p>
      <w:pPr>
        <w:spacing w:after="0" w:line="130" w:lineRule="exact"/>
        <w:rPr>
          <w:rFonts w:ascii="Arial" w:cs="Arial" w:eastAsia="Arial" w:hAnsi="Arial"/>
          <w:sz w:val="18"/>
          <w:szCs w:val="18"/>
          <w:color w:val="auto"/>
        </w:rPr>
      </w:pPr>
    </w:p>
    <w:p>
      <w:pPr>
        <w:ind w:left="1480" w:right="420" w:hanging="446"/>
        <w:spacing w:after="0" w:line="277"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480" w:right="380" w:hanging="446"/>
        <w:spacing w:after="0" w:line="264"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is a natural person, to a member of the immediate family of such person (for purposes of the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480" w:right="100" w:hanging="446"/>
        <w:spacing w:after="0" w:line="277"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person is a natural person, to any trust or other like entity for the direct or indirect benefit of such person or the immediate family of such person;</w:t>
      </w:r>
    </w:p>
    <w:p>
      <w:pPr>
        <w:spacing w:after="0" w:line="75" w:lineRule="exact"/>
        <w:rPr>
          <w:rFonts w:ascii="Arial" w:cs="Arial" w:eastAsia="Arial" w:hAnsi="Arial"/>
          <w:sz w:val="18"/>
          <w:szCs w:val="18"/>
          <w:color w:val="auto"/>
        </w:rPr>
      </w:pPr>
    </w:p>
    <w:p>
      <w:pPr>
        <w:ind w:left="1480" w:right="280" w:hanging="446"/>
        <w:spacing w:after="0" w:line="277"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person is a natural person, by operation of law or by order of a court of competent jurisdiction pursuant to a qualified domestic order or in connection with a divorce settlement;</w:t>
      </w:r>
    </w:p>
    <w:p>
      <w:pPr>
        <w:spacing w:after="0" w:line="75" w:lineRule="exact"/>
        <w:rPr>
          <w:rFonts w:ascii="Arial" w:cs="Arial" w:eastAsia="Arial" w:hAnsi="Arial"/>
          <w:sz w:val="18"/>
          <w:szCs w:val="18"/>
          <w:color w:val="auto"/>
        </w:rPr>
      </w:pPr>
    </w:p>
    <w:p>
      <w:pPr>
        <w:ind w:left="1480" w:right="240" w:hanging="446"/>
        <w:spacing w:after="0" w:line="264"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person is a natural person, to a corporation, partnership, limited liability company or other entity of which such person and the immediate family of such person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ind w:left="1480" w:right="460" w:hanging="446"/>
        <w:spacing w:after="0" w:line="342" w:lineRule="auto"/>
        <w:tabs>
          <w:tab w:leader="none" w:pos="14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investment fund or other entity controlled or managed by such person;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such person;</w:t>
      </w:r>
    </w:p>
    <w:p>
      <w:pPr>
        <w:spacing w:after="0" w:line="117" w:lineRule="exact"/>
        <w:rPr>
          <w:rFonts w:ascii="Arial" w:cs="Arial" w:eastAsia="Arial" w:hAnsi="Arial"/>
          <w:sz w:val="18"/>
          <w:szCs w:val="18"/>
          <w:color w:val="auto"/>
        </w:rPr>
      </w:pPr>
    </w:p>
    <w:p>
      <w:pPr>
        <w:ind w:left="1500"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sub-bullets above of this third bullet, each donee, distributee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agrees to be bound in writing by the terms of the lock-up agreement prior to such transfer, such transfer shall not involve a disposition for value and no filing by any party (donor, donee, transferor or transferee) under the Exchange Act shall be required or shall be voluntarily made in connection with such transfer;</w:t>
      </w:r>
    </w:p>
    <w:p>
      <w:pPr>
        <w:spacing w:after="0" w:line="92"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180-day lock-up period, (ii) the establishment of such plan shall not be voluntarily publicly announced or filed under the Exchange Act and (iii) to the extent a public announcement or filing under the Exchange Act, if any, is required by or on behalf of the undersigned or us regarding the establishment or modification of such plan, such announcement or filing shall include a statement to the effect that no transfer of common shares may be made under such plan during the 180-day lock-up period;</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transfer of common shares or any security convertible into or exercisable or exchangeable for common shares to us, pursuant to agreements or rights in existence on the date of this prospectus under which we have the option to repurchase such shares or a right of first refusal with respect to transfers of such shares or in connection with the termination of such person’s employment with us;</w:t>
      </w:r>
    </w:p>
    <w:p>
      <w:pPr>
        <w:spacing w:after="0" w:line="70"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transfer of common shares or any security convertible into or exercisable or exchangeable for common shares that occurs by any order or settlement resulting from any legal proceeding;</w:t>
      </w:r>
    </w:p>
    <w:p>
      <w:pPr>
        <w:spacing w:after="0" w:line="75" w:lineRule="exact"/>
        <w:rPr>
          <w:rFonts w:ascii="Arial" w:cs="Arial" w:eastAsia="Arial" w:hAnsi="Arial"/>
          <w:sz w:val="18"/>
          <w:szCs w:val="18"/>
          <w:color w:val="auto"/>
        </w:rPr>
      </w:pPr>
    </w:p>
    <w:p>
      <w:pPr>
        <w:ind w:left="900" w:right="60" w:hanging="325"/>
        <w:spacing w:after="0" w:line="302"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the transfer of common shares or any security convertible into or exercisable or exchangeable for common shares pursuant to a bona fide third-party tender offer, merger, amalgamation, consolidation or other similar transaction made to all holders of the common shares involving a change of control of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amalgamation, consolidation or other such transaction is not completed, the common shares owned by such person shall remain subject to the restrictions contained in the lock-up agreement; or</w:t>
      </w:r>
    </w:p>
    <w:p>
      <w:pPr>
        <w:spacing w:after="0" w:line="5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us of common shares or any securities convertible into or exercisable or exchangeable for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such person’s common shares proposed to be registered pursuant to the exercise of such rights under this bullet shall occur, and no registration statement shall be filed, during the 180-day lock-up period.</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passive market making in accordance with Regulation M under the Exchange Act.</w:t>
      </w:r>
    </w:p>
    <w:p>
      <w:pPr>
        <w:spacing w:after="0" w:line="76"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2" w:lineRule="exact"/>
        <w:rPr>
          <w:sz w:val="20"/>
          <w:szCs w:val="20"/>
          <w:color w:val="auto"/>
        </w:rPr>
      </w:pPr>
    </w:p>
    <w:p>
      <w:pPr>
        <w:ind w:left="900" w:hanging="446"/>
        <w:spacing w:after="0" w:line="255"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94"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shares originally sold by the syndicate member are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passive market making, a market maker in the common shares who is an underwriter or prospective underwriter may, subject to limitations, make bids for or purchases of our common shares until the time, if any, at which a stabilizing bid is made.</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NASDAQ and, if commenced, may be discontinued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prospectus in electronic format will be made available on the web sites maintained by the underwriters, or selling group members, if any, participating in this offering. Internet distributions will be allocated by the underwriters and selling group members that will make internet distributions on the same basis as other allocations.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the underwriters represent and agree that with effect from and including the date on which the Prospectus Directive is implemented in that Relevant Member State, or the Relevant Implementation Date, they have not made and will not make an offer of our common shares to the public in that Relevant Member State prior to the publication of a prospectus in relation to our common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83"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common shares shall require the publication by the issuer or the underwriters of a prospectus pursuant to Article 3 of the Prospectus Directive.</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w:t>
      </w:r>
    </w:p>
    <w:p>
      <w:pPr>
        <w:spacing w:after="0" w:line="131" w:lineRule="exact"/>
        <w:rPr>
          <w:sz w:val="20"/>
          <w:szCs w:val="20"/>
          <w:color w:val="auto"/>
        </w:rPr>
      </w:pPr>
    </w:p>
    <w:p>
      <w:pPr>
        <w:jc w:val="both"/>
        <w:ind w:left="900" w:right="20" w:hanging="446"/>
        <w:spacing w:after="0" w:line="312"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have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underwriters; and</w:t>
      </w:r>
    </w:p>
    <w:p>
      <w:pPr>
        <w:spacing w:after="0" w:line="52" w:lineRule="exact"/>
        <w:rPr>
          <w:rFonts w:ascii="Arial" w:cs="Arial" w:eastAsia="Arial" w:hAnsi="Arial"/>
          <w:sz w:val="16"/>
          <w:szCs w:val="16"/>
          <w:color w:val="auto"/>
        </w:rPr>
      </w:pPr>
    </w:p>
    <w:p>
      <w:pPr>
        <w:ind w:left="900" w:right="24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have complied with, and will comply with all applicable provisions of FSMA with respect to anything done by them in relation to the common shares in, from or otherwise involving the United Kingdom.</w:t>
      </w:r>
    </w:p>
    <w:p>
      <w:pPr>
        <w:spacing w:after="0" w:line="170"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This prospectus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must not be acted on or relied on by persons who are not Relevant Persons. Any investment or investment activity to which this prospectus relates is available only to relevant persons and will be engaged in with Relevant Persons only.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shares will not be listed on the SIX Swiss Exchange, or SIX, or on any other stock exchange or regulated trading facility in Switzerland. This document has been prepared without regard to the disclosure standards for listing prospectuses under art. 27 ff. of the SIX Listing Rules or the listing rules of any other stock exchange or regulated trading facility in Switzerland.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this offering, the Company, or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common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70" w:lineRule="exact"/>
        <w:rPr>
          <w:sz w:val="20"/>
          <w:szCs w:val="20"/>
          <w:color w:val="auto"/>
        </w:rPr>
      </w:pPr>
    </w:p>
    <w:p>
      <w:pPr>
        <w:ind w:left="900" w:right="48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distribution of the common shares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common shares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By purchasing the common shares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140" w:hanging="446"/>
        <w:spacing w:after="0" w:line="342"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the purchaser is entitled under applicable provincial securities laws to purchase the common shares without the benefit of a prospectus qualified under those securities laws as it is an “accredited investor” as defined under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Canadian purchasers of the ordinary shares offered in this offering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its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common shares offered hereby. Any such credit default swaps or short positions could adversely affect future trading prices of the common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380"/>
          </w:cols>
          <w:pgMar w:left="240" w:top="460" w:right="2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80" w:type="dxa"/>
            <w:vAlign w:val="bottom"/>
          </w:tcPr>
          <w:p>
            <w:pPr>
              <w:spacing w:after="0"/>
              <w:rPr>
                <w:sz w:val="20"/>
                <w:szCs w:val="20"/>
                <w:color w:val="auto"/>
              </w:rPr>
            </w:pPr>
            <w:r>
              <w:rPr>
                <w:rFonts w:ascii="Arial" w:cs="Arial" w:eastAsia="Arial" w:hAnsi="Arial"/>
                <w:sz w:val="14"/>
                <w:szCs w:val="14"/>
                <w:b w:val="1"/>
                <w:bCs w:val="1"/>
                <w:color w:val="auto"/>
                <w:w w:val="85"/>
              </w:rPr>
              <w:t>Expenses</w:t>
            </w:r>
          </w:p>
        </w:tc>
        <w:tc>
          <w:tcPr>
            <w:tcW w:w="7500" w:type="dxa"/>
            <w:vAlign w:val="bottom"/>
          </w:tcPr>
          <w:p>
            <w:pPr>
              <w:spacing w:after="0"/>
              <w:rPr>
                <w:sz w:val="16"/>
                <w:szCs w:val="16"/>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5,035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To be provided by amendment.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The Company will pay all of the expenses of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validity of the common shares and certain other matters of Swiss law will be passed upon for us by Vischer AG, Zurich, Switzerland. Certain matters of U.S. federal and New York State law will be passed upon for us by Davis Polk &amp; Wardwell LLP, New York, New York, and for the underwriters by Goodwin Procter LLP, Boston, Massachusetts.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financial statements of AC Immune SA for the years ended December 31, 2015 and 2014 and for each of the years in the two-year period ended December 31, 2015, have been included herein in reliance upon the report of Ernst &amp; Young AG, independent registered public accounting firm, appearing elsewhere herein, and upon the authority of said firm as experts in accounting and auditing.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340"/>
          </w:cols>
          <w:pgMar w:left="240" w:top="459" w:right="3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informational requirements of the Exchange Act. Accordingly, we will be required to file reports and other information with the SEC, including annual reports on Form 20-F and reports on Form 6-K. Those reports may be inspected without charge at the locations described above.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although we intend to report our results of operations voluntarily on a quarterly basis.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380"/>
          </w:cols>
          <w:pgMar w:left="240" w:top="460" w:right="27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07"/>
        </w:trPr>
        <w:tc>
          <w:tcPr>
            <w:tcW w:w="9740" w:type="dxa"/>
            <w:vAlign w:val="bottom"/>
            <w:gridSpan w:val="1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6080" w:type="dxa"/>
            <w:vAlign w:val="bottom"/>
            <w:gridSpan w:val="11"/>
          </w:tcPr>
          <w:p>
            <w:pPr>
              <w:jc w:val="center"/>
              <w:ind w:right="1960"/>
              <w:spacing w:after="0"/>
              <w:rPr>
                <w:sz w:val="20"/>
                <w:szCs w:val="20"/>
                <w:color w:val="auto"/>
              </w:rPr>
            </w:pPr>
            <w:r>
              <w:rPr>
                <w:rFonts w:ascii="Arial" w:cs="Arial" w:eastAsia="Arial" w:hAnsi="Arial"/>
                <w:sz w:val="18"/>
                <w:szCs w:val="18"/>
                <w:b w:val="1"/>
                <w:bCs w:val="1"/>
                <w:color w:val="auto"/>
              </w:rPr>
              <w:t>INDEX TO FINANCIAL STATEMENTS</w:t>
            </w:r>
          </w:p>
        </w:tc>
        <w:tc>
          <w:tcPr>
            <w:tcW w:w="1580" w:type="dxa"/>
            <w:vAlign w:val="bottom"/>
          </w:tcPr>
          <w:p>
            <w:pPr>
              <w:spacing w:after="0"/>
              <w:rPr>
                <w:sz w:val="24"/>
                <w:szCs w:val="24"/>
                <w:color w:val="auto"/>
              </w:rPr>
            </w:pPr>
          </w:p>
        </w:tc>
      </w:tr>
      <w:tr>
        <w:trPr>
          <w:trHeight w:val="445"/>
        </w:trPr>
        <w:tc>
          <w:tcPr>
            <w:tcW w:w="9740" w:type="dxa"/>
            <w:vAlign w:val="bottom"/>
            <w:gridSpan w:val="13"/>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3"/>
          </w:tcPr>
          <w:p>
            <w:pPr>
              <w:spacing w:after="0" w:line="190" w:lineRule="exact"/>
              <w:rPr>
                <w:rFonts w:ascii="Arial" w:cs="Arial" w:eastAsia="Arial" w:hAnsi="Arial"/>
                <w:sz w:val="18"/>
                <w:szCs w:val="18"/>
                <w:color w:val="0000EE"/>
              </w:rPr>
            </w:pPr>
            <w:hyperlink w:anchor="page200">
              <w:r>
                <w:rPr>
                  <w:rFonts w:ascii="Arial" w:cs="Arial" w:eastAsia="Arial" w:hAnsi="Arial"/>
                  <w:sz w:val="18"/>
                  <w:szCs w:val="18"/>
                  <w:color w:val="0000EE"/>
                </w:rPr>
                <w:t>Balance Sheets as of March 31, 2016 and December 31, 2015</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3"/>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Income Statements and Statements of Comprehensive Income for the Three Months Ended March 31, 2016 and 2015</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02">
              <w:r>
                <w:rPr>
                  <w:rFonts w:ascii="Arial" w:cs="Arial" w:eastAsia="Arial" w:hAnsi="Arial"/>
                  <w:sz w:val="18"/>
                  <w:szCs w:val="18"/>
                  <w:color w:val="0000EE"/>
                  <w:w w:val="90"/>
                </w:rPr>
                <w:t>Statements of Changes in Equity for the Three Months Ended March 31, 2016 and 2015</w:t>
              </w:r>
            </w:hyperlink>
          </w:p>
        </w:tc>
        <w:tc>
          <w:tcPr>
            <w:tcW w:w="2100" w:type="dxa"/>
            <w:vAlign w:val="bottom"/>
            <w:tcBorders>
              <w:top w:val="single" w:sz="8" w:color="0000EE"/>
            </w:tcBorders>
            <w:gridSpan w:val="4"/>
          </w:tcPr>
          <w:p>
            <w:pPr>
              <w:spacing w:after="0"/>
              <w:rPr>
                <w:sz w:val="17"/>
                <w:szCs w:val="17"/>
                <w:color w:val="auto"/>
              </w:rPr>
            </w:pPr>
          </w:p>
        </w:tc>
        <w:tc>
          <w:tcPr>
            <w:tcW w:w="128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9740" w:type="dxa"/>
            <w:vAlign w:val="bottom"/>
            <w:gridSpan w:val="13"/>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Statements of Cash Flows for the Three Months Ended March 31, 2016 and 2015</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78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04">
              <w:r>
                <w:rPr>
                  <w:rFonts w:ascii="Arial" w:cs="Arial" w:eastAsia="Arial" w:hAnsi="Arial"/>
                  <w:sz w:val="18"/>
                  <w:szCs w:val="18"/>
                  <w:color w:val="0000EE"/>
                  <w:w w:val="90"/>
                </w:rPr>
                <w:t>Notes to the Interim Condensed Financial Statements for the Three Months Ended March 31, 2016 and 2015</w:t>
              </w:r>
            </w:hyperlink>
          </w:p>
        </w:tc>
        <w:tc>
          <w:tcPr>
            <w:tcW w:w="190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90"/>
        </w:trPr>
        <w:tc>
          <w:tcPr>
            <w:tcW w:w="9740" w:type="dxa"/>
            <w:vAlign w:val="bottom"/>
            <w:gridSpan w:val="13"/>
          </w:tcPr>
          <w:p>
            <w:pPr>
              <w:spacing w:after="0"/>
              <w:rPr>
                <w:sz w:val="20"/>
                <w:szCs w:val="20"/>
                <w:color w:val="auto"/>
              </w:rPr>
            </w:pPr>
            <w:r>
              <w:rPr>
                <w:rFonts w:ascii="Arial" w:cs="Arial" w:eastAsia="Arial" w:hAnsi="Arial"/>
                <w:sz w:val="18"/>
                <w:szCs w:val="18"/>
                <w:b w:val="1"/>
                <w:bCs w:val="1"/>
                <w:color w:val="auto"/>
              </w:rPr>
              <w:t>Audited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3"/>
          </w:tcPr>
          <w:p>
            <w:pPr>
              <w:spacing w:after="0" w:line="190" w:lineRule="exact"/>
              <w:rPr>
                <w:rFonts w:ascii="Arial" w:cs="Arial" w:eastAsia="Arial" w:hAnsi="Arial"/>
                <w:sz w:val="18"/>
                <w:szCs w:val="18"/>
                <w:color w:val="0000EE"/>
              </w:rPr>
            </w:pPr>
            <w:hyperlink w:anchor="page210">
              <w:r>
                <w:rPr>
                  <w:rFonts w:ascii="Arial" w:cs="Arial" w:eastAsia="Arial" w:hAnsi="Arial"/>
                  <w:sz w:val="18"/>
                  <w:szCs w:val="18"/>
                  <w:color w:val="0000EE"/>
                </w:rPr>
                <w:t>Report of Independent Registered Public Accounting Firm</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F-12</w:t>
            </w:r>
          </w:p>
        </w:tc>
      </w:tr>
      <w:tr>
        <w:trPr>
          <w:trHeight w:val="196"/>
        </w:trPr>
        <w:tc>
          <w:tcPr>
            <w:tcW w:w="42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Balance Sheets as of December 31, 2015 and 2014</w:t>
              </w:r>
            </w:hyperlink>
          </w:p>
        </w:tc>
        <w:tc>
          <w:tcPr>
            <w:tcW w:w="5520" w:type="dxa"/>
            <w:vAlign w:val="bottom"/>
            <w:gridSpan w:val="10"/>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3"/>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Income Statements and Statements of Comprehensive Income for the fiscal years ended December 31, 2015 and 2014</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6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213">
              <w:r>
                <w:rPr>
                  <w:rFonts w:ascii="Arial" w:cs="Arial" w:eastAsia="Arial" w:hAnsi="Arial"/>
                  <w:sz w:val="18"/>
                  <w:szCs w:val="18"/>
                  <w:color w:val="0000EE"/>
                  <w:w w:val="90"/>
                </w:rPr>
                <w:t>Statements of Changes in Equity for the fiscal years ended December 31, 2015 and 2014</w:t>
              </w:r>
            </w:hyperlink>
          </w:p>
        </w:tc>
        <w:tc>
          <w:tcPr>
            <w:tcW w:w="2060" w:type="dxa"/>
            <w:vAlign w:val="bottom"/>
            <w:tcBorders>
              <w:top w:val="single" w:sz="8" w:color="0000EE"/>
            </w:tcBorders>
            <w:gridSpan w:val="4"/>
          </w:tcPr>
          <w:p>
            <w:pPr>
              <w:spacing w:after="0"/>
              <w:rPr>
                <w:sz w:val="17"/>
                <w:szCs w:val="17"/>
                <w:color w:val="auto"/>
              </w:rPr>
            </w:pPr>
          </w:p>
        </w:tc>
        <w:tc>
          <w:tcPr>
            <w:tcW w:w="124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196"/>
        </w:trPr>
        <w:tc>
          <w:tcPr>
            <w:tcW w:w="59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14">
              <w:r>
                <w:rPr>
                  <w:rFonts w:ascii="Arial" w:cs="Arial" w:eastAsia="Arial" w:hAnsi="Arial"/>
                  <w:sz w:val="18"/>
                  <w:szCs w:val="18"/>
                  <w:color w:val="0000EE"/>
                  <w:w w:val="90"/>
                </w:rPr>
                <w:t>Statements of Cash Flows for the fiscal years ended December 31, 2015 and 2014</w:t>
              </w:r>
            </w:hyperlink>
          </w:p>
        </w:tc>
        <w:tc>
          <w:tcPr>
            <w:tcW w:w="3780" w:type="dxa"/>
            <w:vAlign w:val="bottom"/>
            <w:gridSpan w:val="7"/>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196"/>
        </w:trPr>
        <w:tc>
          <w:tcPr>
            <w:tcW w:w="65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15">
              <w:r>
                <w:rPr>
                  <w:rFonts w:ascii="Arial" w:cs="Arial" w:eastAsia="Arial" w:hAnsi="Arial"/>
                  <w:sz w:val="18"/>
                  <w:szCs w:val="18"/>
                  <w:color w:val="0000EE"/>
                  <w:w w:val="90"/>
                </w:rPr>
                <w:t>Notes to the Financial Statements for the fiscal years ended December 31, 2015 and 2014</w:t>
              </w:r>
            </w:hyperlink>
          </w:p>
        </w:tc>
        <w:tc>
          <w:tcPr>
            <w:tcW w:w="3240" w:type="dxa"/>
            <w:vAlign w:val="bottom"/>
            <w:gridSpan w:val="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385"/>
        </w:trPr>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00" w:type="dxa"/>
            <w:vAlign w:val="bottom"/>
            <w:gridSpan w:val="9"/>
          </w:tcPr>
          <w:p>
            <w:pPr>
              <w:jc w:val="center"/>
              <w:ind w:right="2760"/>
              <w:spacing w:after="0"/>
              <w:rPr>
                <w:sz w:val="20"/>
                <w:szCs w:val="20"/>
                <w:color w:val="auto"/>
              </w:rPr>
            </w:pPr>
            <w:r>
              <w:rPr>
                <w:rFonts w:ascii="Arial" w:cs="Arial" w:eastAsia="Arial" w:hAnsi="Arial"/>
                <w:sz w:val="18"/>
                <w:szCs w:val="18"/>
                <w:color w:val="auto"/>
                <w:w w:val="96"/>
              </w:rPr>
              <w:t>F-1</w:t>
            </w: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0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2"/>
              </w:rPr>
              <w:t>Notes</w:t>
            </w:r>
          </w:p>
        </w:tc>
        <w:tc>
          <w:tcPr>
            <w:tcW w:w="13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As of March 31,</w:t>
            </w:r>
          </w:p>
        </w:tc>
        <w:tc>
          <w:tcPr>
            <w:tcW w:w="1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74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Financial assets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732</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585</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3,191</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Accrued income</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1,656</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72,813</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79,346</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73,545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Share premium</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110,453</w:t>
            </w:r>
          </w:p>
        </w:tc>
        <w:tc>
          <w:tcPr>
            <w:tcW w:w="36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110,496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(46,702)</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64,679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2,991</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2,787</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Accrued expenses</w:t>
            </w: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3,728</w:t>
            </w:r>
          </w:p>
        </w:tc>
        <w:tc>
          <w:tcPr>
            <w:tcW w:w="36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8,866</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8,888</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73,545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322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94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Notes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Contract revenue</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rPr>
              <w:t>487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487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(5,372)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(899)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(6,271)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(3,510)</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(5,784)</w:t>
            </w:r>
          </w:p>
        </w:tc>
        <w:tc>
          <w:tcPr>
            <w:tcW w:w="5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(392)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(391)</w:t>
            </w:r>
          </w:p>
        </w:tc>
        <w:tc>
          <w:tcPr>
            <w:tcW w:w="5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(6,175)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Income tax expense</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500" w:type="dxa"/>
            <w:vAlign w:val="bottom"/>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(6,175)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(2,965)</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Earnings per share (EPS):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(0.13)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w w:val="93"/>
              </w:rPr>
              <w:t>46,402,500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42,709,750</w:t>
            </w:r>
          </w:p>
        </w:tc>
        <w:tc>
          <w:tcPr>
            <w:tcW w:w="0" w:type="dxa"/>
            <w:vAlign w:val="bottom"/>
          </w:tcPr>
          <w:p>
            <w:pPr>
              <w:spacing w:after="0"/>
              <w:rPr>
                <w:sz w:val="1"/>
                <w:szCs w:val="1"/>
                <w:color w:val="auto"/>
              </w:rPr>
            </w:pPr>
          </w:p>
        </w:tc>
      </w:tr>
      <w:tr>
        <w:trPr>
          <w:trHeight w:val="526"/>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For the Three Months Ended</w:t>
            </w:r>
          </w:p>
        </w:tc>
        <w:tc>
          <w:tcPr>
            <w:tcW w:w="0" w:type="dxa"/>
            <w:vAlign w:val="bottom"/>
          </w:tcPr>
          <w:p>
            <w:pPr>
              <w:spacing w:after="0"/>
              <w:rPr>
                <w:sz w:val="1"/>
                <w:szCs w:val="1"/>
                <w:color w:val="auto"/>
              </w:rPr>
            </w:pPr>
          </w:p>
        </w:tc>
      </w:t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(6,175)</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w w:val="92"/>
              </w:rPr>
              <w:t>Other comprehensive income not to be reclassified to income or loss in subsequent periods (net of tax)</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(184)</w:t>
            </w:r>
          </w:p>
        </w:tc>
        <w:tc>
          <w:tcPr>
            <w:tcW w:w="5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net of tax</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(6,359)</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720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854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(3,216)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exercise of options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2015</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855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83,071</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(63,637)</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928</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110,496</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(40,381)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71,043</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(6,359)</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shares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2016</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928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110,453</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(46,702)</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64,679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9"/>
              </w:rPr>
              <w:t>For the Three Months</w:t>
            </w:r>
          </w:p>
        </w:tc>
        <w:tc>
          <w:tcPr>
            <w:tcW w:w="0" w:type="dxa"/>
            <w:vAlign w:val="bottom"/>
          </w:tcPr>
          <w:p>
            <w:pPr>
              <w:spacing w:after="0"/>
              <w:rPr>
                <w:sz w:val="1"/>
                <w:szCs w:val="1"/>
                <w:color w:val="auto"/>
              </w:rPr>
            </w:pPr>
          </w:p>
        </w:tc>
      </w:tr>
      <w:tr>
        <w:trPr>
          <w:trHeight w:val="171"/>
        </w:trPr>
        <w:tc>
          <w:tcPr>
            <w:tcW w:w="9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978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Loss for the period</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(6,175)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loss for the period to net cash flows :</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 provided by operating activities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(7,683)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costs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Exchange differences-gain, on payables / receivables</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 provided by operating activities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(7,685)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20,397</w:t>
            </w:r>
          </w:p>
        </w:tc>
        <w:tc>
          <w:tcPr>
            <w:tcW w:w="0" w:type="dxa"/>
            <w:vAlign w:val="bottom"/>
          </w:tcPr>
          <w:p>
            <w:pPr>
              <w:spacing w:after="0"/>
              <w:rPr>
                <w:sz w:val="1"/>
                <w:szCs w:val="1"/>
                <w:color w:val="auto"/>
              </w:rPr>
            </w:pP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8"/>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Transaction costs of issue of shares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(372)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Cost on issue of shares-option plan</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 provided from financing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(378)</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(8,273)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20,317</w:t>
            </w:r>
          </w:p>
        </w:tc>
        <w:tc>
          <w:tcPr>
            <w:tcW w:w="0" w:type="dxa"/>
            <w:vAlign w:val="bottom"/>
          </w:tcPr>
          <w:p>
            <w:pPr>
              <w:spacing w:after="0"/>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8"/>
                <w:szCs w:val="18"/>
                <w:color w:val="auto"/>
              </w:rPr>
              <w:t>Cash and cash equivalents at January 1</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Exchange gain / (loss) on cash and cash equivalents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and cash equivalents at March 31</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67,860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(8,273)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131"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Phase 3 clinical studies for crenezumab were commenced in early 2016.. We use our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67.9 million as of March 31, 2016 and the additional $13.5 million (CHF 13.2 million) the Company raised in the Series E Extension financing in April 2016.</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the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right="100" w:firstLine="8"/>
        <w:spacing w:after="0" w:line="323" w:lineRule="auto"/>
        <w:tabs>
          <w:tab w:leader="none" w:pos="21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interim condensed financial statements for the three month period ended March 31, 2016, have been prepared in accordance with IAS 34 Interim Financial Reporting. The interim financial statements do not include all the information required in the annual financial statements, and should be read in conjunction with the Company’s annual financial statements as of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40" w:top="460" w:right="2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condensed interim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disclosed in Note 5,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2015, except for the adoption of new standards and interpretations effective as of January 1, 2016 The Company has not early adopted any other standard, interpretation or amendment that has been issued but is not yet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nature and the effect of these changes are immaterial to the Company’s interim condensed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45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2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2060" w:type="dxa"/>
            <w:vAlign w:val="bottom"/>
          </w:tcPr>
          <w:p>
            <w:pPr>
              <w:spacing w:after="0"/>
              <w:rPr>
                <w:sz w:val="24"/>
                <w:szCs w:val="24"/>
                <w:color w:val="auto"/>
              </w:rPr>
            </w:pPr>
          </w:p>
        </w:tc>
        <w:tc>
          <w:tcPr>
            <w:tcW w:w="362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00" w:type="dxa"/>
            <w:vAlign w:val="bottom"/>
            <w:tcBorders>
              <w:bottom w:val="single" w:sz="8" w:color="CCEEFF"/>
            </w:tcBorders>
            <w:vMerge w:val="continue"/>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2016</w:t>
            </w:r>
          </w:p>
        </w:tc>
        <w:tc>
          <w:tcPr>
            <w:tcW w:w="130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Research collaboration and license revenue</w:t>
            </w:r>
          </w:p>
        </w:tc>
        <w:tc>
          <w:tcPr>
            <w:tcW w:w="20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 revenue</w:t>
            </w:r>
          </w:p>
        </w:tc>
        <w:tc>
          <w:tcPr>
            <w:tcW w:w="4460" w:type="dxa"/>
            <w:vAlign w:val="bottom"/>
            <w:gridSpan w:val="3"/>
          </w:tcPr>
          <w:p>
            <w:pPr>
              <w:jc w:val="right"/>
              <w:ind w:right="1300"/>
              <w:spacing w:after="0"/>
              <w:rPr>
                <w:sz w:val="20"/>
                <w:szCs w:val="20"/>
                <w:color w:val="auto"/>
              </w:rPr>
            </w:pPr>
            <w:r>
              <w:rPr>
                <w:rFonts w:ascii="Arial" w:cs="Arial" w:eastAsia="Arial" w:hAnsi="Arial"/>
                <w:sz w:val="18"/>
                <w:szCs w:val="18"/>
                <w:color w:val="auto"/>
              </w:rPr>
              <w:t>105</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60" w:type="dxa"/>
            <w:vAlign w:val="bottom"/>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3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460" w:type="dxa"/>
            <w:vAlign w:val="bottom"/>
            <w:gridSpan w:val="3"/>
          </w:tcPr>
          <w:p>
            <w:pPr>
              <w:ind w:left="760"/>
              <w:spacing w:after="0"/>
              <w:rPr>
                <w:sz w:val="20"/>
                <w:szCs w:val="20"/>
                <w:color w:val="auto"/>
              </w:rPr>
            </w:pPr>
            <w:r>
              <w:rPr>
                <w:rFonts w:ascii="Arial" w:cs="Arial" w:eastAsia="Arial" w:hAnsi="Arial"/>
                <w:sz w:val="18"/>
                <w:szCs w:val="18"/>
                <w:color w:val="auto"/>
              </w:rPr>
              <w:t>F-7</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2" w:lineRule="exact"/>
        <w:rPr>
          <w:sz w:val="20"/>
          <w:szCs w:val="20"/>
          <w:color w:val="auto"/>
        </w:rPr>
      </w:pPr>
    </w:p>
    <w:p>
      <w:pPr>
        <w:ind w:right="7700" w:firstLine="8"/>
        <w:spacing w:after="0" w:line="425" w:lineRule="auto"/>
        <w:tabs>
          <w:tab w:leader="none" w:pos="446"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Licensing and collaboration agreements 4.1 Research Collaboration and license revenue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May 2014, AC Immune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upfront payment of EUR 500 thousand received from this collaboration is deferred over a period of 12 months which is the Joint Research Collaboration period. As such, the residual balance in deferred revenue related to this collaboration at December 31, 2014, was recognized until May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December of 2014, the Company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AC Immune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AC Immune received an upfront payment of CHF 25.9 million which we recognized in 2014 and is eligible to receive development, regulatory and commercialization milestone payments for AD and a potential second indication outside of AD. Additionally, AC Immune will receive royalties on sales at a percentage rate ranging from the low double digits to mid-teens once product sales commence. The two companies have entered into a three-year joint research collaboration to further characterize and develop novel vaccine therapies for the treatment of tauopathies.</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January 2016, AC Immune issued an invoice for CHF 1.5 million to Janssen in for pre-payment of research and external research costs we are expected to incur during 2016. AC Immune received the proceeds from this non-refundable payment in April 2016. Pursuant to the terms of the collaboration agreement, there is a performance obligation until the end of the year. As a result, AC Immune is recognizing the proceeds from the milestone payment over a 12 month period on a straight-line basis.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40"/>
          </w:cols>
          <w:pgMar w:left="240" w:top="460" w:right="3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June 2012, AC Immune entered into an exclusive global license agreement and research collaboration with Genentech, Inc. to commercialize AC Immune’s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To date we have received payments totalling CHF 31 million including a CHF 14 million milestone payment received in 2015. In June 2015, the Company recognized as revenue a milestone payment of CHF 14 million as there is no further performance obligation. This milestone was due upon the ED-GO decision by Genentech on the anti-tau antibody’s product in AD.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 – Collaboration agreement of 2006 with Genentech</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commenced a Phase 3 clinical study in Q1 2016. If crenezumab receives regulatory approval, we will be entitled to receive royalties that are tied to annual sales volumes with different royalty rates applicable in the U.S. and Europe. These percentage rates range from the high single digits to the mid-teens.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To date, we have received payments of $65 million (CHF 70.1 million).</w:t>
      </w:r>
    </w:p>
    <w:p>
      <w:pPr>
        <w:spacing w:after="0" w:line="315"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Consistent with prior years, the Company has not recognized any deferred tax asset relating to tax losses available for offset against future profits as the recognition criteria have not been met at the balance sheet date.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income tax expense recognized for the three month period to March 31, 2016, is based on the best estimate of the weighted average annual income tax rate expected for the full financial year to December 31, 2016. The estimate of the weighted average annual income tax rate 2016 takes into consideration the fact that we were not profitable in Q1 2016 and expect to incur significant losses for the full financial year to December 31, 2016. In accordance with IAS 34, no deferred tax assets have been recognized at the date of the interim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income tax expense in the interim condensed statement of income or loss 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46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vMerge w:val="continue"/>
          </w:tcPr>
          <w:p>
            <w:pPr>
              <w:spacing w:after="0"/>
              <w:rPr>
                <w:sz w:val="12"/>
                <w:szCs w:val="12"/>
                <w:color w:val="auto"/>
              </w:rPr>
            </w:pPr>
          </w:p>
        </w:tc>
        <w:tc>
          <w:tcPr>
            <w:tcW w:w="110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2016</w:t>
            </w:r>
          </w:p>
        </w:tc>
        <w:tc>
          <w:tcPr>
            <w:tcW w:w="112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Accounting loss before income tax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(6,175)</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the fact that AC Immune reported a loss in the first three months ended March 31, 2016 and 2015, respectively, no tax on income was payable in either of these two quarters.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2"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persons) and the Executive Officers (four persons) compensation is: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2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060" w:type="dxa"/>
            <w:vAlign w:val="bottom"/>
            <w:gridSpan w:val="2"/>
            <w:vMerge w:val="continue"/>
          </w:tcPr>
          <w:p>
            <w:pPr>
              <w:spacing w:after="0"/>
              <w:rPr>
                <w:sz w:val="12"/>
                <w:szCs w:val="12"/>
                <w:color w:val="auto"/>
              </w:rPr>
            </w:pPr>
          </w:p>
        </w:tc>
        <w:tc>
          <w:tcPr>
            <w:tcW w:w="110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2016</w:t>
            </w:r>
          </w:p>
        </w:tc>
        <w:tc>
          <w:tcPr>
            <w:tcW w:w="2420" w:type="dxa"/>
            <w:vAlign w:val="bottom"/>
            <w:tcBorders>
              <w:top w:val="single" w:sz="8" w:color="auto"/>
            </w:tcBorders>
            <w:gridSpan w:val="2"/>
          </w:tcPr>
          <w:p>
            <w:pPr>
              <w:jc w:val="right"/>
              <w:ind w:right="33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3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salaries, bonus payments, social security and expenses allowances.</w:t>
      </w:r>
    </w:p>
    <w:p>
      <w:pPr>
        <w:spacing w:after="0" w:line="370"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40" w:type="dxa"/>
            <w:vAlign w:val="bottom"/>
            <w:gridSpan w:val="3"/>
          </w:tcPr>
          <w:p>
            <w:pPr>
              <w:ind w:left="560"/>
              <w:spacing w:after="0"/>
              <w:rPr>
                <w:sz w:val="20"/>
                <w:szCs w:val="20"/>
                <w:color w:val="auto"/>
              </w:rPr>
            </w:pPr>
            <w:r>
              <w:rPr>
                <w:rFonts w:ascii="Arial" w:cs="Arial" w:eastAsia="Arial" w:hAnsi="Arial"/>
                <w:sz w:val="14"/>
                <w:szCs w:val="14"/>
                <w:b w:val="1"/>
                <w:bCs w:val="1"/>
                <w:color w:val="auto"/>
                <w:w w:val="96"/>
              </w:rPr>
              <w:t>For the Three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20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Months Ended March 31,</w:t>
            </w:r>
          </w:p>
        </w:tc>
        <w:tc>
          <w:tcPr>
            <w:tcW w:w="0" w:type="dxa"/>
            <w:vAlign w:val="bottom"/>
          </w:tcPr>
          <w:p>
            <w:pPr>
              <w:spacing w:after="0"/>
              <w:rPr>
                <w:sz w:val="1"/>
                <w:szCs w:val="1"/>
                <w:color w:val="auto"/>
              </w:rPr>
            </w:pPr>
          </w:p>
        </w:tc>
      </w:tr>
      <w:tr>
        <w:trPr>
          <w:trHeight w:val="142"/>
        </w:trPr>
        <w:tc>
          <w:tcPr>
            <w:tcW w:w="6600" w:type="dxa"/>
            <w:vAlign w:val="bottom"/>
            <w:gridSpan w:val="4"/>
            <w:vMerge w:val="continue"/>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6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jc w:val="right"/>
              <w:spacing w:after="0"/>
              <w:rPr>
                <w:sz w:val="20"/>
                <w:szCs w:val="20"/>
                <w:color w:val="auto"/>
              </w:rPr>
            </w:pPr>
            <w:r>
              <w:rPr>
                <w:rFonts w:ascii="Arial" w:cs="Arial" w:eastAsia="Arial" w:hAnsi="Arial"/>
                <w:sz w:val="18"/>
                <w:szCs w:val="18"/>
                <w:color w:val="auto"/>
              </w:rPr>
              <w:t>67,860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76,522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Total financial assets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69,516</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76,791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5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Financial liabilities</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Trade and other accounts payable</w:t>
            </w:r>
          </w:p>
        </w:tc>
        <w:tc>
          <w:tcPr>
            <w:tcW w:w="660" w:type="dxa"/>
            <w:vAlign w:val="bottom"/>
          </w:tcPr>
          <w:p>
            <w:pPr>
              <w:jc w:val="right"/>
              <w:spacing w:after="0"/>
              <w:rPr>
                <w:sz w:val="20"/>
                <w:szCs w:val="20"/>
                <w:color w:val="auto"/>
              </w:rPr>
            </w:pPr>
            <w:r>
              <w:rPr>
                <w:rFonts w:ascii="Arial" w:cs="Arial" w:eastAsia="Arial" w:hAnsi="Arial"/>
                <w:sz w:val="18"/>
                <w:szCs w:val="18"/>
                <w:color w:val="auto"/>
              </w:rPr>
              <w:t>994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contains assets and liabilities held at amortization cost.</w:t>
      </w:r>
    </w:p>
    <w:p>
      <w:pPr>
        <w:spacing w:after="0" w:line="370"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14, 2016, AC Immune entered into an exclusive research collaboration agreement with Biogen covering the research and early clinical development of its alpha-synuclein PET Tracer program for Parkinson’s disease, and a second discovery collaboration to identify novel PET ligands against the neurodegeneration-associated protein, TDP-43. Under the agreement, AC Immune is entitled to a technology access fee and will receive significant funding covering its research and development activities on the PET imaging programs. AC Immune will retain all intellectual property rights to any PET product developed for further commercialization.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have substantially the same terms as the Series A, B, C and D preferred shares and will be as accounted for as equity on AC Immune’s balance sheet.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May 25, 2016, the Company entered into a subscription agreement, pursuant to which it issued 5,300,000 of its common shares, each with a nominal value of CHF 0.02 per share to Credit Suisse AG, Zurich, or CS AG, at a price share equal to the CHF 0.02 per share nominal value for an aggregate subscription amount of CHF 0.1 million. CS AG will hold these shares as nominee in anticipation of the consummation of this offering and CS AG has agreed not to exercise any voting rights with respect to these shares. Following the effectiveness of the registration statement for the IPO, CS AG will transfer these shares back to the Company for no consideration and, at the closing of the IPO, the Company will transfer these shares to the underwriters pursuant to the terms of the underwriting agreement. Pursuant to the subscription agreement, CS AG has an option to sell the shares back to the Company at a price of CHF 0.02 per share and the Company also has an option to acquire the shares at a price of CHF 0.02 per share if this offering is not consummated. The transactions contemplated in the subscription agreement were undertaken to increase the Company’s authorized share capital and facilitate the offering.</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AC Immune SA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balance sheets of AC Immune SA as of December 31, 2015 and 2014, and the related income statements, statements of other comprehensive income</w:t>
      </w:r>
      <w:r>
        <w:rPr>
          <w:rFonts w:ascii="Arial" w:cs="Arial" w:eastAsia="Arial" w:hAnsi="Arial"/>
          <w:sz w:val="18"/>
          <w:szCs w:val="18"/>
          <w:b w:val="1"/>
          <w:bCs w:val="1"/>
          <w:color w:val="auto"/>
        </w:rPr>
        <w:t>,</w:t>
      </w:r>
      <w:r>
        <w:rPr>
          <w:rFonts w:ascii="Arial" w:cs="Arial" w:eastAsia="Arial" w:hAnsi="Arial"/>
          <w:sz w:val="18"/>
          <w:szCs w:val="18"/>
          <w:color w:val="auto"/>
        </w:rPr>
        <w:t xml:space="preserve"> statements of changes in equity and statements of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 Immune SA at December 31, 2015 and 2014, and the results of its operations and its cash flows for each of the two years in the period ended December 31, 2015, in conformity with International Financial Reporting Standards as issued by the International Accounting Standards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2"/>
              </w:rPr>
              <w:t>Notes</w:t>
            </w:r>
          </w:p>
        </w:tc>
        <w:tc>
          <w:tcPr>
            <w:tcW w:w="2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Financial assets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585</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income</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79,346</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29,667</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Share premium</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110,496</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(40,381)</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2,787</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2,410</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expenses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4,337</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8,888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2"/>
              </w:rPr>
              <w:t>Notes</w:t>
            </w:r>
          </w:p>
        </w:tc>
        <w:tc>
          <w:tcPr>
            <w:tcW w:w="2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Contract revenue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39,090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39,090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30,269</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(17,049)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(3,417)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(20,466)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(19,552)</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18,624</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1,617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1,646</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0.47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0.44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w w:val="97"/>
              </w:rPr>
              <w:t>43,412,250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w w:val="97"/>
              </w:rPr>
              <w:t>46,043,198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45,552,500</w:t>
            </w:r>
          </w:p>
        </w:tc>
        <w:tc>
          <w:tcPr>
            <w:tcW w:w="0" w:type="dxa"/>
            <w:vAlign w:val="bottom"/>
          </w:tcPr>
          <w:p>
            <w:pPr>
              <w:spacing w:after="0"/>
              <w:rPr>
                <w:sz w:val="1"/>
                <w:szCs w:val="1"/>
                <w:color w:val="auto"/>
              </w:rPr>
            </w:pPr>
          </w:p>
        </w:tc>
      </w:tr>
      <w:tr>
        <w:trPr>
          <w:trHeight w:val="52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9"/>
              </w:rPr>
              <w:t>For the Years Ended</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20,270</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w w:val="94"/>
              </w:rPr>
              <w:t>Other comprehensive income not to be reclassified to income or loss in subsequent periods (net of tax)</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b w:val="1"/>
                <w:bCs w:val="1"/>
                <w:color w:val="auto"/>
              </w:rPr>
              <w:t>19,534</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812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73,211</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(70,092)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Income for the period in 2014</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9,857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9,854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854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83,068</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(60,455)</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854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 for the period in 2015</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20,270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19,534</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19,534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29,567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29,437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928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110,496</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(40,381)</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20,270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for the period to net cash flows :</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1,707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(141)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44,035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costs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(244)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E / D shares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29,499</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27,778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71,618</w:t>
            </w:r>
          </w:p>
        </w:tc>
        <w:tc>
          <w:tcPr>
            <w:tcW w:w="3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60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December 31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76,522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71,618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76.5 million as of December 31, 2015 which includes cash related to the Company’s Series E financing totaling CHF 28.9 million concluded in October 2015.</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20" w:firstLine="8"/>
        <w:spacing w:after="0" w:line="261" w:lineRule="auto"/>
        <w:tabs>
          <w:tab w:leader="none" w:pos="31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12,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60" w:right="2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331"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collaboration agreements on product candidates that are (i)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pursuant to guidelines on revenue recognition as contained in IAS 18,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360"/>
          </w:cols>
          <w:pgMar w:left="240" w:top="460" w:right="299" w:bottom="1440" w:gutter="0" w:footer="0" w:header="0"/>
        </w:sectPr>
      </w:pP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Leaseholds improvements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8160" w:space="720"/>
            <w:col w:w="2480"/>
          </w:cols>
          <w:pgMar w:left="240" w:top="460" w:right="299" w:bottom="1440" w:gutter="0" w:footer="0" w:header="0"/>
          <w:type w:val="continuous"/>
        </w:sectPr>
      </w:pPr>
    </w:p>
    <w:p>
      <w:pPr>
        <w:spacing w:after="0" w:line="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60" w:right="299" w:bottom="1440" w:gutter="0" w:footer="0" w:header="0"/>
          <w:type w:val="continuous"/>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Expenditure to acquire patents, trademarks and licenses is capitalized and amortized using the straight-line method over their useful lives of five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Receivables are measured at amortized cost. Amortized cost is the amount at which the receivable is measured at initial recognition minus principal repayments, plus or minus the cumulative amortization using the effective interest method of any difference between that initial amount and the maturity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and cash equivalents at the bank comprise the cash on hand. All cash and cash equivalents are either in cash or in deposits with less than 3 months’ duration.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 using the effective interest method.</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(Common) Shares as well as all Preferred Shares are classified as equity.</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Expenses directly attributable to the issue of new shares are shown in equity as a deduction, net of tax, from the proceeds. AC Immune has five classes (Class A, B, C, D and E) of Preferred Shares outstanding. The Preferred Shares are a class of shares that AC Immune SA issued in connection with five separate capital increases and convey voting rights and certain other rights to their holders.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Preferred Shares own 80.1% of the total amount of shares outstanding (assuming conversion of the Preferred Shares into Common Shares on a one-for-one basis), have been the primary source of equity financing for the Company over the past 13 years and the Company’s Board of Directors consists predominantly of holders of Preferred Shares. The Preferred Shares do not have mandatory redemption features and the redemption of the Preferred Shares is within the control of the Company’s Board of Directors.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60" w:right="2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Shareholders’ Agreement allows for the conversion of Preferred Shares into Common Shares under certain circumstances, all of which are at the discretion of the Board or our Shareholders. The Preferred Shares have to be converted into Common Shares in the event of a change of control or an initial public offering or some other form of liquidity event.</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voting rights associated with Preferred Shares are the same as for Common Shares-each Preferred Share entitles the holder to one vote. No dividends have been paid on the Preferred Shares and the holders of Preferred Shares are not entitled to any dividends unless dividends are paid on the Common Shares.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Preferred Shares have a liquidation preference wherein, in the event of a change of control or a liquidation of the Company, the holders of Preferred Shares are entitled to receive, prior and in preference to the holders of Common Shares, the amount corresponding to the price paid for each Preferred Share. Thereafter, all holders of Preferred Shares will participate with the holders of Common Shares on an as-if-converted basis in any remaining proceeds.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 Footnotes 9 (share capital), 16 (share based compensation) and 18 (earnings per share) have all been prepared taking into consideration the 250-for-1 stock split.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59" w:right="2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Stock options granted under the Company’s stock option plans A, B and C are valued using the Black-Scholes model (see Note 16). This valuation model as well as parameters such as expected volatility and expected term of the stock options was partially based on management’s estimates.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in the country where the Company operates and generates taxable income. Taxation is provided for in accordance with the fiscal regulations of the respective country in which the Company operates. Deferred tax is provided using the liability method on temporary differences between the tax bases of assets and liabilities and their carrying amounts for financial reporting purposes at the reporting date.</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balance sheet date.</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key milestones, it has not recognized any deferred tax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presents basic earnings per share for each period in the financial statements. The earnings per share is calculated by dividing the earnings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stock-based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Note 14,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Standards, amendments and interpretations effective in current reporting period but without impact on the Company financial statements</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standards, amendments and interpretation currently are mandatory for accounting periods beginning on or after January 1, 2015 but did not have any effect on the Company financial statements:</w:t>
      </w:r>
    </w:p>
    <w:p>
      <w:pPr>
        <w:spacing w:after="0" w:line="76" w:lineRule="exact"/>
        <w:rPr>
          <w:sz w:val="20"/>
          <w:szCs w:val="20"/>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Amendments to IAS 19: Defined Benefits Plans: Employee Contributions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Annual Improvements to IFRSs 2010-2012 Cycle (except for the amendment to IFRS 3 Business combinations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Annual Improvements to IFRSs 2011-2013 Cycle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amendments and interpretations to existing standards not yet effective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new standards, amendments and interpretations to existing standards have been published and are mandatory for accounting periods beginning on or after January 1, 2016 or later periods but which the Company has not adopted early: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w w:val="92"/>
              </w:rPr>
              <w:t>Recently released Standards/ Interpretations</w:t>
            </w:r>
          </w:p>
        </w:tc>
        <w:tc>
          <w:tcPr>
            <w:tcW w:w="16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Date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auto"/>
            </w:tcBorders>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 often permitted</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195"/>
        </w:trPr>
        <w:tc>
          <w:tcPr>
            <w:tcW w:w="4420" w:type="dxa"/>
            <w:vAlign w:val="bottom"/>
            <w:gridSpan w:val="2"/>
          </w:tcPr>
          <w:p>
            <w:pPr>
              <w:spacing w:after="0" w:line="195" w:lineRule="exact"/>
              <w:rPr>
                <w:sz w:val="20"/>
                <w:szCs w:val="20"/>
                <w:color w:val="auto"/>
              </w:rPr>
            </w:pPr>
            <w:r>
              <w:rPr>
                <w:rFonts w:ascii="Arial" w:cs="Arial" w:eastAsia="Arial" w:hAnsi="Arial"/>
                <w:sz w:val="18"/>
                <w:szCs w:val="18"/>
                <w:color w:val="auto"/>
              </w:rPr>
              <w:t>Investment Entities: Applying the Consolidation</w:t>
            </w:r>
          </w:p>
        </w:tc>
        <w:tc>
          <w:tcPr>
            <w:tcW w:w="6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w w:val="92"/>
              </w:rPr>
              <w:t>Annual periods beginning on or after January 1, 2016,</w:t>
            </w:r>
          </w:p>
        </w:tc>
        <w:tc>
          <w:tcPr>
            <w:tcW w:w="100" w:type="dxa"/>
            <w:vAlign w:val="bottom"/>
          </w:tcPr>
          <w:p>
            <w:pPr>
              <w:spacing w:after="0"/>
              <w:rPr>
                <w:sz w:val="16"/>
                <w:szCs w:val="16"/>
                <w:color w:val="auto"/>
              </w:rPr>
            </w:pPr>
          </w:p>
        </w:tc>
        <w:tc>
          <w:tcPr>
            <w:tcW w:w="1600" w:type="dxa"/>
            <w:vAlign w:val="bottom"/>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4"/>
              </w:rPr>
              <w:t>Exception (Amendments to IFRS 10, IFRS 12 and 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rPr>
              <w:t>Disclosure Initiative (Amendments to IAS 1)</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Annual Improvements 2012-2014 Cycle</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Sale or Contribution of Assets between an Investor and its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Non applicable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w w:val="97"/>
              </w:rPr>
              <w:t>Associate or Joint Venture (Amendments to IFRS 10 and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Equity Method in Separate Financial Statements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Aug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27)</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color w:val="auto"/>
              </w:rPr>
              <w:t>IFRS 9 Financial instruments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Nov 2009 to</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Jan 1, 2018 with early adoption allowed</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323"/>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July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Early application of the own credit risk improvements,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prior to any other changes in the accounting for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financial instruments, is permitted by IFRS 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w w:val="93"/>
              </w:rPr>
              <w:t>Agriculture: Bearer Plants (Amendments to IAS 16 and IAS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June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An entity shall apply those amendments for annual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41)</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periods beginning on or after January 1, 2016. Earlier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IFRS 15 Revenue from Contracts with Customers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2018.</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Earlier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Clarification of Acceptable Methods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of Depreciation and Amortization</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for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16 and IAS 38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ind w:left="60"/>
              <w:spacing w:after="0"/>
              <w:rPr>
                <w:sz w:val="20"/>
                <w:szCs w:val="20"/>
                <w:color w:val="auto"/>
              </w:rPr>
            </w:pPr>
            <w:r>
              <w:rPr>
                <w:rFonts w:ascii="Arial" w:cs="Arial" w:eastAsia="Arial" w:hAnsi="Arial"/>
                <w:sz w:val="18"/>
                <w:szCs w:val="18"/>
                <w:color w:val="auto"/>
              </w:rPr>
              <w:t>F-24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Financial Statements (IFRS)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Recently released Standards/ Interpretations</w:t>
      </w:r>
    </w:p>
    <w:p>
      <w:pPr>
        <w:spacing w:after="0" w:line="37" w:lineRule="exact"/>
        <w:rPr>
          <w:sz w:val="20"/>
          <w:szCs w:val="20"/>
          <w:color w:val="auto"/>
        </w:rPr>
      </w:pPr>
    </w:p>
    <w:p>
      <w:pPr>
        <w:ind w:right="1500"/>
        <w:spacing w:after="0" w:line="277" w:lineRule="auto"/>
        <w:rPr>
          <w:sz w:val="20"/>
          <w:szCs w:val="20"/>
          <w:color w:val="auto"/>
        </w:rPr>
      </w:pPr>
      <w:r>
        <w:rPr>
          <w:rFonts w:ascii="Arial" w:cs="Arial" w:eastAsia="Arial" w:hAnsi="Arial"/>
          <w:sz w:val="17"/>
          <w:szCs w:val="17"/>
          <w:color w:val="auto"/>
        </w:rPr>
        <w:t>Accounting for Acquisitions of Interests in Joint Operations Amendments to IFRS 11</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IFRS 14 Regulatory Deferral Accounts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Planned application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Date Issued</w:t>
            </w: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is often permitted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by AC Immune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May 2014</w:t>
            </w: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An entity shall apply those amendments prospectively</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in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Jan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for an entity’s first annual IFRS financial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statements for a period beginning on or after January</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1, 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2">
            <w:col w:w="3760" w:space="720"/>
            <w:col w:w="694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IFRS 16 Leases</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w w:val="96"/>
              </w:rPr>
              <w:t>Effective for annual periods beginning on or after 1</w:t>
            </w:r>
          </w:p>
        </w:tc>
        <w:tc>
          <w:tcPr>
            <w:tcW w:w="1040" w:type="dxa"/>
            <w:vAlign w:val="bottom"/>
          </w:tcPr>
          <w:p>
            <w:pPr>
              <w:ind w:left="180"/>
              <w:spacing w:after="0"/>
              <w:rPr>
                <w:sz w:val="20"/>
                <w:szCs w:val="20"/>
                <w:color w:val="auto"/>
              </w:rPr>
            </w:pPr>
            <w:r>
              <w:rPr>
                <w:rFonts w:ascii="Arial" w:cs="Arial" w:eastAsia="Arial" w:hAnsi="Arial"/>
                <w:sz w:val="18"/>
                <w:szCs w:val="18"/>
                <w:i w:val="1"/>
                <w:iCs w:val="1"/>
                <w:color w:val="auto"/>
                <w:w w:val="89"/>
              </w:rPr>
              <w:t>Jan 1, 2019</w:t>
            </w: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2019 (subject to EU endorsement)</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w w:val="98"/>
              </w:rPr>
              <w:t>January 1, 2019. Earlier application is permitted if</w:t>
            </w:r>
          </w:p>
        </w:tc>
        <w:tc>
          <w:tcPr>
            <w:tcW w:w="104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IFRS 15 has also been applied.</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0"/>
                <w:szCs w:val="20"/>
                <w:color w:val="auto"/>
              </w:rPr>
            </w:pPr>
            <w:r>
              <w:rPr>
                <w:rFonts w:ascii="Arial" w:cs="Arial" w:eastAsia="Arial" w:hAnsi="Arial"/>
                <w:sz w:val="18"/>
                <w:szCs w:val="18"/>
                <w:color w:val="auto"/>
                <w:w w:val="96"/>
              </w:rPr>
              <w:t>Annual Improvements 2012-2014 Cycle (IAS 12 Income</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ind w:left="180"/>
              <w:spacing w:after="0"/>
              <w:rPr>
                <w:sz w:val="20"/>
                <w:szCs w:val="20"/>
                <w:color w:val="auto"/>
              </w:rPr>
            </w:pPr>
            <w:r>
              <w:rPr>
                <w:rFonts w:ascii="Arial" w:cs="Arial" w:eastAsia="Arial" w:hAnsi="Arial"/>
                <w:sz w:val="18"/>
                <w:szCs w:val="18"/>
                <w:color w:val="auto"/>
                <w:w w:val="89"/>
              </w:rPr>
              <w:t>Jan 1, 2017</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Taxes)</w:t>
            </w: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1, 2017.</w:t>
            </w:r>
          </w:p>
        </w:tc>
        <w:tc>
          <w:tcPr>
            <w:tcW w:w="10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evaluated the impact of these revised standards and amendments on its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40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4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Laboratory</w:t>
            </w: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IT</w:t>
            </w: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Building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Equipment</w:t>
            </w: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and Furniture</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Historical cost</w:t>
            </w:r>
          </w:p>
        </w:tc>
        <w:tc>
          <w:tcPr>
            <w:tcW w:w="1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2,005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1,815</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2,133</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2,058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2,376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1,146</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1,292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1,397</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1,589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1,629</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1,876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December 31, 2015</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Net book value December 31, 2014</w:t>
            </w:r>
          </w:p>
        </w:tc>
        <w:tc>
          <w:tcPr>
            <w:tcW w:w="17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20" w:type="dxa"/>
            <w:vAlign w:val="bottom"/>
            <w:gridSpan w:val="3"/>
          </w:tcPr>
          <w:p>
            <w:pPr>
              <w:ind w:left="1220"/>
              <w:spacing w:after="0"/>
              <w:rPr>
                <w:sz w:val="20"/>
                <w:szCs w:val="20"/>
                <w:color w:val="auto"/>
              </w:rPr>
            </w:pPr>
            <w:r>
              <w:rPr>
                <w:rFonts w:ascii="Arial" w:cs="Arial" w:eastAsia="Arial" w:hAnsi="Arial"/>
                <w:sz w:val="18"/>
                <w:szCs w:val="18"/>
                <w:color w:val="auto"/>
              </w:rPr>
              <w:t>F-25</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type w:val="continuous"/>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6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assets</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16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0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226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deposit (restricted cash)</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Security Deposit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 Immune has a two deposits in escrow accounts totaling CHF 85 thousand associated with the lease of the Company’s premises.</w:t>
      </w:r>
    </w:p>
    <w:p>
      <w:pPr>
        <w:spacing w:after="0" w:line="370"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accrued income</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4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21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2,169</w:t>
            </w:r>
          </w:p>
        </w:tc>
        <w:tc>
          <w:tcPr>
            <w:tcW w:w="11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prepaid expenses relate mainly to research contracts with down-payments at contract signature and their related activities will start or continue in 2016.</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Deferred offering costs, which consist primarily of direct incremental legal, accounting and printing costs relating to the Company’s planned initial public offering (“IPO”), are capitalized within prepaid expenses. The deferred offering costs will be offset against IPO proceeds upon the consummation of the IPO. In the event the IPO is terminated, deferred offering costs will be expenses. As of December 31, 2015, CHF 2,169 thousand (2014: none) of deferred offering costs were capitalized in prepaid expenses on the balance sheet.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6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receivables</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202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Swiss VAT</w:t>
            </w: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68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 fair value.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40"/>
          </w:cols>
          <w:pgMar w:left="240" w:top="460" w:right="3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672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7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4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CHF</w:t>
            </w:r>
          </w:p>
        </w:tc>
        <w:tc>
          <w:tcPr>
            <w:tcW w:w="940" w:type="dxa"/>
            <w:vAlign w:val="bottom"/>
          </w:tcPr>
          <w:p>
            <w:pPr>
              <w:jc w:val="right"/>
              <w:spacing w:after="0"/>
              <w:rPr>
                <w:sz w:val="20"/>
                <w:szCs w:val="20"/>
                <w:color w:val="auto"/>
              </w:rPr>
            </w:pPr>
            <w:r>
              <w:rPr>
                <w:rFonts w:ascii="Arial" w:cs="Arial" w:eastAsia="Arial" w:hAnsi="Arial"/>
                <w:sz w:val="18"/>
                <w:szCs w:val="18"/>
                <w:color w:val="auto"/>
              </w:rPr>
              <w:t>19,812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USD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54,339</w:t>
            </w:r>
          </w:p>
        </w:tc>
        <w:tc>
          <w:tcPr>
            <w:tcW w:w="10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balance sheet date, Company funds were held in CHF, EUR and USD bank accounts. Assets in EUR and USD were translated into CHF at a rate of 1.0916 and 0.9991, respectively.</w:t>
      </w:r>
    </w:p>
    <w:p>
      <w:pPr>
        <w:spacing w:after="0" w:line="315"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issued share capital amounting to CHF 928,050 is comprised of 46,402,500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capital structure: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1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1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CHF</w:t>
            </w:r>
          </w:p>
        </w:tc>
        <w:tc>
          <w:tcPr>
            <w:tcW w:w="200" w:type="dxa"/>
            <w:vAlign w:val="bottom"/>
          </w:tcPr>
          <w:p>
            <w:pPr>
              <w:spacing w:after="0"/>
              <w:rPr>
                <w:sz w:val="12"/>
                <w:szCs w:val="12"/>
                <w:color w:val="auto"/>
              </w:rPr>
            </w:pPr>
          </w:p>
        </w:tc>
        <w:tc>
          <w:tcPr>
            <w:tcW w:w="11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with a nominal value of CHF 0.02 each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9,227,250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8,633,000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A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3,538,000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70,760</w:t>
            </w:r>
          </w:p>
        </w:tc>
        <w:tc>
          <w:tcPr>
            <w:tcW w:w="940" w:type="dxa"/>
            <w:vAlign w:val="bottom"/>
          </w:tcPr>
          <w:p>
            <w:pPr>
              <w:jc w:val="right"/>
              <w:spacing w:after="0"/>
              <w:rPr>
                <w:sz w:val="20"/>
                <w:szCs w:val="20"/>
                <w:color w:val="auto"/>
              </w:rPr>
            </w:pPr>
            <w:r>
              <w:rPr>
                <w:rFonts w:ascii="Arial" w:cs="Arial" w:eastAsia="Arial" w:hAnsi="Arial"/>
                <w:sz w:val="18"/>
                <w:szCs w:val="18"/>
                <w:color w:val="auto"/>
              </w:rPr>
              <w:t>3,538,000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70,760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B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335,650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C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9,619,000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192,380</w:t>
            </w:r>
          </w:p>
        </w:tc>
        <w:tc>
          <w:tcPr>
            <w:tcW w:w="940" w:type="dxa"/>
            <w:vAlign w:val="bottom"/>
          </w:tcPr>
          <w:p>
            <w:pPr>
              <w:jc w:val="right"/>
              <w:spacing w:after="0"/>
              <w:rPr>
                <w:sz w:val="20"/>
                <w:szCs w:val="20"/>
                <w:color w:val="auto"/>
              </w:rPr>
            </w:pPr>
            <w:r>
              <w:rPr>
                <w:rFonts w:ascii="Arial" w:cs="Arial" w:eastAsia="Arial" w:hAnsi="Arial"/>
                <w:sz w:val="18"/>
                <w:szCs w:val="18"/>
                <w:color w:val="auto"/>
              </w:rPr>
              <w:t>9,619,000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192,380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D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4,122,500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E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3,113,250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62,265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46,402,500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928,050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42,695,000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853,900</w:t>
            </w:r>
          </w:p>
        </w:tc>
      </w:tr>
      <w:tr>
        <w:trPr>
          <w:trHeight w:val="20"/>
        </w:trPr>
        <w:tc>
          <w:tcPr>
            <w:tcW w:w="7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Common and Preferred Shares have a nominal value of CHF 0.02 and are fully paid in. In a liquidation or winding up event (including trade sale), Preferred A, B, C, D and E Shares are senior to common shares in such a way that Preferred shareholders get in advance, prior and in preference to the holders of common shares, the amount corresponding to the price paid for each Preferred Share. The remaining funds shall be distributed pro-rata to all shareholders.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Conditional Capital</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Extraordinary General Assembly held on November 28, 2013, approved an increase of the conditional capital of 727,500 (split-adjusted) registered Common Shares with a par value of CHF 0.02. These shares are reserved for the Company’s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Shares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October 23, 2015 the Company successfully completed a financing round of USD 30 million (CHF 29.4 million). The split-adjusted share price of the round was USD 9.63624 for each of the 3,113,250 Series E Preferred Shares.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December 13, 2013, the Company approved a CHF 20 million capital increase. The capital increase was completed in two stages with 2,061,250 shares issued immediately in December 2013 at CHF 4.8516 per share raising gross proceeds of CHF 10 million and the second tranche completed in May 2014 with the Company issuing 2,061,250 shares at CHF 4.8516 per share raising gross proceeds of CHF 10 million.</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Trade payables and accrued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4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Accrued R&amp;D costs</w:t>
            </w:r>
          </w:p>
        </w:tc>
        <w:tc>
          <w:tcPr>
            <w:tcW w:w="940" w:type="dxa"/>
            <w:vAlign w:val="bottom"/>
          </w:tcPr>
          <w:p>
            <w:pPr>
              <w:jc w:val="right"/>
              <w:spacing w:after="0"/>
              <w:rPr>
                <w:sz w:val="20"/>
                <w:szCs w:val="20"/>
                <w:color w:val="auto"/>
              </w:rPr>
            </w:pPr>
            <w:r>
              <w:rPr>
                <w:rFonts w:ascii="Arial" w:cs="Arial" w:eastAsia="Arial" w:hAnsi="Arial"/>
                <w:sz w:val="18"/>
                <w:szCs w:val="18"/>
                <w:color w:val="auto"/>
              </w:rPr>
              <w:t>1,661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1,372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An accrual of CHF 880 thousand and CHF 947 thousand was recognized for performance-related remuneration relating to 2015 and 2014,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portion of deferred income</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2015 we received a grant from the Michael J. Fox Foundation for developing an alpha-synuclein protein positron emission tomography (PET) imaging agent. The grant covers an 18 month period. We recognized revenues on a straight line basis over the period of the grant. As of December 31, 2015, the remaining CHF 45 thousand is recorded as a current liability in deferred income.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tracers supporting the diagnosis and clinical management of AD and potential tau-related disorders.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upfront payment of EUR 500 thousand (CHF 616 thousand) received in May 2014 from this collaboration is deferred over a period of 12 months. No deferred income was recognized during the year ended on December 31, 2015.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00"/>
          </w:cols>
          <w:pgMar w:left="240" w:top="459" w:right="3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tab/>
        <w:t>Revenues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38,745</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39,090</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AD—Collaboration agreement of 2006 with Genentech</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commenced Phase 3 clinical studies for crenezumab in the first quarter of 2016.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As of December 31, 2015 we have received total payments of $65 million (CHF 70.1 million): $40 million (CHF 45.8 million) were received in three milestone payments prior to 2013 and $25 million (CHF 24.3 million) were received in July 2015.</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recognized the Phase 3 payment in our financials since there is no further performance requirement on our side.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received in 2015. In June 2015, the Company recognized as revenue a milestone payment of CHF 14 million as there is no further performance obligation. This milestone was due upon the ED-GO decision by Genentech on the anti-tau antibody’s product in AD. At the same time, Genentech announced that it intends to move the anti-tau antibody program into Phase 1 clinical studies in late 2016.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29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recognition of the upfront payment from Janssen was recorded at the time of receipt as the Company determined that the license granted to Janssen was a separate, non-contingent deliverable under the agreement. The Company determined the license had stand-alone value based on Janssen’s ability to create value from the license without our R&amp;D support services due their extensive experience in vaccine development and production which would allow them to complete the phase 1b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pathogenic tau aggregates for use as a PET tracer. The exclusive, worldwide licensing agreement with Piramal Imaging includes upfront and sales milestone payments totaling up to EUR 157 million, plus royalties on sales at a percentage rate ranging from mid-single digits to low double digits. We received an upfront payment of EUR 500 thousand and are entitled to further clinical milestones totaling EUR 7 million should the compound make it through to Phase 3 clinical studies and are further entitled to regulatory, commercialization and sales based milestones totaling EUR 150 million.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Piramal may terminate the agreement at any time after the first eighteen months from the effective date of this agreement by providing three months’ notice to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2014 we recognized revenue associated with a research grant given to us by a European Institution in October of 2011 and which had a 3-year duration. We recognized the revenues on a straight line basis over the period of the grant.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 2015 we received a grant from the Michael J. Fox Foundation for developing an alpha-synuclein PET imaging agent. The grant covers an 18 month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revenues on a straight line basis over the period of the grant.</w:t>
      </w:r>
    </w:p>
    <w:p>
      <w:pPr>
        <w:spacing w:after="0" w:line="355"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Expenses by category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5,879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of tangible fixed assets</w:t>
            </w:r>
          </w:p>
        </w:tc>
        <w:tc>
          <w:tcPr>
            <w:tcW w:w="1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w:t>
            </w:r>
          </w:p>
        </w:tc>
        <w:tc>
          <w:tcPr>
            <w:tcW w:w="4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17,049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Administration</w:t>
            </w: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1,908</w:t>
            </w:r>
          </w:p>
        </w:tc>
        <w:tc>
          <w:tcPr>
            <w:tcW w:w="2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1380"/>
              <w:spacing w:after="0"/>
              <w:rPr>
                <w:sz w:val="20"/>
                <w:szCs w:val="20"/>
                <w:color w:val="auto"/>
              </w:rPr>
            </w:pPr>
            <w:r>
              <w:rPr>
                <w:rFonts w:ascii="Arial" w:cs="Arial" w:eastAsia="Arial" w:hAnsi="Arial"/>
                <w:sz w:val="18"/>
                <w:szCs w:val="18"/>
                <w:color w:val="auto"/>
              </w:rPr>
              <w:t>Total general and administrative expenses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3,417</w:t>
            </w:r>
          </w:p>
        </w:tc>
        <w:tc>
          <w:tcPr>
            <w:tcW w:w="2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individuals) and the Executive Management (four individuals) compensation is: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July 2015, George Pavey joined AC Immune as Chief Financial Officer and a member of Executive Management. At the same time, Jean-Fabien Monin assumed the role of Chief Administrative Officer. He had previously been Chief Financial Officer since 2009.</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Friedrich von Bohlen and Peter Bollmann joined the Board of Directors of AC Immune in October and December 2015, respectively. Friedrich von Bohlen replaced Christof Hettich who stepped down from the Board in August 2015. Beat Guertler resigned from the board in December 2015. His position was assumed by Peter Bollmann.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60" w:right="2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of salaries, bonus payments, social security and expenses allowances.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45,000 and 62,500 options were granted in 2015 and 2014, respectively, to the Executive Management of the Company. Zero and 51,250 options were granted in 2015 and 2014, respectively, to the Directors of the Company.</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For the Years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7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2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tcBorders>
            <w:gridSpan w:val="4"/>
          </w:tcPr>
          <w:p>
            <w:pPr>
              <w:jc w:val="center"/>
              <w:ind w:left="848"/>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tax recognized in profit or loss</w:t>
            </w: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ind w:left="9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The income tax expense for the year can be reconciled to the accounting profit as follows:</w:t>
            </w: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5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Accounting income before income tax</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20,270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Tax expense calculated at the statutory rate of 22.5% (2014: 22.5%)</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Swiss Tax Holidays</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Unrecognized carry forward tax loss</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 / (expense)</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tax rate used for the 2015 and 2014 reconciliations above is the corporate tax rate of 22.5% payable by corporate entities in the Canton of Vaud, Switzerland on taxable profits under tax law in that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2015, AC Immune was able to avail itself of tax loss carryforwards to reduce its effective tax rate to zero.</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Consequently, the effective tax rate for 2014 was zero.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8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Unrecognized deductible temporary differences, unused tax losses and unused tax credits</w:t>
            </w: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tcPr>
          <w:p>
            <w:pPr>
              <w:spacing w:after="0" w:line="201" w:lineRule="exact"/>
              <w:rPr>
                <w:sz w:val="20"/>
                <w:szCs w:val="20"/>
                <w:color w:val="auto"/>
              </w:rPr>
            </w:pPr>
            <w:r>
              <w:rPr>
                <w:rFonts w:ascii="Arial" w:cs="Arial" w:eastAsia="Arial" w:hAnsi="Arial"/>
                <w:sz w:val="18"/>
                <w:szCs w:val="18"/>
                <w:color w:val="auto"/>
                <w:w w:val="93"/>
              </w:rPr>
              <w:t>Deductible temporary differences, unused tax losses and unused tax credits for which no deferred tax assets have been recognized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are attributable to the following:</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 Tax Losses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29,079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31,866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5520"/>
              <w:spacing w:after="0"/>
              <w:rPr>
                <w:sz w:val="20"/>
                <w:szCs w:val="20"/>
                <w:color w:val="auto"/>
              </w:rPr>
            </w:pPr>
            <w:r>
              <w:rPr>
                <w:rFonts w:ascii="Arial" w:cs="Arial" w:eastAsia="Arial" w:hAnsi="Arial"/>
                <w:sz w:val="18"/>
                <w:szCs w:val="18"/>
                <w:color w:val="auto"/>
              </w:rPr>
              <w:t>F-32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Tax losses split by expiry date</w:t>
            </w: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2015</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2017</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2019</w:t>
            </w:r>
          </w:p>
        </w:tc>
        <w:tc>
          <w:tcPr>
            <w:tcW w:w="600" w:type="dxa"/>
            <w:vAlign w:val="bottom"/>
          </w:tcPr>
          <w:p>
            <w:pPr>
              <w:jc w:val="right"/>
              <w:spacing w:after="0"/>
              <w:rPr>
                <w:sz w:val="20"/>
                <w:szCs w:val="20"/>
                <w:color w:val="auto"/>
              </w:rPr>
            </w:pPr>
            <w:r>
              <w:rPr>
                <w:rFonts w:ascii="Arial" w:cs="Arial" w:eastAsia="Arial" w:hAnsi="Arial"/>
                <w:sz w:val="18"/>
                <w:szCs w:val="18"/>
                <w:color w:val="auto"/>
              </w:rPr>
              <w:t>16,566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2021</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tax losses available for future offset against taxable profits have decreased by CHF 20.2 million, representing the amount of tax losses that would have been used as an offset.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have not been met at the balance sheet date.</w:t>
      </w:r>
    </w:p>
    <w:p>
      <w:pPr>
        <w:spacing w:after="0" w:line="315"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46% and 54% by employee and employer, respectively.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60" w:right="2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accounting purposes under IFRS, the plan is treated as a defined benefit plan. Liabilities and assets are calculated annually by an independent actuary. In accordance with IAS 19, plan assets have been estimated at their fair market value and liabilities have been calculated according to the “Projected Unit Credit”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(9,439)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(8,091)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6,652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(2,410)</w:t>
            </w: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spacing w:after="0"/>
              <w:rPr>
                <w:sz w:val="20"/>
                <w:szCs w:val="20"/>
                <w:color w:val="auto"/>
              </w:rPr>
            </w:pPr>
            <w:r>
              <w:rPr>
                <w:rFonts w:ascii="Arial" w:cs="Arial" w:eastAsia="Arial" w:hAnsi="Arial"/>
                <w:sz w:val="18"/>
                <w:szCs w:val="18"/>
                <w:color w:val="auto"/>
                <w:w w:val="94"/>
              </w:rPr>
              <w:t>According to IAS 19, the following amounts have been recorded as net pension cost in the income statement: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Impact of plan amendment</w:t>
            </w: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pension cost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defined benefit obligation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3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 as of January 1</w:t>
            </w:r>
          </w:p>
        </w:tc>
        <w:tc>
          <w:tcPr>
            <w:tcW w:w="3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(8,091)</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Service cost</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(641)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32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(1,303)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Other actuarial gains / (losses)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(176)</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Benefit payments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(48)</w:t>
            </w: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w w:val="98"/>
              </w:rPr>
              <w:t>Defined benefit obligation as of December 31</w:t>
            </w:r>
          </w:p>
        </w:tc>
        <w:tc>
          <w:tcPr>
            <w:tcW w:w="3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(9,439</w:t>
            </w:r>
          </w:p>
        </w:tc>
        <w:tc>
          <w:tcPr>
            <w:tcW w:w="440" w:type="dxa"/>
            <w:vAlign w:val="bottom"/>
          </w:tcPr>
          <w:p>
            <w:pPr>
              <w:jc w:val="right"/>
              <w:ind w:right="360"/>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4240" w:type="dxa"/>
            <w:vAlign w:val="bottom"/>
            <w:gridSpan w:val="3"/>
          </w:tcPr>
          <w:p>
            <w:pPr>
              <w:jc w:val="right"/>
              <w:ind w:right="3500"/>
              <w:spacing w:after="0"/>
              <w:rPr>
                <w:sz w:val="20"/>
                <w:szCs w:val="20"/>
                <w:color w:val="auto"/>
              </w:rPr>
            </w:pPr>
            <w:r>
              <w:rPr>
                <w:rFonts w:ascii="Arial" w:cs="Arial" w:eastAsia="Arial" w:hAnsi="Arial"/>
                <w:sz w:val="18"/>
                <w:szCs w:val="18"/>
                <w:color w:val="auto"/>
              </w:rPr>
              <w:t>F-34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 in fair value of plan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of plan assets as of January 1</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5,681</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Employer’s contributions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payments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Plan assets Gains / (Losses)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4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6,652</w:t>
            </w: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w w:val="97"/>
              </w:rPr>
              <w:t>Employer’s contribution to the pension plan for the financial year 2016 are estimated to be CHF 478 thousand.</w:t>
            </w: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0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defined benefit liabilities as of January 1</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2,410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Net pension cost through Income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Re-measurement through OCI</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w:t>
            </w:r>
          </w:p>
        </w:tc>
        <w:tc>
          <w:tcPr>
            <w:tcW w:w="2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(441)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December 31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the plan assets is the cash surrender value of the insurance with AXA. The investment strategy defined by the Board of trustees follows a conservative profile.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plan assets are primarily held within instruments with quoted market prices in an active market, with the exception of real estate and mortgages.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2015 and 2014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56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BVG 2010G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BVG 2010G</w:t>
            </w:r>
          </w:p>
        </w:tc>
      </w:tr>
    </w:tbl>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20"/>
          </w:cols>
          <w:pgMar w:left="240" w:top="460" w:right="3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quantitative sensitivity analysis for significant assumption as of December 31, 2015 is as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2800" w:type="dxa"/>
            <w:vAlign w:val="bottom"/>
            <w:gridSpan w:val="4"/>
            <w:vMerge w:val="restart"/>
          </w:tcPr>
          <w:p>
            <w:pPr>
              <w:jc w:val="right"/>
              <w:ind w:right="1240"/>
              <w:spacing w:after="0"/>
              <w:rPr>
                <w:sz w:val="20"/>
                <w:szCs w:val="20"/>
                <w:color w:val="auto"/>
              </w:rPr>
            </w:pPr>
            <w:r>
              <w:rPr>
                <w:rFonts w:ascii="Arial" w:cs="Arial" w:eastAsia="Arial" w:hAnsi="Arial"/>
                <w:sz w:val="14"/>
                <w:szCs w:val="14"/>
                <w:b w:val="1"/>
                <w:bCs w:val="1"/>
                <w:color w:val="auto"/>
              </w:rPr>
              <w:t>Discount rate</w:t>
            </w:r>
          </w:p>
        </w:tc>
        <w:tc>
          <w:tcPr>
            <w:tcW w:w="2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Future salary increase</w:t>
            </w:r>
          </w:p>
        </w:tc>
        <w:tc>
          <w:tcPr>
            <w:tcW w:w="24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Future pension cost</w:t>
            </w:r>
          </w:p>
        </w:tc>
        <w:tc>
          <w:tcPr>
            <w:tcW w:w="0" w:type="dxa"/>
            <w:vAlign w:val="bottom"/>
          </w:tcPr>
          <w:p>
            <w:pPr>
              <w:spacing w:after="0"/>
              <w:rPr>
                <w:sz w:val="1"/>
                <w:szCs w:val="1"/>
                <w:color w:val="auto"/>
              </w:rPr>
            </w:pPr>
          </w:p>
        </w:tc>
      </w:tr>
      <w:tr>
        <w:trPr>
          <w:trHeight w:val="115"/>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2800" w:type="dxa"/>
            <w:vAlign w:val="bottom"/>
            <w:gridSpan w:val="4"/>
            <w:vMerge w:val="continue"/>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40" w:type="dxa"/>
            <w:vAlign w:val="bottom"/>
            <w:vMerge w:val="continue"/>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89"/>
              </w:rPr>
              <w:t>-0.5% decrease</w:t>
            </w:r>
          </w:p>
        </w:tc>
        <w:tc>
          <w:tcPr>
            <w:tcW w:w="1400" w:type="dxa"/>
            <w:vAlign w:val="bottom"/>
            <w:gridSpan w:val="2"/>
          </w:tcPr>
          <w:p>
            <w:pPr>
              <w:jc w:val="right"/>
              <w:ind w:right="52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380" w:type="dxa"/>
            <w:vAlign w:val="bottom"/>
            <w:gridSpan w:val="2"/>
          </w:tcPr>
          <w:p>
            <w:pPr>
              <w:spacing w:after="0"/>
              <w:rPr>
                <w:sz w:val="20"/>
                <w:szCs w:val="20"/>
                <w:color w:val="auto"/>
              </w:rPr>
            </w:pPr>
            <w:r>
              <w:rPr>
                <w:rFonts w:ascii="Arial" w:cs="Arial" w:eastAsia="Arial" w:hAnsi="Arial"/>
                <w:sz w:val="14"/>
                <w:szCs w:val="14"/>
                <w:color w:val="auto"/>
              </w:rPr>
              <w:t>-0.5% decrease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-0.5% decrease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Impact on the net defined benefit</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937</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(1,105)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(554)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analyses above have been determined based on a method that extrapolates the impact on net defined benefit obligation as a result of reasonable changes in key assumptions occurring at the end of the reporting period.</w:t>
      </w:r>
    </w:p>
    <w:p>
      <w:pPr>
        <w:spacing w:after="0" w:line="315"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share-based compensation plans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PLAN</w:t>
            </w:r>
          </w:p>
        </w:tc>
        <w:tc>
          <w:tcPr>
            <w:tcW w:w="1480" w:type="dxa"/>
            <w:vAlign w:val="bottom"/>
            <w:gridSpan w:val="2"/>
          </w:tcPr>
          <w:p>
            <w:pPr>
              <w:jc w:val="right"/>
              <w:ind w:right="56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3840" w:type="dxa"/>
            <w:vAlign w:val="bottom"/>
            <w:vMerge w:val="restart"/>
          </w:tcPr>
          <w:p>
            <w:pPr>
              <w:ind w:left="1400"/>
              <w:spacing w:after="0"/>
              <w:rPr>
                <w:sz w:val="20"/>
                <w:szCs w:val="20"/>
                <w:color w:val="auto"/>
              </w:rPr>
            </w:pPr>
            <w:r>
              <w:rPr>
                <w:rFonts w:ascii="Arial" w:cs="Arial" w:eastAsia="Arial" w:hAnsi="Arial"/>
                <w:sz w:val="14"/>
                <w:szCs w:val="14"/>
                <w:color w:val="auto"/>
              </w:rPr>
              <w:t>Vesting conditions</w:t>
            </w:r>
          </w:p>
        </w:tc>
        <w:tc>
          <w:tcPr>
            <w:tcW w:w="4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Contractual</w:t>
            </w:r>
          </w:p>
        </w:tc>
        <w:tc>
          <w:tcPr>
            <w:tcW w:w="0" w:type="dxa"/>
            <w:vAlign w:val="bottom"/>
          </w:tcPr>
          <w:p>
            <w:pPr>
              <w:spacing w:after="0"/>
              <w:rPr>
                <w:sz w:val="1"/>
                <w:szCs w:val="1"/>
                <w:color w:val="auto"/>
              </w:rPr>
            </w:pPr>
          </w:p>
        </w:tc>
      </w:tr>
      <w:tr>
        <w:trPr>
          <w:trHeight w:val="167"/>
        </w:trPr>
        <w:tc>
          <w:tcPr>
            <w:tcW w:w="4580" w:type="dxa"/>
            <w:vAlign w:val="bottom"/>
            <w:gridSpan w:val="2"/>
            <w:vMerge w:val="continue"/>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instruments awarded</w:t>
            </w:r>
          </w:p>
        </w:tc>
        <w:tc>
          <w:tcPr>
            <w:tcW w:w="26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4"/>
              </w:rPr>
              <w:t>life of options</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Stock</w:t>
            </w:r>
          </w:p>
        </w:tc>
        <w:tc>
          <w:tcPr>
            <w:tcW w:w="42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option plan A</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362,750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 years’ service from grant date</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8 1/2 years</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Stock option plan B</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819,000</w:t>
            </w: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w w:val="89"/>
              </w:rPr>
              <w:t>6 1/2 years</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plan C1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5,920,750</w:t>
            </w:r>
          </w:p>
        </w:tc>
        <w:tc>
          <w:tcPr>
            <w:tcW w:w="2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weighted average exercise prices (in CHF) of options under the share option programs for Plans A, B and C1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2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8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Number of</w:t>
            </w:r>
          </w:p>
        </w:tc>
        <w:tc>
          <w:tcPr>
            <w:tcW w:w="130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20" w:type="dxa"/>
            <w:vAlign w:val="bottom"/>
            <w:gridSpan w:val="2"/>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Exercise Price</w:t>
            </w:r>
          </w:p>
        </w:tc>
        <w:tc>
          <w:tcPr>
            <w:tcW w:w="4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Term (Y)</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Exercise Price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4,006,500</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3,768,000</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0.22119</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(594,250)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(21,250)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283,250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3,398,500</w:t>
            </w:r>
          </w:p>
        </w:tc>
        <w:tc>
          <w:tcPr>
            <w:tcW w:w="880" w:type="dxa"/>
            <w:vAlign w:val="bottom"/>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3.6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4,006,500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0.21668</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Exerciseable at December 31</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3,032,500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3,370,000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0.23013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prices for all outstanding options was CHF 0.14548 as of December 31, 2015 and 2014.</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fair values of the options granted in 2015 and 2014 are CHF 1.76848 and CHF 0.77044, respectively. These fair values have been determined using the Black-Scholes model and an exercise price of CHF 0.14548 (2014: CHF 0.14548), a spot price of CHF 1.9104 (2014: CHF 0.90268), a risk-free interest rate of 0% (2014: 0.232%) and a volatility of 50% (2014: 50%) with an expected duration of 6 years (2014: 6 years).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exercise price is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fair value of exercised common share options in 2015 is CHF 1.9104 (2014: CHF 0.90268).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expense charged against the income statement for the financial year 2015 amounts to CHF 539 thousand (2014: CHF 211 thousand). The expense assumes a departure rate based on the fact that some beneficiaries will not be able to exercise.</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research contracts with several external service providers. As of December 31, 2015, external research projects for CHF 5.82 million were committed for 2016. Rental contract for laboratory and offices space at the EPFL Innovation Park in Ecublens/Lausanne can be cancelled within a 6 month notice period. As of December 31, 2015, rental contracts for CHF 169 thousand were committed for 2016.</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Earnings per share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60" w:type="dxa"/>
            <w:vAlign w:val="bottom"/>
            <w:gridSpan w:val="3"/>
          </w:tcPr>
          <w:p>
            <w:pPr>
              <w:jc w:val="center"/>
              <w:ind w:left="737"/>
              <w:spacing w:after="0"/>
              <w:rPr>
                <w:sz w:val="20"/>
                <w:szCs w:val="20"/>
                <w:color w:val="auto"/>
              </w:rPr>
            </w:pPr>
            <w:r>
              <w:rPr>
                <w:rFonts w:ascii="Arial" w:cs="Arial" w:eastAsia="Arial" w:hAnsi="Arial"/>
                <w:sz w:val="14"/>
                <w:szCs w:val="14"/>
                <w:b w:val="1"/>
                <w:bCs w:val="1"/>
                <w:color w:val="auto"/>
                <w:w w:val="93"/>
              </w:rPr>
              <w:t>For the Years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26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vMerge w:val="continue"/>
          </w:tcPr>
          <w:p>
            <w:pPr>
              <w:spacing w:after="0"/>
              <w:rPr>
                <w:sz w:val="12"/>
                <w:szCs w:val="12"/>
                <w:color w:val="auto"/>
              </w:rPr>
            </w:pPr>
          </w:p>
        </w:tc>
        <w:tc>
          <w:tcPr>
            <w:tcW w:w="10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owners of the Company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20,270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Earnings per share (EPS):</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43,412,250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42,684,750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1000" w:type="dxa"/>
            <w:vAlign w:val="bottom"/>
          </w:tcPr>
          <w:p>
            <w:pPr>
              <w:jc w:val="right"/>
              <w:spacing w:after="0"/>
              <w:rPr>
                <w:sz w:val="20"/>
                <w:szCs w:val="20"/>
                <w:color w:val="auto"/>
              </w:rPr>
            </w:pPr>
            <w:r>
              <w:rPr>
                <w:rFonts w:ascii="Arial" w:cs="Arial" w:eastAsia="Arial" w:hAnsi="Arial"/>
                <w:sz w:val="18"/>
                <w:szCs w:val="18"/>
                <w:color w:val="auto"/>
              </w:rPr>
              <w:t>46,043,198</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45,552,500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the years ended December 31, 2015 and 2014 basic and diluted earnings per share is based on the weighted average number of shares issued and outstanding.</w:t>
      </w:r>
    </w:p>
    <w:p>
      <w:pPr>
        <w:spacing w:after="0" w:line="315"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2015, if the CHF had strengthened/weakened by 10% against the EUR and the USD with all other variables held constant, the net loss for the period would have been lower/higher by CHF 5,613 thousand (2014: CHF 16 thousand), mainly as a result of foreign exchange gains/losses on transaction of EUR/USD denominated assets and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370"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8 and 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Based on the current cash position, the Company is well financed until the end of 2017.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maturities of the liquidity relevant financial liabilities as of December 31,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gridSpan w:val="4"/>
            <w:vMerge w:val="continue"/>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Loans and receivables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6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the AD.</w:t>
      </w:r>
    </w:p>
    <w:p>
      <w:pPr>
        <w:spacing w:after="0" w:line="315"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reporting</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 under the requirements of IFRS 8,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geographic information is worldwide.</w:t>
      </w:r>
    </w:p>
    <w:p>
      <w:pPr>
        <w:spacing w:after="0" w:line="370"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14, 2016, AC Immune entered into an exclusive research collaboration agreement with Biogen covering the research and early clinical development of our alpha-synuclein PET Tracer program for Parkinson’s disease, and a second discovery collaboration to identify novel PET ligands against the neurodegeneration-associated protein, TDP-43. Under the agreement, AC Immune is entitled to a technology access fee and will receive significant funding covering its research and development activities on the PET imaging programs. ACI will retain all intellectual property rights to any PET product developed for further commercialization.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have substantially the same terms as the Series A, B, C and D preferred shares and will be as accounted for as equity on AC Immune’s balance sheet.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Through and including , 2016 (the 25</w:t>
      </w:r>
      <w:r>
        <w:rPr>
          <w:rFonts w:ascii="Arial" w:cs="Arial" w:eastAsia="Arial" w:hAnsi="Arial"/>
          <w:sz w:val="15"/>
          <w:szCs w:val="15"/>
          <w:color w:val="auto"/>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an underwriter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3691255</wp:posOffset>
            </wp:positionV>
            <wp:extent cx="15176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672465</wp:posOffset>
            </wp:positionV>
            <wp:extent cx="1595120" cy="3003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40"/>
          </w:cols>
          <w:pgMar w:left="240" w:top="460" w:right="4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6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our board of directors, executive management, and their heirs, executors and administrators, against liabilities arising in connection with the performance of their duties in such capacity, and permits us to advance the expenses of defending any act, suit or proceeding to members of our board of directors and executive management.</w:t>
      </w:r>
    </w:p>
    <w:p>
      <w:pPr>
        <w:spacing w:after="0" w:line="106"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3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officers in the form to be filed as an exhibit to this Registration Statement upon the closing of this offering.</w:t>
      </w:r>
    </w:p>
    <w:p>
      <w:pPr>
        <w:spacing w:after="0" w:line="143"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In the underwriting agreement that we enter into in connection with the sale of the common shares being registered hereby, a form of which has been filed as Exhibit 1.1 to this Registration Statement, the underwriters will agree to indemnify, under certain conditions, us, our directors, our officers and persons who control us within the meaning of the Securities Act of 1933, as amended, the Securities Act, against certain liabilities.</w:t>
      </w:r>
    </w:p>
    <w:p>
      <w:pPr>
        <w:spacing w:after="0" w:line="1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the Company has been advised that, in the opinion of the U.S. Securities and Exchange Commission, such indemnification is against public policy as expressed in the Securities Act and is, therefore, unenforceable.</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during the last three fiscal years, adjusted to give effect to the 250-for-1 stock split effected on November 2, 2015. Within the last three years, the registrant has issued and sold the following securities:</w:t>
      </w:r>
    </w:p>
    <w:p>
      <w:pPr>
        <w:spacing w:after="0" w:line="62" w:lineRule="exact"/>
        <w:rPr>
          <w:sz w:val="20"/>
          <w:szCs w:val="20"/>
          <w:color w:val="auto"/>
        </w:rPr>
      </w:pPr>
    </w:p>
    <w:p>
      <w:pPr>
        <w:ind w:left="1080" w:hanging="177"/>
        <w:spacing w:after="0"/>
        <w:tabs>
          <w:tab w:leader="none" w:pos="10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On December 10, 2013, the registrant issued 2,061,250 shares of preferred stock for aggregate consideration of CHF 10.0 million.</w:t>
      </w:r>
    </w:p>
    <w:p>
      <w:pPr>
        <w:spacing w:after="0" w:line="128" w:lineRule="exact"/>
        <w:rPr>
          <w:rFonts w:ascii="Arial" w:cs="Arial" w:eastAsia="Arial" w:hAnsi="Arial"/>
          <w:sz w:val="17"/>
          <w:szCs w:val="17"/>
          <w:color w:val="auto"/>
        </w:rPr>
      </w:pPr>
    </w:p>
    <w:p>
      <w:pPr>
        <w:ind w:left="1080" w:hanging="177"/>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On June 25, 2014, the registrant issued 2,061,250 shares of preferred stock for aggregate consideration of CHF 10.0 million.</w:t>
      </w:r>
    </w:p>
    <w:p>
      <w:pPr>
        <w:spacing w:after="0" w:line="117" w:lineRule="exact"/>
        <w:rPr>
          <w:rFonts w:ascii="Arial" w:cs="Arial" w:eastAsia="Arial" w:hAnsi="Arial"/>
          <w:sz w:val="18"/>
          <w:szCs w:val="18"/>
          <w:color w:val="auto"/>
        </w:rPr>
      </w:pPr>
    </w:p>
    <w:p>
      <w:pPr>
        <w:ind w:left="460" w:right="680" w:firstLine="443"/>
        <w:spacing w:after="0" w:line="277" w:lineRule="auto"/>
        <w:tabs>
          <w:tab w:leader="none" w:pos="10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From January 1, 2013 through December 31, 2015, the registrant issued options to purchase 351,688 shares of its common stock to its employees with an exercise price of CHF 0.14548 per share.</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0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From January 1, 2013 through December 31, 2015, a total of 529,000 options were exercised by the registrant’s employees at an exercise price of CHF 0.14548 for aggregate consideration of CHF 76,958.92.</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On October 21, 2015, the registrant issued 3,113,250 shares of preferred stock for an aggregate subscription amount of approximately $30.0</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million.</w:t>
      </w:r>
    </w:p>
    <w:p>
      <w:pPr>
        <w:spacing w:after="0" w:line="102" w:lineRule="exact"/>
        <w:rPr>
          <w:rFonts w:ascii="Arial" w:cs="Arial" w:eastAsia="Arial" w:hAnsi="Arial"/>
          <w:sz w:val="16"/>
          <w:szCs w:val="16"/>
          <w:color w:val="auto"/>
        </w:rPr>
      </w:pPr>
    </w:p>
    <w:p>
      <w:pPr>
        <w:ind w:left="1080" w:hanging="177"/>
        <w:spacing w:after="0"/>
        <w:tabs>
          <w:tab w:leader="none" w:pos="10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On April 15, 2016, the registrant issued 1,401,792 shares of preferred stock for an aggregate subscription amount of $13.5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60" w:firstLine="443"/>
        <w:spacing w:after="0" w:line="277" w:lineRule="auto"/>
        <w:tabs>
          <w:tab w:leader="none" w:pos="10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On May 25, 2016, the registrant issued 5,300,000 shares of its common stock to Credit Suisse AG, Zurich for an aggregate subscription amount of CHF 106,000.</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sales and issuances of restricted securities in the transactions described in the paragraphs above were deemed to be exempt from registration under the Securities Act in reliance upon Section 4(a)(2) of the Securities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underwritten offerings employed in connection with any of the transactions set forth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beginning on page II-5 of this registration statement.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460" w:firstLine="443"/>
        <w:spacing w:after="0" w:line="308" w:lineRule="auto"/>
        <w:tabs>
          <w:tab w:leader="none" w:pos="114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 w:lineRule="exact"/>
        <w:rPr>
          <w:rFonts w:ascii="Arial" w:cs="Arial" w:eastAsia="Arial" w:hAnsi="Arial"/>
          <w:sz w:val="17"/>
          <w:szCs w:val="17"/>
          <w:color w:val="auto"/>
        </w:rPr>
      </w:pPr>
    </w:p>
    <w:p>
      <w:pPr>
        <w:ind w:left="460" w:right="100" w:firstLine="443"/>
        <w:spacing w:after="0" w:line="271" w:lineRule="auto"/>
        <w:tabs>
          <w:tab w:leader="none" w:pos="115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920" w:right="20" w:firstLine="421"/>
        <w:spacing w:after="0" w:line="291" w:lineRule="auto"/>
        <w:tabs>
          <w:tab w:leader="none" w:pos="1595" w:val="left"/>
        </w:tabs>
        <w:numPr>
          <w:ilvl w:val="2"/>
          <w:numId w:val="15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180" w:hanging="259"/>
        <w:spacing w:after="0"/>
        <w:tabs>
          <w:tab w:leader="none" w:pos="118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ind w:left="920" w:right="160" w:firstLine="421"/>
        <w:spacing w:after="0" w:line="264" w:lineRule="auto"/>
        <w:tabs>
          <w:tab w:leader="none" w:pos="1595" w:val="left"/>
        </w:tabs>
        <w:numPr>
          <w:ilvl w:val="2"/>
          <w:numId w:val="15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Lausanne, Switzerland on May 31, 2016.</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 IMMUNE SA</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Andrea Pfeifer</w:t>
      </w:r>
    </w:p>
    <w:p>
      <w:pPr>
        <w:spacing w:after="0" w:line="23" w:lineRule="exact"/>
        <w:rPr>
          <w:sz w:val="20"/>
          <w:szCs w:val="20"/>
          <w:color w:val="auto"/>
        </w:rPr>
      </w:pPr>
    </w:p>
    <w:tbl>
      <w:tblPr>
        <w:tblLayout w:type="fixed"/>
        <w:tblInd w:w="7320" w:type="dxa"/>
        <w:tblCellMar>
          <w:top w:w="0" w:type="dxa"/>
          <w:left w:w="0" w:type="dxa"/>
          <w:bottom w:w="0" w:type="dxa"/>
          <w:right w:w="0" w:type="dxa"/>
        </w:tblCellMar>
      </w:tblPr>
      <w:tr>
        <w:trPr>
          <w:trHeight w:val="209"/>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Andrea Pfeifer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Andrea Pfeifer and George Pavey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May 31, 2016 in the capacities indicated:</w:t>
      </w:r>
    </w:p>
    <w:p>
      <w:pPr>
        <w:sectPr>
          <w:pgSz w:w="11900" w:h="16838" w:orient="portrait"/>
          <w:cols w:equalWidth="0" w:num="1">
            <w:col w:w="11420"/>
          </w:cols>
          <w:pgMar w:left="240" w:top="459" w:right="239" w:bottom="1440" w:gutter="0" w:footer="0" w:header="0"/>
        </w:sectPr>
      </w:pPr>
    </w:p>
    <w:p>
      <w:pPr>
        <w:spacing w:after="0" w:line="189" w:lineRule="exact"/>
        <w:rPr>
          <w:sz w:val="20"/>
          <w:szCs w:val="20"/>
          <w:color w:val="auto"/>
        </w:rPr>
      </w:pPr>
    </w:p>
    <w:p>
      <w:pPr>
        <w:ind w:left="2420"/>
        <w:spacing w:after="0"/>
        <w:rPr>
          <w:sz w:val="20"/>
          <w:szCs w:val="20"/>
          <w:color w:val="auto"/>
        </w:rPr>
      </w:pPr>
      <w:r>
        <w:rPr>
          <w:rFonts w:ascii="Arial" w:cs="Arial" w:eastAsia="Arial" w:hAnsi="Arial"/>
          <w:sz w:val="14"/>
          <w:szCs w:val="14"/>
          <w:b w:val="1"/>
          <w:bCs w:val="1"/>
          <w:u w:val="single" w:color="auto"/>
          <w:color w:val="auto"/>
        </w:rPr>
        <w:t>Name</w:t>
      </w:r>
    </w:p>
    <w:p>
      <w:pPr>
        <w:spacing w:after="0" w:line="200" w:lineRule="exact"/>
        <w:rPr>
          <w:sz w:val="20"/>
          <w:szCs w:val="20"/>
          <w:color w:val="auto"/>
        </w:rPr>
      </w:pP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848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Andrea Pfeifer</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George Pavey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848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George Pavey</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Jean-Fabien Monin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848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Jean-Fabien Monin</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Martin Velasco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8485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Martin Velasco</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Detlev Riesner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848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Detlev Riesner</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Peter Bollmann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848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Peter Bollmann</w:t>
      </w:r>
    </w:p>
    <w:p>
      <w:pPr>
        <w:spacing w:after="0" w:line="23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848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Colleen A. DeVries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SVP of National Corporate Research, Ltd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680"/>
        <w:spacing w:after="0"/>
        <w:rPr>
          <w:sz w:val="20"/>
          <w:szCs w:val="20"/>
          <w:color w:val="auto"/>
        </w:rPr>
      </w:pPr>
      <w:r>
        <w:rPr>
          <w:rFonts w:ascii="Arial" w:cs="Arial" w:eastAsia="Arial" w:hAnsi="Arial"/>
          <w:sz w:val="14"/>
          <w:szCs w:val="14"/>
          <w:b w:val="1"/>
          <w:bCs w:val="1"/>
          <w:u w:val="single" w:color="auto"/>
          <w:color w:val="auto"/>
        </w:rPr>
        <w:t>Title</w:t>
      </w:r>
    </w:p>
    <w:p>
      <w:pPr>
        <w:spacing w:after="0" w:line="22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(principal financial officer and principal accounting officer)</w:t>
      </w:r>
    </w:p>
    <w:p>
      <w:pPr>
        <w:spacing w:after="0" w:line="200" w:lineRule="exact"/>
        <w:rPr>
          <w:sz w:val="20"/>
          <w:szCs w:val="20"/>
          <w:color w:val="auto"/>
        </w:rPr>
      </w:pPr>
    </w:p>
    <w:p>
      <w:pPr>
        <w:spacing w:after="0" w:line="250"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Chief Administrative Officer</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(principal operating officer)</w:t>
      </w:r>
    </w:p>
    <w:p>
      <w:pPr>
        <w:spacing w:after="0" w:line="200" w:lineRule="exact"/>
        <w:rPr>
          <w:sz w:val="20"/>
          <w:szCs w:val="20"/>
          <w:color w:val="auto"/>
        </w:rPr>
      </w:pPr>
    </w:p>
    <w:p>
      <w:pPr>
        <w:spacing w:after="0" w:line="240"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Chairman and Director</w:t>
      </w:r>
    </w:p>
    <w:p>
      <w:pPr>
        <w:spacing w:after="0" w:line="200" w:lineRule="exact"/>
        <w:rPr>
          <w:sz w:val="20"/>
          <w:szCs w:val="20"/>
          <w:color w:val="auto"/>
        </w:rPr>
      </w:pPr>
    </w:p>
    <w:p>
      <w:pPr>
        <w:spacing w:after="0" w:line="26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Authorized Representative in the United States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II-4</w:t>
      </w:r>
    </w:p>
    <w:p>
      <w:pPr>
        <w:sectPr>
          <w:pgSz w:w="11900" w:h="16838" w:orient="portrait"/>
          <w:cols w:equalWidth="0" w:num="2">
            <w:col w:w="4860" w:space="720"/>
            <w:col w:w="5840"/>
          </w:cols>
          <w:pgMar w:left="240" w:top="459" w:right="239" w:bottom="1440" w:gutter="0" w:footer="0" w:header="0"/>
          <w:type w:val="continuous"/>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0600" w:type="dxa"/>
            <w:vAlign w:val="bottom"/>
          </w:tcPr>
          <w:p>
            <w:pPr>
              <w:ind w:left="46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400" w:type="dxa"/>
            <w:vAlign w:val="bottom"/>
          </w:tcPr>
          <w:p>
            <w:pPr>
              <w:spacing w:after="0"/>
              <w:rPr>
                <w:sz w:val="24"/>
                <w:szCs w:val="24"/>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The following documents are filed as part of this registration statement: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Articles of Association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0600" w:type="dxa"/>
            <w:vAlign w:val="bottom"/>
          </w:tcPr>
          <w:p>
            <w:pPr>
              <w:ind w:left="520"/>
              <w:spacing w:after="0"/>
              <w:rPr>
                <w:sz w:val="20"/>
                <w:szCs w:val="20"/>
                <w:color w:val="auto"/>
              </w:rPr>
            </w:pPr>
            <w:r>
              <w:rPr>
                <w:rFonts w:ascii="Arial" w:cs="Arial" w:eastAsia="Arial" w:hAnsi="Arial"/>
                <w:sz w:val="18"/>
                <w:szCs w:val="18"/>
                <w:color w:val="auto"/>
              </w:rPr>
              <w:t>Registration Rights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the validity of the common shares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Swiss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Davis Polk &amp; Wardwell LLP as to U.S.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0600" w:type="dxa"/>
            <w:vAlign w:val="bottom"/>
          </w:tcPr>
          <w:p>
            <w:pPr>
              <w:ind w:left="520"/>
              <w:spacing w:after="0"/>
              <w:rPr>
                <w:sz w:val="20"/>
                <w:szCs w:val="20"/>
                <w:color w:val="auto"/>
              </w:rPr>
            </w:pPr>
            <w:r>
              <w:rPr>
                <w:rFonts w:ascii="Arial" w:cs="Arial" w:eastAsia="Arial" w:hAnsi="Arial"/>
                <w:sz w:val="18"/>
                <w:szCs w:val="18"/>
                <w:color w:val="auto"/>
                <w:w w:val="94"/>
              </w:rPr>
              <w:t>Research Collaboration and License Agreement between AC Immune SA Corporation and Genentech, Inc. dated November 6, 2006#</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0600" w:type="dxa"/>
            <w:vAlign w:val="bottom"/>
          </w:tcPr>
          <w:p>
            <w:pPr>
              <w:ind w:left="520"/>
              <w:spacing w:after="0"/>
              <w:rPr>
                <w:sz w:val="20"/>
                <w:szCs w:val="20"/>
                <w:color w:val="auto"/>
              </w:rPr>
            </w:pPr>
            <w:r>
              <w:rPr>
                <w:rFonts w:ascii="Arial" w:cs="Arial" w:eastAsia="Arial" w:hAnsi="Arial"/>
                <w:sz w:val="18"/>
                <w:szCs w:val="18"/>
                <w:color w:val="auto"/>
                <w:w w:val="90"/>
              </w:rPr>
              <w:t>Amendment to the Research Collaboration and License Agreement between AC Immune SA Corporation and Genentech, Inc. dated May 7,</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10600" w:type="dxa"/>
            <w:vAlign w:val="bottom"/>
          </w:tcPr>
          <w:p>
            <w:pPr>
              <w:ind w:left="520"/>
              <w:spacing w:after="0"/>
              <w:rPr>
                <w:sz w:val="20"/>
                <w:szCs w:val="20"/>
                <w:color w:val="auto"/>
              </w:rPr>
            </w:pPr>
            <w:r>
              <w:rPr>
                <w:rFonts w:ascii="Arial" w:cs="Arial" w:eastAsia="Arial" w:hAnsi="Arial"/>
                <w:sz w:val="18"/>
                <w:szCs w:val="18"/>
                <w:color w:val="auto"/>
                <w:w w:val="97"/>
              </w:rPr>
              <w:t>Research Collaboration and License Agreement between AC Immune SA Corporation and Genentech, Inc. dated June 15, 2012#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10600" w:type="dxa"/>
            <w:vAlign w:val="bottom"/>
          </w:tcPr>
          <w:p>
            <w:pPr>
              <w:ind w:left="520"/>
              <w:spacing w:after="0"/>
              <w:rPr>
                <w:sz w:val="20"/>
                <w:szCs w:val="20"/>
                <w:color w:val="auto"/>
              </w:rPr>
            </w:pPr>
            <w:r>
              <w:rPr>
                <w:rFonts w:ascii="Arial" w:cs="Arial" w:eastAsia="Arial" w:hAnsi="Arial"/>
                <w:sz w:val="18"/>
                <w:szCs w:val="18"/>
                <w:color w:val="auto"/>
                <w:w w:val="96"/>
              </w:rPr>
              <w:t>License and Collaboration Agreement between Piramal Imaging Ltd., Piramal Imaging SA and AC Immune SA, dated May 9, 2014#</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0600" w:type="dxa"/>
            <w:vAlign w:val="bottom"/>
          </w:tcPr>
          <w:p>
            <w:pPr>
              <w:ind w:left="520"/>
              <w:spacing w:after="0"/>
              <w:rPr>
                <w:sz w:val="20"/>
                <w:szCs w:val="20"/>
                <w:color w:val="auto"/>
              </w:rPr>
            </w:pPr>
            <w:r>
              <w:rPr>
                <w:rFonts w:ascii="Arial" w:cs="Arial" w:eastAsia="Arial" w:hAnsi="Arial"/>
                <w:sz w:val="18"/>
                <w:szCs w:val="18"/>
                <w:color w:val="auto"/>
                <w:w w:val="89"/>
              </w:rPr>
              <w:t>License, Development and Commercialization Agreement between Janssen Pharmaceuticals, Inc. and AC Immune SA, dated December 24,</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2014#</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10.6</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Indemnity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10.7</w:t>
            </w:r>
          </w:p>
        </w:tc>
        <w:tc>
          <w:tcPr>
            <w:tcW w:w="10600" w:type="dxa"/>
            <w:vAlign w:val="bottom"/>
          </w:tcPr>
          <w:p>
            <w:pPr>
              <w:ind w:left="520"/>
              <w:spacing w:after="0"/>
              <w:rPr>
                <w:sz w:val="20"/>
                <w:szCs w:val="20"/>
                <w:color w:val="auto"/>
              </w:rPr>
            </w:pPr>
            <w:r>
              <w:rPr>
                <w:rFonts w:ascii="Arial" w:cs="Arial" w:eastAsia="Arial" w:hAnsi="Arial"/>
                <w:sz w:val="18"/>
                <w:szCs w:val="18"/>
                <w:color w:val="auto"/>
              </w:rPr>
              <w:t>AC Immune SA 2013 Equity Incentive Plan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10.8</w:t>
            </w:r>
          </w:p>
        </w:tc>
        <w:tc>
          <w:tcPr>
            <w:tcW w:w="10600" w:type="dxa"/>
            <w:vAlign w:val="bottom"/>
          </w:tcPr>
          <w:p>
            <w:pPr>
              <w:ind w:left="520"/>
              <w:spacing w:after="0"/>
              <w:rPr>
                <w:sz w:val="20"/>
                <w:szCs w:val="20"/>
                <w:color w:val="auto"/>
              </w:rPr>
            </w:pPr>
            <w:r>
              <w:rPr>
                <w:rFonts w:ascii="Arial" w:cs="Arial" w:eastAsia="Arial" w:hAnsi="Arial"/>
                <w:sz w:val="18"/>
                <w:szCs w:val="18"/>
                <w:color w:val="auto"/>
              </w:rPr>
              <w:t>Subscription Agreement among Fidelity entities and AC Immune SA, dated October 16, 2015</w:t>
            </w:r>
          </w:p>
        </w:tc>
      </w:tr>
      <w:tr>
        <w:trPr>
          <w:trHeight w:val="338"/>
        </w:trPr>
        <w:tc>
          <w:tcPr>
            <w:tcW w:w="40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10600" w:type="dxa"/>
            <w:vAlign w:val="bottom"/>
          </w:tcPr>
          <w:p>
            <w:pPr>
              <w:ind w:left="520"/>
              <w:spacing w:after="0"/>
              <w:rPr>
                <w:sz w:val="20"/>
                <w:szCs w:val="20"/>
                <w:color w:val="auto"/>
              </w:rPr>
            </w:pPr>
            <w:r>
              <w:rPr>
                <w:rFonts w:ascii="Arial" w:cs="Arial" w:eastAsia="Arial" w:hAnsi="Arial"/>
                <w:sz w:val="18"/>
                <w:szCs w:val="18"/>
                <w:color w:val="auto"/>
              </w:rPr>
              <w:t>Subscription Agreement among Temasek entities and AC Immune SA, dated October 16, 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23.1</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Ernst &amp; Young AG</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23.2</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5.1)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23.3</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8.1)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23.4</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Davis Polk &amp; Wardwell LLP (included in Exhibit 8.2)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24.1</w:t>
            </w:r>
          </w:p>
        </w:tc>
        <w:tc>
          <w:tcPr>
            <w:tcW w:w="10600" w:type="dxa"/>
            <w:vAlign w:val="bottom"/>
          </w:tcPr>
          <w:p>
            <w:pPr>
              <w:ind w:left="520"/>
              <w:spacing w:after="0"/>
              <w:rPr>
                <w:sz w:val="20"/>
                <w:szCs w:val="20"/>
                <w:color w:val="auto"/>
              </w:rPr>
            </w:pPr>
            <w:r>
              <w:rPr>
                <w:rFonts w:ascii="Arial" w:cs="Arial" w:eastAsia="Arial" w:hAnsi="Arial"/>
                <w:sz w:val="18"/>
                <w:szCs w:val="18"/>
                <w:color w:val="auto"/>
              </w:rPr>
              <w:t>Powers of attorney (included on signature page to the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77"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Confidential treatment has been requested for portions of this exhibit. These portions have been omitted from the registration statement and submitted separately to the United States Securities and Exchange Commission.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60"/>
          </w:cols>
          <w:pgMar w:left="240" w:top="460" w:right="39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Shares, nominal value CHF 0.02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780"/>
        <w:spacing w:after="0"/>
        <w:rPr>
          <w:sz w:val="20"/>
          <w:szCs w:val="20"/>
          <w:color w:val="auto"/>
        </w:rPr>
      </w:pPr>
      <w:r>
        <w:rPr>
          <w:rFonts w:ascii="Arial" w:cs="Arial" w:eastAsia="Arial" w:hAnsi="Arial"/>
          <w:sz w:val="17"/>
          <w:szCs w:val="17"/>
          <w:color w:val="auto"/>
        </w:rPr>
        <w:t>[•],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right="160" w:firstLine="464"/>
        <w:spacing w:after="0" w:line="256" w:lineRule="auto"/>
        <w:tabs>
          <w:tab w:leader="none" w:pos="636"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Introductory</w:t>
      </w:r>
      <w:r>
        <w:rPr>
          <w:rFonts w:ascii="Arial" w:cs="Arial" w:eastAsia="Arial" w:hAnsi="Arial"/>
          <w:sz w:val="18"/>
          <w:szCs w:val="18"/>
          <w:color w:val="auto"/>
        </w:rPr>
        <w:t>. AC Immune SA, a company established in Switzerland (the “</w:t>
      </w:r>
      <w:r>
        <w:rPr>
          <w:rFonts w:ascii="Arial" w:cs="Arial" w:eastAsia="Arial" w:hAnsi="Arial"/>
          <w:sz w:val="18"/>
          <w:szCs w:val="18"/>
          <w:b w:val="1"/>
          <w:bCs w:val="1"/>
          <w:color w:val="auto"/>
        </w:rPr>
        <w:t>Company</w:t>
      </w:r>
      <w:r>
        <w:rPr>
          <w:rFonts w:ascii="Arial" w:cs="Arial" w:eastAsia="Arial" w:hAnsi="Arial"/>
          <w:sz w:val="18"/>
          <w:szCs w:val="18"/>
          <w:color w:val="auto"/>
        </w:rPr>
        <w:t>”), agrees with the several Underwriters named in Schedule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Credit Suisse Securities (USA) LLC (“</w:t>
      </w:r>
      <w:r>
        <w:rPr>
          <w:rFonts w:ascii="Arial" w:cs="Arial" w:eastAsia="Arial" w:hAnsi="Arial"/>
          <w:sz w:val="18"/>
          <w:szCs w:val="18"/>
          <w:b w:val="1"/>
          <w:bCs w:val="1"/>
          <w:color w:val="auto"/>
        </w:rPr>
        <w:t>Credit Suisse</w:t>
      </w:r>
      <w:r>
        <w:rPr>
          <w:rFonts w:ascii="Arial" w:cs="Arial" w:eastAsia="Arial" w:hAnsi="Arial"/>
          <w:sz w:val="18"/>
          <w:szCs w:val="18"/>
          <w:color w:val="auto"/>
        </w:rPr>
        <w:t>”), Jefferies LLC (“</w:t>
      </w:r>
      <w:r>
        <w:rPr>
          <w:rFonts w:ascii="Arial" w:cs="Arial" w:eastAsia="Arial" w:hAnsi="Arial"/>
          <w:sz w:val="18"/>
          <w:szCs w:val="18"/>
          <w:b w:val="1"/>
          <w:bCs w:val="1"/>
          <w:color w:val="auto"/>
        </w:rPr>
        <w:t>Jefferies</w:t>
      </w:r>
      <w:r>
        <w:rPr>
          <w:rFonts w:ascii="Arial" w:cs="Arial" w:eastAsia="Arial" w:hAnsi="Arial"/>
          <w:sz w:val="18"/>
          <w:szCs w:val="18"/>
          <w:color w:val="auto"/>
        </w:rPr>
        <w:t>”) and Leerink Partners LLC (“</w:t>
      </w:r>
      <w:r>
        <w:rPr>
          <w:rFonts w:ascii="Arial" w:cs="Arial" w:eastAsia="Arial" w:hAnsi="Arial"/>
          <w:sz w:val="18"/>
          <w:szCs w:val="18"/>
          <w:b w:val="1"/>
          <w:bCs w:val="1"/>
          <w:color w:val="auto"/>
        </w:rPr>
        <w:t>Leerink</w:t>
      </w:r>
      <w:r>
        <w:rPr>
          <w:rFonts w:ascii="Arial" w:cs="Arial" w:eastAsia="Arial" w:hAnsi="Arial"/>
          <w:sz w:val="18"/>
          <w:szCs w:val="18"/>
          <w:color w:val="auto"/>
        </w:rPr>
        <w:t>”) are acting as representatives, to issue and sell to the several Underwriters [•] shares (the “</w:t>
      </w:r>
      <w:r>
        <w:rPr>
          <w:rFonts w:ascii="Arial" w:cs="Arial" w:eastAsia="Arial" w:hAnsi="Arial"/>
          <w:sz w:val="18"/>
          <w:szCs w:val="18"/>
          <w:b w:val="1"/>
          <w:bCs w:val="1"/>
          <w:color w:val="auto"/>
        </w:rPr>
        <w:t>Firm Securities</w:t>
      </w:r>
      <w:r>
        <w:rPr>
          <w:rFonts w:ascii="Arial" w:cs="Arial" w:eastAsia="Arial" w:hAnsi="Arial"/>
          <w:sz w:val="18"/>
          <w:szCs w:val="18"/>
          <w:color w:val="auto"/>
        </w:rPr>
        <w:t>”) of its Common Shares, nominal value CHF 0.02 per share (“</w:t>
      </w:r>
      <w:r>
        <w:rPr>
          <w:rFonts w:ascii="Arial" w:cs="Arial" w:eastAsia="Arial" w:hAnsi="Arial"/>
          <w:sz w:val="18"/>
          <w:szCs w:val="18"/>
          <w:b w:val="1"/>
          <w:bCs w:val="1"/>
          <w:color w:val="auto"/>
        </w:rPr>
        <w:t>Securities</w:t>
      </w:r>
      <w:r>
        <w:rPr>
          <w:rFonts w:ascii="Arial" w:cs="Arial" w:eastAsia="Arial" w:hAnsi="Arial"/>
          <w:sz w:val="18"/>
          <w:szCs w:val="18"/>
          <w:color w:val="auto"/>
        </w:rPr>
        <w:t>”) and also proposes to issue and sell to the Underwriters, at the option of the Underwriters, an aggregate of not more than [•] additional shares (the “</w:t>
      </w:r>
      <w:r>
        <w:rPr>
          <w:rFonts w:ascii="Arial" w:cs="Arial" w:eastAsia="Arial" w:hAnsi="Arial"/>
          <w:sz w:val="18"/>
          <w:szCs w:val="18"/>
          <w:b w:val="1"/>
          <w:bCs w:val="1"/>
          <w:color w:val="auto"/>
        </w:rPr>
        <w:t>Optional Securities</w:t>
      </w:r>
      <w:r>
        <w:rPr>
          <w:rFonts w:ascii="Arial" w:cs="Arial" w:eastAsia="Arial" w:hAnsi="Arial"/>
          <w:sz w:val="18"/>
          <w:szCs w:val="18"/>
          <w:color w:val="auto"/>
        </w:rPr>
        <w:t>”) of its Securities as set forth below. The Firm Securities and the Optional Securities are herein collectively called the “</w:t>
      </w:r>
      <w:r>
        <w:rPr>
          <w:rFonts w:ascii="Arial" w:cs="Arial" w:eastAsia="Arial" w:hAnsi="Arial"/>
          <w:sz w:val="18"/>
          <w:szCs w:val="18"/>
          <w:b w:val="1"/>
          <w:bCs w:val="1"/>
          <w:color w:val="auto"/>
        </w:rPr>
        <w:t>Offered Securities</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640" w:hanging="176"/>
        <w:spacing w:after="0"/>
        <w:tabs>
          <w:tab w:leader="none" w:pos="640" w:val="left"/>
        </w:tabs>
        <w:numPr>
          <w:ilvl w:val="0"/>
          <w:numId w:val="161"/>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of the Company</w:t>
      </w:r>
      <w:r>
        <w:rPr>
          <w:rFonts w:ascii="Arial" w:cs="Arial" w:eastAsia="Arial" w:hAnsi="Arial"/>
          <w:sz w:val="17"/>
          <w:szCs w:val="17"/>
          <w:color w:val="auto"/>
        </w:rPr>
        <w:t>. The Company represents and warrants to, and agrees with, the several Underwriters that:</w:t>
      </w:r>
    </w:p>
    <w:p>
      <w:pPr>
        <w:spacing w:after="0" w:line="128" w:lineRule="exact"/>
        <w:rPr>
          <w:rFonts w:ascii="Arial" w:cs="Arial" w:eastAsia="Arial" w:hAnsi="Arial"/>
          <w:sz w:val="17"/>
          <w:szCs w:val="17"/>
          <w:color w:val="auto"/>
        </w:rPr>
      </w:pPr>
    </w:p>
    <w:p>
      <w:pPr>
        <w:ind w:left="460" w:right="100" w:firstLine="443"/>
        <w:spacing w:after="0" w:line="270" w:lineRule="auto"/>
        <w:tabs>
          <w:tab w:leader="none" w:pos="1143" w:val="left"/>
        </w:tabs>
        <w:numPr>
          <w:ilvl w:val="1"/>
          <w:numId w:val="161"/>
        </w:numPr>
        <w:rPr>
          <w:rFonts w:ascii="Arial" w:cs="Arial" w:eastAsia="Arial" w:hAnsi="Arial"/>
          <w:sz w:val="17"/>
          <w:szCs w:val="17"/>
          <w:color w:val="auto"/>
        </w:rPr>
      </w:pPr>
      <w:r>
        <w:rPr>
          <w:rFonts w:ascii="Arial" w:cs="Arial" w:eastAsia="Arial" w:hAnsi="Arial"/>
          <w:sz w:val="17"/>
          <w:szCs w:val="17"/>
          <w:i w:val="1"/>
          <w:iCs w:val="1"/>
          <w:color w:val="auto"/>
        </w:rPr>
        <w:t>Filing and Effectiveness of Registration Statement; Certain Defined Terms</w:t>
      </w:r>
      <w:r>
        <w:rPr>
          <w:rFonts w:ascii="Arial" w:cs="Arial" w:eastAsia="Arial" w:hAnsi="Arial"/>
          <w:sz w:val="17"/>
          <w:szCs w:val="17"/>
          <w:color w:val="auto"/>
        </w:rPr>
        <w:t>. The Company has filed with the Commission a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on Form F-1 (No. 333-[•]) covering the registration of the Offered Securities under the Act, including a related preliminary prospectus or prospectuses. At any particular time, this initial registration statement, in the form then on file with the Commission, including all information contained in the registration statement (if any) pursuant to Rule 462(b) and then deemed to be a part of the initial registration statement, and all 430A Information and all 430C Information, that in any case has not then been superseded or modified, shall be referred to as the “</w:t>
      </w:r>
      <w:r>
        <w:rPr>
          <w:rFonts w:ascii="Arial" w:cs="Arial" w:eastAsia="Arial" w:hAnsi="Arial"/>
          <w:sz w:val="17"/>
          <w:szCs w:val="17"/>
          <w:b w:val="1"/>
          <w:bCs w:val="1"/>
          <w:color w:val="auto"/>
        </w:rPr>
        <w:t>Initial 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The Company may also have filed, or may file with the Commission, a Rule 462(b) registration statement covering the registration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Offered Securities. At any particular time, this Rule 462(b) registration statement, in the form then on file with the Commission, including the contents of the Initial Registration Statement incorporated by reference therein and including all 430A Information and all 430C Information, that in any case has not then been superseded or modified, shall be referred to as the “</w:t>
      </w:r>
      <w:r>
        <w:rPr>
          <w:rFonts w:ascii="Arial" w:cs="Arial" w:eastAsia="Arial" w:hAnsi="Arial"/>
          <w:sz w:val="17"/>
          <w:szCs w:val="17"/>
          <w:b w:val="1"/>
          <w:bCs w:val="1"/>
          <w:color w:val="auto"/>
        </w:rPr>
        <w:t>Additional Registration Statement</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244" w:name="page245"/>
    <w:bookmarkEnd w:id="244"/>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time of execution and delivery of this Agreement, the Initial Registration Statement has been declared effective under the Act and is not proposed to be amended. Any Additional Registration Statement has or will become effective upon filing with the Commission pursuant to Rule 462(b) and is not proposed to be amended. The Offered Securities all have been or will be duly registered under the Act pursuant to the Initial Registration Statement and, if applicable, the Additional Registration Statement.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w:t>
      </w:r>
    </w:p>
    <w:p>
      <w:pPr>
        <w:spacing w:after="0" w:line="221"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430A Information</w:t>
      </w:r>
      <w:r>
        <w:rPr>
          <w:rFonts w:ascii="Arial" w:cs="Arial" w:eastAsia="Arial" w:hAnsi="Arial"/>
          <w:sz w:val="18"/>
          <w:szCs w:val="18"/>
          <w:color w:val="auto"/>
        </w:rPr>
        <w:t>”, with respect to any registration statement, means information included in a prospectus and retroactively deemed to be a part of such registration statement pursuant to Rule 430A(b).</w:t>
      </w:r>
    </w:p>
    <w:p>
      <w:pPr>
        <w:spacing w:after="0" w:line="162" w:lineRule="exact"/>
        <w:rPr>
          <w:sz w:val="20"/>
          <w:szCs w:val="20"/>
          <w:color w:val="auto"/>
        </w:rPr>
      </w:pPr>
    </w:p>
    <w:p>
      <w:pPr>
        <w:ind w:right="7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430C Information</w:t>
      </w:r>
      <w:r>
        <w:rPr>
          <w:rFonts w:ascii="Arial" w:cs="Arial" w:eastAsia="Arial" w:hAnsi="Arial"/>
          <w:sz w:val="18"/>
          <w:szCs w:val="18"/>
          <w:color w:val="auto"/>
        </w:rPr>
        <w:t>”, with respect to any registration statement, means information included in a prospectus then deemed to be a part of such registration statement pursuant to Rule 430C.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[•]:00 [a/p]m (New York time) on the date of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defined in Section 3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Time</w:t>
      </w:r>
      <w:r>
        <w:rPr>
          <w:rFonts w:ascii="Arial" w:cs="Arial" w:eastAsia="Arial" w:hAnsi="Arial"/>
          <w:sz w:val="17"/>
          <w:szCs w:val="17"/>
          <w:color w:val="auto"/>
        </w:rPr>
        <w:t>” with respect to the Initial Registration Statement or, if filed prior to the execution and delivery of this Agreement, the Additional Registration Statement means the date and time as of which such Registration Statement was declared effective by the Commission or has become effective upon filing pursuant to Rule 462(c). If an Additional Registration Statement has not been filed prior to the execution and delivery of this Agreement but the Company has advised the Representatives that it proposes to file one, “</w:t>
      </w:r>
      <w:r>
        <w:rPr>
          <w:rFonts w:ascii="Arial" w:cs="Arial" w:eastAsia="Arial" w:hAnsi="Arial"/>
          <w:sz w:val="17"/>
          <w:szCs w:val="17"/>
          <w:b w:val="1"/>
          <w:bCs w:val="1"/>
          <w:color w:val="auto"/>
        </w:rPr>
        <w:t>Effective Time</w:t>
      </w:r>
      <w:r>
        <w:rPr>
          <w:rFonts w:ascii="Arial" w:cs="Arial" w:eastAsia="Arial" w:hAnsi="Arial"/>
          <w:sz w:val="17"/>
          <w:szCs w:val="17"/>
          <w:color w:val="auto"/>
        </w:rPr>
        <w:t>” with respect to such Additional Registration Statement means the date and time as of which such Registration Statement is filed and becomes effective pursuant to Rule 462(b).</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Prospectus</w:t>
      </w:r>
      <w:r>
        <w:rPr>
          <w:rFonts w:ascii="Arial" w:cs="Arial" w:eastAsia="Arial" w:hAnsi="Arial"/>
          <w:sz w:val="18"/>
          <w:szCs w:val="18"/>
          <w:color w:val="auto"/>
        </w:rPr>
        <w:t>” means the Statutory Prospectus that discloses the public offering price, other 430A Information and other final terms of the Offered Securities and otherwise satisfies Section 10(a) of the Act.</w:t>
      </w:r>
    </w:p>
    <w:p>
      <w:pPr>
        <w:spacing w:after="0" w:line="162"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Use Issuer Free Writing Prospectus</w:t>
      </w:r>
      <w:r>
        <w:rPr>
          <w:rFonts w:ascii="Arial" w:cs="Arial" w:eastAsia="Arial" w:hAnsi="Arial"/>
          <w:sz w:val="18"/>
          <w:szCs w:val="18"/>
          <w:color w:val="auto"/>
        </w:rPr>
        <w:t>” means any Issuer Free Writing Prospectus that is intended for general distribution to prospective investors, as evidenced by its being so specified in Schedule B to this Agreement.</w:t>
      </w:r>
    </w:p>
    <w:p>
      <w:pPr>
        <w:spacing w:after="0" w:line="162" w:lineRule="exact"/>
        <w:rPr>
          <w:sz w:val="20"/>
          <w:szCs w:val="20"/>
          <w:color w:val="auto"/>
        </w:rPr>
      </w:pPr>
    </w:p>
    <w:p>
      <w:pPr>
        <w:ind w:right="26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means any “issuer free writing prospectus,” as defined in Rule 433, relating to the Offered Securities in the form filed or required to be filed with the Commission or, if not required to be filed, in the form retained in the Company’s records pursuant to Rule 433(g).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Limited Use Issuer Free Writing Prospectus</w:t>
      </w:r>
      <w:r>
        <w:rPr>
          <w:rFonts w:ascii="Arial" w:cs="Arial" w:eastAsia="Arial" w:hAnsi="Arial"/>
          <w:sz w:val="16"/>
          <w:szCs w:val="16"/>
          <w:color w:val="auto"/>
        </w:rPr>
        <w:t>” means any Issuer Free Writing Prospectus that is not a General Use Issuer Free Writing Prospectus.</w:t>
      </w:r>
    </w:p>
    <w:p>
      <w:pPr>
        <w:spacing w:after="0" w:line="24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The Initial Registration Statement and the Additional Registration Statement, if any, are referred to collectively as the “</w:t>
      </w:r>
      <w:r>
        <w:rPr>
          <w:rFonts w:ascii="Arial" w:cs="Arial" w:eastAsia="Arial" w:hAnsi="Arial"/>
          <w:sz w:val="18"/>
          <w:szCs w:val="18"/>
          <w:b w:val="1"/>
          <w:bCs w:val="1"/>
          <w:color w:val="auto"/>
        </w:rPr>
        <w:t>Registration Statements</w:t>
      </w:r>
      <w:r>
        <w:rPr>
          <w:rFonts w:ascii="Arial" w:cs="Arial" w:eastAsia="Arial" w:hAnsi="Arial"/>
          <w:sz w:val="18"/>
          <w:szCs w:val="18"/>
          <w:color w:val="auto"/>
        </w:rPr>
        <w:t>” and individually as a “</w:t>
      </w:r>
      <w:r>
        <w:rPr>
          <w:rFonts w:ascii="Arial" w:cs="Arial" w:eastAsia="Arial" w:hAnsi="Arial"/>
          <w:sz w:val="18"/>
          <w:szCs w:val="18"/>
          <w:b w:val="1"/>
          <w:bCs w:val="1"/>
          <w:color w:val="auto"/>
        </w:rPr>
        <w:t>Registration Statement</w:t>
      </w:r>
      <w:r>
        <w:rPr>
          <w:rFonts w:ascii="Arial" w:cs="Arial" w:eastAsia="Arial" w:hAnsi="Arial"/>
          <w:sz w:val="18"/>
          <w:szCs w:val="18"/>
          <w:color w:val="auto"/>
        </w:rPr>
        <w:t>”. A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reference to a particular time means the Initial Registration Statement and any Additional Registration Statement as of such time. A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without reference to a time means such Registration Statement as of its Effective Time. For purposes of the foregoing definitions, 430A Information with respect to a Registration Statement shall be considered to be included in such Registration Statement as of the time specified in Rule 430A.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45" w:name="page246"/>
    <w:bookmarkEnd w:id="24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Representatives</w:t>
      </w:r>
      <w:r>
        <w:rPr>
          <w:rFonts w:ascii="Arial" w:cs="Arial" w:eastAsia="Arial" w:hAnsi="Arial"/>
          <w:sz w:val="18"/>
          <w:szCs w:val="18"/>
          <w:color w:val="auto"/>
        </w:rPr>
        <w:t>” means Credit Suisse, Jefferies and Leerink.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 and Regulation</w:t>
      </w:r>
      <w:r>
        <w:rPr>
          <w:rFonts w:ascii="Arial" w:cs="Arial" w:eastAsia="Arial" w:hAnsi="Arial"/>
          <w:sz w:val="18"/>
          <w:szCs w:val="18"/>
          <w:color w:val="auto"/>
        </w:rPr>
        <w:t>s” means the rules and regulations of the Commission.</w:t>
      </w:r>
    </w:p>
    <w:p>
      <w:pPr>
        <w:spacing w:after="0" w:line="117" w:lineRule="exact"/>
        <w:rPr>
          <w:sz w:val="20"/>
          <w:szCs w:val="20"/>
          <w:color w:val="auto"/>
        </w:rPr>
      </w:pPr>
    </w:p>
    <w:p>
      <w:pPr>
        <w:ind w:right="22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Laws</w:t>
      </w:r>
      <w:r>
        <w:rPr>
          <w:rFonts w:ascii="Arial" w:cs="Arial" w:eastAsia="Arial" w:hAnsi="Arial"/>
          <w:sz w:val="17"/>
          <w:szCs w:val="17"/>
          <w:color w:val="auto"/>
        </w:rPr>
        <w:t>” means, collectively, the Sarbanes-Oxley Act of 2002 (“</w:t>
      </w:r>
      <w:r>
        <w:rPr>
          <w:rFonts w:ascii="Arial" w:cs="Arial" w:eastAsia="Arial" w:hAnsi="Arial"/>
          <w:sz w:val="17"/>
          <w:szCs w:val="17"/>
          <w:b w:val="1"/>
          <w:bCs w:val="1"/>
          <w:color w:val="auto"/>
        </w:rPr>
        <w:t>Sarbanes-Oxley</w:t>
      </w:r>
      <w:r>
        <w:rPr>
          <w:rFonts w:ascii="Arial" w:cs="Arial" w:eastAsia="Arial" w:hAnsi="Arial"/>
          <w:sz w:val="17"/>
          <w:szCs w:val="17"/>
          <w:color w:val="auto"/>
        </w:rPr>
        <w:t>”), the Act, the Exchange Act, the Rules and Regulations, the auditing principles, rules, standards and practices applicable to auditors of “issuers” (as defined in Sarbanes-Oxley) promulgated or approved by the Public Company Accounting Oversight Board and the rules of the NASDAQ Global [Select] Market (“</w:t>
      </w:r>
      <w:r>
        <w:rPr>
          <w:rFonts w:ascii="Arial" w:cs="Arial" w:eastAsia="Arial" w:hAnsi="Arial"/>
          <w:sz w:val="17"/>
          <w:szCs w:val="17"/>
          <w:b w:val="1"/>
          <w:bCs w:val="1"/>
          <w:color w:val="auto"/>
        </w:rPr>
        <w:t>Exchange Rules</w:t>
      </w:r>
      <w:r>
        <w:rPr>
          <w:rFonts w:ascii="Arial" w:cs="Arial" w:eastAsia="Arial" w:hAnsi="Arial"/>
          <w:sz w:val="17"/>
          <w:szCs w:val="17"/>
          <w:color w:val="auto"/>
        </w:rPr>
        <w:t>”).</w:t>
      </w:r>
    </w:p>
    <w:p>
      <w:pPr>
        <w:spacing w:after="0" w:line="15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Statutory Prospectus</w:t>
      </w:r>
      <w:r>
        <w:rPr>
          <w:rFonts w:ascii="Arial" w:cs="Arial" w:eastAsia="Arial" w:hAnsi="Arial"/>
          <w:sz w:val="18"/>
          <w:szCs w:val="18"/>
          <w:color w:val="auto"/>
        </w:rPr>
        <w:t>” with reference to a particular time means the prospectus included in a Registration Statement immediately prior to that time, including any 430A Information or 430C Information with respect to such Registration Statement. For purposes of the foregoing definition, 430A Information shall be considered to be included in the Statutory Prospectus as of the actual time that form of prospectus is filed with the Commission pursuant to Rule 424(b) or Rule 462(c) and not retroactively.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Testing-the-Waters Communication</w:t>
      </w:r>
      <w:r>
        <w:rPr>
          <w:rFonts w:ascii="Arial" w:cs="Arial" w:eastAsia="Arial" w:hAnsi="Arial"/>
          <w:sz w:val="16"/>
          <w:szCs w:val="16"/>
          <w:color w:val="auto"/>
        </w:rPr>
        <w:t>” means any oral or written communication with potential investors undertaken in reliance on Section 5(d)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a reference to a “rule” is to the indicated rule under the Act.</w:t>
      </w:r>
    </w:p>
    <w:p>
      <w:pPr>
        <w:spacing w:after="0" w:line="117" w:lineRule="exact"/>
        <w:rPr>
          <w:sz w:val="20"/>
          <w:szCs w:val="20"/>
          <w:color w:val="auto"/>
        </w:rPr>
      </w:pPr>
    </w:p>
    <w:p>
      <w:pPr>
        <w:ind w:left="460" w:right="20" w:firstLine="443"/>
        <w:spacing w:after="0" w:line="284" w:lineRule="auto"/>
        <w:tabs>
          <w:tab w:leader="none" w:pos="1153"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t>Compliance with Act Requirements</w:t>
      </w:r>
      <w:r>
        <w:rPr>
          <w:rFonts w:ascii="Arial" w:cs="Arial" w:eastAsia="Arial" w:hAnsi="Arial"/>
          <w:sz w:val="16"/>
          <w:szCs w:val="16"/>
          <w:color w:val="auto"/>
        </w:rPr>
        <w:t>. (i) (A) At their respective Effective Times, (B) on the date of this Agreement and (C) on each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Date, each of the Initial Registration Statement and the Additional Registration Statement (if any) conformed and will conform in all material respects to the requirements of the Act and the Rules and Regulations and did not and will not include any untrue statement of a material fact or omit to state any material fact required to be stated therein or necessary to make the statements therein not misleading; and (ii) on its date, at the time of filing of the Final Prospectus pursuant to Rule 424(b) or (if no such filing is required) at the Effective Time of the Additional Registration Statement in which the Final Prospectus is included, and on each Closing Date, the Final Prospectus will conform in all material respects to the requirements of the Act and the Rules and Regulations and will not include any untrue statement of a material fact or omit to state any material fact necessary in order to make the statements, in the light of the circumstances under which they were made, not misleading. Notwithstanding the foregoing, the preceding clauses</w:t>
      </w:r>
    </w:p>
    <w:p>
      <w:pPr>
        <w:spacing w:after="0" w:line="1" w:lineRule="exact"/>
        <w:rPr>
          <w:rFonts w:ascii="Arial" w:cs="Arial" w:eastAsia="Arial" w:hAnsi="Arial"/>
          <w:sz w:val="16"/>
          <w:szCs w:val="16"/>
          <w:color w:val="auto"/>
        </w:rPr>
      </w:pPr>
    </w:p>
    <w:p>
      <w:pPr>
        <w:ind w:left="460" w:right="120" w:firstLine="4"/>
        <w:spacing w:after="0" w:line="255" w:lineRule="auto"/>
        <w:tabs>
          <w:tab w:leader="none" w:pos="67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and (ii) shall not apply to statements in or omissions from any such document based upon written information furnished to the Company by any Underwriter through the Representatives specifically for use therein, it being understood and agreed that the only such information is that described as such in Section 10(b) hereof.</w:t>
      </w:r>
    </w:p>
    <w:p>
      <w:pPr>
        <w:spacing w:after="0" w:line="82" w:lineRule="exact"/>
        <w:rPr>
          <w:rFonts w:ascii="Arial" w:cs="Arial" w:eastAsia="Arial" w:hAnsi="Arial"/>
          <w:sz w:val="18"/>
          <w:szCs w:val="18"/>
          <w:color w:val="auto"/>
        </w:rPr>
      </w:pPr>
    </w:p>
    <w:p>
      <w:pPr>
        <w:ind w:left="460" w:right="80" w:firstLine="443"/>
        <w:spacing w:after="0" w:line="255" w:lineRule="auto"/>
        <w:tabs>
          <w:tab w:leader="none" w:pos="1143" w:val="left"/>
        </w:tabs>
        <w:numPr>
          <w:ilvl w:val="1"/>
          <w:numId w:val="163"/>
        </w:numPr>
        <w:rPr>
          <w:rFonts w:ascii="Arial" w:cs="Arial" w:eastAsia="Arial" w:hAnsi="Arial"/>
          <w:sz w:val="18"/>
          <w:szCs w:val="18"/>
          <w:color w:val="auto"/>
        </w:rPr>
      </w:pPr>
      <w:r>
        <w:rPr>
          <w:rFonts w:ascii="Arial" w:cs="Arial" w:eastAsia="Arial" w:hAnsi="Arial"/>
          <w:sz w:val="18"/>
          <w:szCs w:val="18"/>
          <w:i w:val="1"/>
          <w:iCs w:val="1"/>
          <w:color w:val="auto"/>
        </w:rPr>
        <w:t>Ineligible Issuer Status</w:t>
      </w:r>
      <w:r>
        <w:rPr>
          <w:rFonts w:ascii="Arial" w:cs="Arial" w:eastAsia="Arial" w:hAnsi="Arial"/>
          <w:sz w:val="18"/>
          <w:szCs w:val="18"/>
          <w:color w:val="auto"/>
        </w:rPr>
        <w:t>. (i) At the time of the initial filing of the Initial Registration Statement and (ii) at the date of this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was not and is not an “ineligible issuer,” as defined in Rule 405, including as a result of (x) the Company in the preceding three years having been convicted of a felony or misdemeanor or having been made the subject of a judicial or administrative decree or order as described in Rule 405, having been the subject of a bankruptcy petition or insolvency or similar proceeding or having had a registration statement be the subject of a proceeding under Section 8 of the Act or (y) the Company having been the subject of a proceeding under Section 8A of the Act in connection with the offering of the Offered Securities, all as described in Rule 405.</w:t>
      </w:r>
    </w:p>
    <w:p>
      <w:pPr>
        <w:spacing w:after="0" w:line="85" w:lineRule="exact"/>
        <w:rPr>
          <w:rFonts w:ascii="Arial" w:cs="Arial" w:eastAsia="Arial" w:hAnsi="Arial"/>
          <w:sz w:val="18"/>
          <w:szCs w:val="18"/>
          <w:color w:val="auto"/>
        </w:rPr>
      </w:pPr>
    </w:p>
    <w:p>
      <w:pPr>
        <w:jc w:val="both"/>
        <w:ind w:left="460" w:right="160" w:firstLine="443"/>
        <w:spacing w:after="0" w:line="279" w:lineRule="auto"/>
        <w:tabs>
          <w:tab w:leader="none" w:pos="1153" w:val="left"/>
        </w:tabs>
        <w:numPr>
          <w:ilvl w:val="1"/>
          <w:numId w:val="163"/>
        </w:numPr>
        <w:rPr>
          <w:rFonts w:ascii="Arial" w:cs="Arial" w:eastAsia="Arial" w:hAnsi="Arial"/>
          <w:sz w:val="17"/>
          <w:szCs w:val="17"/>
          <w:color w:val="auto"/>
        </w:rPr>
      </w:pPr>
      <w:r>
        <w:rPr>
          <w:rFonts w:ascii="Arial" w:cs="Arial" w:eastAsia="Arial" w:hAnsi="Arial"/>
          <w:sz w:val="17"/>
          <w:szCs w:val="17"/>
          <w:i w:val="1"/>
          <w:iCs w:val="1"/>
          <w:color w:val="auto"/>
        </w:rPr>
        <w:t>General Disclosure Package</w:t>
      </w:r>
      <w:r>
        <w:rPr>
          <w:rFonts w:ascii="Arial" w:cs="Arial" w:eastAsia="Arial" w:hAnsi="Arial"/>
          <w:sz w:val="17"/>
          <w:szCs w:val="17"/>
          <w:color w:val="auto"/>
        </w:rPr>
        <w:t>. As of the Applicable Time, none of (i) the General Use Issuer Free Writing Prospectus(es) issued at or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Applicable Time, the preliminary prospectus, dated [•], 2016 (which is the most recent Statutory Prospectus distributed to investors generally) and the other information, if any, stated in Schedule B to this Agreement to be included in the General Disclosure Package, all considered together (collectively, the “</w:t>
      </w:r>
      <w:r>
        <w:rPr>
          <w:rFonts w:ascii="Arial" w:cs="Arial" w:eastAsia="Arial" w:hAnsi="Arial"/>
          <w:sz w:val="17"/>
          <w:szCs w:val="17"/>
          <w:b w:val="1"/>
          <w:bCs w:val="1"/>
          <w:color w:val="auto"/>
        </w:rPr>
        <w:t>General Disclosure Package</w:t>
      </w:r>
      <w:r>
        <w:rPr>
          <w:rFonts w:ascii="Arial" w:cs="Arial" w:eastAsia="Arial" w:hAnsi="Arial"/>
          <w:sz w:val="17"/>
          <w:szCs w:val="17"/>
          <w:color w:val="auto"/>
        </w:rPr>
        <w:t>”), (ii) any individual Limited Use Issuer Free Writing Prospectus, when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46" w:name="page247"/>
    <w:bookmarkEnd w:id="24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considered together with the General Disclosure Package or (iii) any individual Written Testing-the-Waters Communication that has been approved by the Company,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or any Issuer Free Writing Prospectus made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10(b) hereof.</w:t>
      </w:r>
    </w:p>
    <w:p>
      <w:pPr>
        <w:spacing w:after="0" w:line="81" w:lineRule="exact"/>
        <w:rPr>
          <w:sz w:val="20"/>
          <w:szCs w:val="20"/>
          <w:color w:val="auto"/>
        </w:rPr>
      </w:pPr>
    </w:p>
    <w:p>
      <w:pPr>
        <w:ind w:right="40" w:firstLine="443"/>
        <w:spacing w:after="0" w:line="284" w:lineRule="auto"/>
        <w:tabs>
          <w:tab w:leader="none" w:pos="683" w:val="left"/>
        </w:tabs>
        <w:numPr>
          <w:ilvl w:val="1"/>
          <w:numId w:val="164"/>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Each Issuer Free Writing Prospectus, as of its issue date and at all subsequent times through the completion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public offer and sale of the Offered Securities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Representatives and</w:t>
      </w:r>
    </w:p>
    <w:p>
      <w:pPr>
        <w:spacing w:after="0" w:line="1" w:lineRule="exact"/>
        <w:rPr>
          <w:rFonts w:ascii="Arial" w:cs="Arial" w:eastAsia="Arial" w:hAnsi="Arial"/>
          <w:sz w:val="16"/>
          <w:szCs w:val="16"/>
          <w:color w:val="auto"/>
        </w:rPr>
      </w:pPr>
    </w:p>
    <w:p>
      <w:pPr>
        <w:ind w:right="60" w:firstLine="4"/>
        <w:spacing w:after="0" w:line="253" w:lineRule="auto"/>
        <w:tabs>
          <w:tab w:leader="none" w:pos="26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has promptly amended or will promptly amend or supplement such Issuer Free Writing Prospectus to eliminate or correct such conflict, untrue statement or omission. The first sentence of this paragraph does not apply to statements in or omissions from any Issuer Free Writing Prospectus made in reliance upon and in conformity with written information furnished to the Company by any Underwriter through the Representatives specifically for use therein, it being understood and agreed that the only such information consists of the information described as such in Section 10(b) hereof.</w:t>
      </w:r>
    </w:p>
    <w:p>
      <w:pPr>
        <w:spacing w:after="0" w:line="83" w:lineRule="exact"/>
        <w:rPr>
          <w:rFonts w:ascii="Arial" w:cs="Arial" w:eastAsia="Arial" w:hAnsi="Arial"/>
          <w:sz w:val="18"/>
          <w:szCs w:val="18"/>
          <w:color w:val="auto"/>
        </w:rPr>
      </w:pPr>
    </w:p>
    <w:p>
      <w:pPr>
        <w:ind w:right="40" w:firstLine="443"/>
        <w:spacing w:after="0" w:line="342" w:lineRule="auto"/>
        <w:tabs>
          <w:tab w:leader="none" w:pos="663" w:val="left"/>
        </w:tabs>
        <w:numPr>
          <w:ilvl w:val="1"/>
          <w:numId w:val="165"/>
        </w:numPr>
        <w:rPr>
          <w:rFonts w:ascii="Arial" w:cs="Arial" w:eastAsia="Arial" w:hAnsi="Arial"/>
          <w:sz w:val="16"/>
          <w:szCs w:val="16"/>
          <w:color w:val="auto"/>
        </w:rPr>
      </w:pPr>
      <w:r>
        <w:rPr>
          <w:rFonts w:ascii="Arial" w:cs="Arial" w:eastAsia="Arial" w:hAnsi="Arial"/>
          <w:sz w:val="16"/>
          <w:szCs w:val="16"/>
          <w:i w:val="1"/>
          <w:iCs w:val="1"/>
          <w:color w:val="auto"/>
        </w:rPr>
        <w:t>Good Standing of the Company</w:t>
      </w:r>
      <w:r>
        <w:rPr>
          <w:rFonts w:ascii="Arial" w:cs="Arial" w:eastAsia="Arial" w:hAnsi="Arial"/>
          <w:sz w:val="16"/>
          <w:szCs w:val="16"/>
          <w:color w:val="auto"/>
        </w:rPr>
        <w:t>. The Company has been duly incorporated and is existing and in good standing under the laws of Switzerland,</w:t>
      </w:r>
      <w:r>
        <w:rPr>
          <w:rFonts w:ascii="Arial" w:cs="Arial" w:eastAsia="Arial" w:hAnsi="Arial"/>
          <w:sz w:val="16"/>
          <w:szCs w:val="16"/>
          <w:i w:val="1"/>
          <w:iCs w:val="1"/>
          <w:color w:val="auto"/>
        </w:rPr>
        <w:t xml:space="preserve"> </w:t>
      </w:r>
      <w:r>
        <w:rPr>
          <w:rFonts w:ascii="Arial" w:cs="Arial" w:eastAsia="Arial" w:hAnsi="Arial"/>
          <w:sz w:val="16"/>
          <w:szCs w:val="16"/>
          <w:color w:val="auto"/>
        </w:rPr>
        <w:t>with power and authority (corporate and other) to own its properties and conduct its business as described in the General Disclosure Package.</w:t>
      </w:r>
    </w:p>
    <w:p>
      <w:pPr>
        <w:spacing w:after="0" w:line="15" w:lineRule="exact"/>
        <w:rPr>
          <w:rFonts w:ascii="Arial" w:cs="Arial" w:eastAsia="Arial" w:hAnsi="Arial"/>
          <w:sz w:val="16"/>
          <w:szCs w:val="16"/>
          <w:color w:val="auto"/>
        </w:rPr>
      </w:pPr>
    </w:p>
    <w:p>
      <w:pPr>
        <w:ind w:firstLine="443"/>
        <w:spacing w:after="0" w:line="255" w:lineRule="auto"/>
        <w:tabs>
          <w:tab w:leader="none" w:pos="693"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Offered Securities</w:t>
      </w:r>
      <w:r>
        <w:rPr>
          <w:rFonts w:ascii="Arial" w:cs="Arial" w:eastAsia="Arial" w:hAnsi="Arial"/>
          <w:sz w:val="18"/>
          <w:szCs w:val="18"/>
          <w:color w:val="auto"/>
        </w:rPr>
        <w:t>. The Offered Securities and all other outstanding shares of capital stock of the Company will, on the Closing Date, be duly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the authorized equity capitalization of the Company will, on the Closing Date, be as set forth in the General Disclosure Package; all outstanding shares of capital stock of the Company, when the Offered Securities have been delivered and paid for in accordance with this Agreement on each Closing Date, will be validly issued, fully paid and nonassessable, and will conform in all material respects to the information in the General Disclosure Package and to the description of such Offered Securities contained in the Final Prospectus; the stockholders of the Company have no preemptive rights with respect to the Securities; and none of the outstanding shares of capital stock of the Company have been issued in violation of any preemptive or similar rights of any security holder.</w:t>
      </w:r>
    </w:p>
    <w:p>
      <w:pPr>
        <w:spacing w:after="0" w:line="81" w:lineRule="exact"/>
        <w:rPr>
          <w:rFonts w:ascii="Arial" w:cs="Arial" w:eastAsia="Arial" w:hAnsi="Arial"/>
          <w:sz w:val="18"/>
          <w:szCs w:val="18"/>
          <w:color w:val="auto"/>
        </w:rPr>
      </w:pPr>
    </w:p>
    <w:p>
      <w:pPr>
        <w:ind w:right="320" w:firstLine="443"/>
        <w:spacing w:after="0" w:line="264" w:lineRule="auto"/>
        <w:tabs>
          <w:tab w:leader="none" w:pos="693"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No Finder’s Fee</w:t>
      </w:r>
      <w:r>
        <w:rPr>
          <w:rFonts w:ascii="Arial" w:cs="Arial" w:eastAsia="Arial" w:hAnsi="Arial"/>
          <w:sz w:val="18"/>
          <w:szCs w:val="18"/>
          <w:color w:val="auto"/>
        </w:rPr>
        <w:t>. Except as disclosed in the General Disclosure Package and the Final Prospectus, there are no contracts, agreements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understandings between the Company and any person that would give rise to a valid claim against the Company or any Underwriter for a brokerage commission, finder’s fee or other like payment in connection with this offering.</w:t>
      </w:r>
    </w:p>
    <w:p>
      <w:pPr>
        <w:spacing w:after="0" w:line="73" w:lineRule="exact"/>
        <w:rPr>
          <w:rFonts w:ascii="Arial" w:cs="Arial" w:eastAsia="Arial" w:hAnsi="Arial"/>
          <w:sz w:val="18"/>
          <w:szCs w:val="18"/>
          <w:color w:val="auto"/>
        </w:rPr>
      </w:pPr>
    </w:p>
    <w:p>
      <w:pPr>
        <w:ind w:right="220" w:firstLine="443"/>
        <w:spacing w:after="0" w:line="259" w:lineRule="auto"/>
        <w:tabs>
          <w:tab w:leader="none" w:pos="653"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Registration Rights</w:t>
      </w:r>
      <w:r>
        <w:rPr>
          <w:rFonts w:ascii="Arial" w:cs="Arial" w:eastAsia="Arial" w:hAnsi="Arial"/>
          <w:sz w:val="18"/>
          <w:szCs w:val="18"/>
          <w:color w:val="auto"/>
        </w:rPr>
        <w:t>. Except as disclosed in the General Disclosure Package and the Final Prospectus, there are no contracts, agreements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247" w:name="page248"/>
    <w:bookmarkEnd w:id="247"/>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a Registration Statement or in any securities being registered pursuant to any other registration statement filed by the Company under the Act (collectively, “registration rights”), and any person to whom the Company has granted registration rights has agreed not to exercise such rights until after the expiration of the Lock-Up Period referred to in Section 7(k) hereof.</w:t>
      </w:r>
    </w:p>
    <w:p>
      <w:pPr>
        <w:spacing w:after="0" w:line="73" w:lineRule="exact"/>
        <w:rPr>
          <w:sz w:val="20"/>
          <w:szCs w:val="20"/>
          <w:color w:val="auto"/>
        </w:rPr>
      </w:pPr>
    </w:p>
    <w:p>
      <w:pPr>
        <w:ind w:left="660" w:hanging="217"/>
        <w:spacing w:after="0"/>
        <w:tabs>
          <w:tab w:leader="none" w:pos="660"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Listing</w:t>
      </w:r>
      <w:r>
        <w:rPr>
          <w:rFonts w:ascii="Arial" w:cs="Arial" w:eastAsia="Arial" w:hAnsi="Arial"/>
          <w:sz w:val="17"/>
          <w:szCs w:val="17"/>
          <w:color w:val="auto"/>
        </w:rPr>
        <w:t>. The Offered Securities have been approved for listing on the NASDAQ Global [Select] Market, subject to notice of issuance.</w:t>
      </w:r>
    </w:p>
    <w:p>
      <w:pPr>
        <w:spacing w:after="0" w:line="128" w:lineRule="exact"/>
        <w:rPr>
          <w:rFonts w:ascii="Arial" w:cs="Arial" w:eastAsia="Arial" w:hAnsi="Arial"/>
          <w:sz w:val="17"/>
          <w:szCs w:val="17"/>
          <w:color w:val="auto"/>
        </w:rPr>
      </w:pPr>
    </w:p>
    <w:p>
      <w:pPr>
        <w:ind w:firstLine="443"/>
        <w:spacing w:after="0" w:line="276" w:lineRule="auto"/>
        <w:tabs>
          <w:tab w:leader="none" w:pos="693"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Absence of Further Requirements</w:t>
      </w:r>
      <w:r>
        <w:rPr>
          <w:rFonts w:ascii="Arial" w:cs="Arial" w:eastAsia="Arial" w:hAnsi="Arial"/>
          <w:sz w:val="17"/>
          <w:szCs w:val="17"/>
          <w:color w:val="auto"/>
        </w:rPr>
        <w:t>. No consent, approval, authorization, or order of, or filing or registration with, any person (including any</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agency or body or any court) is required for the consummation of the transactions contemplated by this Agreement in connection with the offering, issuance and sale of the Offered Securities by the Company, except such as have been obtained or made and such as may be required under state securities laws or except such as would not reasonably be expected to result in a material adverse effect on the condition (financial or otherwise), results of operations, business, properties or prospects of the Company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right="320" w:firstLine="443"/>
        <w:spacing w:after="0" w:line="276" w:lineRule="auto"/>
        <w:tabs>
          <w:tab w:leader="none" w:pos="653"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Title to Property</w:t>
      </w:r>
      <w:r>
        <w:rPr>
          <w:rFonts w:ascii="Arial" w:cs="Arial" w:eastAsia="Arial" w:hAnsi="Arial"/>
          <w:sz w:val="17"/>
          <w:szCs w:val="17"/>
          <w:color w:val="auto"/>
        </w:rPr>
        <w:t>. The Company does not own any real property. Except as disclosed in the General Disclosure Package and the Final</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the Company has good and marketable title to all other material properties and assets owned by it, in each case free from liens, charges, encumbrances and defects that would reasonably be expected to have a Material Adverse Effect and, except as disclosed in the General Disclosure Package and the Final Prospectus, the Company holds any leased real or personal property under valid and enforceable leases with no terms or provisions that would reasonably be expected to have a Material Adverse Effect.</w:t>
      </w:r>
    </w:p>
    <w:p>
      <w:pPr>
        <w:spacing w:after="0" w:line="64" w:lineRule="exact"/>
        <w:rPr>
          <w:rFonts w:ascii="Arial" w:cs="Arial" w:eastAsia="Arial" w:hAnsi="Arial"/>
          <w:sz w:val="17"/>
          <w:szCs w:val="17"/>
          <w:color w:val="auto"/>
        </w:rPr>
      </w:pPr>
    </w:p>
    <w:p>
      <w:pPr>
        <w:ind w:right="80" w:firstLine="443"/>
        <w:spacing w:after="0" w:line="288" w:lineRule="auto"/>
        <w:tabs>
          <w:tab w:leader="none" w:pos="743"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Absence of Defaults and Conflicts Resulting from Transaction</w:t>
      </w:r>
      <w:r>
        <w:rPr>
          <w:rFonts w:ascii="Arial" w:cs="Arial" w:eastAsia="Arial" w:hAnsi="Arial"/>
          <w:sz w:val="16"/>
          <w:szCs w:val="16"/>
          <w:color w:val="auto"/>
        </w:rPr>
        <w:t>. The execution, delivery and performance of this Agreement, and the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sale of the Offered Securities will not result in a breach or violation of any of the terms and provisions of, or constitute a default or a Debt Repayment Triggering Event (as defined below) under, or result in the, imposition of any lien, charge or encumbrance upon any property or assets of the Company pursuant to, (i) the articles of association or other similar organizational documents of the Company, (ii) any statute, rule, regulation or order of any governmental agency or body or any court, domestic or foreign, having jurisdiction over the Company or any of its properties, or (iii) any agreement or instrument to which the Company is a party or by which the Company is bound or to which any of the properties of the Company is subject except for purposes of clauses (ii) and (iii) where any such breach, violation, default, lien, charge or encumbrance would not reasonably be expected to have a Material Adverse Effect;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61" w:lineRule="exact"/>
        <w:rPr>
          <w:rFonts w:ascii="Arial" w:cs="Arial" w:eastAsia="Arial" w:hAnsi="Arial"/>
          <w:sz w:val="16"/>
          <w:szCs w:val="16"/>
          <w:color w:val="auto"/>
        </w:rPr>
      </w:pPr>
    </w:p>
    <w:p>
      <w:pPr>
        <w:ind w:right="80" w:firstLine="443"/>
        <w:spacing w:after="0" w:line="257" w:lineRule="auto"/>
        <w:tabs>
          <w:tab w:leader="none" w:pos="693"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Absence of Existing Defaults and Conflicts</w:t>
      </w:r>
      <w:r>
        <w:rPr>
          <w:rFonts w:ascii="Arial" w:cs="Arial" w:eastAsia="Arial" w:hAnsi="Arial"/>
          <w:sz w:val="18"/>
          <w:szCs w:val="18"/>
          <w:color w:val="auto"/>
        </w:rPr>
        <w:t>. The Company is not in violation of its articles of association or similar organizational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or in default (or with the giving of notice or lapse of time would be in default) under any existing obligation, agreement, covenant or condition contained in any indenture, loan agreement, mortgage, lease or other agreement or instrument to which it is a party or by it is bound or to which any its properties is subject, except such defaults that would not, individually or in the aggregate, reasonably be expected to result in a Material Adverse Effect.</w:t>
      </w:r>
    </w:p>
    <w:p>
      <w:pPr>
        <w:spacing w:after="0" w:line="80" w:lineRule="exact"/>
        <w:rPr>
          <w:rFonts w:ascii="Arial" w:cs="Arial" w:eastAsia="Arial" w:hAnsi="Arial"/>
          <w:sz w:val="18"/>
          <w:szCs w:val="18"/>
          <w:color w:val="auto"/>
        </w:rPr>
      </w:pPr>
    </w:p>
    <w:p>
      <w:pPr>
        <w:ind w:right="180" w:firstLine="443"/>
        <w:spacing w:after="0" w:line="277" w:lineRule="auto"/>
        <w:tabs>
          <w:tab w:leader="none" w:pos="693"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Authorization of Agreement</w:t>
      </w:r>
      <w:r>
        <w:rPr>
          <w:rFonts w:ascii="Arial" w:cs="Arial" w:eastAsia="Arial" w:hAnsi="Arial"/>
          <w:sz w:val="18"/>
          <w:szCs w:val="18"/>
          <w:color w:val="auto"/>
        </w:rPr>
        <w:t>. This Agreement has been duly authorized, executed and delivered by the Company and no other authorizations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required to execute and deliver this Agreement on behalf of the Company.</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248" w:name="page249"/>
    <w:bookmarkEnd w:id="248"/>
    <w:p>
      <w:pPr>
        <w:jc w:val="both"/>
        <w:ind w:right="40" w:firstLine="443"/>
        <w:spacing w:after="0" w:line="255" w:lineRule="auto"/>
        <w:tabs>
          <w:tab w:leader="none" w:pos="693" w:val="left"/>
        </w:tabs>
        <w:numPr>
          <w:ilvl w:val="1"/>
          <w:numId w:val="16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Possession of Licenses and Permits</w:t>
      </w:r>
      <w:r>
        <w:rPr>
          <w:rFonts w:ascii="Arial" w:cs="Arial" w:eastAsia="Arial" w:hAnsi="Arial"/>
          <w:sz w:val="18"/>
          <w:szCs w:val="18"/>
          <w:color w:val="auto"/>
        </w:rPr>
        <w:t>. The Company possesses, and is in compliance with the terms of, all adequate certificates, authorizations,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franchises, licenses and permits, including, without limitation, from the U.S. Food and Drug Administration (“</w:t>
      </w:r>
      <w:r>
        <w:rPr>
          <w:rFonts w:ascii="Arial" w:cs="Arial" w:eastAsia="Arial" w:hAnsi="Arial"/>
          <w:sz w:val="18"/>
          <w:szCs w:val="18"/>
          <w:b w:val="1"/>
          <w:bCs w:val="1"/>
          <w:color w:val="auto"/>
        </w:rPr>
        <w:t>FDA</w:t>
      </w:r>
      <w:r>
        <w:rPr>
          <w:rFonts w:ascii="Arial" w:cs="Arial" w:eastAsia="Arial" w:hAnsi="Arial"/>
          <w:sz w:val="18"/>
          <w:szCs w:val="18"/>
          <w:color w:val="auto"/>
        </w:rPr>
        <w:t>”) and equivalent foreign regulatory authorities (“</w:t>
      </w:r>
      <w:r>
        <w:rPr>
          <w:rFonts w:ascii="Arial" w:cs="Arial" w:eastAsia="Arial" w:hAnsi="Arial"/>
          <w:sz w:val="18"/>
          <w:szCs w:val="18"/>
          <w:b w:val="1"/>
          <w:bCs w:val="1"/>
          <w:color w:val="auto"/>
        </w:rPr>
        <w:t>Licenses</w:t>
      </w:r>
      <w:r>
        <w:rPr>
          <w:rFonts w:ascii="Arial" w:cs="Arial" w:eastAsia="Arial" w:hAnsi="Arial"/>
          <w:sz w:val="18"/>
          <w:szCs w:val="18"/>
          <w:color w:val="auto"/>
        </w:rPr>
        <w:t>”) necessary or material to the conduct of the business now conducted or proposed in the General Disclosure Package and Final Prospectus to be conducted by it and has not received any notice of proceedings or other correspondence relating to the revocation or modification of any Licenses that, if determined adversely to the Company, would individually or in the aggregate reasonably be expected to have a Material Adverse Effect.</w:t>
      </w:r>
    </w:p>
    <w:p>
      <w:pPr>
        <w:spacing w:after="0" w:line="85" w:lineRule="exact"/>
        <w:rPr>
          <w:rFonts w:ascii="Arial" w:cs="Arial" w:eastAsia="Arial" w:hAnsi="Arial"/>
          <w:sz w:val="18"/>
          <w:szCs w:val="18"/>
          <w:color w:val="auto"/>
        </w:rPr>
      </w:pPr>
    </w:p>
    <w:p>
      <w:pPr>
        <w:ind w:right="20" w:firstLine="443"/>
        <w:spacing w:after="0" w:line="277" w:lineRule="auto"/>
        <w:tabs>
          <w:tab w:leader="none" w:pos="693" w:val="left"/>
        </w:tabs>
        <w:numPr>
          <w:ilvl w:val="1"/>
          <w:numId w:val="167"/>
        </w:numPr>
        <w:rPr>
          <w:rFonts w:ascii="Arial" w:cs="Arial" w:eastAsia="Arial" w:hAnsi="Arial"/>
          <w:sz w:val="18"/>
          <w:szCs w:val="18"/>
          <w:color w:val="auto"/>
        </w:rPr>
      </w:pPr>
      <w:r>
        <w:rPr>
          <w:rFonts w:ascii="Arial" w:cs="Arial" w:eastAsia="Arial" w:hAnsi="Arial"/>
          <w:sz w:val="18"/>
          <w:szCs w:val="18"/>
          <w:i w:val="1"/>
          <w:iCs w:val="1"/>
          <w:color w:val="auto"/>
        </w:rPr>
        <w:t>Absence of Labor Dispute</w:t>
      </w:r>
      <w:r>
        <w:rPr>
          <w:rFonts w:ascii="Arial" w:cs="Arial" w:eastAsia="Arial" w:hAnsi="Arial"/>
          <w:sz w:val="18"/>
          <w:szCs w:val="18"/>
          <w:color w:val="auto"/>
        </w:rPr>
        <w:t>. No labor dispute with the employees of the Company exists or, to the knowledge of the Company, is imminent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reasonably be expected to have a Material Adverse Effect.</w:t>
      </w:r>
    </w:p>
    <w:p>
      <w:pPr>
        <w:spacing w:after="0" w:line="62" w:lineRule="exact"/>
        <w:rPr>
          <w:rFonts w:ascii="Arial" w:cs="Arial" w:eastAsia="Arial" w:hAnsi="Arial"/>
          <w:sz w:val="18"/>
          <w:szCs w:val="18"/>
          <w:color w:val="auto"/>
        </w:rPr>
      </w:pPr>
    </w:p>
    <w:p>
      <w:pPr>
        <w:ind w:right="40" w:firstLine="443"/>
        <w:spacing w:after="0" w:line="268" w:lineRule="auto"/>
        <w:tabs>
          <w:tab w:leader="none" w:pos="663" w:val="left"/>
        </w:tabs>
        <w:numPr>
          <w:ilvl w:val="1"/>
          <w:numId w:val="167"/>
        </w:numPr>
        <w:rPr>
          <w:rFonts w:ascii="Arial" w:cs="Arial" w:eastAsia="Arial" w:hAnsi="Arial"/>
          <w:sz w:val="17"/>
          <w:szCs w:val="17"/>
          <w:color w:val="auto"/>
        </w:rPr>
      </w:pPr>
      <w:r>
        <w:rPr>
          <w:rFonts w:ascii="Arial" w:cs="Arial" w:eastAsia="Arial" w:hAnsi="Arial"/>
          <w:sz w:val="17"/>
          <w:szCs w:val="17"/>
          <w:i w:val="1"/>
          <w:iCs w:val="1"/>
          <w:color w:val="auto"/>
        </w:rPr>
        <w:t>Clinical Trials</w:t>
      </w:r>
      <w:r>
        <w:rPr>
          <w:rFonts w:ascii="Arial" w:cs="Arial" w:eastAsia="Arial" w:hAnsi="Arial"/>
          <w:sz w:val="17"/>
          <w:szCs w:val="17"/>
          <w:color w:val="auto"/>
        </w:rPr>
        <w:t>. The preclinical and clinical studies conducted by the Company, and to the knowledge of the Company, the preclinical and</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studies conducted on behalf of or sponsored by the Company, that are described in, or the results of which are referred to in, the General Disclosure Package and the Final Prospectus were and, if still pending, are being conducted in all material respects in accordance with protocols, procedures and controls filed with the appropriate regulatory authorities for each such test or study, as the case may be, and with standard medical and scientific research procedures, except in each case where failure to so conduct would not reasonably be expected to have a Material Adverse Effect; each description of the results of such studies contained in the General Disclosure Package and the Final Prospectus is accurate and complete in all material respects and fairly presents the data derived from such studies, and the Company has no knowledge of any other studies or tests the results of which are inconsistent with, or otherwise call into question, the results described or referred to in the General Disclosure Package and the Final Prospectus; the Company has not received any notices or other correspondence from the FDA or any committee thereof or from any other U.S. or foreign government or regulatory authority (collectively, the “</w:t>
      </w:r>
      <w:r>
        <w:rPr>
          <w:rFonts w:ascii="Arial" w:cs="Arial" w:eastAsia="Arial" w:hAnsi="Arial"/>
          <w:sz w:val="17"/>
          <w:szCs w:val="17"/>
          <w:b w:val="1"/>
          <w:bCs w:val="1"/>
          <w:color w:val="auto"/>
        </w:rPr>
        <w:t>Regulatory Authorities</w:t>
      </w:r>
      <w:r>
        <w:rPr>
          <w:rFonts w:ascii="Arial" w:cs="Arial" w:eastAsia="Arial" w:hAnsi="Arial"/>
          <w:sz w:val="17"/>
          <w:szCs w:val="17"/>
          <w:color w:val="auto"/>
        </w:rPr>
        <w:t>”) requiring the termination, suspension or material modification of any preclinical or clinical studies that are described or referred to in the General Disclosure Package and the Final Prospectus, other than ordinary course communications with respect to modifications in connection with the design and implementation of such studies; and the Company has operated and currently is in compliance in all respects with all applicable rules, regulations and policies of the Regulatory Authorities except as would not reasonably be expected to have a Material Adverse Effect.</w:t>
      </w:r>
    </w:p>
    <w:p>
      <w:pPr>
        <w:spacing w:after="0" w:line="77" w:lineRule="exact"/>
        <w:rPr>
          <w:rFonts w:ascii="Arial" w:cs="Arial" w:eastAsia="Arial" w:hAnsi="Arial"/>
          <w:sz w:val="17"/>
          <w:szCs w:val="17"/>
          <w:color w:val="auto"/>
        </w:rPr>
      </w:pPr>
    </w:p>
    <w:p>
      <w:pPr>
        <w:ind w:firstLine="443"/>
        <w:spacing w:after="0" w:line="283" w:lineRule="auto"/>
        <w:tabs>
          <w:tab w:leader="none" w:pos="673" w:val="left"/>
        </w:tabs>
        <w:numPr>
          <w:ilvl w:val="1"/>
          <w:numId w:val="167"/>
        </w:numPr>
        <w:rPr>
          <w:rFonts w:ascii="Arial" w:cs="Arial" w:eastAsia="Arial" w:hAnsi="Arial"/>
          <w:sz w:val="16"/>
          <w:szCs w:val="16"/>
          <w:color w:val="auto"/>
        </w:rPr>
      </w:pPr>
      <w:r>
        <w:rPr>
          <w:rFonts w:ascii="Arial" w:cs="Arial" w:eastAsia="Arial" w:hAnsi="Arial"/>
          <w:sz w:val="16"/>
          <w:szCs w:val="16"/>
          <w:i w:val="1"/>
          <w:iCs w:val="1"/>
          <w:color w:val="auto"/>
        </w:rPr>
        <w:t>Possession of Intellectual Property</w:t>
      </w:r>
      <w:r>
        <w:rPr>
          <w:rFonts w:ascii="Arial" w:cs="Arial" w:eastAsia="Arial" w:hAnsi="Arial"/>
          <w:sz w:val="16"/>
          <w:szCs w:val="16"/>
          <w:color w:val="auto"/>
        </w:rPr>
        <w:t>. The Company owns, possesses or can acquire on reasonable terms all trademarks, trade names, patent</w:t>
      </w:r>
      <w:r>
        <w:rPr>
          <w:rFonts w:ascii="Arial" w:cs="Arial" w:eastAsia="Arial" w:hAnsi="Arial"/>
          <w:sz w:val="16"/>
          <w:szCs w:val="16"/>
          <w:i w:val="1"/>
          <w:iCs w:val="1"/>
          <w:color w:val="auto"/>
        </w:rPr>
        <w:t xml:space="preserve"> </w:t>
      </w:r>
      <w:r>
        <w:rPr>
          <w:rFonts w:ascii="Arial" w:cs="Arial" w:eastAsia="Arial" w:hAnsi="Arial"/>
          <w:sz w:val="16"/>
          <w:szCs w:val="16"/>
          <w:color w:val="auto"/>
        </w:rPr>
        <w:t>rights, copyrights, domain names, licenses, trade secrets, inventions, technology, know-how and other intellectual property and similar proprietary rights, including registrations and applications for registration thereof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described in the General Disclosure Package and, to the knowledge of the Company and except as disclosed in the General Disclosure Package and the Final Prospectus, owns all necessary or material to the conduct of the business now conducted or proposed in the General Disclosure Package to be conducted by it. Except as disclosed in the General Disclosure Package and the Final Prospectus, (i) there is no pending or, to the knowledge of the Company, threatened action, suit, proceeding or claim by any third party against the Company challenging the Company’s rights in or to any of the Company’s Intellectual Property Rights, and the Company is unaware of any facts which would form a reasonable basis for any such claim; (ii) there is no pending or, to the knowledge of the Company, threatened action, suit, proceeding or claim by others against the Company challenging the validity, enforceability or scope of any Intellectual Property Rights owned by the Company, and the Company is unaware of any facts which would form a reasonable basis for any such claim;</w:t>
      </w:r>
    </w:p>
    <w:p>
      <w:pPr>
        <w:spacing w:after="0" w:line="5" w:lineRule="exact"/>
        <w:rPr>
          <w:rFonts w:ascii="Arial" w:cs="Arial" w:eastAsia="Arial" w:hAnsi="Arial"/>
          <w:sz w:val="16"/>
          <w:szCs w:val="16"/>
          <w:color w:val="auto"/>
        </w:rPr>
      </w:pPr>
    </w:p>
    <w:p>
      <w:pPr>
        <w:ind w:right="180" w:firstLine="4"/>
        <w:spacing w:after="0" w:line="281" w:lineRule="auto"/>
        <w:tabs>
          <w:tab w:leader="none" w:pos="31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there is no pending or, to the Company’s knowledge, threatened action, suit, proceeding or claim against the Company by any third party that the Company infringes, misappropriates or otherwise violates any Intellectual Property Rights or other proprietary rights of such third party and the Company is unaware of any other fact which would form a reasonable basis for any such claim; and (iv) all assignments of intellectual property from the Company’s employees and consultants to the Company are valid, binding and enforceable and, to the Company’s knowledge, have appropriately vested ownership in the Company of any work product, developments or the like that is subject to such assignments, except in the case of clauses (i)–</w:t>
      </w:r>
    </w:p>
    <w:p>
      <w:pPr>
        <w:spacing w:after="0" w:line="3" w:lineRule="exact"/>
        <w:rPr>
          <w:rFonts w:ascii="Arial" w:cs="Arial" w:eastAsia="Arial" w:hAnsi="Arial"/>
          <w:sz w:val="16"/>
          <w:szCs w:val="16"/>
          <w:color w:val="auto"/>
        </w:rPr>
      </w:pPr>
    </w:p>
    <w:p>
      <w:pPr>
        <w:ind w:left="300" w:hanging="296"/>
        <w:spacing w:after="0"/>
        <w:tabs>
          <w:tab w:leader="none" w:pos="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as would not, individually or in the aggregate, reasonably be expected to have a Material Adverse Effect.</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249" w:name="page250"/>
    <w:bookmarkEnd w:id="249"/>
    <w:p>
      <w:pPr>
        <w:ind w:right="20" w:firstLine="443"/>
        <w:spacing w:after="0" w:line="272" w:lineRule="auto"/>
        <w:tabs>
          <w:tab w:leader="none" w:pos="653"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Environmental Laws</w:t>
      </w:r>
      <w:r>
        <w:rPr>
          <w:rFonts w:ascii="Arial" w:cs="Arial" w:eastAsia="Arial" w:hAnsi="Arial"/>
          <w:sz w:val="17"/>
          <w:szCs w:val="17"/>
          <w:color w:val="auto"/>
        </w:rPr>
        <w:t>. Except as disclosed in the General Disclosure Package and the Final Prospectus, the Company is not in violation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w:t>
      </w:r>
    </w:p>
    <w:p>
      <w:pPr>
        <w:spacing w:after="0" w:line="69" w:lineRule="exact"/>
        <w:rPr>
          <w:rFonts w:ascii="Arial" w:cs="Arial" w:eastAsia="Arial" w:hAnsi="Arial"/>
          <w:sz w:val="17"/>
          <w:szCs w:val="17"/>
          <w:color w:val="auto"/>
        </w:rPr>
      </w:pPr>
    </w:p>
    <w:p>
      <w:pPr>
        <w:ind w:right="20" w:firstLine="443"/>
        <w:spacing w:after="0" w:line="279" w:lineRule="auto"/>
        <w:tabs>
          <w:tab w:leader="none" w:pos="693"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Accurate Disclosure</w:t>
      </w:r>
      <w:r>
        <w:rPr>
          <w:rFonts w:ascii="Arial" w:cs="Arial" w:eastAsia="Arial" w:hAnsi="Arial"/>
          <w:sz w:val="17"/>
          <w:szCs w:val="17"/>
          <w:color w:val="auto"/>
        </w:rPr>
        <w:t>. The statements in the General Disclosure Package and the Final Prospectus under the headings “Business—Government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 and Our Regulatory Department”, “Taxation” and “Description of Share Capital and Articles of Association” insofar as such statements summarize legal matters, agreements, documents or proceedings discussed therein, are accurate and fair summaries of such legal matters, agreements, documents or proceedings and present the information required to be shown in all material respects.</w:t>
      </w:r>
    </w:p>
    <w:p>
      <w:pPr>
        <w:spacing w:after="0" w:line="63" w:lineRule="exact"/>
        <w:rPr>
          <w:rFonts w:ascii="Arial" w:cs="Arial" w:eastAsia="Arial" w:hAnsi="Arial"/>
          <w:sz w:val="17"/>
          <w:szCs w:val="17"/>
          <w:color w:val="auto"/>
        </w:rPr>
      </w:pPr>
    </w:p>
    <w:p>
      <w:pPr>
        <w:ind w:right="100" w:firstLine="443"/>
        <w:spacing w:after="0" w:line="264" w:lineRule="auto"/>
        <w:tabs>
          <w:tab w:leader="none" w:pos="693"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The Company has not taken, directly or indirectly, any action that is designed to or that has constituted or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reasonably be expected to cause or result in the stabilization or manipulation of the price of any security of the Company to facilitate the sale or resale of the Offered Securities.</w:t>
      </w:r>
    </w:p>
    <w:p>
      <w:pPr>
        <w:spacing w:after="0" w:line="73" w:lineRule="exact"/>
        <w:rPr>
          <w:rFonts w:ascii="Arial" w:cs="Arial" w:eastAsia="Arial" w:hAnsi="Arial"/>
          <w:sz w:val="18"/>
          <w:szCs w:val="18"/>
          <w:color w:val="auto"/>
        </w:rPr>
      </w:pPr>
    </w:p>
    <w:p>
      <w:pPr>
        <w:ind w:right="140" w:firstLine="443"/>
        <w:spacing w:after="0" w:line="264" w:lineRule="auto"/>
        <w:tabs>
          <w:tab w:leader="none" w:pos="733"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Statistical and Market-Related Data</w:t>
      </w:r>
      <w:r>
        <w:rPr>
          <w:rFonts w:ascii="Arial" w:cs="Arial" w:eastAsia="Arial" w:hAnsi="Arial"/>
          <w:sz w:val="18"/>
          <w:szCs w:val="18"/>
          <w:color w:val="auto"/>
        </w:rPr>
        <w:t>. Any third-party statistical and market-related data included in a Registration Statement, a Statutory</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the General Disclosure Package or any Written Testing-the-Waters Communication is based on or derived from sources that the Company believes to be reliable and accurate.</w:t>
      </w:r>
    </w:p>
    <w:p>
      <w:pPr>
        <w:spacing w:after="0" w:line="73" w:lineRule="exact"/>
        <w:rPr>
          <w:rFonts w:ascii="Arial" w:cs="Arial" w:eastAsia="Arial" w:hAnsi="Arial"/>
          <w:sz w:val="18"/>
          <w:szCs w:val="18"/>
          <w:color w:val="auto"/>
        </w:rPr>
      </w:pPr>
    </w:p>
    <w:p>
      <w:pPr>
        <w:ind w:firstLine="443"/>
        <w:spacing w:after="0" w:line="268" w:lineRule="auto"/>
        <w:tabs>
          <w:tab w:leader="none" w:pos="693"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Internal Controls and Compliance with Sarbanes-Oxley</w:t>
      </w:r>
      <w:r>
        <w:rPr>
          <w:rFonts w:ascii="Arial" w:cs="Arial" w:eastAsia="Arial" w:hAnsi="Arial"/>
          <w:sz w:val="17"/>
          <w:szCs w:val="17"/>
          <w:color w:val="auto"/>
        </w:rPr>
        <w:t>. Except as set forth in the General Disclosure Package and the Final Prospectus,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are in compliance with the applicable provisions of Sarbanes-Oxley and all applicable Exchange Rules.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Arial" w:cs="Arial" w:eastAsia="Arial" w:hAnsi="Arial"/>
          <w:sz w:val="17"/>
          <w:szCs w:val="17"/>
          <w:b w:val="1"/>
          <w:bCs w:val="1"/>
          <w:color w:val="auto"/>
        </w:rPr>
        <w:t>Internal Controls</w:t>
      </w:r>
      <w:r>
        <w:rPr>
          <w:rFonts w:ascii="Arial" w:cs="Arial" w:eastAsia="Arial" w:hAnsi="Arial"/>
          <w:sz w:val="17"/>
          <w:szCs w:val="17"/>
          <w:color w:val="auto"/>
        </w:rPr>
        <w:t>”) that are designed to provide reasonable assurances that (i) transactions are executed in accordance with management’s general or specific authorization, (ii) transactions are recorded as necessary to permit preparation of financial statements in conformity with International Financial Reporting Standards (“</w:t>
      </w:r>
      <w:r>
        <w:rPr>
          <w:rFonts w:ascii="Arial" w:cs="Arial" w:eastAsia="Arial" w:hAnsi="Arial"/>
          <w:sz w:val="17"/>
          <w:szCs w:val="17"/>
          <w:b w:val="1"/>
          <w:bCs w:val="1"/>
          <w:color w:val="auto"/>
        </w:rPr>
        <w:t>IFRS</w:t>
      </w:r>
      <w:r>
        <w:rPr>
          <w:rFonts w:ascii="Arial" w:cs="Arial" w:eastAsia="Arial" w:hAnsi="Arial"/>
          <w:sz w:val="17"/>
          <w:szCs w:val="17"/>
          <w:color w:val="auto"/>
        </w:rPr>
        <w:t>”) as issued by the International Accounting Standards Board (the “</w:t>
      </w:r>
      <w:r>
        <w:rPr>
          <w:rFonts w:ascii="Arial" w:cs="Arial" w:eastAsia="Arial" w:hAnsi="Arial"/>
          <w:sz w:val="17"/>
          <w:szCs w:val="17"/>
          <w:b w:val="1"/>
          <w:bCs w:val="1"/>
          <w:color w:val="auto"/>
        </w:rPr>
        <w:t>IASB</w:t>
      </w:r>
      <w:r>
        <w:rPr>
          <w:rFonts w:ascii="Arial" w:cs="Arial" w:eastAsia="Arial" w:hAnsi="Arial"/>
          <w:sz w:val="17"/>
          <w:szCs w:val="17"/>
          <w:color w:val="auto"/>
        </w:rPr>
        <w:t>”)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Internal Controls are, or upon consummation of the offering of the Offered Securities will be, overseen by the Audit &amp; Finance Committee (the “</w:t>
      </w:r>
      <w:r>
        <w:rPr>
          <w:rFonts w:ascii="Arial" w:cs="Arial" w:eastAsia="Arial" w:hAnsi="Arial"/>
          <w:sz w:val="17"/>
          <w:szCs w:val="17"/>
          <w:b w:val="1"/>
          <w:bCs w:val="1"/>
          <w:color w:val="auto"/>
        </w:rPr>
        <w:t>Audit &amp; Finance</w:t>
      </w:r>
      <w:r>
        <w:rPr>
          <w:rFonts w:ascii="Arial" w:cs="Arial" w:eastAsia="Arial" w:hAnsi="Arial"/>
          <w:sz w:val="17"/>
          <w:szCs w:val="17"/>
          <w:color w:val="auto"/>
        </w:rPr>
        <w:t xml:space="preserve"> </w:t>
      </w:r>
      <w:r>
        <w:rPr>
          <w:rFonts w:ascii="Arial" w:cs="Arial" w:eastAsia="Arial" w:hAnsi="Arial"/>
          <w:sz w:val="17"/>
          <w:szCs w:val="17"/>
          <w:b w:val="1"/>
          <w:bCs w:val="1"/>
          <w:color w:val="auto"/>
        </w:rPr>
        <w:t>Committee</w:t>
      </w:r>
      <w:r>
        <w:rPr>
          <w:rFonts w:ascii="Arial" w:cs="Arial" w:eastAsia="Arial" w:hAnsi="Arial"/>
          <w:sz w:val="17"/>
          <w:szCs w:val="17"/>
          <w:color w:val="auto"/>
        </w:rPr>
        <w:t>”) of the Board in accordance with Exchange Rules. Except as disclosed in the General Disclosure Package and the Final Prospectus,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has not publicly disclosed or reported to the Audit &amp; Finance Committee or the Board, and within the next 135 days the Company does not reasonably expect to publicly disclose or report to the Audit &amp; Finance Committee or the Board, a significant deficiency, material weakness, adverse change in Internal Controls or fraud involving management or other employees who have a significant role in Internal Controls (each, an “</w:t>
      </w:r>
      <w:r>
        <w:rPr>
          <w:rFonts w:ascii="Arial" w:cs="Arial" w:eastAsia="Arial" w:hAnsi="Arial"/>
          <w:sz w:val="17"/>
          <w:szCs w:val="17"/>
          <w:b w:val="1"/>
          <w:bCs w:val="1"/>
          <w:color w:val="auto"/>
        </w:rPr>
        <w:t>Internal</w:t>
      </w:r>
      <w:r>
        <w:rPr>
          <w:rFonts w:ascii="Arial" w:cs="Arial" w:eastAsia="Arial" w:hAnsi="Arial"/>
          <w:sz w:val="17"/>
          <w:szCs w:val="17"/>
          <w:color w:val="auto"/>
        </w:rPr>
        <w:t xml:space="preserve"> </w:t>
      </w:r>
      <w:r>
        <w:rPr>
          <w:rFonts w:ascii="Arial" w:cs="Arial" w:eastAsia="Arial" w:hAnsi="Arial"/>
          <w:sz w:val="17"/>
          <w:szCs w:val="17"/>
          <w:b w:val="1"/>
          <w:bCs w:val="1"/>
          <w:color w:val="auto"/>
        </w:rPr>
        <w:t>Control Event</w:t>
      </w:r>
      <w:r>
        <w:rPr>
          <w:rFonts w:ascii="Arial" w:cs="Arial" w:eastAsia="Arial" w:hAnsi="Arial"/>
          <w:sz w:val="17"/>
          <w:szCs w:val="17"/>
          <w:color w:val="auto"/>
        </w:rPr>
        <w:t>”), any violation of, or failure to comply with, the Securities Laws, or any matter which, if determined adversely, would have a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Adverse Effect.</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4" w:right="259" w:bottom="1440" w:gutter="0" w:footer="0" w:header="0"/>
        </w:sectPr>
      </w:pPr>
    </w:p>
    <w:bookmarkStart w:id="250" w:name="page251"/>
    <w:bookmarkEnd w:id="250"/>
    <w:p>
      <w:pPr>
        <w:ind w:right="40" w:firstLine="443"/>
        <w:spacing w:after="0" w:line="255" w:lineRule="auto"/>
        <w:tabs>
          <w:tab w:leader="none" w:pos="693"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Litigation</w:t>
      </w:r>
      <w:r>
        <w:rPr>
          <w:rFonts w:ascii="Arial" w:cs="Arial" w:eastAsia="Arial" w:hAnsi="Arial"/>
          <w:sz w:val="18"/>
          <w:szCs w:val="18"/>
          <w:color w:val="auto"/>
        </w:rPr>
        <w:t>. Except as disclosed in the General Disclosure Package and the Final Prospectus, there are no pending actions, suits or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inquiries made to the Company or, to the Company’s knowledge, investigations by any court or governmental agency or body, domestic or foreign) against or affecting the Company or any of its properties that, if determined adversely to the Company, would individually or in the aggregate have a Material Adverse Effect, or would materially and adversely affect the ability of the Company to perform its obligations under this Agreement, or which are otherwise material in the context of the sale of the Offered Securities; and no such actions, suits or proceedings (including any inquiries or investigations by any court or governmental agency or body, domestic or foreign) are, to the Company’s knowledge, threatened or contemplated.</w:t>
      </w:r>
    </w:p>
    <w:p>
      <w:pPr>
        <w:spacing w:after="0" w:line="81" w:lineRule="exact"/>
        <w:rPr>
          <w:rFonts w:ascii="Arial" w:cs="Arial" w:eastAsia="Arial" w:hAnsi="Arial"/>
          <w:sz w:val="18"/>
          <w:szCs w:val="18"/>
          <w:color w:val="auto"/>
        </w:rPr>
      </w:pPr>
    </w:p>
    <w:p>
      <w:pPr>
        <w:ind w:firstLine="443"/>
        <w:spacing w:after="0" w:line="271" w:lineRule="auto"/>
        <w:tabs>
          <w:tab w:leader="none" w:pos="683"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Ernst &amp; Young AG, which has expressed its opinion with respect to the financial statements (which term as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includes the related notes thereto) filed with the Commission as a part of the Registration Statement, the Time of Sale Prospectus and the Prospectus, is (i) an independent registered public accounting firm as required by the Securities Act, Exchange Act, the Rules and Regulations, and the rules of the Public Company Accounting Oversight Board (“</w:t>
      </w:r>
      <w:r>
        <w:rPr>
          <w:rFonts w:ascii="Arial" w:cs="Arial" w:eastAsia="Arial" w:hAnsi="Arial"/>
          <w:sz w:val="17"/>
          <w:szCs w:val="17"/>
          <w:b w:val="1"/>
          <w:bCs w:val="1"/>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Act, (iii) a registered public accounting firm as defined by the PCAOB whose registration has not been suspended or revoked and who has not requested such registration to be withdrawn and (iv) an independent qualified public accountant qualified under the applicable provisions of the Swiss Code of Obligations (the “</w:t>
      </w:r>
      <w:r>
        <w:rPr>
          <w:rFonts w:ascii="Arial" w:cs="Arial" w:eastAsia="Arial" w:hAnsi="Arial"/>
          <w:sz w:val="17"/>
          <w:szCs w:val="17"/>
          <w:b w:val="1"/>
          <w:bCs w:val="1"/>
          <w:color w:val="auto"/>
        </w:rPr>
        <w:t>CO</w:t>
      </w:r>
      <w:r>
        <w:rPr>
          <w:rFonts w:ascii="Arial" w:cs="Arial" w:eastAsia="Arial" w:hAnsi="Arial"/>
          <w:sz w:val="17"/>
          <w:szCs w:val="17"/>
          <w:color w:val="auto"/>
        </w:rPr>
        <w:t>”), the Swiss Audit Supervision Act (Revisionsaufsichtsgesetz) and any ordinances promulgated thereunder.</w:t>
      </w:r>
    </w:p>
    <w:p>
      <w:pPr>
        <w:spacing w:after="0" w:line="71" w:lineRule="exact"/>
        <w:rPr>
          <w:sz w:val="20"/>
          <w:szCs w:val="20"/>
          <w:color w:val="auto"/>
        </w:rPr>
      </w:pPr>
    </w:p>
    <w:p>
      <w:pPr>
        <w:jc w:val="both"/>
        <w:ind w:right="60" w:firstLine="443"/>
        <w:spacing w:after="0" w:line="302" w:lineRule="auto"/>
        <w:tabs>
          <w:tab w:leader="none" w:pos="763"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included in each Registration Statement and the General Disclosure Package present fairly in</w:t>
      </w:r>
      <w:r>
        <w:rPr>
          <w:rFonts w:ascii="Arial" w:cs="Arial" w:eastAsia="Arial" w:hAnsi="Arial"/>
          <w:sz w:val="16"/>
          <w:szCs w:val="16"/>
          <w:i w:val="1"/>
          <w:iCs w:val="1"/>
          <w:color w:val="auto"/>
        </w:rPr>
        <w:t xml:space="preserve"> </w:t>
      </w:r>
      <w:r>
        <w:rPr>
          <w:rFonts w:ascii="Arial" w:cs="Arial" w:eastAsia="Arial" w:hAnsi="Arial"/>
          <w:sz w:val="16"/>
          <w:szCs w:val="16"/>
          <w:color w:val="auto"/>
        </w:rPr>
        <w:t>all material respects the financial position of the Company as of the dates shown and its results of operations and cash flows for the periods shown, and such financial statements have been prepared in conformity with IFRS as issued by the IASB applied on a consistent basis and the schedules included in each Registration Statement (if any) present fairly in all material respects the information required to be stated therein.</w:t>
      </w:r>
    </w:p>
    <w:p>
      <w:pPr>
        <w:spacing w:after="0" w:line="46" w:lineRule="exact"/>
        <w:rPr>
          <w:rFonts w:ascii="Arial" w:cs="Arial" w:eastAsia="Arial" w:hAnsi="Arial"/>
          <w:sz w:val="16"/>
          <w:szCs w:val="16"/>
          <w:color w:val="auto"/>
        </w:rPr>
      </w:pPr>
    </w:p>
    <w:p>
      <w:pPr>
        <w:ind w:right="140" w:firstLine="443"/>
        <w:spacing w:after="0" w:line="264" w:lineRule="auto"/>
        <w:tabs>
          <w:tab w:leader="none" w:pos="783"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Off-Balance Sheet Arrangements</w:t>
      </w:r>
      <w:r>
        <w:rPr>
          <w:rFonts w:ascii="Arial" w:cs="Arial" w:eastAsia="Arial" w:hAnsi="Arial"/>
          <w:sz w:val="18"/>
          <w:szCs w:val="18"/>
          <w:color w:val="auto"/>
        </w:rPr>
        <w:t>. There are no off balance sheet arrangements (as defined in Regulation S-K Item 303(a)(4)(ii)) that would</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have a material current or future effect on the Company’s financial condition, changes in financial condition, results of operations, liquidity, capital expenditures or capital resources.</w:t>
      </w:r>
    </w:p>
    <w:p>
      <w:pPr>
        <w:spacing w:after="0" w:line="73" w:lineRule="exact"/>
        <w:rPr>
          <w:rFonts w:ascii="Arial" w:cs="Arial" w:eastAsia="Arial" w:hAnsi="Arial"/>
          <w:sz w:val="18"/>
          <w:szCs w:val="18"/>
          <w:color w:val="auto"/>
        </w:rPr>
      </w:pPr>
    </w:p>
    <w:p>
      <w:pPr>
        <w:ind w:right="40" w:firstLine="443"/>
        <w:spacing w:after="0" w:line="297" w:lineRule="auto"/>
        <w:tabs>
          <w:tab w:leader="none" w:pos="763"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No Material Adverse Change in Business</w:t>
      </w:r>
      <w:r>
        <w:rPr>
          <w:rFonts w:ascii="Arial" w:cs="Arial" w:eastAsia="Arial" w:hAnsi="Arial"/>
          <w:sz w:val="16"/>
          <w:szCs w:val="16"/>
          <w:color w:val="auto"/>
        </w:rPr>
        <w:t>. Except as disclosed in the General Disclosure Package and the Final Prospectus, since the end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period covered by the latest audited financial statements included in the General Disclosure Package, (i) there has been no change in the condition (financial or otherwise), results of operations, business, properties or prospects of the Company that is material and adverse, (ii) there has been no dividend or distribution of any kind declared, paid or made by the Company on any class of its capital stock and (iii) there has been no material adverse change in the capital stock, short-term indebtedness, long-term indebtedness, net current assets or net assets of the Company.</w:t>
      </w:r>
    </w:p>
    <w:p>
      <w:pPr>
        <w:spacing w:after="0" w:line="50" w:lineRule="exact"/>
        <w:rPr>
          <w:rFonts w:ascii="Arial" w:cs="Arial" w:eastAsia="Arial" w:hAnsi="Arial"/>
          <w:sz w:val="16"/>
          <w:szCs w:val="16"/>
          <w:color w:val="auto"/>
        </w:rPr>
      </w:pPr>
    </w:p>
    <w:p>
      <w:pPr>
        <w:ind w:right="20" w:firstLine="443"/>
        <w:spacing w:after="0" w:line="264" w:lineRule="auto"/>
        <w:tabs>
          <w:tab w:leader="none" w:pos="783"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not and, after giving effect to the offering and sale of the Offered Securities and the application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proceeds thereof as described in the General Disclosure Package, will not be an “investment company” as defined in the Investment Company Act of 1940, as amended.</w:t>
      </w:r>
    </w:p>
    <w:p>
      <w:pPr>
        <w:spacing w:after="0" w:line="73" w:lineRule="exact"/>
        <w:rPr>
          <w:rFonts w:ascii="Arial" w:cs="Arial" w:eastAsia="Arial" w:hAnsi="Arial"/>
          <w:sz w:val="18"/>
          <w:szCs w:val="18"/>
          <w:color w:val="auto"/>
        </w:rPr>
      </w:pPr>
    </w:p>
    <w:p>
      <w:pPr>
        <w:ind w:right="420" w:firstLine="443"/>
        <w:spacing w:after="0" w:line="308" w:lineRule="auto"/>
        <w:tabs>
          <w:tab w:leader="none" w:pos="763"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Ratings</w:t>
      </w:r>
      <w:r>
        <w:rPr>
          <w:rFonts w:ascii="Arial" w:cs="Arial" w:eastAsia="Arial" w:hAnsi="Arial"/>
          <w:sz w:val="17"/>
          <w:szCs w:val="17"/>
          <w:color w:val="auto"/>
        </w:rPr>
        <w:t>. The Company has no debt securities that are rated by any “nationally recognized statistical rating organization” as such term is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for purposes of Section 3(a)(62) of the Exchange Act.</w:t>
      </w:r>
    </w:p>
    <w:p>
      <w:pPr>
        <w:spacing w:after="0" w:line="34" w:lineRule="exact"/>
        <w:rPr>
          <w:rFonts w:ascii="Arial" w:cs="Arial" w:eastAsia="Arial" w:hAnsi="Arial"/>
          <w:sz w:val="17"/>
          <w:szCs w:val="17"/>
          <w:color w:val="auto"/>
        </w:rPr>
      </w:pPr>
    </w:p>
    <w:p>
      <w:pPr>
        <w:ind w:right="200" w:firstLine="443"/>
        <w:spacing w:after="0" w:line="289" w:lineRule="auto"/>
        <w:tabs>
          <w:tab w:leader="none" w:pos="720"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PFIC Status</w:t>
      </w:r>
      <w:r>
        <w:rPr>
          <w:rFonts w:ascii="Arial" w:cs="Arial" w:eastAsia="Arial" w:hAnsi="Arial"/>
          <w:sz w:val="17"/>
          <w:szCs w:val="17"/>
          <w:color w:val="auto"/>
        </w:rPr>
        <w:t>. The Company believes it was not a “passive foreign investment company” (“</w:t>
      </w:r>
      <w:r>
        <w:rPr>
          <w:rFonts w:ascii="Arial" w:cs="Arial" w:eastAsia="Arial" w:hAnsi="Arial"/>
          <w:sz w:val="17"/>
          <w:szCs w:val="17"/>
          <w:b w:val="1"/>
          <w:bCs w:val="1"/>
          <w:color w:val="auto"/>
        </w:rPr>
        <w:t>PFIC</w:t>
      </w:r>
      <w:r>
        <w:rPr>
          <w:rFonts w:ascii="Arial" w:cs="Arial" w:eastAsia="Arial" w:hAnsi="Arial"/>
          <w:sz w:val="17"/>
          <w:szCs w:val="17"/>
          <w:color w:val="auto"/>
        </w:rPr>
        <w:t>”) as defined in Section 1297 of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Internal Revenue Code of 1986, as amended, for its most recently completed taxable year and, based on the Company’s current projected income, assets and activities, the Company does not expect to be classified as a PFIC in the immediately foreseeable future.</w:t>
      </w:r>
    </w:p>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251" w:name="page252"/>
    <w:bookmarkEnd w:id="251"/>
    <w:p>
      <w:pPr>
        <w:ind w:left="780" w:hanging="337"/>
        <w:spacing w:after="0"/>
        <w:tabs>
          <w:tab w:leader="none" w:pos="78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Corrupt Practices Act and Money Laundering Laws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881"/>
        <w:spacing w:after="0" w:line="268" w:lineRule="auto"/>
        <w:tabs>
          <w:tab w:leader="none" w:pos="1091"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Company (including its directors or officers, and, to the Company’s knowledge, its employees or agents), has not taken or failed to take any action that would cause it to be in violation of the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any rules or regulations thereunder, or any other applicable anti-corruption or anti-kickback law, including without limitation: (A) the making of any offer or promise to pay, payment of, or authorization of payment of, directly or indirectly, money or anything of value to any Official, for the purpose of influencing an official act or decision, inducing the doing or omission of any act in violation of a lawful duty, or securing an improper advantage; (B) use of any corporate funds for any illegal contributions, gifts, entertainment or other unlawful expenses relating to political activity; (C) establishment or maintenance of any unlawful fund of corporate monies or other properties; and (D) making of any bribe, unlawful rebate, payoff, influence payment, kickback or other unlawful payment of any nature. For purposes of this Agreement, (i) an “</w:t>
      </w:r>
      <w:r>
        <w:rPr>
          <w:rFonts w:ascii="Arial" w:cs="Arial" w:eastAsia="Arial" w:hAnsi="Arial"/>
          <w:sz w:val="17"/>
          <w:szCs w:val="17"/>
          <w:b w:val="1"/>
          <w:bCs w:val="1"/>
          <w:color w:val="auto"/>
        </w:rPr>
        <w:t>Official</w:t>
      </w:r>
      <w:r>
        <w:rPr>
          <w:rFonts w:ascii="Arial" w:cs="Arial" w:eastAsia="Arial" w:hAnsi="Arial"/>
          <w:sz w:val="17"/>
          <w:szCs w:val="17"/>
          <w:color w:val="auto"/>
        </w:rPr>
        <w:t>” shall include any appointed or elected official, any government employee, any political party, party official, or candidate for political office, or any officer, director or employee of any Governmental Authority or employees of state-owned or state-controlled businesses and (ii) a “</w:t>
      </w:r>
      <w:r>
        <w:rPr>
          <w:rFonts w:ascii="Arial" w:cs="Arial" w:eastAsia="Arial" w:hAnsi="Arial"/>
          <w:sz w:val="17"/>
          <w:szCs w:val="17"/>
          <w:b w:val="1"/>
          <w:bCs w:val="1"/>
          <w:color w:val="auto"/>
        </w:rPr>
        <w:t>Governmental Authority</w:t>
      </w:r>
      <w:r>
        <w:rPr>
          <w:rFonts w:ascii="Arial" w:cs="Arial" w:eastAsia="Arial" w:hAnsi="Arial"/>
          <w:sz w:val="17"/>
          <w:szCs w:val="17"/>
          <w:color w:val="auto"/>
        </w:rPr>
        <w:t>” shall include any transnational, national, federal, state, provincial, county, municipal or local government, foreign or domestic, or the government of any political subdivision of any of the foregoing, or any entity, authority, agency, ministry or other similar body exercising executive, legislative, judicial (including any court), regulatory, or administrative authority or functions of or pertaining to government, including any authority or other quasi-governmental entity established to perform any of such functions.</w:t>
      </w:r>
    </w:p>
    <w:p>
      <w:pPr>
        <w:spacing w:after="0" w:line="77" w:lineRule="exact"/>
        <w:rPr>
          <w:rFonts w:ascii="Arial" w:cs="Arial" w:eastAsia="Arial" w:hAnsi="Arial"/>
          <w:sz w:val="17"/>
          <w:szCs w:val="17"/>
          <w:color w:val="auto"/>
        </w:rPr>
      </w:pPr>
    </w:p>
    <w:p>
      <w:pPr>
        <w:ind w:firstLine="881"/>
        <w:spacing w:after="0" w:line="255" w:lineRule="auto"/>
        <w:tabs>
          <w:tab w:leader="none" w:pos="114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Company has in place adequate controls and systems designed to ensure compliance with applicable laws pertaining to anti-corruption, including the FCPA, in each of the jurisdictions in which the Company currently does or in the past has done business, either directly or indirectly. The Company has not undergone or is not undergoing, any audit, review, inspection, investigation, survey or examination by a Governmental Authority relating to the FCPA, anti-corruption, or anti-kickback activity. To the knowledge of the Company, there are no threatened claims, nor presently existing facts or circumstances that would constitute a reasonable basis for any future claims, with respect the FCPA, anti-corruption, or anti-kickback activity by the Company.</w:t>
      </w:r>
    </w:p>
    <w:p>
      <w:pPr>
        <w:spacing w:after="0" w:line="193" w:lineRule="exact"/>
        <w:rPr>
          <w:rFonts w:ascii="Arial" w:cs="Arial" w:eastAsia="Arial" w:hAnsi="Arial"/>
          <w:sz w:val="18"/>
          <w:szCs w:val="18"/>
          <w:color w:val="auto"/>
        </w:rPr>
      </w:pPr>
    </w:p>
    <w:p>
      <w:pPr>
        <w:ind w:right="220" w:firstLine="443"/>
        <w:spacing w:after="0" w:line="257" w:lineRule="auto"/>
        <w:tabs>
          <w:tab w:leader="none" w:pos="783"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Neither the Company nor any director, officer, nor, to the Company’s knowledge, any affiliate, employee, agent or other person</w:t>
      </w:r>
      <w:r>
        <w:rPr>
          <w:rFonts w:ascii="Arial" w:cs="Arial" w:eastAsia="Arial" w:hAnsi="Arial"/>
          <w:sz w:val="18"/>
          <w:szCs w:val="18"/>
          <w:i w:val="1"/>
          <w:iCs w:val="1"/>
          <w:color w:val="auto"/>
        </w:rPr>
        <w:t xml:space="preserve"> </w:t>
      </w:r>
      <w:r>
        <w:rPr>
          <w:rFonts w:ascii="Arial" w:cs="Arial" w:eastAsia="Arial" w:hAnsi="Arial"/>
          <w:sz w:val="18"/>
          <w:szCs w:val="18"/>
          <w:color w:val="auto"/>
        </w:rPr>
        <w:t>acting on behalf of the Company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8" w:lineRule="exact"/>
        <w:rPr>
          <w:rFonts w:ascii="Arial" w:cs="Arial" w:eastAsia="Arial" w:hAnsi="Arial"/>
          <w:sz w:val="18"/>
          <w:szCs w:val="18"/>
          <w:color w:val="auto"/>
        </w:rPr>
      </w:pPr>
    </w:p>
    <w:p>
      <w:pPr>
        <w:ind w:right="60" w:firstLine="443"/>
        <w:spacing w:after="0" w:line="284" w:lineRule="auto"/>
        <w:tabs>
          <w:tab w:leader="none" w:pos="703"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Export Controls</w:t>
      </w:r>
      <w:r>
        <w:rPr>
          <w:rFonts w:ascii="Arial" w:cs="Arial" w:eastAsia="Arial" w:hAnsi="Arial"/>
          <w:sz w:val="16"/>
          <w:szCs w:val="16"/>
          <w:color w:val="auto"/>
        </w:rPr>
        <w:t>. Except as disclosed in the General Disclosure Package and the Final Prospectus, neither the Company nor, to the knowledge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any officer, director, affiliate, agent, distributor, or representative of the Company has any reason to believe that the Company or any of the foregoing persons or entities have taken or omitted to take any action in violation of, or which may cause the Company to be in violation of, any applicable U.S. law governing imports into or exports from the United States, reexports from one foreign country to another, disclosures of technology, or other cross-border transactions, including without limitation: the Arms Export Control Act (22 U.S.C.A. § 2278), the Export Administration Act (50 U.S.C. App. §§ 2401-2420), the International Traffic in Arms Regulations (22 C.F.R. §§ 120-130), the Export Administration Regulations</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(15 C.F.R. 730 </w:t>
      </w:r>
      <w:r>
        <w:rPr>
          <w:rFonts w:ascii="Arial" w:cs="Arial" w:eastAsia="Arial" w:hAnsi="Arial"/>
          <w:sz w:val="18"/>
          <w:szCs w:val="18"/>
          <w:i w:val="1"/>
          <w:iCs w:val="1"/>
          <w:color w:val="auto"/>
        </w:rPr>
        <w:t>et seq.</w:t>
      </w:r>
      <w:r>
        <w:rPr>
          <w:rFonts w:ascii="Arial" w:cs="Arial" w:eastAsia="Arial" w:hAnsi="Arial"/>
          <w:sz w:val="18"/>
          <w:szCs w:val="18"/>
          <w:color w:val="auto"/>
        </w:rPr>
        <w:t>), the Customs Laws of the</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52" w:name="page253"/>
    <w:bookmarkEnd w:id="25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United States (19 U.S.C. § 1 </w:t>
      </w:r>
      <w:r>
        <w:rPr>
          <w:rFonts w:ascii="Arial" w:cs="Arial" w:eastAsia="Arial" w:hAnsi="Arial"/>
          <w:sz w:val="17"/>
          <w:szCs w:val="17"/>
          <w:i w:val="1"/>
          <w:iCs w:val="1"/>
          <w:color w:val="auto"/>
        </w:rPr>
        <w:t>et seq</w:t>
      </w:r>
      <w:r>
        <w:rPr>
          <w:rFonts w:ascii="Arial" w:cs="Arial" w:eastAsia="Arial" w:hAnsi="Arial"/>
          <w:sz w:val="17"/>
          <w:szCs w:val="17"/>
          <w:color w:val="auto"/>
        </w:rPr>
        <w:t>.), the International Emergency Economic Powers Act (50 U.S.C. §§ 1701-1706), the Trading With the Enemy Act (50 U.S.C. App. §§ 5, 16), the Foreign Assets Control Regulations administered by the Office of Foreign Assets Control, any executive orders or regulations issued pursuant to the foregoing or by the agencies listed in Part 730 of the Export Administration Regulations, and any applicable non-U.S. laws of a similar nature. Except as disclosed in the General Disclosure Package and the Final Prospectus, to the Company’s knowledge, there has never been a claim or charge made, investigation undertaken, violation found, or settlement of any enforcement action under any of the laws referred to in this Section 2(ii) by any governmental entity with respect to matters arising under such laws against the Company, or against its agents, distributors or representatives in connection with their relationship with the Company. Except as disclosed in the General Disclosure Package and the Final Prospectus, the Company and any predecessors have maintained a compliance program appropriate to the requirements of the aforementioned laws at all times that any such laws applied to the Company’s activities.</w:t>
      </w:r>
    </w:p>
    <w:p>
      <w:pPr>
        <w:spacing w:after="0" w:line="74" w:lineRule="exact"/>
        <w:rPr>
          <w:sz w:val="20"/>
          <w:szCs w:val="20"/>
          <w:color w:val="auto"/>
        </w:rPr>
      </w:pPr>
    </w:p>
    <w:p>
      <w:pPr>
        <w:ind w:right="60" w:firstLine="443"/>
        <w:spacing w:after="0" w:line="257" w:lineRule="auto"/>
        <w:tabs>
          <w:tab w:leader="none" w:pos="703"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Payment of Taxes</w:t>
      </w:r>
      <w:r>
        <w:rPr>
          <w:rFonts w:ascii="Arial" w:cs="Arial" w:eastAsia="Arial" w:hAnsi="Arial"/>
          <w:sz w:val="18"/>
          <w:szCs w:val="18"/>
          <w:color w:val="auto"/>
        </w:rPr>
        <w:t>. The Company has filed all federal, state, local and non-U.S. tax returns that are required to be filed by it or has requested</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extensions thereof (except in any case in which the failure so to file would not have a Material Adverse Effect); and except as disclosed in the General Disclosure Package and the Final Prospectus, the Company has paid all taxes (including any assessments, fines or penalties) required to be paid by it, except for any such taxes, assessments, fines or penalties currently being contested in good faith or as would not, individually or in the aggregate, have a Material Adverse Effect.</w:t>
      </w:r>
    </w:p>
    <w:p>
      <w:pPr>
        <w:spacing w:after="0" w:line="80" w:lineRule="exact"/>
        <w:rPr>
          <w:rFonts w:ascii="Arial" w:cs="Arial" w:eastAsia="Arial" w:hAnsi="Arial"/>
          <w:sz w:val="18"/>
          <w:szCs w:val="18"/>
          <w:color w:val="auto"/>
        </w:rPr>
      </w:pPr>
    </w:p>
    <w:p>
      <w:pPr>
        <w:ind w:right="60" w:firstLine="443"/>
        <w:spacing w:after="0" w:line="289" w:lineRule="auto"/>
        <w:tabs>
          <w:tab w:leader="none" w:pos="783"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Company is insured by insurers with appropriately rated claims paying abilities against such losses and risks and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as the Company reasonably considers prudent and customary for the businesses in which it is engaged; all material policies of insurance and fidelity or surety bonds insuring the Company or its business, asset, employees, officers and directors are in full force and effect;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material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General Disclosure Package and the Final Prospectus; and the Company will obtain directors’ and officers’ insurance in such amounts as is customary for an initial public offering.</w:t>
      </w:r>
    </w:p>
    <w:p>
      <w:pPr>
        <w:spacing w:after="0" w:line="58" w:lineRule="exact"/>
        <w:rPr>
          <w:rFonts w:ascii="Arial" w:cs="Arial" w:eastAsia="Arial" w:hAnsi="Arial"/>
          <w:sz w:val="16"/>
          <w:szCs w:val="16"/>
          <w:color w:val="auto"/>
        </w:rPr>
      </w:pPr>
    </w:p>
    <w:p>
      <w:pPr>
        <w:ind w:firstLine="443"/>
        <w:spacing w:after="0" w:line="259" w:lineRule="auto"/>
        <w:tabs>
          <w:tab w:leader="none" w:pos="703"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From the time of the initial confidential submission of the Registration Statement to the Commission (or, if</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the first date on which the Company engaged directly or through any Person authorized to act on its behalf in any communication in reliance on Section 5(d) of the Act) through the date hereof, the Company has been and is an “emerging growth company,” as defined in Section 2(a) of the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60" w:firstLine="443"/>
        <w:spacing w:after="0" w:line="255" w:lineRule="auto"/>
        <w:tabs>
          <w:tab w:leader="none" w:pos="883"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Testing-the-Waters</w:t>
      </w:r>
      <w:r>
        <w:rPr>
          <w:rFonts w:ascii="Arial" w:cs="Arial" w:eastAsia="Arial" w:hAnsi="Arial"/>
          <w:sz w:val="18"/>
          <w:szCs w:val="18"/>
          <w:color w:val="auto"/>
        </w:rPr>
        <w:t>. The Company has not (i) alone engaged in communications with potential investors in reliance on Section 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Act other than communications with the consent of the Representatives with entities that are qualified institutional buyers within the meaning of Rule 144A under the Act or institutions that are accredited investors within the meaning of Rule 501 under the Act and (ii) authorized anyone other than the Underwriters to engage in such communications. The Company reconfirms that the Underwriters have been authorized to act on its behalf in communicating with potential investors in reliance on Section 5(d) of the Act. The Company has not distributed any Testing-the-Waters Communication. As of the Applicable Time, none of (A) the General Disclosure Package, (B) any individual Issuer Limited Use Free Writing Prospectus, when considered together with the General</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253" w:name="page254"/>
    <w:bookmarkEnd w:id="253"/>
    <w:p>
      <w:pPr>
        <w:ind w:left="460" w:right="6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Package, and (C) any individual Written Testing-the-Waters Communication, when considered together with the General Disclosure Package, included or includes an untrue statement of a material fact or omitted or omits to state a material fact necessary in order to make the statements therein, in the light of the circumstances under which they were made, not misleading.</w:t>
      </w:r>
    </w:p>
    <w:p>
      <w:pPr>
        <w:spacing w:after="0" w:line="57" w:lineRule="exact"/>
        <w:rPr>
          <w:sz w:val="20"/>
          <w:szCs w:val="20"/>
          <w:color w:val="auto"/>
        </w:rPr>
      </w:pPr>
    </w:p>
    <w:p>
      <w:pPr>
        <w:ind w:left="1240" w:hanging="337"/>
        <w:spacing w:after="0"/>
        <w:tabs>
          <w:tab w:leader="none" w:pos="1240" w:val="left"/>
        </w:tabs>
        <w:numPr>
          <w:ilvl w:val="1"/>
          <w:numId w:val="174"/>
        </w:numPr>
        <w:rPr>
          <w:rFonts w:ascii="Arial" w:cs="Arial" w:eastAsia="Arial" w:hAnsi="Arial"/>
          <w:sz w:val="18"/>
          <w:szCs w:val="18"/>
          <w:color w:val="auto"/>
        </w:rPr>
      </w:pPr>
      <w:r>
        <w:rPr>
          <w:rFonts w:ascii="Arial" w:cs="Arial" w:eastAsia="Arial" w:hAnsi="Arial"/>
          <w:sz w:val="18"/>
          <w:szCs w:val="18"/>
          <w:i w:val="1"/>
          <w:iCs w:val="1"/>
          <w:color w:val="auto"/>
        </w:rPr>
        <w:t>Foreign Private Issuer</w:t>
      </w:r>
      <w:r>
        <w:rPr>
          <w:rFonts w:ascii="Arial" w:cs="Arial" w:eastAsia="Arial" w:hAnsi="Arial"/>
          <w:sz w:val="18"/>
          <w:szCs w:val="18"/>
          <w:color w:val="auto"/>
        </w:rPr>
        <w:t>. The Company is a “foreign private issuer” within the meaning of Rule 405 under the Act.</w:t>
      </w:r>
    </w:p>
    <w:p>
      <w:pPr>
        <w:spacing w:after="0" w:line="117" w:lineRule="exact"/>
        <w:rPr>
          <w:rFonts w:ascii="Arial" w:cs="Arial" w:eastAsia="Arial" w:hAnsi="Arial"/>
          <w:sz w:val="18"/>
          <w:szCs w:val="18"/>
          <w:color w:val="auto"/>
        </w:rPr>
      </w:pPr>
    </w:p>
    <w:p>
      <w:pPr>
        <w:ind w:left="460" w:firstLine="443"/>
        <w:spacing w:after="0" w:line="264" w:lineRule="auto"/>
        <w:tabs>
          <w:tab w:leader="none" w:pos="1243" w:val="left"/>
        </w:tabs>
        <w:numPr>
          <w:ilvl w:val="1"/>
          <w:numId w:val="174"/>
        </w:numPr>
        <w:rPr>
          <w:rFonts w:ascii="Arial" w:cs="Arial" w:eastAsia="Arial" w:hAnsi="Arial"/>
          <w:sz w:val="18"/>
          <w:szCs w:val="18"/>
          <w:color w:val="auto"/>
        </w:rPr>
      </w:pPr>
      <w:r>
        <w:rPr>
          <w:rFonts w:ascii="Arial" w:cs="Arial" w:eastAsia="Arial" w:hAnsi="Arial"/>
          <w:sz w:val="18"/>
          <w:szCs w:val="18"/>
          <w:i w:val="1"/>
          <w:iCs w:val="1"/>
          <w:color w:val="auto"/>
        </w:rPr>
        <w:t>Capital Loss</w:t>
      </w:r>
      <w:r>
        <w:rPr>
          <w:rFonts w:ascii="Arial" w:cs="Arial" w:eastAsia="Arial" w:hAnsi="Arial"/>
          <w:sz w:val="18"/>
          <w:szCs w:val="18"/>
          <w:color w:val="auto"/>
        </w:rPr>
        <w:t>. The Company is not overindebted within the meaning of article 725 para 2 CO. The Company is not suffering from capital loss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meaning of article 725 para 1 CO assuming that only share premium in excess of 50% of the nominal share capital is included in the calculation of such capital loss.</w:t>
      </w:r>
    </w:p>
    <w:p>
      <w:pPr>
        <w:spacing w:after="0" w:line="73" w:lineRule="exact"/>
        <w:rPr>
          <w:rFonts w:ascii="Arial" w:cs="Arial" w:eastAsia="Arial" w:hAnsi="Arial"/>
          <w:sz w:val="18"/>
          <w:szCs w:val="18"/>
          <w:color w:val="auto"/>
        </w:rPr>
      </w:pPr>
    </w:p>
    <w:p>
      <w:pPr>
        <w:ind w:right="60" w:firstLine="464"/>
        <w:spacing w:after="0" w:line="259" w:lineRule="auto"/>
        <w:tabs>
          <w:tab w:leader="none" w:pos="636"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Purchase, Sale and Delivery of Offered Securities</w:t>
      </w:r>
      <w:r>
        <w:rPr>
          <w:rFonts w:ascii="Arial" w:cs="Arial" w:eastAsia="Arial" w:hAnsi="Arial"/>
          <w:sz w:val="18"/>
          <w:szCs w:val="18"/>
          <w:color w:val="auto"/>
        </w:rPr>
        <w:t>. On the basis of the representations, warranties and agreements and subject to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set forth herein, the Company agrees to sell to the several Underwriters, and each of the Underwriters agrees, severally and not jointly, to purchase from the Company, at a purchase price of $[•] per share, the respective number of shares of Firm Securities set forth opposite the names of the Underwriters in Schedule A hereto.</w:t>
      </w:r>
    </w:p>
    <w:p>
      <w:pPr>
        <w:spacing w:after="0" w:line="187"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The Company will deliver the Firm Securities to or as instructed by the Representatives for the accounts of the several Underwriters in a form reasonably acceptable to the Representatives against payment of the purchase price by the Underwriters in Federal (same day) funds by wire transfer to an account at a bank acceptable to the Representatives drawn to the order of the Company at the office of Goodwin Procter LLP, 53 State Street, Boston,</w:t>
      </w:r>
    </w:p>
    <w:p>
      <w:pPr>
        <w:ind w:right="120"/>
        <w:spacing w:after="0" w:line="271" w:lineRule="auto"/>
        <w:rPr>
          <w:sz w:val="20"/>
          <w:szCs w:val="20"/>
          <w:color w:val="auto"/>
        </w:rPr>
      </w:pPr>
      <w:r>
        <w:rPr>
          <w:rFonts w:ascii="Arial" w:cs="Arial" w:eastAsia="Arial" w:hAnsi="Arial"/>
          <w:sz w:val="17"/>
          <w:szCs w:val="17"/>
          <w:color w:val="auto"/>
        </w:rPr>
        <w:t>MA 02109, at 10:00 A.M., New York time, on [•], 2016, or at such other time not later than seven full business days thereafter as the Representatives and the Company determine, such time being herein referred to as the “</w:t>
      </w:r>
      <w:r>
        <w:rPr>
          <w:rFonts w:ascii="Arial" w:cs="Arial" w:eastAsia="Arial" w:hAnsi="Arial"/>
          <w:sz w:val="17"/>
          <w:szCs w:val="17"/>
          <w:b w:val="1"/>
          <w:bCs w:val="1"/>
          <w:color w:val="auto"/>
        </w:rPr>
        <w:t>First Closing Date</w:t>
      </w:r>
      <w:r>
        <w:rPr>
          <w:rFonts w:ascii="Arial" w:cs="Arial" w:eastAsia="Arial" w:hAnsi="Arial"/>
          <w:sz w:val="17"/>
          <w:szCs w:val="17"/>
          <w:color w:val="auto"/>
        </w:rPr>
        <w:t>”. For purposes of Rule 15c6-1 under the Exchange Act, the First Closing Date (if later than the otherwise applicable settlement date) shall be the settlement date for payment of funds and delivery of securities for all the Offered Securities sold pursuant to the offering. The Firm Securities so to be delivered or evidence of their issuance will be made available for checking at the above office of Goodwin Procter LLP at least 24 hours prior to the First Closing Date.</w:t>
      </w:r>
    </w:p>
    <w:p>
      <w:pPr>
        <w:spacing w:after="0" w:line="17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addition, upon written notice from the Representatives given to the Company from time to time not more than 30 days subsequent to the date of the Final Prospectus, the Underwriters may purchase all or less than all of the Optional Securities at the purchase price per Security to be paid for the Firm Securities less an amount per share equal to any dividends or distributions declared by the Company and payable on the Firm Securities but not payable on the Optional Securities. The Company agrees to sell to the Underwriters the number of shares of Optional Securities specified in such notice and the Underwriters agree, severally and not jointly, to purchase such Optional Securities. Such Optional Securities shall be purchased for the account of each Underwriter in the same proportion as the number of shares of Firm Securities set forth opposite such Underwriter’s name bears to the total number of shares of Firm Securities (subject to adjustment by the Representatives to eliminate fractions) and may be purchased by the Underwriters only for the purpose of covering over-allotments made in connection with the sale of the Firm Securities. No Optional Securities shall be sold or delivered unless the Firm Securities previously have been, or simultaneously are, sold and delivered. The right to purchase the Optional Securities or any portion thereof may be exercised from time to time and to the extent not previously exercised may be surrendered and terminated at any time upon notice by the Representatives to the Company.</w:t>
      </w:r>
    </w:p>
    <w:p>
      <w:pPr>
        <w:spacing w:after="0" w:line="16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Each time for the delivery of and payment for the Optional Securities, being herein referred to as an “</w:t>
      </w:r>
      <w:r>
        <w:rPr>
          <w:rFonts w:ascii="Arial" w:cs="Arial" w:eastAsia="Arial" w:hAnsi="Arial"/>
          <w:sz w:val="17"/>
          <w:szCs w:val="17"/>
          <w:b w:val="1"/>
          <w:bCs w:val="1"/>
          <w:color w:val="auto"/>
        </w:rPr>
        <w:t>Optional Closing Date</w:t>
      </w:r>
      <w:r>
        <w:rPr>
          <w:rFonts w:ascii="Arial" w:cs="Arial" w:eastAsia="Arial" w:hAnsi="Arial"/>
          <w:sz w:val="17"/>
          <w:szCs w:val="17"/>
          <w:color w:val="auto"/>
        </w:rPr>
        <w:t>,” which may be the First Closing Date (the First Closing Date and each Optional Closing Date, if any, being sometimes referred to as a “</w:t>
      </w:r>
      <w:r>
        <w:rPr>
          <w:rFonts w:ascii="Arial" w:cs="Arial" w:eastAsia="Arial" w:hAnsi="Arial"/>
          <w:sz w:val="17"/>
          <w:szCs w:val="17"/>
          <w:b w:val="1"/>
          <w:bCs w:val="1"/>
          <w:color w:val="auto"/>
        </w:rPr>
        <w:t>Closing Date</w:t>
      </w:r>
      <w:r>
        <w:rPr>
          <w:rFonts w:ascii="Arial" w:cs="Arial" w:eastAsia="Arial" w:hAnsi="Arial"/>
          <w:sz w:val="17"/>
          <w:szCs w:val="17"/>
          <w:color w:val="auto"/>
        </w:rPr>
        <w:t>”), shall be determined by the Representatives but except as otherwise mutually agreed between the Company and the Representatives shall be not less than three full business days nor later than five full business days after written notice of election to purchase Optional Securities is given. The Company will deliver the Optional Securities being purchased on each Optional Closing Date to or as instructed by the Representatives for the accounts of the several Underwriters in a form reasonably acceptable to the Representatives against payment of the purchase price therefor in Federal (same day) funds by wire transfer to an account at a bank acceptable to the Representatives drawn to the order of the Company, at the above office of Goodwin Procter LLP. The Optional Securities being purchased on each Optional Closing Date or evidence of their issuance will be made available for checking at the above office of Goodwin Procter LLP at a reasonable time in advance of such Optional Closing Date.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54" w:name="page255"/>
    <w:bookmarkEnd w:id="254"/>
    <w:p>
      <w:pPr>
        <w:ind w:left="180" w:hanging="176"/>
        <w:spacing w:after="0"/>
        <w:tabs>
          <w:tab w:leader="none" w:pos="18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Increase and Initial Subscription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0" w:hanging="237"/>
        <w:spacing w:after="0"/>
        <w:tabs>
          <w:tab w:leader="none" w:pos="680" w:val="left"/>
        </w:tabs>
        <w:numPr>
          <w:ilvl w:val="1"/>
          <w:numId w:val="176"/>
        </w:numPr>
        <w:rPr>
          <w:rFonts w:ascii="Arial" w:cs="Arial" w:eastAsia="Arial" w:hAnsi="Arial"/>
          <w:sz w:val="18"/>
          <w:szCs w:val="18"/>
          <w:color w:val="auto"/>
        </w:rPr>
      </w:pPr>
      <w:r>
        <w:rPr>
          <w:rFonts w:ascii="Arial" w:cs="Arial" w:eastAsia="Arial" w:hAnsi="Arial"/>
          <w:sz w:val="18"/>
          <w:szCs w:val="18"/>
          <w:i w:val="1"/>
          <w:iCs w:val="1"/>
          <w:color w:val="auto"/>
        </w:rPr>
        <w:t>Shareholder’s Resolution on Capital Increase</w:t>
      </w:r>
      <w:r>
        <w:rPr>
          <w:rFonts w:ascii="Arial" w:cs="Arial" w:eastAsia="Arial" w:hAnsi="Arial"/>
          <w:sz w:val="18"/>
          <w:szCs w:val="18"/>
          <w:color w:val="auto"/>
        </w:rPr>
        <w:t>. The Company confirms that:</w:t>
      </w:r>
    </w:p>
    <w:p>
      <w:pPr>
        <w:spacing w:after="0" w:line="117" w:lineRule="exact"/>
        <w:rPr>
          <w:rFonts w:ascii="Arial" w:cs="Arial" w:eastAsia="Arial" w:hAnsi="Arial"/>
          <w:sz w:val="18"/>
          <w:szCs w:val="18"/>
          <w:color w:val="auto"/>
        </w:rPr>
      </w:pPr>
    </w:p>
    <w:p>
      <w:pPr>
        <w:ind w:right="60" w:firstLine="881"/>
        <w:spacing w:after="0" w:line="264" w:lineRule="auto"/>
        <w:tabs>
          <w:tab w:leader="none" w:pos="1091" w:val="left"/>
        </w:tabs>
        <w:numPr>
          <w:ilvl w:val="2"/>
          <w:numId w:val="176"/>
        </w:numPr>
        <w:rPr>
          <w:rFonts w:ascii="Arial" w:cs="Arial" w:eastAsia="Arial" w:hAnsi="Arial"/>
          <w:sz w:val="18"/>
          <w:szCs w:val="18"/>
          <w:color w:val="auto"/>
        </w:rPr>
      </w:pPr>
      <w:r>
        <w:rPr>
          <w:rFonts w:ascii="Arial" w:cs="Arial" w:eastAsia="Arial" w:hAnsi="Arial"/>
          <w:sz w:val="18"/>
          <w:szCs w:val="18"/>
          <w:color w:val="auto"/>
        </w:rPr>
        <w:t>pursuant to the articles of association, the Board may effect an increase of the Company’s share capital in a maximum amount of CHF 426,950.00 by issuing up to 21,347,500 Securities out of the Company’s authorized share capital, such authorization having been granted by resolution of the shareholders meeting of October 21, 2015; and</w:t>
      </w:r>
    </w:p>
    <w:p>
      <w:pPr>
        <w:spacing w:after="0" w:line="73" w:lineRule="exact"/>
        <w:rPr>
          <w:rFonts w:ascii="Arial" w:cs="Arial" w:eastAsia="Arial" w:hAnsi="Arial"/>
          <w:sz w:val="18"/>
          <w:szCs w:val="18"/>
          <w:color w:val="auto"/>
        </w:rPr>
      </w:pPr>
    </w:p>
    <w:p>
      <w:pPr>
        <w:ind w:right="420" w:firstLine="881"/>
        <w:spacing w:after="0" w:line="277" w:lineRule="auto"/>
        <w:tabs>
          <w:tab w:leader="none" w:pos="1141" w:val="left"/>
        </w:tabs>
        <w:numPr>
          <w:ilvl w:val="2"/>
          <w:numId w:val="176"/>
        </w:numPr>
        <w:rPr>
          <w:rFonts w:ascii="Arial" w:cs="Arial" w:eastAsia="Arial" w:hAnsi="Arial"/>
          <w:sz w:val="18"/>
          <w:szCs w:val="18"/>
          <w:color w:val="auto"/>
        </w:rPr>
      </w:pPr>
      <w:r>
        <w:rPr>
          <w:rFonts w:ascii="Arial" w:cs="Arial" w:eastAsia="Arial" w:hAnsi="Arial"/>
          <w:sz w:val="18"/>
          <w:szCs w:val="18"/>
          <w:color w:val="auto"/>
        </w:rPr>
        <w:t>all statutory pre-emptive rights to which the existing shareholders of the Company are entitled under Swiss law with respect to the capital increase described in Section 4(a)(i) have been validly set aside or waived.</w:t>
      </w:r>
    </w:p>
    <w:p>
      <w:pPr>
        <w:spacing w:after="0" w:line="62" w:lineRule="exact"/>
        <w:rPr>
          <w:rFonts w:ascii="Arial" w:cs="Arial" w:eastAsia="Arial" w:hAnsi="Arial"/>
          <w:sz w:val="18"/>
          <w:szCs w:val="18"/>
          <w:color w:val="auto"/>
        </w:rPr>
      </w:pPr>
    </w:p>
    <w:p>
      <w:pPr>
        <w:ind w:firstLine="443"/>
        <w:spacing w:after="0" w:line="277" w:lineRule="auto"/>
        <w:tabs>
          <w:tab w:leader="none" w:pos="693" w:val="left"/>
        </w:tabs>
        <w:numPr>
          <w:ilvl w:val="1"/>
          <w:numId w:val="176"/>
        </w:numPr>
        <w:rPr>
          <w:rFonts w:ascii="Arial" w:cs="Arial" w:eastAsia="Arial" w:hAnsi="Arial"/>
          <w:sz w:val="18"/>
          <w:szCs w:val="18"/>
          <w:color w:val="auto"/>
        </w:rPr>
      </w:pPr>
      <w:r>
        <w:rPr>
          <w:rFonts w:ascii="Arial" w:cs="Arial" w:eastAsia="Arial" w:hAnsi="Arial"/>
          <w:sz w:val="18"/>
          <w:szCs w:val="18"/>
          <w:i w:val="1"/>
          <w:iCs w:val="1"/>
          <w:color w:val="auto"/>
        </w:rPr>
        <w:t>Subscription of Firm Capital Increase</w:t>
      </w:r>
      <w:r>
        <w:rPr>
          <w:rFonts w:ascii="Arial" w:cs="Arial" w:eastAsia="Arial" w:hAnsi="Arial"/>
          <w:sz w:val="18"/>
          <w:szCs w:val="18"/>
          <w:color w:val="auto"/>
        </w:rPr>
        <w:t>. The Representatives, acting in their own names but for the accounts of the several Underwriters, agree,</w:t>
      </w:r>
      <w:r>
        <w:rPr>
          <w:rFonts w:ascii="Arial" w:cs="Arial" w:eastAsia="Arial" w:hAnsi="Arial"/>
          <w:sz w:val="18"/>
          <w:szCs w:val="18"/>
          <w:i w:val="1"/>
          <w:iCs w:val="1"/>
          <w:color w:val="auto"/>
        </w:rPr>
        <w:t xml:space="preserve"> </w:t>
      </w:r>
      <w:r>
        <w:rPr>
          <w:rFonts w:ascii="Arial" w:cs="Arial" w:eastAsia="Arial" w:hAnsi="Arial"/>
          <w:sz w:val="18"/>
          <w:szCs w:val="18"/>
          <w:color w:val="auto"/>
        </w:rPr>
        <w:t>on the basis of the representations, warranties and agreements herein contained, to:</w:t>
      </w:r>
    </w:p>
    <w:p>
      <w:pPr>
        <w:spacing w:after="0" w:line="58" w:lineRule="exact"/>
        <w:rPr>
          <w:rFonts w:ascii="Arial" w:cs="Arial" w:eastAsia="Arial" w:hAnsi="Arial"/>
          <w:sz w:val="18"/>
          <w:szCs w:val="18"/>
          <w:color w:val="auto"/>
        </w:rPr>
      </w:pPr>
    </w:p>
    <w:p>
      <w:pPr>
        <w:ind w:right="80" w:firstLine="881"/>
        <w:spacing w:after="0" w:line="295" w:lineRule="auto"/>
        <w:tabs>
          <w:tab w:leader="none" w:pos="1091" w:val="left"/>
        </w:tabs>
        <w:numPr>
          <w:ilvl w:val="2"/>
          <w:numId w:val="176"/>
        </w:numPr>
        <w:rPr>
          <w:rFonts w:ascii="Arial" w:cs="Arial" w:eastAsia="Arial" w:hAnsi="Arial"/>
          <w:sz w:val="16"/>
          <w:szCs w:val="16"/>
          <w:color w:val="auto"/>
        </w:rPr>
      </w:pPr>
      <w:r>
        <w:rPr>
          <w:rFonts w:ascii="Arial" w:cs="Arial" w:eastAsia="Arial" w:hAnsi="Arial"/>
          <w:sz w:val="16"/>
          <w:szCs w:val="16"/>
          <w:color w:val="auto"/>
        </w:rPr>
        <w:t>acquire for nominal value from the Company up to [5,300,000] Securities (“</w:t>
      </w:r>
      <w:r>
        <w:rPr>
          <w:rFonts w:ascii="Arial" w:cs="Arial" w:eastAsia="Arial" w:hAnsi="Arial"/>
          <w:sz w:val="16"/>
          <w:szCs w:val="16"/>
          <w:b w:val="1"/>
          <w:bCs w:val="1"/>
          <w:color w:val="auto"/>
        </w:rPr>
        <w:t>Firm Shares Tranche I</w:t>
      </w:r>
      <w:r>
        <w:rPr>
          <w:rFonts w:ascii="Arial" w:cs="Arial" w:eastAsia="Arial" w:hAnsi="Arial"/>
          <w:sz w:val="16"/>
          <w:szCs w:val="16"/>
          <w:color w:val="auto"/>
        </w:rPr>
        <w:t>”), and for the difference, if any, between the number of Firm Shares Tranche I and the number of Firm Securities (such difference being the “</w:t>
      </w:r>
      <w:r>
        <w:rPr>
          <w:rFonts w:ascii="Arial" w:cs="Arial" w:eastAsia="Arial" w:hAnsi="Arial"/>
          <w:sz w:val="16"/>
          <w:szCs w:val="16"/>
          <w:b w:val="1"/>
          <w:bCs w:val="1"/>
          <w:color w:val="auto"/>
        </w:rPr>
        <w:t>Firm Shares Tranche II</w:t>
      </w:r>
      <w:r>
        <w:rPr>
          <w:rFonts w:ascii="Arial" w:cs="Arial" w:eastAsia="Arial" w:hAnsi="Arial"/>
          <w:sz w:val="16"/>
          <w:szCs w:val="16"/>
          <w:color w:val="auto"/>
        </w:rPr>
        <w:t>”) subscribe, on or by 6:00 a.m. New York time on the third business day immediately preceding the First Closing Date, or such other time and date as agreed between the Company and Representatives, at the issue price (</w:t>
      </w:r>
      <w:r>
        <w:rPr>
          <w:rFonts w:ascii="Arial" w:cs="Arial" w:eastAsia="Arial" w:hAnsi="Arial"/>
          <w:sz w:val="16"/>
          <w:szCs w:val="16"/>
          <w:i w:val="1"/>
          <w:iCs w:val="1"/>
          <w:color w:val="auto"/>
        </w:rPr>
        <w:t>Ausgabebetrag</w:t>
      </w:r>
      <w:r>
        <w:rPr>
          <w:rFonts w:ascii="Arial" w:cs="Arial" w:eastAsia="Arial" w:hAnsi="Arial"/>
          <w:sz w:val="16"/>
          <w:szCs w:val="16"/>
          <w:color w:val="auto"/>
        </w:rPr>
        <w:t>) of CHF 0.02 per Firm Shares Tranche II corresponding to the nominal value for each Firm Security and to deliver the corresponding subscription form (</w:t>
      </w:r>
      <w:r>
        <w:rPr>
          <w:rFonts w:ascii="Arial" w:cs="Arial" w:eastAsia="Arial" w:hAnsi="Arial"/>
          <w:sz w:val="16"/>
          <w:szCs w:val="16"/>
          <w:i w:val="1"/>
          <w:iCs w:val="1"/>
          <w:color w:val="auto"/>
        </w:rPr>
        <w:t>Zeichnungsschein</w:t>
      </w:r>
      <w:r>
        <w:rPr>
          <w:rFonts w:ascii="Arial" w:cs="Arial" w:eastAsia="Arial" w:hAnsi="Arial"/>
          <w:sz w:val="16"/>
          <w:szCs w:val="16"/>
          <w:color w:val="auto"/>
        </w:rPr>
        <w:t xml:space="preserve">) to the Company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by not later than 6:00 a.m. New York time on the third business day immediately preceding the Closing Date; and</w:t>
      </w:r>
    </w:p>
    <w:p>
      <w:pPr>
        <w:spacing w:after="0" w:line="51" w:lineRule="exact"/>
        <w:rPr>
          <w:rFonts w:ascii="Arial" w:cs="Arial" w:eastAsia="Arial" w:hAnsi="Arial"/>
          <w:sz w:val="16"/>
          <w:szCs w:val="16"/>
          <w:color w:val="auto"/>
        </w:rPr>
      </w:pPr>
    </w:p>
    <w:p>
      <w:pPr>
        <w:ind w:right="60" w:firstLine="881"/>
        <w:spacing w:after="0" w:line="290" w:lineRule="auto"/>
        <w:tabs>
          <w:tab w:leader="none" w:pos="1141" w:val="left"/>
        </w:tabs>
        <w:numPr>
          <w:ilvl w:val="2"/>
          <w:numId w:val="176"/>
        </w:numPr>
        <w:rPr>
          <w:rFonts w:ascii="Arial" w:cs="Arial" w:eastAsia="Arial" w:hAnsi="Arial"/>
          <w:sz w:val="16"/>
          <w:szCs w:val="16"/>
          <w:color w:val="auto"/>
        </w:rPr>
      </w:pPr>
      <w:r>
        <w:rPr>
          <w:rFonts w:ascii="Arial" w:cs="Arial" w:eastAsia="Arial" w:hAnsi="Arial"/>
          <w:sz w:val="16"/>
          <w:szCs w:val="16"/>
          <w:color w:val="auto"/>
        </w:rPr>
        <w:t>deposit or cause to be deposited, not later than 7:30 a.m. New York time on the second business day immediately preceding the First Closing Date, or such other time and date as agreed between the Company and Representatives, same-day funds for value in the amount of CHF [•] (corresponding to the aggregate nominal value of the Firm Shares Tranche II) (the “</w:t>
      </w:r>
      <w:r>
        <w:rPr>
          <w:rFonts w:ascii="Arial" w:cs="Arial" w:eastAsia="Arial" w:hAnsi="Arial"/>
          <w:sz w:val="16"/>
          <w:szCs w:val="16"/>
          <w:b w:val="1"/>
          <w:bCs w:val="1"/>
          <w:color w:val="auto"/>
        </w:rPr>
        <w:t>Firm Capital Increase Amount</w:t>
      </w:r>
      <w:r>
        <w:rPr>
          <w:rFonts w:ascii="Arial" w:cs="Arial" w:eastAsia="Arial" w:hAnsi="Arial"/>
          <w:sz w:val="16"/>
          <w:szCs w:val="16"/>
          <w:color w:val="auto"/>
        </w:rPr>
        <w:t>”) with UBS AG, Basel, Switzerland, SWIFT Code (BIC): UBSWCHZH80A, bank clearing No: 243 (the “</w:t>
      </w:r>
      <w:r>
        <w:rPr>
          <w:rFonts w:ascii="Arial" w:cs="Arial" w:eastAsia="Arial" w:hAnsi="Arial"/>
          <w:sz w:val="16"/>
          <w:szCs w:val="16"/>
          <w:b w:val="1"/>
          <w:bCs w:val="1"/>
          <w:color w:val="auto"/>
        </w:rPr>
        <w:t>Capital Increase Bank</w:t>
      </w:r>
      <w:r>
        <w:rPr>
          <w:rFonts w:ascii="Arial" w:cs="Arial" w:eastAsia="Arial" w:hAnsi="Arial"/>
          <w:sz w:val="16"/>
          <w:szCs w:val="16"/>
          <w:color w:val="auto"/>
        </w:rPr>
        <w:t>”), in a blocked account for such capital increase (</w:t>
      </w:r>
      <w:r>
        <w:rPr>
          <w:rFonts w:ascii="Arial" w:cs="Arial" w:eastAsia="Arial" w:hAnsi="Arial"/>
          <w:sz w:val="16"/>
          <w:szCs w:val="16"/>
          <w:i w:val="1"/>
          <w:iCs w:val="1"/>
          <w:color w:val="auto"/>
        </w:rPr>
        <w:t>Kapitaleinzahlungskonto</w:t>
      </w:r>
      <w:r>
        <w:rPr>
          <w:rFonts w:ascii="Arial" w:cs="Arial" w:eastAsia="Arial" w:hAnsi="Arial"/>
          <w:sz w:val="16"/>
          <w:szCs w:val="16"/>
          <w:color w:val="auto"/>
        </w:rPr>
        <w:t>), account number 0243 00179630.D7C, made out to the Company’s name (the “</w:t>
      </w:r>
      <w:r>
        <w:rPr>
          <w:rFonts w:ascii="Arial" w:cs="Arial" w:eastAsia="Arial" w:hAnsi="Arial"/>
          <w:sz w:val="16"/>
          <w:szCs w:val="16"/>
          <w:b w:val="1"/>
          <w:bCs w:val="1"/>
          <w:color w:val="auto"/>
        </w:rPr>
        <w:t>Firm Capital Increase Account</w:t>
      </w:r>
      <w:r>
        <w:rPr>
          <w:rFonts w:ascii="Arial" w:cs="Arial" w:eastAsia="Arial" w:hAnsi="Arial"/>
          <w:sz w:val="16"/>
          <w:szCs w:val="16"/>
          <w:color w:val="auto"/>
        </w:rPr>
        <w:t>”), and to cause the Capital Increase Bank to issue and deliver to VISCHER AG, Aeschenvorstadt 4, CHF 4010 Basel a written original confirmation of payment of the Firm Capital Increase Amount to the Company no later than 12:00 p.m. New York time on the second business day immediately preceding the First Closing Date (or such other time and date as agreed between the Company and the Representatives).</w:t>
      </w:r>
    </w:p>
    <w:p>
      <w:pPr>
        <w:spacing w:after="0" w:line="58" w:lineRule="exact"/>
        <w:rPr>
          <w:rFonts w:ascii="Arial" w:cs="Arial" w:eastAsia="Arial" w:hAnsi="Arial"/>
          <w:sz w:val="16"/>
          <w:szCs w:val="16"/>
          <w:color w:val="auto"/>
        </w:rPr>
      </w:pPr>
    </w:p>
    <w:p>
      <w:pPr>
        <w:ind w:firstLine="443"/>
        <w:spacing w:after="0" w:line="264" w:lineRule="auto"/>
        <w:tabs>
          <w:tab w:leader="none" w:pos="683" w:val="left"/>
        </w:tabs>
        <w:numPr>
          <w:ilvl w:val="1"/>
          <w:numId w:val="176"/>
        </w:numPr>
        <w:rPr>
          <w:rFonts w:ascii="Arial" w:cs="Arial" w:eastAsia="Arial" w:hAnsi="Arial"/>
          <w:sz w:val="18"/>
          <w:szCs w:val="18"/>
          <w:color w:val="auto"/>
        </w:rPr>
      </w:pPr>
      <w:r>
        <w:rPr>
          <w:rFonts w:ascii="Arial" w:cs="Arial" w:eastAsia="Arial" w:hAnsi="Arial"/>
          <w:sz w:val="18"/>
          <w:szCs w:val="18"/>
          <w:i w:val="1"/>
          <w:iCs w:val="1"/>
          <w:color w:val="auto"/>
        </w:rPr>
        <w:t>Board Resolution and Registration of Firm Capital Increase</w:t>
      </w:r>
      <w:r>
        <w:rPr>
          <w:rFonts w:ascii="Arial" w:cs="Arial" w:eastAsia="Arial" w:hAnsi="Arial"/>
          <w:sz w:val="18"/>
          <w:szCs w:val="18"/>
          <w:color w:val="auto"/>
        </w:rPr>
        <w:t>. Upon receipt of the documents referred to in Section 4(b) and before 2:30 a.m.</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time on the first business day immediately preceding the First Closing Date, or such other time and date as agreed between the Company and the Representatives, the Board (or a committee or a Board member duly authorized by the Board) will:</w:t>
      </w:r>
    </w:p>
    <w:p>
      <w:pPr>
        <w:spacing w:after="0" w:line="73" w:lineRule="exact"/>
        <w:rPr>
          <w:rFonts w:ascii="Arial" w:cs="Arial" w:eastAsia="Arial" w:hAnsi="Arial"/>
          <w:sz w:val="18"/>
          <w:szCs w:val="18"/>
          <w:color w:val="auto"/>
        </w:rPr>
      </w:pPr>
    </w:p>
    <w:p>
      <w:pPr>
        <w:ind w:right="100" w:firstLine="881"/>
        <w:spacing w:after="0" w:line="277" w:lineRule="auto"/>
        <w:tabs>
          <w:tab w:leader="none" w:pos="1091" w:val="left"/>
        </w:tabs>
        <w:numPr>
          <w:ilvl w:val="2"/>
          <w:numId w:val="176"/>
        </w:numPr>
        <w:rPr>
          <w:rFonts w:ascii="Arial" w:cs="Arial" w:eastAsia="Arial" w:hAnsi="Arial"/>
          <w:sz w:val="18"/>
          <w:szCs w:val="18"/>
          <w:color w:val="auto"/>
        </w:rPr>
      </w:pPr>
      <w:r>
        <w:rPr>
          <w:rFonts w:ascii="Arial" w:cs="Arial" w:eastAsia="Arial" w:hAnsi="Arial"/>
          <w:sz w:val="18"/>
          <w:szCs w:val="18"/>
          <w:color w:val="auto"/>
        </w:rPr>
        <w:t>pass a capital increase resolution (</w:t>
      </w:r>
      <w:r>
        <w:rPr>
          <w:rFonts w:ascii="Arial" w:cs="Arial" w:eastAsia="Arial" w:hAnsi="Arial"/>
          <w:sz w:val="18"/>
          <w:szCs w:val="18"/>
          <w:i w:val="1"/>
          <w:iCs w:val="1"/>
          <w:color w:val="auto"/>
        </w:rPr>
        <w:t>Erhöhungsbeschluss</w:t>
      </w:r>
      <w:r>
        <w:rPr>
          <w:rFonts w:ascii="Arial" w:cs="Arial" w:eastAsia="Arial" w:hAnsi="Arial"/>
          <w:sz w:val="18"/>
          <w:szCs w:val="18"/>
          <w:color w:val="auto"/>
        </w:rPr>
        <w:t>) regarding the issuance of the Firm Shares Tranche II subscribed for pursuant to Section 4(b)(i) (the “</w:t>
      </w:r>
      <w:r>
        <w:rPr>
          <w:rFonts w:ascii="Arial" w:cs="Arial" w:eastAsia="Arial" w:hAnsi="Arial"/>
          <w:sz w:val="18"/>
          <w:szCs w:val="18"/>
          <w:b w:val="1"/>
          <w:bCs w:val="1"/>
          <w:color w:val="auto"/>
        </w:rPr>
        <w:t>Firm Capital Increase</w:t>
      </w:r>
      <w:r>
        <w:rPr>
          <w:rFonts w:ascii="Arial" w:cs="Arial" w:eastAsia="Arial" w:hAnsi="Arial"/>
          <w:sz w:val="18"/>
          <w:szCs w:val="18"/>
          <w:color w:val="auto"/>
        </w:rPr>
        <w:t>”);</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255" w:name="page256"/>
    <w:bookmarkEnd w:id="255"/>
    <w:p>
      <w:pPr>
        <w:ind w:left="460" w:firstLine="881"/>
        <w:spacing w:after="0" w:line="277" w:lineRule="auto"/>
        <w:tabs>
          <w:tab w:leader="none" w:pos="1601"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adopt a report on the Firm Capital Increase (</w:t>
      </w:r>
      <w:r>
        <w:rPr>
          <w:rFonts w:ascii="Arial" w:cs="Arial" w:eastAsia="Arial" w:hAnsi="Arial"/>
          <w:sz w:val="18"/>
          <w:szCs w:val="18"/>
          <w:i w:val="1"/>
          <w:iCs w:val="1"/>
          <w:color w:val="auto"/>
        </w:rPr>
        <w:t>Kapitalerhöhungsbericht</w:t>
      </w:r>
      <w:r>
        <w:rPr>
          <w:rFonts w:ascii="Arial" w:cs="Arial" w:eastAsia="Arial" w:hAnsi="Arial"/>
          <w:sz w:val="18"/>
          <w:szCs w:val="18"/>
          <w:color w:val="auto"/>
        </w:rPr>
        <w:t>) and take note of the auditors’ report (</w:t>
      </w:r>
      <w:r>
        <w:rPr>
          <w:rFonts w:ascii="Arial" w:cs="Arial" w:eastAsia="Arial" w:hAnsi="Arial"/>
          <w:sz w:val="18"/>
          <w:szCs w:val="18"/>
          <w:i w:val="1"/>
          <w:iCs w:val="1"/>
          <w:color w:val="auto"/>
        </w:rPr>
        <w:t>Prüfungsbestätigung</w:t>
      </w:r>
      <w:r>
        <w:rPr>
          <w:rFonts w:ascii="Arial" w:cs="Arial" w:eastAsia="Arial" w:hAnsi="Arial"/>
          <w:sz w:val="18"/>
          <w:szCs w:val="18"/>
          <w:color w:val="auto"/>
        </w:rPr>
        <w:t>), all in accordance with Swiss statutory law;</w:t>
      </w:r>
    </w:p>
    <w:p>
      <w:pPr>
        <w:spacing w:after="0" w:line="62" w:lineRule="exact"/>
        <w:rPr>
          <w:rFonts w:ascii="Arial" w:cs="Arial" w:eastAsia="Arial" w:hAnsi="Arial"/>
          <w:sz w:val="18"/>
          <w:szCs w:val="18"/>
          <w:color w:val="auto"/>
        </w:rPr>
      </w:pPr>
    </w:p>
    <w:p>
      <w:pPr>
        <w:ind w:left="460" w:right="60" w:firstLine="881"/>
        <w:spacing w:after="0" w:line="277" w:lineRule="auto"/>
        <w:tabs>
          <w:tab w:leader="none" w:pos="165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resolve on the Firm Capital Increase and making all amendments to the articles of association of the Company necessary in connection with the Firm Capital Increase (</w:t>
      </w:r>
      <w:r>
        <w:rPr>
          <w:rFonts w:ascii="Arial" w:cs="Arial" w:eastAsia="Arial" w:hAnsi="Arial"/>
          <w:sz w:val="18"/>
          <w:szCs w:val="18"/>
          <w:i w:val="1"/>
          <w:iCs w:val="1"/>
          <w:color w:val="auto"/>
        </w:rPr>
        <w:t>Feststellungs- und Statutenänderungsbeschluss</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60" w:right="80" w:firstLine="881"/>
        <w:spacing w:after="0" w:line="308" w:lineRule="auto"/>
        <w:tabs>
          <w:tab w:leader="none" w:pos="1641" w:val="left"/>
        </w:tabs>
        <w:numPr>
          <w:ilvl w:val="0"/>
          <w:numId w:val="177"/>
        </w:numPr>
        <w:rPr>
          <w:rFonts w:ascii="Arial" w:cs="Arial" w:eastAsia="Arial" w:hAnsi="Arial"/>
          <w:sz w:val="17"/>
          <w:szCs w:val="17"/>
          <w:color w:val="auto"/>
        </w:rPr>
      </w:pPr>
      <w:r>
        <w:rPr>
          <w:rFonts w:ascii="Arial" w:cs="Arial" w:eastAsia="Arial" w:hAnsi="Arial"/>
          <w:sz w:val="17"/>
          <w:szCs w:val="17"/>
          <w:color w:val="auto"/>
        </w:rPr>
        <w:t>promptly thereafter, no later than 6:00 a.m. New York time on the first business day immediately preceding the First Closing Date, file the documents necessary for the registration of the Firm Capital Increase with the Commercial Register of the Canton of Vaud;</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this Agreement is terminated pursuant to Section 12 prior to the Company filing the relevant resolutions with the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 of the Canton of Vaud, (A) the Company undertakes not to resolve on the Firm Capital Increase (if it has not already done so) or to file the relevant resolutions with the Commercial Register of the Canton of Vaud, and (B) the Company shall immediately cause the Capital Increase Bank to release the Firm Capital Increase Amount in full to the Representatives, acting for the accounts of the several Underwriters, as soon as practicable; and the Underwriters understand that the Capital Increase Bank may require confirmation, including from the Underwriters, to release the Firm Capital Increase Amount and the Underwriters agree to deliver such confirmation.</w:t>
      </w:r>
    </w:p>
    <w:p>
      <w:pPr>
        <w:spacing w:after="0" w:line="85" w:lineRule="exact"/>
        <w:rPr>
          <w:sz w:val="20"/>
          <w:szCs w:val="20"/>
          <w:color w:val="auto"/>
        </w:rPr>
      </w:pPr>
    </w:p>
    <w:p>
      <w:pPr>
        <w:ind w:left="460" w:right="320" w:firstLine="443"/>
        <w:spacing w:after="0" w:line="342" w:lineRule="auto"/>
        <w:tabs>
          <w:tab w:leader="none" w:pos="1153"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Issue of Firm Securities</w:t>
      </w:r>
      <w:r>
        <w:rPr>
          <w:rFonts w:ascii="Arial" w:cs="Arial" w:eastAsia="Arial" w:hAnsi="Arial"/>
          <w:sz w:val="16"/>
          <w:szCs w:val="16"/>
          <w:color w:val="auto"/>
        </w:rPr>
        <w:t>. Immediately after the registration of the Firm Capital Increase in the Commercial Register of the Canton of Vaud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4(c), but in no event later than 3:00 p.m. New York time on the business day prior to the First Closing Date, the Company will:</w:t>
      </w:r>
    </w:p>
    <w:p>
      <w:pPr>
        <w:spacing w:after="0" w:line="15" w:lineRule="exact"/>
        <w:rPr>
          <w:rFonts w:ascii="Arial" w:cs="Arial" w:eastAsia="Arial" w:hAnsi="Arial"/>
          <w:sz w:val="16"/>
          <w:szCs w:val="16"/>
          <w:color w:val="auto"/>
        </w:rPr>
      </w:pPr>
    </w:p>
    <w:p>
      <w:pPr>
        <w:ind w:left="460" w:right="20" w:firstLine="881"/>
        <w:spacing w:after="0" w:line="255" w:lineRule="auto"/>
        <w:tabs>
          <w:tab w:leader="none" w:pos="155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deliver to each of the Representatives and the Capital Increase Bank, (A) a copy of the certified excerpt of the journal entry (</w:t>
      </w:r>
      <w:r>
        <w:rPr>
          <w:rFonts w:ascii="Arial" w:cs="Arial" w:eastAsia="Arial" w:hAnsi="Arial"/>
          <w:sz w:val="18"/>
          <w:szCs w:val="18"/>
          <w:i w:val="1"/>
          <w:iCs w:val="1"/>
          <w:color w:val="auto"/>
        </w:rPr>
        <w:t>Tagebuch</w:t>
      </w:r>
      <w:r>
        <w:rPr>
          <w:rFonts w:ascii="Arial" w:cs="Arial" w:eastAsia="Arial" w:hAnsi="Arial"/>
          <w:sz w:val="18"/>
          <w:szCs w:val="18"/>
          <w:color w:val="auto"/>
        </w:rPr>
        <w:t>) or a copy of the certified excerpt from the Commercial Register of the Canton of Vaud evidencing the issuance of all Firm Securities including the Firm Capital Increase, (B) a copy of the certified updated articles of association of the Company evidencing all Firm Securities including the shares issued in the Firm Capital Increase, (C) a copy of the Company’s book of uncertificated securities (</w:t>
      </w:r>
      <w:r>
        <w:rPr>
          <w:rFonts w:ascii="Arial" w:cs="Arial" w:eastAsia="Arial" w:hAnsi="Arial"/>
          <w:sz w:val="18"/>
          <w:szCs w:val="18"/>
          <w:i w:val="1"/>
          <w:iCs w:val="1"/>
          <w:color w:val="auto"/>
        </w:rPr>
        <w:t>Wertrechtebuch</w:t>
      </w:r>
      <w:r>
        <w:rPr>
          <w:rFonts w:ascii="Arial" w:cs="Arial" w:eastAsia="Arial" w:hAnsi="Arial"/>
          <w:sz w:val="18"/>
          <w:szCs w:val="18"/>
          <w:color w:val="auto"/>
        </w:rPr>
        <w:t>) evidencing the Underwriters as first holders of the Firm Securities, and (D) a copy of the share register (</w:t>
      </w:r>
      <w:r>
        <w:rPr>
          <w:rFonts w:ascii="Arial" w:cs="Arial" w:eastAsia="Arial" w:hAnsi="Arial"/>
          <w:sz w:val="18"/>
          <w:szCs w:val="18"/>
          <w:i w:val="1"/>
          <w:iCs w:val="1"/>
          <w:color w:val="auto"/>
        </w:rPr>
        <w:t>Aktienbuch</w:t>
      </w:r>
      <w:r>
        <w:rPr>
          <w:rFonts w:ascii="Arial" w:cs="Arial" w:eastAsia="Arial" w:hAnsi="Arial"/>
          <w:sz w:val="18"/>
          <w:szCs w:val="18"/>
          <w:color w:val="auto"/>
        </w:rPr>
        <w:t>) of the Company evidencing the Underwriters as shareholders with respect to the Firm Securities; and</w:t>
      </w:r>
    </w:p>
    <w:p>
      <w:pPr>
        <w:spacing w:after="0" w:line="85" w:lineRule="exact"/>
        <w:rPr>
          <w:rFonts w:ascii="Arial" w:cs="Arial" w:eastAsia="Arial" w:hAnsi="Arial"/>
          <w:sz w:val="18"/>
          <w:szCs w:val="18"/>
          <w:color w:val="auto"/>
        </w:rPr>
      </w:pPr>
    </w:p>
    <w:p>
      <w:pPr>
        <w:ind w:left="460" w:right="100" w:firstLine="881"/>
        <w:spacing w:after="0" w:line="264" w:lineRule="auto"/>
        <w:tabs>
          <w:tab w:leader="none" w:pos="160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take all steps necessary to ensure that the Firm Securities will be (A) duly recorded in an account of the Underwriters at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on the First Closing Date; and (B) freely transferable (subject to any applicable restrictions set forth in the articles of association of the Company) on the First Closing Date.</w:t>
      </w:r>
    </w:p>
    <w:p>
      <w:pPr>
        <w:spacing w:after="0" w:line="73" w:lineRule="exact"/>
        <w:rPr>
          <w:rFonts w:ascii="Arial" w:cs="Arial" w:eastAsia="Arial" w:hAnsi="Arial"/>
          <w:sz w:val="18"/>
          <w:szCs w:val="18"/>
          <w:color w:val="auto"/>
        </w:rPr>
      </w:pPr>
    </w:p>
    <w:p>
      <w:pPr>
        <w:jc w:val="both"/>
        <w:ind w:left="460" w:right="180" w:firstLine="443"/>
        <w:spacing w:after="0" w:line="264" w:lineRule="auto"/>
        <w:tabs>
          <w:tab w:leader="none" w:pos="1143"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Use of Firm Capital Increase Amount</w:t>
      </w:r>
      <w:r>
        <w:rPr>
          <w:rFonts w:ascii="Arial" w:cs="Arial" w:eastAsia="Arial" w:hAnsi="Arial"/>
          <w:sz w:val="18"/>
          <w:szCs w:val="18"/>
          <w:color w:val="auto"/>
        </w:rPr>
        <w:t>. The funds deposited in the Firm Capital Increase Account shall, upon registration of the Firm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pursuant to Section 4(c) and upon request by the Company, be transferred to a separate account of the Company with the Represenatives and shall, in such case, remain so deposited for the account of the Company until the earlier of:</w:t>
      </w:r>
    </w:p>
    <w:p>
      <w:pPr>
        <w:spacing w:after="0" w:line="73" w:lineRule="exact"/>
        <w:rPr>
          <w:rFonts w:ascii="Arial" w:cs="Arial" w:eastAsia="Arial" w:hAnsi="Arial"/>
          <w:sz w:val="18"/>
          <w:szCs w:val="18"/>
          <w:color w:val="auto"/>
        </w:rPr>
      </w:pPr>
    </w:p>
    <w:p>
      <w:pPr>
        <w:ind w:left="1560" w:hanging="219"/>
        <w:spacing w:after="0"/>
        <w:tabs>
          <w:tab w:leader="none" w:pos="15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issuance of the Firm Securities to the Underwriters as set forth in Section 4(d) on the First Closing Date; and</w:t>
      </w:r>
    </w:p>
    <w:p>
      <w:pPr>
        <w:spacing w:after="0" w:line="117" w:lineRule="exact"/>
        <w:rPr>
          <w:rFonts w:ascii="Arial" w:cs="Arial" w:eastAsia="Arial" w:hAnsi="Arial"/>
          <w:sz w:val="18"/>
          <w:szCs w:val="18"/>
          <w:color w:val="auto"/>
        </w:rPr>
      </w:pPr>
    </w:p>
    <w:p>
      <w:pPr>
        <w:ind w:left="460" w:right="80" w:firstLine="881"/>
        <w:spacing w:after="0" w:line="277" w:lineRule="auto"/>
        <w:tabs>
          <w:tab w:leader="none" w:pos="1601"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date of receipt by the Representatives on behalf of the several Underwriters of the proceeds of (A) the sale of the Firm Securities as set forth in Sections 14(b), 14(c) or 14(e) or (B) the Capital Reduction as set forth in Section 14(d), as the case may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6" w:name="page257"/>
    <w:bookmarkEnd w:id="256"/>
    <w:p>
      <w:pPr>
        <w:ind w:left="420" w:right="40" w:firstLine="87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fees payable to the Capital Increase Bank for any transfer of the funds deposited in the Firm Capital Increase Account pursuant to this Section 4(e) shall be payable directly to the Capital Increase Bank by the Company.</w:t>
      </w:r>
    </w:p>
    <w:p>
      <w:pPr>
        <w:spacing w:after="0" w:line="62" w:lineRule="exact"/>
        <w:rPr>
          <w:sz w:val="20"/>
          <w:szCs w:val="20"/>
          <w:color w:val="auto"/>
        </w:rPr>
      </w:pPr>
    </w:p>
    <w:p>
      <w:pPr>
        <w:ind w:left="600" w:hanging="176"/>
        <w:spacing w:after="0"/>
        <w:tabs>
          <w:tab w:leader="none" w:pos="600"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Subscription and Issuance of Optional Securities.</w:t>
      </w:r>
    </w:p>
    <w:p>
      <w:pPr>
        <w:spacing w:after="0" w:line="117" w:lineRule="exact"/>
        <w:rPr>
          <w:sz w:val="20"/>
          <w:szCs w:val="20"/>
          <w:color w:val="auto"/>
        </w:rPr>
      </w:pPr>
    </w:p>
    <w:p>
      <w:pPr>
        <w:ind w:left="-40" w:right="100" w:firstLine="464"/>
        <w:spacing w:after="0" w:line="312" w:lineRule="auto"/>
        <w:tabs>
          <w:tab w:leader="none" w:pos="661"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Subscription of Over-Allotment Capital Increase</w:t>
      </w:r>
      <w:r>
        <w:rPr>
          <w:rFonts w:ascii="Arial" w:cs="Arial" w:eastAsia="Arial" w:hAnsi="Arial"/>
          <w:sz w:val="16"/>
          <w:szCs w:val="16"/>
          <w:color w:val="auto"/>
        </w:rPr>
        <w:t>. If the Representatives exercise the option granted to them under Section 3 of this Agreement,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acting in their own names but for the accounts of the several Underwriters, agree, on the basis of the representations, warranties and agreements herein contained, and subject to the conditions stated below and to this Agreement having not been terminated, to:</w:t>
      </w:r>
    </w:p>
    <w:p>
      <w:pPr>
        <w:spacing w:after="0" w:line="34" w:lineRule="exact"/>
        <w:rPr>
          <w:rFonts w:ascii="Arial" w:cs="Arial" w:eastAsia="Arial" w:hAnsi="Arial"/>
          <w:sz w:val="16"/>
          <w:szCs w:val="16"/>
          <w:color w:val="auto"/>
        </w:rPr>
      </w:pPr>
    </w:p>
    <w:p>
      <w:pPr>
        <w:ind w:left="-40" w:right="100" w:firstLine="921"/>
        <w:spacing w:after="0" w:line="258" w:lineRule="auto"/>
        <w:tabs>
          <w:tab w:leader="none" w:pos="108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subscribe for the number of Optional Securities for which the option to purchase has been exercised pursuant to Section 3 (the “</w:t>
      </w:r>
      <w:r>
        <w:rPr>
          <w:rFonts w:ascii="Arial" w:cs="Arial" w:eastAsia="Arial" w:hAnsi="Arial"/>
          <w:sz w:val="18"/>
          <w:szCs w:val="18"/>
          <w:b w:val="1"/>
          <w:bCs w:val="1"/>
          <w:color w:val="auto"/>
        </w:rPr>
        <w:t>Applicable</w:t>
      </w:r>
      <w:r>
        <w:rPr>
          <w:rFonts w:ascii="Arial" w:cs="Arial" w:eastAsia="Arial" w:hAnsi="Arial"/>
          <w:sz w:val="18"/>
          <w:szCs w:val="18"/>
          <w:color w:val="auto"/>
        </w:rPr>
        <w:t xml:space="preserve"> </w:t>
      </w:r>
      <w:r>
        <w:rPr>
          <w:rFonts w:ascii="Arial" w:cs="Arial" w:eastAsia="Arial" w:hAnsi="Arial"/>
          <w:sz w:val="18"/>
          <w:szCs w:val="18"/>
          <w:b w:val="1"/>
          <w:bCs w:val="1"/>
          <w:color w:val="auto"/>
        </w:rPr>
        <w:t>Optional Securities</w:t>
      </w:r>
      <w:r>
        <w:rPr>
          <w:rFonts w:ascii="Arial" w:cs="Arial" w:eastAsia="Arial" w:hAnsi="Arial"/>
          <w:sz w:val="18"/>
          <w:szCs w:val="18"/>
          <w:color w:val="auto"/>
        </w:rPr>
        <w:t>”) at the issue price (</w:t>
      </w:r>
      <w:r>
        <w:rPr>
          <w:rFonts w:ascii="Arial" w:cs="Arial" w:eastAsia="Arial" w:hAnsi="Arial"/>
          <w:sz w:val="18"/>
          <w:szCs w:val="18"/>
          <w:i w:val="1"/>
          <w:iCs w:val="1"/>
          <w:color w:val="auto"/>
        </w:rPr>
        <w:t>Ausgabebetrag</w:t>
      </w:r>
      <w:r>
        <w:rPr>
          <w:rFonts w:ascii="Arial" w:cs="Arial" w:eastAsia="Arial" w:hAnsi="Arial"/>
          <w:sz w:val="18"/>
          <w:szCs w:val="18"/>
          <w:color w:val="auto"/>
        </w:rPr>
        <w:t>) of CHF 0.02 for each Applicable Optional Security corresponding to the nominal value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Optional Security, and to deliver the corresponding subscription form (</w:t>
      </w:r>
      <w:r>
        <w:rPr>
          <w:rFonts w:ascii="Arial" w:cs="Arial" w:eastAsia="Arial" w:hAnsi="Arial"/>
          <w:sz w:val="18"/>
          <w:szCs w:val="18"/>
          <w:i w:val="1"/>
          <w:iCs w:val="1"/>
          <w:color w:val="auto"/>
        </w:rPr>
        <w:t>Zeichnungsschein</w:t>
      </w:r>
      <w:r>
        <w:rPr>
          <w:rFonts w:ascii="Arial" w:cs="Arial" w:eastAsia="Arial" w:hAnsi="Arial"/>
          <w:sz w:val="18"/>
          <w:szCs w:val="18"/>
          <w:color w:val="auto"/>
        </w:rPr>
        <w:t xml:space="preserv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to the Company by not later than 6:00 a.m. New York time on the third business day immediately preceding the Optional Closing Date (or such other date set forth in the relevant option exercise notice delivered by the Representatives pursuant to Section 3); and</w:t>
      </w:r>
    </w:p>
    <w:p>
      <w:pPr>
        <w:spacing w:after="0" w:line="79" w:lineRule="exact"/>
        <w:rPr>
          <w:rFonts w:ascii="Arial" w:cs="Arial" w:eastAsia="Arial" w:hAnsi="Arial"/>
          <w:sz w:val="18"/>
          <w:szCs w:val="18"/>
          <w:color w:val="auto"/>
        </w:rPr>
      </w:pPr>
    </w:p>
    <w:p>
      <w:pPr>
        <w:ind w:left="-40" w:right="200" w:firstLine="921"/>
        <w:spacing w:after="0" w:line="254" w:lineRule="auto"/>
        <w:tabs>
          <w:tab w:leader="none" w:pos="113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deposit or cause to be deposited, not later than 7:30 a.m. New York time on the second business day immediately preceding the Optional Closing Date (or such other date set forth in the relevant option exercise notice delivered by the Representatives pursuant to Section 3), same day funds for value on such date, in the amount of CHF 0.02 multiplied by the number of Applicable Optional Securities (the “</w:t>
      </w:r>
      <w:r>
        <w:rPr>
          <w:rFonts w:ascii="Arial" w:cs="Arial" w:eastAsia="Arial" w:hAnsi="Arial"/>
          <w:sz w:val="18"/>
          <w:szCs w:val="18"/>
          <w:b w:val="1"/>
          <w:bCs w:val="1"/>
          <w:color w:val="auto"/>
        </w:rPr>
        <w:t>Over-Allotment Capital Increase</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with the Capital Increase Bank, in a blocked account for the Over-Allotment Capital Increase (</w:t>
      </w:r>
      <w:r>
        <w:rPr>
          <w:rFonts w:ascii="Arial" w:cs="Arial" w:eastAsia="Arial" w:hAnsi="Arial"/>
          <w:sz w:val="18"/>
          <w:szCs w:val="18"/>
          <w:i w:val="1"/>
          <w:iCs w:val="1"/>
          <w:color w:val="auto"/>
        </w:rPr>
        <w:t>Kapitaleinzahlungskonto</w:t>
      </w:r>
      <w:r>
        <w:rPr>
          <w:rFonts w:ascii="Arial" w:cs="Arial" w:eastAsia="Arial" w:hAnsi="Arial"/>
          <w:sz w:val="18"/>
          <w:szCs w:val="18"/>
          <w:color w:val="auto"/>
        </w:rPr>
        <w:t>), account number 0243</w:t>
      </w:r>
      <w:r>
        <w:rPr>
          <w:rFonts w:ascii="Arial" w:cs="Arial" w:eastAsia="Arial" w:hAnsi="Arial"/>
          <w:sz w:val="18"/>
          <w:szCs w:val="18"/>
          <w:b w:val="1"/>
          <w:bCs w:val="1"/>
          <w:color w:val="auto"/>
        </w:rPr>
        <w:t xml:space="preserve"> </w:t>
      </w:r>
      <w:r>
        <w:rPr>
          <w:rFonts w:ascii="Arial" w:cs="Arial" w:eastAsia="Arial" w:hAnsi="Arial"/>
          <w:sz w:val="18"/>
          <w:szCs w:val="18"/>
          <w:color w:val="auto"/>
        </w:rPr>
        <w:t>00179630.D7C, made out to the Company’s name (the “</w:t>
      </w:r>
      <w:r>
        <w:rPr>
          <w:rFonts w:ascii="Arial" w:cs="Arial" w:eastAsia="Arial" w:hAnsi="Arial"/>
          <w:sz w:val="18"/>
          <w:szCs w:val="18"/>
          <w:b w:val="1"/>
          <w:bCs w:val="1"/>
          <w:color w:val="auto"/>
        </w:rPr>
        <w:t>Over-Allotment Capital Increase Account</w:t>
      </w:r>
      <w:r>
        <w:rPr>
          <w:rFonts w:ascii="Arial" w:cs="Arial" w:eastAsia="Arial" w:hAnsi="Arial"/>
          <w:sz w:val="18"/>
          <w:szCs w:val="18"/>
          <w:color w:val="auto"/>
        </w:rPr>
        <w:t>”), and to cause the Capital Increase Bank to issue and deliver a written confirmation of payment of the Over-Allotment Capital Increase Amount to the Company no later than 12:00 p.m. New York time on the second business day immediately preceding the Optional Closing Date (or at a later date, as set forth in the option exercise notice delivered by the Representatives pursuant to Section 3).</w:t>
      </w:r>
    </w:p>
    <w:p>
      <w:pPr>
        <w:spacing w:after="0" w:line="84" w:lineRule="exact"/>
        <w:rPr>
          <w:rFonts w:ascii="Arial" w:cs="Arial" w:eastAsia="Arial" w:hAnsi="Arial"/>
          <w:sz w:val="18"/>
          <w:szCs w:val="18"/>
          <w:color w:val="auto"/>
        </w:rPr>
      </w:pPr>
    </w:p>
    <w:p>
      <w:pPr>
        <w:ind w:left="-40" w:right="120" w:firstLine="464"/>
        <w:spacing w:after="0" w:line="259" w:lineRule="auto"/>
        <w:tabs>
          <w:tab w:leader="none" w:pos="671"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Board Resolution and Registration of Over-Allotment Capital Increase</w:t>
      </w:r>
      <w:r>
        <w:rPr>
          <w:rFonts w:ascii="Arial" w:cs="Arial" w:eastAsia="Arial" w:hAnsi="Arial"/>
          <w:sz w:val="18"/>
          <w:szCs w:val="18"/>
          <w:color w:val="auto"/>
        </w:rPr>
        <w:t>. Upon receipt of the documents referred to under Section 5(a) in relation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any Applicable Optional Securities and before 2:30 a.m. New York time on the first business day immediately preceding the Optional Closing Date (or at a later date, as set forth in the relevant option exercise notice delivered by the Representatives pursuant to Section 3), the Board (or a committee or Board member duly authorized by the Board) will:</w:t>
      </w:r>
    </w:p>
    <w:p>
      <w:pPr>
        <w:spacing w:after="0" w:line="78" w:lineRule="exact"/>
        <w:rPr>
          <w:rFonts w:ascii="Arial" w:cs="Arial" w:eastAsia="Arial" w:hAnsi="Arial"/>
          <w:sz w:val="18"/>
          <w:szCs w:val="18"/>
          <w:color w:val="auto"/>
        </w:rPr>
      </w:pPr>
    </w:p>
    <w:p>
      <w:pPr>
        <w:ind w:left="-40" w:right="140" w:firstLine="921"/>
        <w:spacing w:after="0" w:line="277" w:lineRule="auto"/>
        <w:tabs>
          <w:tab w:leader="none" w:pos="108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pass a capital increase resolution (</w:t>
      </w:r>
      <w:r>
        <w:rPr>
          <w:rFonts w:ascii="Arial" w:cs="Arial" w:eastAsia="Arial" w:hAnsi="Arial"/>
          <w:sz w:val="18"/>
          <w:szCs w:val="18"/>
          <w:i w:val="1"/>
          <w:iCs w:val="1"/>
          <w:color w:val="auto"/>
        </w:rPr>
        <w:t>Erhöhungsbeschluss</w:t>
      </w:r>
      <w:r>
        <w:rPr>
          <w:rFonts w:ascii="Arial" w:cs="Arial" w:eastAsia="Arial" w:hAnsi="Arial"/>
          <w:sz w:val="18"/>
          <w:szCs w:val="18"/>
          <w:color w:val="auto"/>
        </w:rPr>
        <w:t>) regarding the issuance of the Applicable Optional Securities subscribed for pursuant to Section 5(a)(i) (the “</w:t>
      </w:r>
      <w:r>
        <w:rPr>
          <w:rFonts w:ascii="Arial" w:cs="Arial" w:eastAsia="Arial" w:hAnsi="Arial"/>
          <w:sz w:val="18"/>
          <w:szCs w:val="18"/>
          <w:b w:val="1"/>
          <w:bCs w:val="1"/>
          <w:color w:val="auto"/>
        </w:rPr>
        <w:t>Over-Allotment Capital Increase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0" w:firstLine="921"/>
        <w:spacing w:after="0" w:line="277" w:lineRule="auto"/>
        <w:tabs>
          <w:tab w:leader="none" w:pos="113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adopt a report on the Over-Allotment Capital Increase (</w:t>
      </w:r>
      <w:r>
        <w:rPr>
          <w:rFonts w:ascii="Arial" w:cs="Arial" w:eastAsia="Arial" w:hAnsi="Arial"/>
          <w:sz w:val="18"/>
          <w:szCs w:val="18"/>
          <w:i w:val="1"/>
          <w:iCs w:val="1"/>
          <w:color w:val="auto"/>
        </w:rPr>
        <w:t>Kapitalerhöhungsbericht</w:t>
      </w:r>
      <w:r>
        <w:rPr>
          <w:rFonts w:ascii="Arial" w:cs="Arial" w:eastAsia="Arial" w:hAnsi="Arial"/>
          <w:sz w:val="18"/>
          <w:szCs w:val="18"/>
          <w:color w:val="auto"/>
        </w:rPr>
        <w:t>) and take note of the auditors’ report (</w:t>
      </w:r>
      <w:r>
        <w:rPr>
          <w:rFonts w:ascii="Arial" w:cs="Arial" w:eastAsia="Arial" w:hAnsi="Arial"/>
          <w:sz w:val="18"/>
          <w:szCs w:val="18"/>
          <w:i w:val="1"/>
          <w:iCs w:val="1"/>
          <w:color w:val="auto"/>
        </w:rPr>
        <w:t>Prüfungsbestätigung</w:t>
      </w:r>
      <w:r>
        <w:rPr>
          <w:rFonts w:ascii="Arial" w:cs="Arial" w:eastAsia="Arial" w:hAnsi="Arial"/>
          <w:sz w:val="18"/>
          <w:szCs w:val="18"/>
          <w:color w:val="auto"/>
        </w:rPr>
        <w:t>), all in accordance with Swiss statutory law;</w:t>
      </w:r>
    </w:p>
    <w:p>
      <w:pPr>
        <w:spacing w:after="0" w:line="62" w:lineRule="exact"/>
        <w:rPr>
          <w:rFonts w:ascii="Arial" w:cs="Arial" w:eastAsia="Arial" w:hAnsi="Arial"/>
          <w:sz w:val="18"/>
          <w:szCs w:val="18"/>
          <w:color w:val="auto"/>
        </w:rPr>
      </w:pPr>
    </w:p>
    <w:p>
      <w:pPr>
        <w:ind w:left="-40" w:right="480" w:firstLine="921"/>
        <w:spacing w:after="0" w:line="277" w:lineRule="auto"/>
        <w:tabs>
          <w:tab w:leader="none" w:pos="118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resolve on the Over-Allotment Capital Increase and making all amendments to the articles of association of the Company necessary in connection with the Over-Allotment Capital Increase (</w:t>
      </w:r>
      <w:r>
        <w:rPr>
          <w:rFonts w:ascii="Arial" w:cs="Arial" w:eastAsia="Arial" w:hAnsi="Arial"/>
          <w:sz w:val="18"/>
          <w:szCs w:val="18"/>
          <w:i w:val="1"/>
          <w:iCs w:val="1"/>
          <w:color w:val="auto"/>
        </w:rPr>
        <w:t>Feststellungs-und Statutenänderungsbeschluss</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0" w:right="60" w:firstLine="921"/>
        <w:spacing w:after="0" w:line="264" w:lineRule="auto"/>
        <w:tabs>
          <w:tab w:leader="none" w:pos="117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promptly thereafter, no later than 6:00 a.m. New York time on the first business day immediately preceding the Optional Closing Date (or at a later date, as set forth in the relevant option exercise notice delivered by the Representatives pursuant to Section 3) file the documents necessary for the registration of the Over-Allotment Capital Increase with the Commercial Register of the Canton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80" w:top="274" w:right="279" w:bottom="1440" w:gutter="0" w:footer="0" w:header="0"/>
        </w:sectPr>
      </w:pPr>
    </w:p>
    <w:bookmarkStart w:id="257" w:name="page258"/>
    <w:bookmarkEnd w:id="25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Vaud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this Agreement is terminated pursuant to Section 12 prior to the Company filing the relevant resolutions with the Commercial Register of the Canton of Vaud, (A) the Company undertakes not to resolve on the Over-Allotment Capital Increase (if it has not already done so) or to file the relevant resolutions with the Commercial Register of the Canton of Vaud, and (B) the Company shall immediately cause the Capital Increase Bank to release the Capital Increase Amount in full to the Representatives, acting for the accounts of the several Underwriters, as soon as practicable; and the Underwriters understand that the Capital Increase Bank may require confirmation, including from the Underwriters, to release the Firm Capital Increase Amount and the Underwriters agree to deliver such confirmation.</w:t>
      </w:r>
    </w:p>
    <w:p>
      <w:pPr>
        <w:spacing w:after="0" w:line="85" w:lineRule="exact"/>
        <w:rPr>
          <w:sz w:val="20"/>
          <w:szCs w:val="20"/>
          <w:color w:val="auto"/>
        </w:rPr>
      </w:pPr>
    </w:p>
    <w:p>
      <w:pPr>
        <w:jc w:val="both"/>
        <w:ind w:right="40" w:firstLine="464"/>
        <w:spacing w:after="0" w:line="259" w:lineRule="auto"/>
        <w:tabs>
          <w:tab w:leader="none" w:pos="701"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Issue of Applicable Optional Securities</w:t>
      </w:r>
      <w:r>
        <w:rPr>
          <w:rFonts w:ascii="Arial" w:cs="Arial" w:eastAsia="Arial" w:hAnsi="Arial"/>
          <w:sz w:val="18"/>
          <w:szCs w:val="18"/>
          <w:color w:val="auto"/>
        </w:rPr>
        <w:t>. Immediately after the registration of the Over-Allotment Capital Increase in the Commercial Register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Canton of Vaud pursuant to Section 5(b) in relation to any Applicable Optional Securities, but in no event later than 3:00 p.m. New York time on the business day prior to the Optional Closing Date (or such other date set forth in the relevant option exercise notice delivered by the Representatives pursuant to Section 3), the Company will:</w:t>
      </w:r>
    </w:p>
    <w:p>
      <w:pPr>
        <w:spacing w:after="0" w:line="78" w:lineRule="exact"/>
        <w:rPr>
          <w:rFonts w:ascii="Arial" w:cs="Arial" w:eastAsia="Arial" w:hAnsi="Arial"/>
          <w:sz w:val="18"/>
          <w:szCs w:val="18"/>
          <w:color w:val="auto"/>
        </w:rPr>
      </w:pPr>
    </w:p>
    <w:p>
      <w:pPr>
        <w:ind w:right="200" w:firstLine="921"/>
        <w:spacing w:after="0" w:line="297" w:lineRule="auto"/>
        <w:tabs>
          <w:tab w:leader="none" w:pos="112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deliver to the Representatives, the Capital Increase Bank and the share registrar of the Company, (A) a copy of the certified excerpt of the journal entry (</w:t>
      </w:r>
      <w:r>
        <w:rPr>
          <w:rFonts w:ascii="Arial" w:cs="Arial" w:eastAsia="Arial" w:hAnsi="Arial"/>
          <w:sz w:val="16"/>
          <w:szCs w:val="16"/>
          <w:i w:val="1"/>
          <w:iCs w:val="1"/>
          <w:color w:val="auto"/>
        </w:rPr>
        <w:t>Tagebuch</w:t>
      </w:r>
      <w:r>
        <w:rPr>
          <w:rFonts w:ascii="Arial" w:cs="Arial" w:eastAsia="Arial" w:hAnsi="Arial"/>
          <w:sz w:val="16"/>
          <w:szCs w:val="16"/>
          <w:color w:val="auto"/>
        </w:rPr>
        <w:t>) or a copy of the certified excerpt from the Commercial Register of the Canton of Vaud evidencing the Over-Allotment Capital Increase, (B) a copy of the certified updated articles of association of the Company evidencing the Over-Allotment Capital Increase, (C) a copy of the Company’s book of uncertificated securities (</w:t>
      </w:r>
      <w:r>
        <w:rPr>
          <w:rFonts w:ascii="Arial" w:cs="Arial" w:eastAsia="Arial" w:hAnsi="Arial"/>
          <w:sz w:val="16"/>
          <w:szCs w:val="16"/>
          <w:i w:val="1"/>
          <w:iCs w:val="1"/>
          <w:color w:val="auto"/>
        </w:rPr>
        <w:t>Wertrechtebuch</w:t>
      </w:r>
      <w:r>
        <w:rPr>
          <w:rFonts w:ascii="Arial" w:cs="Arial" w:eastAsia="Arial" w:hAnsi="Arial"/>
          <w:sz w:val="16"/>
          <w:szCs w:val="16"/>
          <w:color w:val="auto"/>
        </w:rPr>
        <w:t>) evidencing the Underwriters as first holders of the Applicable Optional Securities, and (D) a copy of the share register (</w:t>
      </w:r>
      <w:r>
        <w:rPr>
          <w:rFonts w:ascii="Arial" w:cs="Arial" w:eastAsia="Arial" w:hAnsi="Arial"/>
          <w:sz w:val="16"/>
          <w:szCs w:val="16"/>
          <w:i w:val="1"/>
          <w:iCs w:val="1"/>
          <w:color w:val="auto"/>
        </w:rPr>
        <w:t>Aktienbuch</w:t>
      </w:r>
      <w:r>
        <w:rPr>
          <w:rFonts w:ascii="Arial" w:cs="Arial" w:eastAsia="Arial" w:hAnsi="Arial"/>
          <w:sz w:val="16"/>
          <w:szCs w:val="16"/>
          <w:color w:val="auto"/>
        </w:rPr>
        <w:t>) of the Company evidencing the Underwriters as shareholders with respect to the Applicable Optional Securities; and</w:t>
      </w:r>
    </w:p>
    <w:p>
      <w:pPr>
        <w:spacing w:after="0" w:line="50" w:lineRule="exact"/>
        <w:rPr>
          <w:rFonts w:ascii="Arial" w:cs="Arial" w:eastAsia="Arial" w:hAnsi="Arial"/>
          <w:sz w:val="16"/>
          <w:szCs w:val="16"/>
          <w:color w:val="auto"/>
        </w:rPr>
      </w:pPr>
    </w:p>
    <w:p>
      <w:pPr>
        <w:ind w:right="220" w:firstLine="921"/>
        <w:spacing w:after="0" w:line="264" w:lineRule="auto"/>
        <w:tabs>
          <w:tab w:leader="none" w:pos="117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take all steps necessary to ensure that the Applicable Optional Securities will be (A) issued to the Underwriters, (B) duly recorded in an account of the Underwriters at DTC on the relevant Optional Closing Date, and (C) freely transferable (subject to any applicable restrictions set forth in the articles of association of the Company) on the relevant Optional Closing Date.</w:t>
      </w:r>
    </w:p>
    <w:p>
      <w:pPr>
        <w:spacing w:after="0" w:line="73" w:lineRule="exact"/>
        <w:rPr>
          <w:rFonts w:ascii="Arial" w:cs="Arial" w:eastAsia="Arial" w:hAnsi="Arial"/>
          <w:sz w:val="18"/>
          <w:szCs w:val="18"/>
          <w:color w:val="auto"/>
        </w:rPr>
      </w:pPr>
    </w:p>
    <w:p>
      <w:pPr>
        <w:ind w:right="20" w:firstLine="464"/>
        <w:spacing w:after="0" w:line="286" w:lineRule="auto"/>
        <w:tabs>
          <w:tab w:leader="none" w:pos="711"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Use of Over-Allotment Capital Increase Amount</w:t>
      </w:r>
      <w:r>
        <w:rPr>
          <w:rFonts w:ascii="Arial" w:cs="Arial" w:eastAsia="Arial" w:hAnsi="Arial"/>
          <w:sz w:val="17"/>
          <w:szCs w:val="17"/>
          <w:color w:val="auto"/>
        </w:rPr>
        <w:t>. The funds deposited in the Over-Allotment Capital Increase Account shall, upon registration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Over-Allotment Capital Increase pursuant to Section 5(b) and upon request by the Company, be transferred to a separate account of the Company with the Representatives and shall, in such case, remain so deposited, without interest, for the account of the Company until the earlier of:</w:t>
      </w:r>
    </w:p>
    <w:p>
      <w:pPr>
        <w:spacing w:after="0" w:line="57" w:lineRule="exact"/>
        <w:rPr>
          <w:rFonts w:ascii="Arial" w:cs="Arial" w:eastAsia="Arial" w:hAnsi="Arial"/>
          <w:sz w:val="17"/>
          <w:szCs w:val="17"/>
          <w:color w:val="auto"/>
        </w:rPr>
      </w:pPr>
    </w:p>
    <w:p>
      <w:pPr>
        <w:ind w:left="1140" w:hanging="219"/>
        <w:spacing w:after="0"/>
        <w:tabs>
          <w:tab w:leader="none" w:pos="114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issuance of the Applicable Optional Securities to the Underwriters as set forth in Section 5(c) on the relevant Optional Closing Date; and</w:t>
      </w:r>
    </w:p>
    <w:p>
      <w:pPr>
        <w:spacing w:after="0" w:line="140" w:lineRule="exact"/>
        <w:rPr>
          <w:rFonts w:ascii="Arial" w:cs="Arial" w:eastAsia="Arial" w:hAnsi="Arial"/>
          <w:sz w:val="16"/>
          <w:szCs w:val="16"/>
          <w:color w:val="auto"/>
        </w:rPr>
      </w:pPr>
    </w:p>
    <w:p>
      <w:pPr>
        <w:ind w:right="340" w:firstLine="921"/>
        <w:spacing w:after="0" w:line="342" w:lineRule="auto"/>
        <w:tabs>
          <w:tab w:leader="none" w:pos="117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date of receipt by the Representatives on behalf of the several Underwriters of the proceeds of (A) the sale of the Applicable Optional Securities as set forth in Sections 14(b), 14(c) or 14(e) hereof or (B) the Capital Reduction as set forth in Section 14(d) hereof, as the case may be.</w:t>
      </w:r>
    </w:p>
    <w:p>
      <w:pPr>
        <w:spacing w:after="0" w:line="12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Any fees payable to the Capital Increase Bank for any transfer of the funds deposited in the Over-Allotment Capital Increase Account pursuant to this Section 5(d) shall be payable directly to the Capital Increase Bank by the Company.</w:t>
      </w:r>
    </w:p>
    <w:p>
      <w:pPr>
        <w:spacing w:after="0" w:line="62" w:lineRule="exact"/>
        <w:rPr>
          <w:sz w:val="20"/>
          <w:szCs w:val="20"/>
          <w:color w:val="auto"/>
        </w:rPr>
      </w:pPr>
    </w:p>
    <w:p>
      <w:pPr>
        <w:ind w:right="240" w:firstLine="464"/>
        <w:spacing w:after="0" w:line="277" w:lineRule="auto"/>
        <w:tabs>
          <w:tab w:leader="none" w:pos="636"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Offering by Underwriters</w:t>
      </w:r>
      <w:r>
        <w:rPr>
          <w:rFonts w:ascii="Arial" w:cs="Arial" w:eastAsia="Arial" w:hAnsi="Arial"/>
          <w:sz w:val="18"/>
          <w:szCs w:val="18"/>
          <w:color w:val="auto"/>
        </w:rPr>
        <w:t>. It is understood that the several Underwriters propose to offer the Offered Securities for sale to the public as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Final Prospectus.</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Certain Agreements of the Company</w:t>
      </w:r>
      <w:r>
        <w:rPr>
          <w:rFonts w:ascii="Arial" w:cs="Arial" w:eastAsia="Arial" w:hAnsi="Arial"/>
          <w:sz w:val="18"/>
          <w:szCs w:val="18"/>
          <w:color w:val="auto"/>
        </w:rPr>
        <w:t>. The Company agrees with the several Underwriters that: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58" w:name="page259"/>
    <w:bookmarkEnd w:id="258"/>
    <w:p>
      <w:pPr>
        <w:ind w:right="40" w:firstLine="443"/>
        <w:spacing w:after="0" w:line="288" w:lineRule="auto"/>
        <w:tabs>
          <w:tab w:leader="none" w:pos="683"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Filings</w:t>
      </w:r>
      <w:r>
        <w:rPr>
          <w:rFonts w:ascii="Arial" w:cs="Arial" w:eastAsia="Arial" w:hAnsi="Arial"/>
          <w:sz w:val="16"/>
          <w:szCs w:val="16"/>
          <w:color w:val="auto"/>
        </w:rPr>
        <w:t>. Unless filed pursuant to Rule 462(c) as part of the Additional Registration Statement in accordance with the next sentence,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will file the Final Prospectus, in a form approved by the Representatives, with the Commission pursuant to and in accordance with subparagraph (1) (or, if applicable and if consented to by the Representatives, subparagraph (4)) of Rule 424(b) not later than the earlier of (A) the second business day following the execution and delivery of this Agreement or (B) the fifteenth business day after the Effective Time of the Initial Registration Statement. The Company will advise the Representatives promptly of any such filing pursuant to Rule 424(b) and provide satisfactory evidence to the Representatives of such timely filing. If an Additional Registration Statement is necessary to register a portion of the Offered Securities under the Act but the Effective Time thereof has not occurred as of the execution and delivery of this Agreement, the Company will file the additional registration statement or, if filed, will file a post-effective amendment thereto with the Commission pursuant to and in accordance with Rule 462(b) on or prior to 10:00 p.m., New York time, on the date of this Agreement or, if earlier, on or prior to the time the Final Prospectus is finalized and distributed to any Underwriter, or will make such filing at such later date as shall have been consented to by the Representatives.</w:t>
      </w:r>
    </w:p>
    <w:p>
      <w:pPr>
        <w:spacing w:after="0" w:line="61" w:lineRule="exact"/>
        <w:rPr>
          <w:rFonts w:ascii="Arial" w:cs="Arial" w:eastAsia="Arial" w:hAnsi="Arial"/>
          <w:sz w:val="16"/>
          <w:szCs w:val="16"/>
          <w:color w:val="auto"/>
        </w:rPr>
      </w:pPr>
    </w:p>
    <w:p>
      <w:pPr>
        <w:ind w:firstLine="443"/>
        <w:spacing w:after="0" w:line="286" w:lineRule="auto"/>
        <w:tabs>
          <w:tab w:leader="none" w:pos="693"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Filing of Amendments; Response to Commission Requests</w:t>
      </w:r>
      <w:r>
        <w:rPr>
          <w:rFonts w:ascii="Arial" w:cs="Arial" w:eastAsia="Arial" w:hAnsi="Arial"/>
          <w:sz w:val="16"/>
          <w:szCs w:val="16"/>
          <w:color w:val="auto"/>
        </w:rPr>
        <w:t>. The Company will promptly advise the Representatives of any proposal to amend</w:t>
      </w:r>
      <w:r>
        <w:rPr>
          <w:rFonts w:ascii="Arial" w:cs="Arial" w:eastAsia="Arial" w:hAnsi="Arial"/>
          <w:sz w:val="16"/>
          <w:szCs w:val="16"/>
          <w:i w:val="1"/>
          <w:iCs w:val="1"/>
          <w:color w:val="auto"/>
        </w:rPr>
        <w:t xml:space="preserve"> </w:t>
      </w:r>
      <w:r>
        <w:rPr>
          <w:rFonts w:ascii="Arial" w:cs="Arial" w:eastAsia="Arial" w:hAnsi="Arial"/>
          <w:sz w:val="16"/>
          <w:szCs w:val="16"/>
          <w:color w:val="auto"/>
        </w:rPr>
        <w:t>or supplement at any time the Initial Registration Statement, any Additional Registration Statement or any Statutory Prospectus and will not effect such amendment or supplementation without the Representatives’ consent; and the Company will also advise the Representatives promptly of (i) the effectiveness of any Additional Registration Statement (if its Effective Time is subsequent to the execution and delivery of this Agreement), (ii) any amendment or supplementation of a Registration Statement or any Statutory Prospectus, (iii) any request by the Commission or its staff for any amendment to any Registration Statement, for any supplement to any Statutory Prospectus or for any additional information, (iv) the institution by the Commission of any stop order proceedings in respect of a Registration Statement or the threatening of any proceeding for that purpose, and (v) the receipt by the Company of any notification with respect to the suspension of the qualification of the Offered Securities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 If, at any time prior to the filing of the Final Prospectus pursuant to Rule 424(b), any event occurs as a result of which the General Disclosure Package would include any untrue statement of a material fact or omit to state any material fact necessary to make the statements therein in the light of the circumstances under which they were made at such time not misleading, the Company will (x) promptly notify the Representatives so that any use of the General Disclosure Package may cease until it is amended or supplemented; (y) amend or supplement the General Disclosure Package to correct such statement or omission; and (z) supply any amendment or supplement to the Representatives in such quantities as the Representatives may reasonably request.</w:t>
      </w:r>
    </w:p>
    <w:p>
      <w:pPr>
        <w:spacing w:after="0" w:line="60" w:lineRule="exact"/>
        <w:rPr>
          <w:rFonts w:ascii="Arial" w:cs="Arial" w:eastAsia="Arial" w:hAnsi="Arial"/>
          <w:sz w:val="16"/>
          <w:szCs w:val="16"/>
          <w:color w:val="auto"/>
        </w:rPr>
      </w:pPr>
    </w:p>
    <w:p>
      <w:pPr>
        <w:ind w:right="20" w:firstLine="443"/>
        <w:spacing w:after="0" w:line="270" w:lineRule="auto"/>
        <w:tabs>
          <w:tab w:leader="none" w:pos="683"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Continued Compliance with Securities Laws</w:t>
      </w:r>
      <w:r>
        <w:rPr>
          <w:rFonts w:ascii="Arial" w:cs="Arial" w:eastAsia="Arial" w:hAnsi="Arial"/>
          <w:sz w:val="17"/>
          <w:szCs w:val="17"/>
          <w:color w:val="auto"/>
        </w:rPr>
        <w:t>. If, at any time when a prospectus relating to the Offered Securities is (or but for the exemption</w:t>
      </w:r>
      <w:r>
        <w:rPr>
          <w:rFonts w:ascii="Arial" w:cs="Arial" w:eastAsia="Arial" w:hAnsi="Arial"/>
          <w:sz w:val="17"/>
          <w:szCs w:val="17"/>
          <w:i w:val="1"/>
          <w:iCs w:val="1"/>
          <w:color w:val="auto"/>
        </w:rPr>
        <w:t xml:space="preserve"> </w:t>
      </w:r>
      <w:r>
        <w:rPr>
          <w:rFonts w:ascii="Arial" w:cs="Arial" w:eastAsia="Arial" w:hAnsi="Arial"/>
          <w:sz w:val="17"/>
          <w:szCs w:val="17"/>
          <w:color w:val="auto"/>
        </w:rPr>
        <w:t>in 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8 hereof.</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74" w:right="239" w:bottom="1440" w:gutter="0" w:footer="0" w:header="0"/>
        </w:sectPr>
      </w:pPr>
    </w:p>
    <w:bookmarkStart w:id="259" w:name="page260"/>
    <w:bookmarkEnd w:id="259"/>
    <w:p>
      <w:pPr>
        <w:ind w:right="300" w:firstLine="443"/>
        <w:spacing w:after="0" w:line="308" w:lineRule="auto"/>
        <w:tabs>
          <w:tab w:leader="none" w:pos="693"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158</w:t>
      </w:r>
      <w:r>
        <w:rPr>
          <w:rFonts w:ascii="Arial" w:cs="Arial" w:eastAsia="Arial" w:hAnsi="Arial"/>
          <w:sz w:val="17"/>
          <w:szCs w:val="17"/>
          <w:color w:val="auto"/>
        </w:rPr>
        <w:t>. As soon as practicable, the Company will make generally available to its security holders and to the Representatives an earning</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or statements of the Company which will satisfy the provisions of Section 11(a) of the Act and Rule 158.</w:t>
      </w:r>
    </w:p>
    <w:p>
      <w:pPr>
        <w:spacing w:after="0" w:line="38" w:lineRule="exact"/>
        <w:rPr>
          <w:rFonts w:ascii="Arial" w:cs="Arial" w:eastAsia="Arial" w:hAnsi="Arial"/>
          <w:sz w:val="17"/>
          <w:szCs w:val="17"/>
          <w:color w:val="auto"/>
        </w:rPr>
      </w:pPr>
    </w:p>
    <w:p>
      <w:pPr>
        <w:jc w:val="both"/>
        <w:ind w:right="120" w:firstLine="443"/>
        <w:spacing w:after="0" w:line="286" w:lineRule="auto"/>
        <w:tabs>
          <w:tab w:leader="none" w:pos="683"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Furnishing of Prospectuses</w:t>
      </w:r>
      <w:r>
        <w:rPr>
          <w:rFonts w:ascii="Arial" w:cs="Arial" w:eastAsia="Arial" w:hAnsi="Arial"/>
          <w:sz w:val="16"/>
          <w:szCs w:val="16"/>
          <w:color w:val="auto"/>
        </w:rPr>
        <w:t>. The Company will furnish to the Representatives copies of each Registration Statement (three (3) of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signed and will include all exhibits), each related Statutory Prospectus, and, so long as a prospectus relating to the Offered Securities is (or but for the exemption in Rule 172 would be) required to be delivered under the Act, the Final Prospectus and all amendments and supplements to such documents, in each case in such quantities as the Representatives reasonably request. The Final Prospectus shall be so furnished on or prior to</w:t>
      </w:r>
    </w:p>
    <w:p>
      <w:pPr>
        <w:spacing w:after="0" w:line="1" w:lineRule="exact"/>
        <w:rPr>
          <w:rFonts w:ascii="Arial" w:cs="Arial" w:eastAsia="Arial" w:hAnsi="Arial"/>
          <w:sz w:val="16"/>
          <w:szCs w:val="16"/>
          <w:color w:val="auto"/>
        </w:rPr>
      </w:pPr>
    </w:p>
    <w:p>
      <w:pPr>
        <w:ind w:right="200"/>
        <w:spacing w:after="0" w:line="290" w:lineRule="auto"/>
        <w:rPr>
          <w:rFonts w:ascii="Arial" w:cs="Arial" w:eastAsia="Arial" w:hAnsi="Arial"/>
          <w:sz w:val="16"/>
          <w:szCs w:val="16"/>
          <w:color w:val="auto"/>
        </w:rPr>
      </w:pPr>
      <w:r>
        <w:rPr>
          <w:rFonts w:ascii="Arial" w:cs="Arial" w:eastAsia="Arial" w:hAnsi="Arial"/>
          <w:sz w:val="17"/>
          <w:szCs w:val="17"/>
          <w:color w:val="auto"/>
        </w:rPr>
        <w:t>3:00 p.m., New York time, on the business day following the execution and delivery of this Agreement. All other documents shall be so furnished as soon as available. The Company will pay the expenses of printing and distributing to the Underwriters all such documents.</w:t>
      </w:r>
    </w:p>
    <w:p>
      <w:pPr>
        <w:spacing w:after="0" w:line="53" w:lineRule="exact"/>
        <w:rPr>
          <w:rFonts w:ascii="Arial" w:cs="Arial" w:eastAsia="Arial" w:hAnsi="Arial"/>
          <w:sz w:val="16"/>
          <w:szCs w:val="16"/>
          <w:color w:val="auto"/>
        </w:rPr>
      </w:pPr>
    </w:p>
    <w:p>
      <w:pPr>
        <w:jc w:val="both"/>
        <w:ind w:right="40" w:firstLine="443"/>
        <w:spacing w:after="0" w:line="302" w:lineRule="auto"/>
        <w:tabs>
          <w:tab w:leader="none" w:pos="663"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arrange for the qualification of the Offered Securities for sale under the laws of such jurisdictions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the Representatives designate and will continue such qualifications in effect so long as required for the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required to qualify as a foreign corporation in any jurisdiction in which it is not so qualified or to file a general consent to service of process in any such jurisdiction or to take any action that would subject it to taxation in any such jurisdiction where it is not then so subject.</w:t>
      </w:r>
    </w:p>
    <w:p>
      <w:pPr>
        <w:spacing w:after="0" w:line="46" w:lineRule="exact"/>
        <w:rPr>
          <w:rFonts w:ascii="Arial" w:cs="Arial" w:eastAsia="Arial" w:hAnsi="Arial"/>
          <w:sz w:val="16"/>
          <w:szCs w:val="16"/>
          <w:color w:val="auto"/>
        </w:rPr>
      </w:pPr>
    </w:p>
    <w:p>
      <w:pPr>
        <w:ind w:firstLine="443"/>
        <w:spacing w:after="0" w:line="291" w:lineRule="auto"/>
        <w:tabs>
          <w:tab w:leader="none" w:pos="693"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Reporting Requirements</w:t>
      </w:r>
      <w:r>
        <w:rPr>
          <w:rFonts w:ascii="Arial" w:cs="Arial" w:eastAsia="Arial" w:hAnsi="Arial"/>
          <w:sz w:val="16"/>
          <w:szCs w:val="16"/>
          <w:color w:val="auto"/>
        </w:rPr>
        <w:t>. During the period of three (3) years hereafter, the Company will furnish to the Representatives and, upon request,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other Underwriters, as soon as practicable after the end of each fiscal year, a copy of its annual report to stockholders for such year; and the Company will furnish to the Representatives (i) as soon as available, a copy of each report and any definitive proxy statement of the Company filed with the Commission under the Exchange Act or mailed to stockholders,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Electronic Data Gathering, Analysis and Retrieval system or any successor system (“</w:t>
      </w:r>
      <w:r>
        <w:rPr>
          <w:rFonts w:ascii="Arial" w:cs="Arial" w:eastAsia="Arial" w:hAnsi="Arial"/>
          <w:sz w:val="16"/>
          <w:szCs w:val="16"/>
          <w:b w:val="1"/>
          <w:bCs w:val="1"/>
          <w:color w:val="auto"/>
        </w:rPr>
        <w:t>EDGAR</w:t>
      </w:r>
      <w:r>
        <w:rPr>
          <w:rFonts w:ascii="Arial" w:cs="Arial" w:eastAsia="Arial" w:hAnsi="Arial"/>
          <w:sz w:val="16"/>
          <w:szCs w:val="16"/>
          <w:color w:val="auto"/>
        </w:rPr>
        <w:t>”), it is not required to furnish such reports or statements to the Underwriters.</w:t>
      </w:r>
    </w:p>
    <w:p>
      <w:pPr>
        <w:spacing w:after="0" w:line="59" w:lineRule="exact"/>
        <w:rPr>
          <w:rFonts w:ascii="Arial" w:cs="Arial" w:eastAsia="Arial" w:hAnsi="Arial"/>
          <w:sz w:val="16"/>
          <w:szCs w:val="16"/>
          <w:color w:val="auto"/>
        </w:rPr>
      </w:pPr>
    </w:p>
    <w:p>
      <w:pPr>
        <w:ind w:right="40" w:firstLine="443"/>
        <w:spacing w:after="0" w:line="286" w:lineRule="auto"/>
        <w:tabs>
          <w:tab w:leader="none" w:pos="693" w:val="left"/>
        </w:tabs>
        <w:numPr>
          <w:ilvl w:val="0"/>
          <w:numId w:val="184"/>
        </w:numPr>
        <w:rPr>
          <w:rFonts w:ascii="Arial" w:cs="Arial" w:eastAsia="Arial" w:hAnsi="Arial"/>
          <w:sz w:val="16"/>
          <w:szCs w:val="16"/>
          <w:color w:val="auto"/>
        </w:rPr>
      </w:pPr>
      <w:r>
        <w:rPr>
          <w:rFonts w:ascii="Arial" w:cs="Arial" w:eastAsia="Arial" w:hAnsi="Arial"/>
          <w:sz w:val="16"/>
          <w:szCs w:val="16"/>
          <w:i w:val="1"/>
          <w:iCs w:val="1"/>
          <w:color w:val="auto"/>
        </w:rPr>
        <w:t>Payment of Expenses</w:t>
      </w:r>
      <w:r>
        <w:rPr>
          <w:rFonts w:ascii="Arial" w:cs="Arial" w:eastAsia="Arial" w:hAnsi="Arial"/>
          <w:sz w:val="16"/>
          <w:szCs w:val="16"/>
          <w:color w:val="auto"/>
        </w:rPr>
        <w:t>. The Company will pay all expenses incident to the performance of its obligations under this Agreement, including but</w:t>
      </w:r>
      <w:r>
        <w:rPr>
          <w:rFonts w:ascii="Arial" w:cs="Arial" w:eastAsia="Arial" w:hAnsi="Arial"/>
          <w:sz w:val="16"/>
          <w:szCs w:val="16"/>
          <w:i w:val="1"/>
          <w:iCs w:val="1"/>
          <w:color w:val="auto"/>
        </w:rPr>
        <w:t xml:space="preserve"> </w:t>
      </w:r>
      <w:r>
        <w:rPr>
          <w:rFonts w:ascii="Arial" w:cs="Arial" w:eastAsia="Arial" w:hAnsi="Arial"/>
          <w:sz w:val="16"/>
          <w:szCs w:val="16"/>
          <w:color w:val="auto"/>
        </w:rPr>
        <w:t>not limited to any filing fees and other expenses (including fees and disbursements of counsel to the Underwriters) incurred in connection with qualification of the Offered Securities for sale under the laws of such jurisdictions as the Representatives designate and the preparation and printing of memoranda relating thereto in an amount not to exceed $10,000, costs and expenses related to the review by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of the Offered Securities (including filing fees and the fees and expenses of counsel for the Underwriters relating to such review in an amount not to exceed $30,000), costs and expenses relating to investor presentations or any “road show” in connection with the offering and sale of the Offered Securities including, without limitation, any travel expenses of the Company’s officers and employees and any other expenses of the Company including one-half of the cost of the chartering of airplanes in connection with any “roadshow,” fees and expenses incident to listing the Offered Securities on the New York Stock Exchange, American Stock Exchange, NASDAQ Global [Select] Market and other national and foreign exchanges, fees and expenses in connection with the registration of the Offered Securities under the Exchange Act,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 Notwithstanding the foregoing, each of the several Underwriters will pay its own costs and expenses relating to any investor presentations or roadshow and one-half the costs and expenses of chartering of airplanes in connection with any roadshow.</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700" w:top="274" w:right="299" w:bottom="1440" w:gutter="0" w:footer="0" w:header="0"/>
        </w:sectPr>
      </w:pPr>
    </w:p>
    <w:bookmarkStart w:id="260" w:name="page261"/>
    <w:bookmarkEnd w:id="260"/>
    <w:p>
      <w:pPr>
        <w:ind w:right="20" w:firstLine="443"/>
        <w:spacing w:after="0" w:line="259" w:lineRule="auto"/>
        <w:tabs>
          <w:tab w:leader="none" w:pos="653"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Proceeds</w:t>
      </w:r>
      <w:r>
        <w:rPr>
          <w:rFonts w:ascii="Arial" w:cs="Arial" w:eastAsia="Arial" w:hAnsi="Arial"/>
          <w:sz w:val="18"/>
          <w:szCs w:val="18"/>
          <w:color w:val="auto"/>
        </w:rPr>
        <w:t>. The Company will use the net proceeds received by it in connection with this offering in the manner described in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section of the General Disclosure Package and, except as disclosed in the General Disclosure Package and the Final Prospectus, the Company does not intend to use any of the proceeds from the sale of the Offered Securities hereunder to repay any outstanding debt owed to any Underwriter or affiliate of any Underwriter.</w:t>
      </w:r>
    </w:p>
    <w:p>
      <w:pPr>
        <w:spacing w:after="0" w:line="78" w:lineRule="exact"/>
        <w:rPr>
          <w:rFonts w:ascii="Arial" w:cs="Arial" w:eastAsia="Arial" w:hAnsi="Arial"/>
          <w:sz w:val="18"/>
          <w:szCs w:val="18"/>
          <w:color w:val="auto"/>
        </w:rPr>
      </w:pPr>
    </w:p>
    <w:p>
      <w:pPr>
        <w:ind w:right="40" w:firstLine="443"/>
        <w:spacing w:after="0" w:line="264" w:lineRule="auto"/>
        <w:tabs>
          <w:tab w:leader="none" w:pos="653"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The Company will not take, directly or indirectly, any action designed to or that would constitute or that might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reasonably be expected to cause or result in, stabilization or manipulation of the price of any securities of the Company to facilitate the sale or resale of the Offered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is made in this Section with respect to the Underwriters.</w:t>
      </w:r>
    </w:p>
    <w:p>
      <w:pPr>
        <w:spacing w:after="0" w:line="69" w:lineRule="exact"/>
        <w:rPr>
          <w:rFonts w:ascii="Arial" w:cs="Arial" w:eastAsia="Arial" w:hAnsi="Arial"/>
          <w:sz w:val="18"/>
          <w:szCs w:val="18"/>
          <w:color w:val="auto"/>
        </w:rPr>
      </w:pPr>
    </w:p>
    <w:p>
      <w:pPr>
        <w:ind w:firstLine="443"/>
        <w:spacing w:after="0" w:line="271" w:lineRule="auto"/>
        <w:tabs>
          <w:tab w:leader="none" w:pos="693" w:val="left"/>
        </w:tabs>
        <w:numPr>
          <w:ilvl w:val="0"/>
          <w:numId w:val="185"/>
        </w:numPr>
        <w:rPr>
          <w:rFonts w:ascii="Arial" w:cs="Arial" w:eastAsia="Arial" w:hAnsi="Arial"/>
          <w:sz w:val="17"/>
          <w:szCs w:val="17"/>
          <w:color w:val="auto"/>
        </w:rPr>
      </w:pPr>
      <w:r>
        <w:rPr>
          <w:rFonts w:ascii="Arial" w:cs="Arial" w:eastAsia="Arial" w:hAnsi="Arial"/>
          <w:sz w:val="17"/>
          <w:szCs w:val="17"/>
          <w:i w:val="1"/>
          <w:iCs w:val="1"/>
          <w:color w:val="auto"/>
        </w:rPr>
        <w:t>Restriction on Sale of Securities</w:t>
      </w:r>
      <w:r>
        <w:rPr>
          <w:rFonts w:ascii="Arial" w:cs="Arial" w:eastAsia="Arial" w:hAnsi="Arial"/>
          <w:sz w:val="17"/>
          <w:szCs w:val="17"/>
          <w:color w:val="auto"/>
        </w:rPr>
        <w:t>. For the period specified below (the “</w:t>
      </w:r>
      <w:r>
        <w:rPr>
          <w:rFonts w:ascii="Arial" w:cs="Arial" w:eastAsia="Arial" w:hAnsi="Arial"/>
          <w:sz w:val="17"/>
          <w:szCs w:val="17"/>
          <w:b w:val="1"/>
          <w:bCs w:val="1"/>
          <w:color w:val="auto"/>
        </w:rPr>
        <w:t>Lock-Up Period</w:t>
      </w:r>
      <w:r>
        <w:rPr>
          <w:rFonts w:ascii="Arial" w:cs="Arial" w:eastAsia="Arial" w:hAnsi="Arial"/>
          <w:sz w:val="17"/>
          <w:szCs w:val="17"/>
          <w:color w:val="auto"/>
        </w:rPr>
        <w:t>”), the Company will not, directly or indirectly, take</w:t>
      </w:r>
      <w:r>
        <w:rPr>
          <w:rFonts w:ascii="Arial" w:cs="Arial" w:eastAsia="Arial" w:hAnsi="Arial"/>
          <w:sz w:val="17"/>
          <w:szCs w:val="17"/>
          <w:i w:val="1"/>
          <w:iCs w:val="1"/>
          <w:color w:val="auto"/>
        </w:rPr>
        <w:t xml:space="preserve"> </w:t>
      </w:r>
      <w:r>
        <w:rPr>
          <w:rFonts w:ascii="Arial" w:cs="Arial" w:eastAsia="Arial" w:hAnsi="Arial"/>
          <w:sz w:val="17"/>
          <w:szCs w:val="17"/>
          <w:color w:val="auto"/>
        </w:rPr>
        <w:t>any of the following actions with respect to its Securities or any securities convertible into or exchangeable or exercisable for any of its Securities (“</w:t>
      </w:r>
      <w:r>
        <w:rPr>
          <w:rFonts w:ascii="Arial" w:cs="Arial" w:eastAsia="Arial" w:hAnsi="Arial"/>
          <w:sz w:val="17"/>
          <w:szCs w:val="17"/>
          <w:b w:val="1"/>
          <w:bCs w:val="1"/>
          <w:color w:val="auto"/>
        </w:rPr>
        <w:t>Lock-Up Securities</w:t>
      </w:r>
      <w:r>
        <w:rPr>
          <w:rFonts w:ascii="Arial" w:cs="Arial" w:eastAsia="Arial" w:hAnsi="Arial"/>
          <w:sz w:val="17"/>
          <w:szCs w:val="17"/>
          <w:color w:val="auto"/>
        </w:rPr>
        <w:t>”): (i) offer, sell, issue, contract to sell, pledge or otherwise dispose of Lock-Up Securities, (ii) offer, sell, issue, contract to sell,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file with the Commission a registration statement under the Act relating to Lock-Up Securities, or publicly disclose the intention to take any such action, without the prior written consent of Credit Suisse. The Lock-Up Period will commence on the date hereof and continue for one hundred eighty (180) days after the date hereof or such earlier date that Credit Suisse consents to in writing.</w:t>
      </w:r>
    </w:p>
    <w:p>
      <w:pPr>
        <w:spacing w:after="0" w:line="70" w:lineRule="exact"/>
        <w:rPr>
          <w:sz w:val="20"/>
          <w:szCs w:val="20"/>
          <w:color w:val="auto"/>
        </w:rPr>
      </w:pPr>
    </w:p>
    <w:p>
      <w:pPr>
        <w:ind w:firstLine="438"/>
        <w:spacing w:after="0" w:line="283" w:lineRule="auto"/>
        <w:rPr>
          <w:sz w:val="20"/>
          <w:szCs w:val="20"/>
          <w:color w:val="auto"/>
        </w:rPr>
      </w:pPr>
      <w:r>
        <w:rPr>
          <w:rFonts w:ascii="Arial" w:cs="Arial" w:eastAsia="Arial" w:hAnsi="Arial"/>
          <w:sz w:val="16"/>
          <w:szCs w:val="16"/>
          <w:color w:val="auto"/>
        </w:rPr>
        <w:t xml:space="preserve">The restrictions contained in the preceding paragraph shall not apply to (a) the Offered Securities to be issued or sold hereunder; (b) the issuance by the Company of Common Shares upon the exercise of an option or warrant or the conversion of a security outstanding on the date hereof or described in the General Disclosure Package and the Final Prospectus; (c) the issuance by the Company of any options or warrants pursuant to any employee equity incentive plan or share ownership plan existing on the date hereof or described in the General Disclosure Package and the Final Prospectus; (d) the filing by the Company of a registration statement with the Commission on Form S-8 in respect of any shares issued under or the grant of any award pursuant to an employee equity incentive plan or share ownership plan existing on the date hereof or described in the General Disclosure Package and the Final Prospectus; (e) the transfer of Common Shares or any securities convertible into or exchangeable for Common Shares pursuant to a bona fide third-party tender offer, merger, consolidation or other similar transaction that is approved by the board of directors of the Company, made to all holders of Common Shares, involving a Change of Control (as defined below) after the completion of the offering of the Offered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consolidation or other such transaction is not completed, the Common Shares or any securities convertible into or exchangeable for Common Shares shall remain subject to the restrictions contained in the preceding paragraph; or (f) the sale or issuance of or entry into an agreement to sell or issue Common Shares or securities convertible into or exercisable for Common Shares in connection with any (i) mergers, (ii) acquisition of securities, businesses, property, technologies or other assets, (iii) joint ventures, (iv) strategic alliances, commercial relationships or other collaborations, (v) the assumption of employee benefit plans in connection with mergers or acquisitions, or</w:t>
      </w:r>
    </w:p>
    <w:p>
      <w:pPr>
        <w:spacing w:after="0" w:line="2" w:lineRule="exact"/>
        <w:rPr>
          <w:sz w:val="20"/>
          <w:szCs w:val="20"/>
          <w:color w:val="auto"/>
        </w:rPr>
      </w:pPr>
    </w:p>
    <w:p>
      <w:pPr>
        <w:ind w:right="360" w:firstLine="4"/>
        <w:spacing w:after="0" w:line="323" w:lineRule="auto"/>
        <w:tabs>
          <w:tab w:leader="none" w:pos="30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the filing of a Registration Statement with respect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number of Common Shares or securities convertible into or exercisable for Common Shares (on an as-converted or as-exercised basis, as the case may be) that the Company may sell</w:t>
      </w:r>
    </w:p>
    <w:p>
      <w:pPr>
        <w:spacing w:after="0" w:line="7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74" w:right="259" w:bottom="1440" w:gutter="0" w:footer="0" w:header="0"/>
        </w:sectPr>
      </w:pPr>
    </w:p>
    <w:bookmarkStart w:id="261" w:name="page262"/>
    <w:bookmarkEnd w:id="261"/>
    <w:p>
      <w:pPr>
        <w:ind w:left="440" w:right="1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issue or agree to sell or issue pursuant to this clause (f) shall not exceed 10% of the total number of Common Shares issued and outstanding immediately following the completion of the transactions contemplated by this Agreement (determined on a fully-diluted basis and as adjusted for share splits, share dividends and other similar events after the date hereof);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each recipient of Common Shares or securities convertible into or exercisable for Common Stock pursuant to this clause (f) shall, on or prior to such issuance, execute a lock-up letter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with respect to the remaining portion of the Lock-Up Period.</w:t>
      </w:r>
    </w:p>
    <w:p>
      <w:pPr>
        <w:spacing w:after="0" w:line="60" w:lineRule="exact"/>
        <w:rPr>
          <w:sz w:val="20"/>
          <w:szCs w:val="20"/>
          <w:color w:val="auto"/>
        </w:rPr>
      </w:pPr>
    </w:p>
    <w:p>
      <w:pPr>
        <w:ind w:left="440" w:right="120" w:firstLine="438"/>
        <w:spacing w:after="0" w:line="281" w:lineRule="auto"/>
        <w:rPr>
          <w:sz w:val="20"/>
          <w:szCs w:val="20"/>
          <w:color w:val="auto"/>
        </w:rPr>
      </w:pPr>
      <w:r>
        <w:rPr>
          <w:rFonts w:ascii="Arial" w:cs="Arial" w:eastAsia="Arial" w:hAnsi="Arial"/>
          <w:sz w:val="17"/>
          <w:szCs w:val="17"/>
          <w:color w:val="auto"/>
        </w:rPr>
        <w:t>For purposes of the foregoing paragraph, “</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the transfer (whether by tender offer, merger, consolidation or other similar transaction), in one transaction or a series of related transactions, to a person or group of affiliated persons (other than an Underwriter pursuant to the public offering contemplated by this Agreement), of the Company’s voting securities if, after such transfer, such person or group of affiliated persons would hold more than 50% of the outstanding voting securities of the Company (or the surviving entity).</w:t>
      </w:r>
    </w:p>
    <w:p>
      <w:pPr>
        <w:spacing w:after="0" w:line="61" w:lineRule="exact"/>
        <w:rPr>
          <w:sz w:val="20"/>
          <w:szCs w:val="20"/>
          <w:color w:val="auto"/>
        </w:rPr>
      </w:pPr>
    </w:p>
    <w:p>
      <w:pPr>
        <w:ind w:left="440" w:right="360" w:firstLine="438"/>
        <w:spacing w:after="0" w:line="342" w:lineRule="auto"/>
        <w:rPr>
          <w:sz w:val="20"/>
          <w:szCs w:val="20"/>
          <w:color w:val="auto"/>
        </w:rPr>
      </w:pPr>
      <w:r>
        <w:rPr>
          <w:rFonts w:ascii="Arial" w:cs="Arial" w:eastAsia="Arial" w:hAnsi="Arial"/>
          <w:sz w:val="16"/>
          <w:szCs w:val="16"/>
          <w:color w:val="auto"/>
        </w:rPr>
        <w:t>In addition, during the Lock-Up Period, the Company will enforce its stockholders’ obligations to comply with any and all restrictions on the sale, pledge or transfer of the Company’s Securities pursuant to any stockholder’s agreement by and among the Company and its stockholders.</w:t>
      </w:r>
    </w:p>
    <w:p>
      <w:pPr>
        <w:spacing w:after="0" w:line="16" w:lineRule="exact"/>
        <w:rPr>
          <w:sz w:val="20"/>
          <w:szCs w:val="20"/>
          <w:color w:val="auto"/>
        </w:rPr>
      </w:pPr>
    </w:p>
    <w:p>
      <w:pPr>
        <w:ind w:left="440" w:right="280" w:firstLine="443"/>
        <w:spacing w:after="0" w:line="264" w:lineRule="auto"/>
        <w:tabs>
          <w:tab w:leader="none" w:pos="1093" w:val="left"/>
        </w:tabs>
        <w:numPr>
          <w:ilvl w:val="1"/>
          <w:numId w:val="187"/>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(a) completion of the distribution of the Securities within the meaning of the Act and (b) completion of the 180-day restricted period referred to in Section 7(k) hereof.</w:t>
      </w:r>
    </w:p>
    <w:p>
      <w:pPr>
        <w:spacing w:after="0" w:line="73" w:lineRule="exact"/>
        <w:rPr>
          <w:rFonts w:ascii="Arial" w:cs="Arial" w:eastAsia="Arial" w:hAnsi="Arial"/>
          <w:sz w:val="18"/>
          <w:szCs w:val="18"/>
          <w:color w:val="auto"/>
        </w:rPr>
      </w:pPr>
    </w:p>
    <w:p>
      <w:pPr>
        <w:ind w:left="440" w:right="40" w:firstLine="443"/>
        <w:spacing w:after="0" w:line="276" w:lineRule="auto"/>
        <w:tabs>
          <w:tab w:leader="none" w:pos="1183" w:val="left"/>
        </w:tabs>
        <w:numPr>
          <w:ilvl w:val="1"/>
          <w:numId w:val="187"/>
        </w:numPr>
        <w:rPr>
          <w:rFonts w:ascii="Arial" w:cs="Arial" w:eastAsia="Arial" w:hAnsi="Arial"/>
          <w:sz w:val="17"/>
          <w:szCs w:val="17"/>
          <w:color w:val="auto"/>
        </w:rPr>
      </w:pPr>
      <w:r>
        <w:rPr>
          <w:rFonts w:ascii="Arial" w:cs="Arial" w:eastAsia="Arial" w:hAnsi="Arial"/>
          <w:sz w:val="17"/>
          <w:szCs w:val="17"/>
          <w:i w:val="1"/>
          <w:iCs w:val="1"/>
          <w:color w:val="auto"/>
        </w:rPr>
        <w:t>Testing-the-Waters</w:t>
      </w:r>
      <w:r>
        <w:rPr>
          <w:rFonts w:ascii="Arial" w:cs="Arial" w:eastAsia="Arial" w:hAnsi="Arial"/>
          <w:sz w:val="17"/>
          <w:szCs w:val="17"/>
          <w:color w:val="auto"/>
        </w:rPr>
        <w:t>. If at any time following the distribution of any Written Testing-the-Waters Communication there occurred or occurs an</w:t>
      </w:r>
      <w:r>
        <w:rPr>
          <w:rFonts w:ascii="Arial" w:cs="Arial" w:eastAsia="Arial" w:hAnsi="Arial"/>
          <w:sz w:val="17"/>
          <w:szCs w:val="17"/>
          <w:i w:val="1"/>
          <w:iCs w:val="1"/>
          <w:color w:val="auto"/>
        </w:rPr>
        <w:t xml:space="preserve"> </w:t>
      </w:r>
      <w:r>
        <w:rPr>
          <w:rFonts w:ascii="Arial" w:cs="Arial" w:eastAsia="Arial" w:hAnsi="Arial"/>
          <w:sz w:val="17"/>
          <w:szCs w:val="17"/>
          <w:color w:val="auto"/>
        </w:rPr>
        <w:t>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64" w:lineRule="exact"/>
        <w:rPr>
          <w:rFonts w:ascii="Arial" w:cs="Arial" w:eastAsia="Arial" w:hAnsi="Arial"/>
          <w:sz w:val="17"/>
          <w:szCs w:val="17"/>
          <w:color w:val="auto"/>
        </w:rPr>
      </w:pPr>
    </w:p>
    <w:p>
      <w:pPr>
        <w:ind w:left="440" w:firstLine="443"/>
        <w:spacing w:after="0" w:line="257" w:lineRule="auto"/>
        <w:tabs>
          <w:tab w:leader="none" w:pos="1133" w:val="left"/>
        </w:tabs>
        <w:numPr>
          <w:ilvl w:val="1"/>
          <w:numId w:val="187"/>
        </w:numPr>
        <w:rPr>
          <w:rFonts w:ascii="Arial" w:cs="Arial" w:eastAsia="Arial" w:hAnsi="Arial"/>
          <w:sz w:val="18"/>
          <w:szCs w:val="18"/>
          <w:color w:val="auto"/>
        </w:rPr>
      </w:pPr>
      <w:r>
        <w:rPr>
          <w:rFonts w:ascii="Arial" w:cs="Arial" w:eastAsia="Arial" w:hAnsi="Arial"/>
          <w:sz w:val="18"/>
          <w:szCs w:val="18"/>
          <w:i w:val="1"/>
          <w:iCs w:val="1"/>
          <w:color w:val="auto"/>
        </w:rPr>
        <w:t>Agreement to Announce Lock-up Waiver</w:t>
      </w:r>
      <w:r>
        <w:rPr>
          <w:rFonts w:ascii="Arial" w:cs="Arial" w:eastAsia="Arial" w:hAnsi="Arial"/>
          <w:sz w:val="18"/>
          <w:szCs w:val="18"/>
          <w:color w:val="auto"/>
        </w:rPr>
        <w:t>. If Credit Suisse, in its sole discretion, agrees to release or waive the restrictions set forth in a lock-up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letter described in Section 9(j)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through a major news service at least two business days before the effective date of the release or waiver.</w:t>
      </w:r>
    </w:p>
    <w:p>
      <w:pPr>
        <w:spacing w:after="0" w:line="80" w:lineRule="exact"/>
        <w:rPr>
          <w:rFonts w:ascii="Arial" w:cs="Arial" w:eastAsia="Arial" w:hAnsi="Arial"/>
          <w:sz w:val="18"/>
          <w:szCs w:val="18"/>
          <w:color w:val="auto"/>
        </w:rPr>
      </w:pPr>
    </w:p>
    <w:p>
      <w:pPr>
        <w:ind w:left="-20" w:right="60" w:firstLine="464"/>
        <w:spacing w:after="0" w:line="253" w:lineRule="auto"/>
        <w:tabs>
          <w:tab w:leader="none" w:pos="616"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Free Writing Prospectuses</w:t>
      </w:r>
      <w:r>
        <w:rPr>
          <w:rFonts w:ascii="Arial" w:cs="Arial" w:eastAsia="Arial" w:hAnsi="Arial"/>
          <w:sz w:val="18"/>
          <w:szCs w:val="18"/>
          <w:color w:val="auto"/>
        </w:rPr>
        <w:t>. The Company represents and agrees that, unless it obtains the prior consent of the Representatives, and each Underwriter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and agrees that, unless it obtains the prior consent of the Company and the Representatives,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w:t>
      </w:r>
      <w:r>
        <w:rPr>
          <w:rFonts w:ascii="Arial" w:cs="Arial" w:eastAsia="Arial" w:hAnsi="Arial"/>
          <w:sz w:val="18"/>
          <w:szCs w:val="18"/>
          <w:b w:val="1"/>
          <w:bCs w:val="1"/>
          <w:color w:val="auto"/>
        </w:rPr>
        <w:t>Permitted Free Writing Prospectus</w:t>
      </w:r>
      <w:r>
        <w:rPr>
          <w:rFonts w:ascii="Arial" w:cs="Arial" w:eastAsia="Arial" w:hAnsi="Arial"/>
          <w:sz w:val="18"/>
          <w:szCs w:val="18"/>
          <w:color w:val="auto"/>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 The Company represents that it has satisfied and agrees that it will satisfy the conditions in Rule 433 to avoid a requirement to file with the Commission any electronic road show.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274" w:right="239" w:bottom="1440" w:gutter="0" w:footer="0" w:header="0"/>
        </w:sectPr>
      </w:pPr>
    </w:p>
    <w:bookmarkStart w:id="262" w:name="page263"/>
    <w:bookmarkEnd w:id="262"/>
    <w:p>
      <w:pPr>
        <w:ind w:left="-20" w:right="300" w:firstLine="464"/>
        <w:spacing w:after="0" w:line="302" w:lineRule="auto"/>
        <w:tabs>
          <w:tab w:leader="none" w:pos="616" w:val="left"/>
        </w:tabs>
        <w:numPr>
          <w:ilvl w:val="0"/>
          <w:numId w:val="18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of the Obligations of the Underwriters</w:t>
      </w:r>
      <w:r>
        <w:rPr>
          <w:rFonts w:ascii="Arial" w:cs="Arial" w:eastAsia="Arial" w:hAnsi="Arial"/>
          <w:sz w:val="16"/>
          <w:szCs w:val="16"/>
          <w:color w:val="auto"/>
        </w:rPr>
        <w:t>. The obligations of the several Underwriters to purchase and pay for the Firm Securities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Closing Date and the Optional Securities to be purchased on each Optional Closing Date will be subject to the accuracy of the representations and warranties of the Company herein (as though made on such Closing Date), to the accuracy of the statements of Company officers made pursuant to the provisions hereof, to the performance by the Company of its obligations hereunder and to the following additional conditions precedent:</w:t>
      </w:r>
    </w:p>
    <w:p>
      <w:pPr>
        <w:spacing w:after="0" w:line="46" w:lineRule="exact"/>
        <w:rPr>
          <w:rFonts w:ascii="Arial" w:cs="Arial" w:eastAsia="Arial" w:hAnsi="Arial"/>
          <w:sz w:val="16"/>
          <w:szCs w:val="16"/>
          <w:color w:val="auto"/>
        </w:rPr>
      </w:pPr>
    </w:p>
    <w:p>
      <w:pPr>
        <w:ind w:left="440" w:right="220" w:firstLine="443"/>
        <w:spacing w:after="0" w:line="259" w:lineRule="auto"/>
        <w:tabs>
          <w:tab w:leader="none" w:pos="1123"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The Representatives shall have received letters, dated, respectively, the date hereof and each Closing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Ernst &amp; Young AG confirming that they are a registered public accounting firm and independent public accountants within the meaning of the Securities Laws and substantially in the form of Schedule C hereto (except that, in any letter dated a Closing Date, the specified date referred to in Schedule C hereto shall be a date no more than three business days prior to such Closing Date).</w:t>
      </w:r>
    </w:p>
    <w:p>
      <w:pPr>
        <w:spacing w:after="0" w:line="78" w:lineRule="exact"/>
        <w:rPr>
          <w:rFonts w:ascii="Arial" w:cs="Arial" w:eastAsia="Arial" w:hAnsi="Arial"/>
          <w:sz w:val="18"/>
          <w:szCs w:val="18"/>
          <w:color w:val="auto"/>
        </w:rPr>
      </w:pPr>
    </w:p>
    <w:p>
      <w:pPr>
        <w:ind w:left="440" w:firstLine="443"/>
        <w:spacing w:after="0" w:line="255" w:lineRule="auto"/>
        <w:tabs>
          <w:tab w:leader="none" w:pos="1133"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 If the Effective Time of the Additional Registration Statement (if any) is not prior to the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delivery of this Agreement, such Effective Time shall have occurred not later than 10:00 p.m., New York time, on the date of this Agreement or, if earlier, the time the Final Prospectus is finalized and distributed to any Underwriter, or shall have occurred at such later time as shall have been consented to by the Representatives. The Final Prospectus shall have been filed with the Commission in accordance with the Rules and Regulations and Section 7(a) hereof. Prior to such Closing Date, no stop order suspending the effectiveness of a Registration Statement shall have been issued and no proceedings for that purpose shall have been instituted or, to the knowledge of the Company or the Representatives, shall be contemplated by the Commission.</w:t>
      </w:r>
    </w:p>
    <w:p>
      <w:pPr>
        <w:spacing w:after="0" w:line="81" w:lineRule="exact"/>
        <w:rPr>
          <w:rFonts w:ascii="Arial" w:cs="Arial" w:eastAsia="Arial" w:hAnsi="Arial"/>
          <w:sz w:val="18"/>
          <w:szCs w:val="18"/>
          <w:color w:val="auto"/>
        </w:rPr>
      </w:pPr>
    </w:p>
    <w:p>
      <w:pPr>
        <w:ind w:left="440" w:firstLine="443"/>
        <w:spacing w:after="0" w:line="268" w:lineRule="auto"/>
        <w:tabs>
          <w:tab w:leader="none" w:pos="1123" w:val="left"/>
        </w:tabs>
        <w:numPr>
          <w:ilvl w:val="1"/>
          <w:numId w:val="189"/>
        </w:numPr>
        <w:rPr>
          <w:rFonts w:ascii="Arial" w:cs="Arial" w:eastAsia="Arial" w:hAnsi="Arial"/>
          <w:sz w:val="17"/>
          <w:szCs w:val="17"/>
          <w:color w:val="auto"/>
        </w:rPr>
      </w:pPr>
      <w:r>
        <w:rPr>
          <w:rFonts w:ascii="Arial" w:cs="Arial" w:eastAsia="Arial" w:hAnsi="Arial"/>
          <w:sz w:val="17"/>
          <w:szCs w:val="17"/>
          <w:i w:val="1"/>
          <w:iCs w:val="1"/>
          <w:color w:val="auto"/>
        </w:rPr>
        <w:t>No Material Adverse Change</w:t>
      </w:r>
      <w:r>
        <w:rPr>
          <w:rFonts w:ascii="Arial" w:cs="Arial" w:eastAsia="Arial" w:hAnsi="Arial"/>
          <w:sz w:val="17"/>
          <w:szCs w:val="17"/>
          <w:color w:val="auto"/>
        </w:rPr>
        <w:t>. Subsequent to the execution and delivery of this Agreement, there shall not have occurred (i) any change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(financial or otherwise), results of operations, business or properties or prospects of the Company which, in the judgment of the Representatives, is material and adverse and makes it impractical or inadvisable to market the Offered Securities; (ii) any change in U.S. or international financial, political or economic conditions or currency exchange rates or exchange controls the effect of which is such as to make it, in the judgment of the Representatives, impractical to market or to enforce contracts for the sale of the Offered Securities, whether in the primary market or in respect of dealings in the secondary market; (iii) any suspension or material limitation of trading in securities generally on the New York Stock Exchange or NASDAQ Global [Select] Market, or any setting of minimum or maximum prices for trading on such exchange; (iv) any banking moratorium declared by any U.S. federal, New York or Swiss authorities; (v) any suspension of trading of any securities of the Company on any exchange or in the over-the-counter market; (vi) any major disruption of settlements of securities, payment, or clearance services in the United States or any other country where such securities are listed or (vii) any attack on, outbreak or escalation of hostilities or act of terrorism involving the United States, any declaration of war by Congress or any other national or international calamity or emergency if, in the judgment of the Representatives, the effect of any such attack, outbreak, escalation, act, declaration, calamity or emergency is such as to make it impractical or inadvisable to market the Offered Securities or to enforce contracts for the sale of the Offered Securities.</w:t>
      </w:r>
    </w:p>
    <w:p>
      <w:pPr>
        <w:spacing w:after="0" w:line="79" w:lineRule="exact"/>
        <w:rPr>
          <w:rFonts w:ascii="Arial" w:cs="Arial" w:eastAsia="Arial" w:hAnsi="Arial"/>
          <w:sz w:val="17"/>
          <w:szCs w:val="17"/>
          <w:color w:val="auto"/>
        </w:rPr>
      </w:pPr>
    </w:p>
    <w:p>
      <w:pPr>
        <w:ind w:left="440" w:right="580" w:firstLine="443"/>
        <w:spacing w:after="0" w:line="277" w:lineRule="auto"/>
        <w:tabs>
          <w:tab w:leader="none" w:pos="1133"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Opinion of U.S. Counsel for Company</w:t>
      </w:r>
      <w:r>
        <w:rPr>
          <w:rFonts w:ascii="Arial" w:cs="Arial" w:eastAsia="Arial" w:hAnsi="Arial"/>
          <w:sz w:val="18"/>
          <w:szCs w:val="18"/>
          <w:color w:val="auto"/>
        </w:rPr>
        <w:t>. The Representatives shall have received an opinion, dated such Closing Date, of Davis Polk &amp;</w:t>
      </w:r>
      <w:r>
        <w:rPr>
          <w:rFonts w:ascii="Arial" w:cs="Arial" w:eastAsia="Arial" w:hAnsi="Arial"/>
          <w:sz w:val="18"/>
          <w:szCs w:val="18"/>
          <w:i w:val="1"/>
          <w:iCs w:val="1"/>
          <w:color w:val="auto"/>
        </w:rPr>
        <w:t xml:space="preserve"> </w:t>
      </w:r>
      <w:r>
        <w:rPr>
          <w:rFonts w:ascii="Arial" w:cs="Arial" w:eastAsia="Arial" w:hAnsi="Arial"/>
          <w:sz w:val="18"/>
          <w:szCs w:val="18"/>
          <w:color w:val="auto"/>
        </w:rPr>
        <w:t>Wardwell LLP, U.S. counsel for the Company, in form and substance satisfactory to the Representatives.</w:t>
      </w:r>
    </w:p>
    <w:p>
      <w:pPr>
        <w:spacing w:after="0" w:line="62" w:lineRule="exact"/>
        <w:rPr>
          <w:rFonts w:ascii="Arial" w:cs="Arial" w:eastAsia="Arial" w:hAnsi="Arial"/>
          <w:sz w:val="18"/>
          <w:szCs w:val="18"/>
          <w:color w:val="auto"/>
        </w:rPr>
      </w:pPr>
    </w:p>
    <w:p>
      <w:pPr>
        <w:ind w:left="440" w:right="320" w:firstLine="443"/>
        <w:spacing w:after="0" w:line="277" w:lineRule="auto"/>
        <w:tabs>
          <w:tab w:leader="none" w:pos="1123"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Opinion of Swiss Counsel for the Company</w:t>
      </w:r>
      <w:r>
        <w:rPr>
          <w:rFonts w:ascii="Arial" w:cs="Arial" w:eastAsia="Arial" w:hAnsi="Arial"/>
          <w:sz w:val="18"/>
          <w:szCs w:val="18"/>
          <w:color w:val="auto"/>
        </w:rPr>
        <w:t>. The Representatives shall have received an opinion, dated such Closing Date, of Vischer AG,</w:t>
      </w:r>
      <w:r>
        <w:rPr>
          <w:rFonts w:ascii="Arial" w:cs="Arial" w:eastAsia="Arial" w:hAnsi="Arial"/>
          <w:sz w:val="18"/>
          <w:szCs w:val="18"/>
          <w:i w:val="1"/>
          <w:iCs w:val="1"/>
          <w:color w:val="auto"/>
        </w:rPr>
        <w:t xml:space="preserve"> </w:t>
      </w:r>
      <w:r>
        <w:rPr>
          <w:rFonts w:ascii="Arial" w:cs="Arial" w:eastAsia="Arial" w:hAnsi="Arial"/>
          <w:sz w:val="18"/>
          <w:szCs w:val="18"/>
          <w:color w:val="auto"/>
        </w:rPr>
        <w:t>Swiss counsel for the Company, in form and substance satisfactory to the Representatives.</w:t>
      </w:r>
    </w:p>
    <w:p>
      <w:pPr>
        <w:spacing w:after="0" w:line="62" w:lineRule="exact"/>
        <w:rPr>
          <w:rFonts w:ascii="Arial" w:cs="Arial" w:eastAsia="Arial" w:hAnsi="Arial"/>
          <w:sz w:val="18"/>
          <w:szCs w:val="18"/>
          <w:color w:val="auto"/>
        </w:rPr>
      </w:pPr>
    </w:p>
    <w:p>
      <w:pPr>
        <w:ind w:left="440" w:right="260" w:firstLine="443"/>
        <w:spacing w:after="0" w:line="264" w:lineRule="auto"/>
        <w:tabs>
          <w:tab w:leader="none" w:pos="1103"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Opinions of Intellectual Property Counsel for the Company</w:t>
      </w:r>
      <w:r>
        <w:rPr>
          <w:rFonts w:ascii="Arial" w:cs="Arial" w:eastAsia="Arial" w:hAnsi="Arial"/>
          <w:sz w:val="18"/>
          <w:szCs w:val="18"/>
          <w:color w:val="auto"/>
        </w:rPr>
        <w:t>. The Representatives shall have received opinions, dated such Closing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Johnson, Marcou &amp; Isaacs LLP, Vossius &amp; Partner and Jones Day LLP, each intellectual property counsel for the Company, in form and substance satisfactory to the Representatives</w:t>
      </w:r>
      <w:r>
        <w:rPr>
          <w:rFonts w:ascii="Arial" w:cs="Arial" w:eastAsia="Arial" w:hAnsi="Arial"/>
          <w:sz w:val="18"/>
          <w:szCs w:val="18"/>
          <w:i w:val="1"/>
          <w:iCs w:val="1"/>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60" w:top="274" w:right="259" w:bottom="1440" w:gutter="0" w:footer="0" w:header="0"/>
        </w:sectPr>
      </w:pPr>
    </w:p>
    <w:bookmarkStart w:id="263" w:name="page264"/>
    <w:bookmarkEnd w:id="263"/>
    <w:p>
      <w:pPr>
        <w:ind w:left="460" w:right="280" w:firstLine="443"/>
        <w:spacing w:after="0" w:line="312" w:lineRule="auto"/>
        <w:tabs>
          <w:tab w:leader="none" w:pos="1153"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Opinion of U.S. Counsel for Underwriters</w:t>
      </w:r>
      <w:r>
        <w:rPr>
          <w:rFonts w:ascii="Arial" w:cs="Arial" w:eastAsia="Arial" w:hAnsi="Arial"/>
          <w:sz w:val="16"/>
          <w:szCs w:val="16"/>
          <w:color w:val="auto"/>
        </w:rPr>
        <w:t>. The Representatives shall have received from Goodwin Procter LLP, U.S. counsel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such opinion or opinions, dated such Closing Date, with respect to such matters as the Representatives may require, and the Company shall have furnished to such counsel such documents as they reasonably request for the purpose of enabling them to pass upon such matters.</w:t>
      </w:r>
    </w:p>
    <w:p>
      <w:pPr>
        <w:spacing w:after="0" w:line="38" w:lineRule="exact"/>
        <w:rPr>
          <w:rFonts w:ascii="Arial" w:cs="Arial" w:eastAsia="Arial" w:hAnsi="Arial"/>
          <w:sz w:val="16"/>
          <w:szCs w:val="16"/>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Opinion of Swiss Counsel for Underwriters</w:t>
      </w:r>
      <w:r>
        <w:rPr>
          <w:rFonts w:ascii="Arial" w:cs="Arial" w:eastAsia="Arial" w:hAnsi="Arial"/>
          <w:sz w:val="18"/>
          <w:szCs w:val="18"/>
          <w:color w:val="auto"/>
        </w:rPr>
        <w:t>. The Representatives shall have received from Homburger AG, Swiss counsel for the</w:t>
      </w:r>
    </w:p>
    <w:p>
      <w:pPr>
        <w:spacing w:after="0" w:line="23" w:lineRule="exact"/>
        <w:rPr>
          <w:rFonts w:ascii="Arial" w:cs="Arial" w:eastAsia="Arial" w:hAnsi="Arial"/>
          <w:sz w:val="18"/>
          <w:szCs w:val="18"/>
          <w:color w:val="auto"/>
        </w:rPr>
      </w:pPr>
    </w:p>
    <w:p>
      <w:pPr>
        <w:ind w:left="460" w:right="280"/>
        <w:spacing w:after="0" w:line="323" w:lineRule="auto"/>
        <w:rPr>
          <w:rFonts w:ascii="Arial" w:cs="Arial" w:eastAsia="Arial" w:hAnsi="Arial"/>
          <w:sz w:val="18"/>
          <w:szCs w:val="18"/>
          <w:color w:val="auto"/>
        </w:rPr>
      </w:pPr>
      <w:r>
        <w:rPr>
          <w:rFonts w:ascii="Arial" w:cs="Arial" w:eastAsia="Arial" w:hAnsi="Arial"/>
          <w:sz w:val="16"/>
          <w:szCs w:val="16"/>
          <w:color w:val="auto"/>
        </w:rPr>
        <w:t>Underwriters, such opinion or opinions, dated such Closing Date, with respect to such matters as the Representatives may require, and the Company shall have furnished to such counsel such documents as they reasonably request for the purpose of enabling them to pass upon such matters.</w:t>
      </w:r>
    </w:p>
    <w:p>
      <w:pPr>
        <w:spacing w:after="0" w:line="30" w:lineRule="exact"/>
        <w:rPr>
          <w:rFonts w:ascii="Arial" w:cs="Arial" w:eastAsia="Arial" w:hAnsi="Arial"/>
          <w:sz w:val="18"/>
          <w:szCs w:val="18"/>
          <w:color w:val="auto"/>
        </w:rPr>
      </w:pPr>
    </w:p>
    <w:p>
      <w:pPr>
        <w:ind w:left="460" w:right="40" w:firstLine="443"/>
        <w:spacing w:after="0" w:line="270" w:lineRule="auto"/>
        <w:tabs>
          <w:tab w:leader="none" w:pos="1113"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Officer’s Certificate</w:t>
      </w:r>
      <w:r>
        <w:rPr>
          <w:rFonts w:ascii="Arial" w:cs="Arial" w:eastAsia="Arial" w:hAnsi="Arial"/>
          <w:sz w:val="17"/>
          <w:szCs w:val="17"/>
          <w:color w:val="auto"/>
        </w:rPr>
        <w:t>. The Representatives shall have received a certificate, dated such Closing Date, of an executive officer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a principal financial or accounting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 or prior to such Closing Date; no stop order suspending the effectiveness of any Registration Statement has been issued and no proceedings for that purpose have been instituted or, to the best of their knowledge and after reasonable investigation, are contemplated by the Commission; the Additional Registration Statement (if any) satisfying the requirements of subparagraphs (1) and (3) of Rule 462(b) was timely filed pursuant to Rule 462(b), including payment of the applicable filing fee in accordance with Rule 111(a) or (b) of Regulation S-T of the Commission; and, subsequent to the date of the most recent financial statements in the General Disclosure Package, there has been no material adverse change in the condition (financial or otherwise), results of operations, business, properties or prospects of the Company except as set forth in the General Disclosure Package and the Final Prospectus or as described in such certificate.</w:t>
      </w:r>
    </w:p>
    <w:p>
      <w:pPr>
        <w:spacing w:after="0" w:line="69" w:lineRule="exact"/>
        <w:rPr>
          <w:rFonts w:ascii="Arial" w:cs="Arial" w:eastAsia="Arial" w:hAnsi="Arial"/>
          <w:sz w:val="17"/>
          <w:szCs w:val="17"/>
          <w:color w:val="auto"/>
        </w:rPr>
      </w:pPr>
    </w:p>
    <w:p>
      <w:pPr>
        <w:ind w:left="460" w:right="160" w:firstLine="443"/>
        <w:spacing w:after="0" w:line="264" w:lineRule="auto"/>
        <w:tabs>
          <w:tab w:leader="none" w:pos="1113"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On or prior to the date hereof, the Representatives shall have received lockup letters each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from (i) each of the executive officers and directors of the Company, and (ii) all shareholders, option holders and other equityholders of the Company.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will furnish the Representatives with such conformed copies of such opinions, certificates, letters and documents as the Representatives reasonably request. The Representatives may in their sole discretion waive on behalf of the Underwriters compliance with any conditions to the obligations of the Underwriters hereunder, whether in respect of an Optional Closing Date or otherwise.</w:t>
      </w:r>
    </w:p>
    <w:p>
      <w:pPr>
        <w:spacing w:after="0" w:line="181" w:lineRule="exact"/>
        <w:rPr>
          <w:sz w:val="20"/>
          <w:szCs w:val="20"/>
          <w:color w:val="auto"/>
        </w:rPr>
      </w:pPr>
    </w:p>
    <w:p>
      <w:pPr>
        <w:ind w:left="740" w:hanging="276"/>
        <w:spacing w:after="0"/>
        <w:tabs>
          <w:tab w:leader="none" w:pos="740"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53" w:lineRule="auto"/>
        <w:tabs>
          <w:tab w:leader="none" w:pos="1143"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will indemnify and hold harmless each Underwriter, its partners, members, directors,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agents, affiliates and each person, if any, who controls such Underwriter within the meaning of Section 15 of the Act or Section 20 of the Exchange Act (each, an “</w:t>
      </w:r>
      <w:r>
        <w:rPr>
          <w:rFonts w:ascii="Arial" w:cs="Arial" w:eastAsia="Arial" w:hAnsi="Arial"/>
          <w:sz w:val="18"/>
          <w:szCs w:val="18"/>
          <w:b w:val="1"/>
          <w:bCs w:val="1"/>
          <w:color w:val="auto"/>
        </w:rPr>
        <w:t>Indemnified Party</w:t>
      </w:r>
      <w:r>
        <w:rPr>
          <w:rFonts w:ascii="Arial" w:cs="Arial" w:eastAsia="Arial" w:hAnsi="Arial"/>
          <w:sz w:val="18"/>
          <w:szCs w:val="18"/>
          <w:color w:val="auto"/>
        </w:rPr>
        <w:t>”),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Written Testing-the-Waters Communication at any time, any Statutory Prospectus as of any time, the Final Prospectus or any Issuer Free Writing Prospectus, or arise out of or are based upon the omission or alleged omission of a material fact required to be stated therein or necessary to make the statements therein not misleading, and will reimburse each Indemnified Party for any legal or other expenses reasonably incurred by such Indemnified Party in connection with investigating or defending against any loss,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64" w:name="page265"/>
    <w:bookmarkEnd w:id="264"/>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will not be liable in any such case to the extent that any such loss, claim, damage or liability arises out of or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an untrue statement or alleged untrue statement in or omission or alleged omission from any of such documents made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 (b) below.</w:t>
      </w:r>
    </w:p>
    <w:p>
      <w:pPr>
        <w:spacing w:after="0" w:line="81" w:lineRule="exact"/>
        <w:rPr>
          <w:sz w:val="20"/>
          <w:szCs w:val="20"/>
          <w:color w:val="auto"/>
        </w:rPr>
      </w:pPr>
    </w:p>
    <w:p>
      <w:pPr>
        <w:ind w:firstLine="443"/>
        <w:spacing w:after="0" w:line="285" w:lineRule="auto"/>
        <w:tabs>
          <w:tab w:leader="none" w:pos="693"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Indemnification of Company</w:t>
      </w:r>
      <w:r>
        <w:rPr>
          <w:rFonts w:ascii="Arial" w:cs="Arial" w:eastAsia="Arial" w:hAnsi="Arial"/>
          <w:sz w:val="16"/>
          <w:szCs w:val="16"/>
          <w:color w:val="auto"/>
        </w:rPr>
        <w:t>. Each Underwriter will severally and not jointly indemnify and hold harmless the Company, each of its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each of its officers who signs a Registration Statement and each person, if any, who controls the Company within the meaning of Section 15 of the Act or Section 20 of the Exchange Act (each, an “</w:t>
      </w:r>
      <w:r>
        <w:rPr>
          <w:rFonts w:ascii="Arial" w:cs="Arial" w:eastAsia="Arial" w:hAnsi="Arial"/>
          <w:sz w:val="16"/>
          <w:szCs w:val="16"/>
          <w:b w:val="1"/>
          <w:bCs w:val="1"/>
          <w:color w:val="auto"/>
        </w:rPr>
        <w:t>Underwriter Indemnified Party</w:t>
      </w:r>
      <w:r>
        <w:rPr>
          <w:rFonts w:ascii="Arial" w:cs="Arial" w:eastAsia="Arial" w:hAnsi="Arial"/>
          <w:sz w:val="16"/>
          <w:szCs w:val="16"/>
          <w:color w:val="auto"/>
        </w:rPr>
        <w:t>”),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Final Prospectus, or any Issuer Free Writing Prospectus or any Written Testing-the-Waters Communication,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concession and reallowance figures appearing in the fourth paragraph under the caption “Underwriting” and the information relating to stabilizing transactions, over-allotment transactions, syndicate covering transactions and penalty bids contained in the paragraphs under the caption “Underwriting—Price Stabilization, Short Positions and Penalty Bids.”</w:t>
      </w:r>
    </w:p>
    <w:p>
      <w:pPr>
        <w:spacing w:after="0" w:line="67" w:lineRule="exact"/>
        <w:rPr>
          <w:rFonts w:ascii="Arial" w:cs="Arial" w:eastAsia="Arial" w:hAnsi="Arial"/>
          <w:sz w:val="16"/>
          <w:szCs w:val="16"/>
          <w:color w:val="auto"/>
        </w:rPr>
      </w:pPr>
    </w:p>
    <w:p>
      <w:pPr>
        <w:ind w:right="40" w:firstLine="443"/>
        <w:spacing w:after="0" w:line="287" w:lineRule="auto"/>
        <w:tabs>
          <w:tab w:leader="none" w:pos="683"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Promptly after receipt by an indemnified party under this Section 10 of notice of the commencement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action, such indemnified party will, if a claim in respect thereof is to be made against the indemnifying party under subsection (a) or (b) above, notify the 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rights or defenses) by such failure;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failure to notify the indemnifying party shall not relieve it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10 for any legal or other expenses subsequently incurred by such indemnified party in connection with the defense thereof</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74" w:right="259" w:bottom="1440" w:gutter="0" w:footer="0" w:header="0"/>
        </w:sectPr>
      </w:pPr>
    </w:p>
    <w:bookmarkStart w:id="265" w:name="page266"/>
    <w:bookmarkEnd w:id="265"/>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reasonable costs of investigation.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80" w:lineRule="exact"/>
        <w:rPr>
          <w:sz w:val="20"/>
          <w:szCs w:val="20"/>
          <w:color w:val="auto"/>
        </w:rPr>
      </w:pPr>
    </w:p>
    <w:p>
      <w:pPr>
        <w:ind w:firstLine="443"/>
        <w:spacing w:after="0" w:line="284" w:lineRule="auto"/>
        <w:tabs>
          <w:tab w:leader="none" w:pos="693" w:val="left"/>
        </w:tabs>
        <w:numPr>
          <w:ilvl w:val="0"/>
          <w:numId w:val="193"/>
        </w:numPr>
        <w:rPr>
          <w:rFonts w:ascii="Arial" w:cs="Arial" w:eastAsia="Arial" w:hAnsi="Arial"/>
          <w:sz w:val="16"/>
          <w:szCs w:val="16"/>
          <w:color w:val="auto"/>
        </w:rPr>
      </w:pPr>
      <w:r>
        <w:rPr>
          <w:rFonts w:ascii="Arial" w:cs="Arial" w:eastAsia="Arial" w:hAnsi="Arial"/>
          <w:sz w:val="16"/>
          <w:szCs w:val="16"/>
          <w:i w:val="1"/>
          <w:iCs w:val="1"/>
          <w:color w:val="auto"/>
        </w:rPr>
        <w:t>Contribution</w:t>
      </w:r>
      <w:r>
        <w:rPr>
          <w:rFonts w:ascii="Arial" w:cs="Arial" w:eastAsia="Arial" w:hAnsi="Arial"/>
          <w:sz w:val="16"/>
          <w:szCs w:val="16"/>
          <w:color w:val="auto"/>
        </w:rPr>
        <w:t>. If the indemnification provided for in this section is unavailable or insufficient to hold harmless an indemnified party under</w:t>
      </w:r>
      <w:r>
        <w:rPr>
          <w:rFonts w:ascii="Arial" w:cs="Arial" w:eastAsia="Arial" w:hAnsi="Arial"/>
          <w:sz w:val="16"/>
          <w:szCs w:val="16"/>
          <w:i w:val="1"/>
          <w:iCs w:val="1"/>
          <w:color w:val="auto"/>
        </w:rPr>
        <w:t xml:space="preserve"> </w:t>
      </w:r>
      <w:r>
        <w:rPr>
          <w:rFonts w:ascii="Arial" w:cs="Arial" w:eastAsia="Arial" w:hAnsi="Arial"/>
          <w:sz w:val="16"/>
          <w:szCs w:val="16"/>
          <w:color w:val="auto"/>
        </w:rPr>
        <w:t>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underwriting discount or commission applicable to the Securities purchased by such Underwriter hereunder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Section 10(d) were determined by pro rata allocation (even if the Underwriters were treated as one entity for such purpose) or by any other method of allocation which does not take account of the equitable considerations referred to in this Section 10(d).</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74" w:right="259" w:bottom="1440" w:gutter="0" w:footer="0" w:header="0"/>
        </w:sectPr>
      </w:pPr>
    </w:p>
    <w:bookmarkStart w:id="266" w:name="page267"/>
    <w:bookmarkEnd w:id="266"/>
    <w:p>
      <w:pPr>
        <w:ind w:right="40" w:firstLine="464"/>
        <w:spacing w:after="0" w:line="286" w:lineRule="auto"/>
        <w:tabs>
          <w:tab w:leader="none" w:pos="720"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of Underwriters</w:t>
      </w:r>
      <w:r>
        <w:rPr>
          <w:rFonts w:ascii="Arial" w:cs="Arial" w:eastAsia="Arial" w:hAnsi="Arial"/>
          <w:sz w:val="16"/>
          <w:szCs w:val="16"/>
          <w:color w:val="auto"/>
        </w:rPr>
        <w:t>. If any Underwriter or Underwriters default in their obligations to purchase Offered Securities hereunder on either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or any Optional Closing Date and the aggregate number of shares of Offered Securities that such defaulting Underwriter or Underwriters agreed but failed to purchase does not exceed 10% of the total number of shares of Offered Securities that the Underwriters are obligated to purchase on such Closing Date, the Representatives may make arrangements satisfactory to the Company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Underwriters agreed but failed to purchase on such Closing Date. If any Underwriter or Underwriters so default and the aggregate number of shares of Offered Securities with respect to which such default or defaults occur exceeds 10% of the total number of shares of Offered Securities that the Underwriters are obligated to purchase on such Closing Date and arrangements satisfactory to the Representatives and the Company for the purchase of such Offered Securities by other persons are not made within 36 hours after such default, this Agreement will terminate without liability on the part of any non-defaulting Underwriter or the Company, except as provided in Section 13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Section. Nothing herein will relieve a defaulting Underwriter from liability for its default.</w:t>
      </w:r>
    </w:p>
    <w:p>
      <w:pPr>
        <w:spacing w:after="0" w:line="66" w:lineRule="exact"/>
        <w:rPr>
          <w:rFonts w:ascii="Arial" w:cs="Arial" w:eastAsia="Arial" w:hAnsi="Arial"/>
          <w:sz w:val="16"/>
          <w:szCs w:val="16"/>
          <w:color w:val="auto"/>
        </w:rPr>
      </w:pPr>
    </w:p>
    <w:p>
      <w:pPr>
        <w:ind w:firstLine="464"/>
        <w:spacing w:after="0" w:line="268" w:lineRule="auto"/>
        <w:tabs>
          <w:tab w:leader="none" w:pos="726" w:val="left"/>
        </w:tabs>
        <w:numPr>
          <w:ilvl w:val="0"/>
          <w:numId w:val="194"/>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of this Agreement. </w:t>
      </w:r>
      <w:r>
        <w:rPr>
          <w:rFonts w:ascii="Arial" w:cs="Arial" w:eastAsia="Arial" w:hAnsi="Arial"/>
          <w:sz w:val="17"/>
          <w:szCs w:val="17"/>
          <w:color w:val="auto"/>
        </w:rPr>
        <w:t>Prior to the purchase of the Firm Securities by the Underwriters on the First Closing Date, this Agreement may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terminated by the Representatives by notice given to the Company if at any time: (i) trading or quotation in any of the Company’s securities shall have been suspended or limited by the Commission or by the NASDAQ, or trading in securities generally on either the NASDAQ or the New York Stock Exchange shall have been suspended or limited, or minimum or maximum prices shall have been generally established on any of such stock exchanges; (ii) a general banking moratorium shall have been declared by any of federal, New York or Swiss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Securities in the manner and on the terms described in a Statutory Prospectus or to enforce contracts for the sale of securities; or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7(h) hereof if the purchase of the Offered Securities by the Underwriters is not consummated for any reason other than solely because of the termination of this Agreement pursuant to Section 11 hereof or (b) any Underwriter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provisions of Section 10 shall at all times be effective and shall survive such termination.</w:t>
      </w:r>
    </w:p>
    <w:p>
      <w:pPr>
        <w:spacing w:after="0" w:line="72" w:lineRule="exact"/>
        <w:rPr>
          <w:rFonts w:ascii="Arial" w:cs="Arial" w:eastAsia="Arial" w:hAnsi="Arial"/>
          <w:sz w:val="17"/>
          <w:szCs w:val="17"/>
          <w:color w:val="auto"/>
        </w:rPr>
      </w:pPr>
    </w:p>
    <w:p>
      <w:pPr>
        <w:ind w:firstLine="464"/>
        <w:spacing w:after="0" w:line="270" w:lineRule="auto"/>
        <w:tabs>
          <w:tab w:leader="none" w:pos="726" w:val="left"/>
        </w:tabs>
        <w:numPr>
          <w:ilvl w:val="0"/>
          <w:numId w:val="194"/>
        </w:numPr>
        <w:rPr>
          <w:rFonts w:ascii="Arial" w:cs="Arial" w:eastAsia="Arial" w:hAnsi="Arial"/>
          <w:sz w:val="17"/>
          <w:szCs w:val="17"/>
          <w:color w:val="auto"/>
        </w:rPr>
      </w:pPr>
      <w:r>
        <w:rPr>
          <w:rFonts w:ascii="Arial" w:cs="Arial" w:eastAsia="Arial" w:hAnsi="Arial"/>
          <w:sz w:val="17"/>
          <w:szCs w:val="17"/>
          <w:i w:val="1"/>
          <w:iCs w:val="1"/>
          <w:color w:val="auto"/>
        </w:rPr>
        <w:t>Survival of Certain Representations and Obligations</w:t>
      </w:r>
      <w:r>
        <w:rPr>
          <w:rFonts w:ascii="Arial" w:cs="Arial" w:eastAsia="Arial" w:hAnsi="Arial"/>
          <w:sz w:val="17"/>
          <w:szCs w:val="17"/>
          <w:color w:val="auto"/>
        </w:rPr>
        <w:t>. The respective indemnities, agreements, representations, warranties and other statements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Offered Securities. If the purchase of the Offered Securities by the Underwriters is not consummated for any reason other than solely because of the termination of this Agreement pursuant to Section 11 hereof, the Company will reimburse the Underwriters for all out-of-pocket expenses (including fees and disbursements of counsel) reasonably incurred by them in connection with the offering of the Offered Securities, and the respective obligations of the Company and the Underwriters pursuant to Section 10 hereof shall remain in effect. In addition, if any Offered Securities have been purchased hereunder, the representations and warranties in Section 2 and all obligations under Section 7 shall also remain in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7" w:name="page268"/>
    <w:bookmarkEnd w:id="267"/>
    <w:p>
      <w:pPr>
        <w:ind w:left="280" w:hanging="276"/>
        <w:spacing w:after="0"/>
        <w:tabs>
          <w:tab w:leader="none" w:pos="280"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Effects of Termination on Offered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3"/>
        <w:spacing w:after="0" w:line="273" w:lineRule="auto"/>
        <w:tabs>
          <w:tab w:leader="none" w:pos="683" w:val="left"/>
        </w:tabs>
        <w:numPr>
          <w:ilvl w:val="1"/>
          <w:numId w:val="195"/>
        </w:numPr>
        <w:rPr>
          <w:rFonts w:ascii="Arial" w:cs="Arial" w:eastAsia="Arial" w:hAnsi="Arial"/>
          <w:sz w:val="17"/>
          <w:szCs w:val="17"/>
          <w:color w:val="auto"/>
        </w:rPr>
      </w:pPr>
      <w:r>
        <w:rPr>
          <w:rFonts w:ascii="Arial" w:cs="Arial" w:eastAsia="Arial" w:hAnsi="Arial"/>
          <w:sz w:val="17"/>
          <w:szCs w:val="17"/>
          <w:color w:val="auto"/>
        </w:rPr>
        <w:t>If, after application and registration of the Firm Capital Increase and/or any Over-Allotment Capital Increase with the Commercial Register of the Canton of Vaud pursuant to Section 4(c) or Section 5(b), prior to the First Closing Date or the relevant Optional Closing Date, as the case may be, this Agreement is terminated pursuant to Section 12, or if the delivery of the Firm Securities or Applicable Optional Securities to the Representatives for the account of the several Underwriters is not completed on the First Closing Date or the relevant Optional Closing Date, as the case may be (each, an “</w:t>
      </w:r>
      <w:r>
        <w:rPr>
          <w:rFonts w:ascii="Arial" w:cs="Arial" w:eastAsia="Arial" w:hAnsi="Arial"/>
          <w:sz w:val="17"/>
          <w:szCs w:val="17"/>
          <w:b w:val="1"/>
          <w:bCs w:val="1"/>
          <w:color w:val="auto"/>
        </w:rPr>
        <w:t>Event of Non-Completion</w:t>
      </w:r>
      <w:r>
        <w:rPr>
          <w:rFonts w:ascii="Arial" w:cs="Arial" w:eastAsia="Arial" w:hAnsi="Arial"/>
          <w:sz w:val="17"/>
          <w:szCs w:val="17"/>
          <w:color w:val="auto"/>
        </w:rPr>
        <w:t>”), and unless the Company and the Representatives, acting on behalf of the several Underwriters, otherwise agree within ten calendar days after the Event of Non-Completion, then:</w:t>
      </w:r>
    </w:p>
    <w:p>
      <w:pPr>
        <w:spacing w:after="0" w:line="70" w:lineRule="exact"/>
        <w:rPr>
          <w:rFonts w:ascii="Arial" w:cs="Arial" w:eastAsia="Arial" w:hAnsi="Arial"/>
          <w:sz w:val="17"/>
          <w:szCs w:val="17"/>
          <w:color w:val="auto"/>
        </w:rPr>
      </w:pPr>
    </w:p>
    <w:p>
      <w:pPr>
        <w:ind w:left="1100" w:hanging="219"/>
        <w:spacing w:after="0"/>
        <w:tabs>
          <w:tab w:leader="none" w:pos="110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the Company shall have a call option against the Underwriters pursuant to Section 14(b);</w:t>
      </w:r>
    </w:p>
    <w:p>
      <w:pPr>
        <w:spacing w:after="0" w:line="117" w:lineRule="exact"/>
        <w:rPr>
          <w:rFonts w:ascii="Arial" w:cs="Arial" w:eastAsia="Arial" w:hAnsi="Arial"/>
          <w:sz w:val="18"/>
          <w:szCs w:val="18"/>
          <w:color w:val="auto"/>
        </w:rPr>
      </w:pPr>
    </w:p>
    <w:p>
      <w:pPr>
        <w:ind w:right="220" w:firstLine="881"/>
        <w:spacing w:after="0" w:line="277" w:lineRule="auto"/>
        <w:tabs>
          <w:tab w:leader="none" w:pos="1141" w:val="left"/>
        </w:tabs>
        <w:numPr>
          <w:ilvl w:val="2"/>
          <w:numId w:val="195"/>
        </w:numPr>
        <w:rPr>
          <w:rFonts w:ascii="Arial" w:cs="Arial" w:eastAsia="Arial" w:hAnsi="Arial"/>
          <w:sz w:val="18"/>
          <w:szCs w:val="18"/>
          <w:color w:val="auto"/>
        </w:rPr>
      </w:pPr>
      <w:r>
        <w:rPr>
          <w:rFonts w:ascii="Arial" w:cs="Arial" w:eastAsia="Arial" w:hAnsi="Arial"/>
          <w:sz w:val="18"/>
          <w:szCs w:val="18"/>
          <w:color w:val="auto"/>
        </w:rPr>
        <w:t>if the call option is not exercised, the Representatives acting on behalf of the several Underwriters shall have a put option against the Company pursuant to Section 14(c);</w:t>
      </w:r>
    </w:p>
    <w:p>
      <w:pPr>
        <w:spacing w:after="0" w:line="62" w:lineRule="exact"/>
        <w:rPr>
          <w:rFonts w:ascii="Arial" w:cs="Arial" w:eastAsia="Arial" w:hAnsi="Arial"/>
          <w:sz w:val="18"/>
          <w:szCs w:val="18"/>
          <w:color w:val="auto"/>
        </w:rPr>
      </w:pPr>
    </w:p>
    <w:p>
      <w:pPr>
        <w:jc w:val="both"/>
        <w:ind w:right="80" w:firstLine="881"/>
        <w:spacing w:after="0" w:line="264" w:lineRule="auto"/>
        <w:tabs>
          <w:tab w:leader="none" w:pos="1191" w:val="left"/>
        </w:tabs>
        <w:numPr>
          <w:ilvl w:val="2"/>
          <w:numId w:val="195"/>
        </w:numPr>
        <w:rPr>
          <w:rFonts w:ascii="Arial" w:cs="Arial" w:eastAsia="Arial" w:hAnsi="Arial"/>
          <w:sz w:val="18"/>
          <w:szCs w:val="18"/>
          <w:color w:val="auto"/>
        </w:rPr>
      </w:pPr>
      <w:r>
        <w:rPr>
          <w:rFonts w:ascii="Arial" w:cs="Arial" w:eastAsia="Arial" w:hAnsi="Arial"/>
          <w:sz w:val="18"/>
          <w:szCs w:val="18"/>
          <w:color w:val="auto"/>
        </w:rPr>
        <w:t>if the put option is not possible for legal reasons or insufficient to dispose of the Firm Securities or Applicable Optional Securities, as applicable, or if such put option is not exercised within the deadline set forth in Section 14(c), the Company shall effect a capital reduction pursuant to Section 14(d); and</w:t>
      </w:r>
    </w:p>
    <w:p>
      <w:pPr>
        <w:spacing w:after="0" w:line="73" w:lineRule="exact"/>
        <w:rPr>
          <w:rFonts w:ascii="Arial" w:cs="Arial" w:eastAsia="Arial" w:hAnsi="Arial"/>
          <w:sz w:val="18"/>
          <w:szCs w:val="18"/>
          <w:color w:val="auto"/>
        </w:rPr>
      </w:pPr>
    </w:p>
    <w:p>
      <w:pPr>
        <w:ind w:right="220" w:firstLine="881"/>
        <w:spacing w:after="0" w:line="277" w:lineRule="auto"/>
        <w:tabs>
          <w:tab w:leader="none" w:pos="1181" w:val="left"/>
        </w:tabs>
        <w:numPr>
          <w:ilvl w:val="2"/>
          <w:numId w:val="195"/>
        </w:numPr>
        <w:rPr>
          <w:rFonts w:ascii="Arial" w:cs="Arial" w:eastAsia="Arial" w:hAnsi="Arial"/>
          <w:sz w:val="18"/>
          <w:szCs w:val="18"/>
          <w:color w:val="auto"/>
        </w:rPr>
      </w:pPr>
      <w:r>
        <w:rPr>
          <w:rFonts w:ascii="Arial" w:cs="Arial" w:eastAsia="Arial" w:hAnsi="Arial"/>
          <w:sz w:val="18"/>
          <w:szCs w:val="18"/>
          <w:color w:val="auto"/>
        </w:rPr>
        <w:t>if the capital reduction is not effected in accordance with Section 14(d), the Underwriters may sell the Firm Securities or Applicable Optional Securities, as applicable, in the market as provided in Section 14(e).</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1"/>
          <w:numId w:val="195"/>
        </w:numPr>
        <w:rPr>
          <w:rFonts w:ascii="Arial" w:cs="Arial" w:eastAsia="Arial" w:hAnsi="Arial"/>
          <w:sz w:val="18"/>
          <w:szCs w:val="18"/>
          <w:color w:val="auto"/>
        </w:rPr>
      </w:pPr>
      <w:r>
        <w:rPr>
          <w:rFonts w:ascii="Arial" w:cs="Arial" w:eastAsia="Arial" w:hAnsi="Arial"/>
          <w:sz w:val="18"/>
          <w:szCs w:val="18"/>
          <w:i w:val="1"/>
          <w:iCs w:val="1"/>
          <w:color w:val="auto"/>
        </w:rPr>
        <w:t>Call Option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20" w:firstLine="881"/>
        <w:spacing w:after="0" w:line="258" w:lineRule="auto"/>
        <w:tabs>
          <w:tab w:leader="none" w:pos="1091"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The Company, acting on its own behalf or on behalf of third parties, shall have the right (the “</w:t>
      </w:r>
      <w:r>
        <w:rPr>
          <w:rFonts w:ascii="Arial" w:cs="Arial" w:eastAsia="Arial" w:hAnsi="Arial"/>
          <w:sz w:val="18"/>
          <w:szCs w:val="18"/>
          <w:b w:val="1"/>
          <w:bCs w:val="1"/>
          <w:color w:val="auto"/>
        </w:rPr>
        <w:t>Call Option</w:t>
      </w:r>
      <w:r>
        <w:rPr>
          <w:rFonts w:ascii="Arial" w:cs="Arial" w:eastAsia="Arial" w:hAnsi="Arial"/>
          <w:sz w:val="18"/>
          <w:szCs w:val="18"/>
          <w:color w:val="auto"/>
        </w:rPr>
        <w:t>”) to request in writing that the Representatives, acting on behalf of the several Underwriters, deliver the Firm Securities or Applicable Optional Securities, as applicable, to an account specified by the Company against payment of an amount representing the aggregate nominal value of the respective Firm Securities or Applicable Optional Securities, as applicable, plus expenses of the Representatives as set out in Section 14(f). The Call Option shall expire on the tenth calendar day after the Event of Non-Completion.</w:t>
      </w:r>
    </w:p>
    <w:p>
      <w:pPr>
        <w:spacing w:after="0" w:line="79" w:lineRule="exact"/>
        <w:rPr>
          <w:rFonts w:ascii="Arial" w:cs="Arial" w:eastAsia="Arial" w:hAnsi="Arial"/>
          <w:sz w:val="18"/>
          <w:szCs w:val="18"/>
          <w:color w:val="auto"/>
        </w:rPr>
      </w:pPr>
    </w:p>
    <w:p>
      <w:pPr>
        <w:ind w:firstLine="881"/>
        <w:spacing w:after="0" w:line="255" w:lineRule="auto"/>
        <w:tabs>
          <w:tab w:leader="none" w:pos="1141" w:val="left"/>
        </w:tabs>
        <w:numPr>
          <w:ilvl w:val="2"/>
          <w:numId w:val="195"/>
        </w:numPr>
        <w:rPr>
          <w:rFonts w:ascii="Arial" w:cs="Arial" w:eastAsia="Arial" w:hAnsi="Arial"/>
          <w:sz w:val="18"/>
          <w:szCs w:val="18"/>
          <w:color w:val="auto"/>
        </w:rPr>
      </w:pPr>
      <w:r>
        <w:rPr>
          <w:rFonts w:ascii="Arial" w:cs="Arial" w:eastAsia="Arial" w:hAnsi="Arial"/>
          <w:sz w:val="18"/>
          <w:szCs w:val="18"/>
          <w:color w:val="auto"/>
        </w:rPr>
        <w:t>An acquisition of the Firm Securities or Applicable Optional Securities, as applicable, by the Company for its own account shall only be permitted if the Company has delivered evidence to the Representatives reasonably satisfactory to the Representatives that the Company has sufficient freely available reserves to acquire the Firm Securities or Applicable Optional Securities, as applicable, under this Section 14(b) or, alternatively, that the Company has entered into arrangements with a third party ensuring for the immediate re-sale of the Firm Securities or Applicable Optional Securities, as applicable, to such third party, at no less than their nominal value, on the date of acquisition of the Firm Securities or Applicable Optional Securities, as applicable, by the Company.</w:t>
      </w:r>
    </w:p>
    <w:p>
      <w:pPr>
        <w:spacing w:after="0" w:line="85" w:lineRule="exact"/>
        <w:rPr>
          <w:rFonts w:ascii="Arial" w:cs="Arial" w:eastAsia="Arial" w:hAnsi="Arial"/>
          <w:sz w:val="18"/>
          <w:szCs w:val="18"/>
          <w:color w:val="auto"/>
        </w:rPr>
      </w:pPr>
    </w:p>
    <w:p>
      <w:pPr>
        <w:ind w:left="680" w:hanging="237"/>
        <w:spacing w:after="0"/>
        <w:tabs>
          <w:tab w:leader="none" w:pos="680" w:val="left"/>
        </w:tabs>
        <w:numPr>
          <w:ilvl w:val="1"/>
          <w:numId w:val="195"/>
        </w:numPr>
        <w:rPr>
          <w:rFonts w:ascii="Arial" w:cs="Arial" w:eastAsia="Arial" w:hAnsi="Arial"/>
          <w:sz w:val="18"/>
          <w:szCs w:val="18"/>
          <w:color w:val="auto"/>
        </w:rPr>
      </w:pPr>
      <w:r>
        <w:rPr>
          <w:rFonts w:ascii="Arial" w:cs="Arial" w:eastAsia="Arial" w:hAnsi="Arial"/>
          <w:sz w:val="18"/>
          <w:szCs w:val="18"/>
          <w:i w:val="1"/>
          <w:iCs w:val="1"/>
          <w:color w:val="auto"/>
        </w:rPr>
        <w:t>Put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00" w:firstLine="881"/>
        <w:spacing w:after="0" w:line="264" w:lineRule="auto"/>
        <w:tabs>
          <w:tab w:leader="none" w:pos="1091" w:val="left"/>
        </w:tabs>
        <w:numPr>
          <w:ilvl w:val="2"/>
          <w:numId w:val="195"/>
        </w:numPr>
        <w:rPr>
          <w:rFonts w:ascii="Arial" w:cs="Arial" w:eastAsia="Arial" w:hAnsi="Arial"/>
          <w:sz w:val="18"/>
          <w:szCs w:val="18"/>
          <w:color w:val="auto"/>
        </w:rPr>
      </w:pPr>
      <w:r>
        <w:rPr>
          <w:rFonts w:ascii="Arial" w:cs="Arial" w:eastAsia="Arial" w:hAnsi="Arial"/>
          <w:sz w:val="18"/>
          <w:szCs w:val="18"/>
          <w:color w:val="auto"/>
        </w:rPr>
        <w:t>Following the expiry of the Call Option pursuant to Section 14(b), the Representatives, acting on behalf of the several Underwriters, shall have an option (the “</w:t>
      </w:r>
      <w:r>
        <w:rPr>
          <w:rFonts w:ascii="Arial" w:cs="Arial" w:eastAsia="Arial" w:hAnsi="Arial"/>
          <w:sz w:val="18"/>
          <w:szCs w:val="18"/>
          <w:b w:val="1"/>
          <w:bCs w:val="1"/>
          <w:color w:val="auto"/>
        </w:rPr>
        <w:t>Put Option</w:t>
      </w:r>
      <w:r>
        <w:rPr>
          <w:rFonts w:ascii="Arial" w:cs="Arial" w:eastAsia="Arial" w:hAnsi="Arial"/>
          <w:sz w:val="18"/>
          <w:szCs w:val="18"/>
          <w:color w:val="auto"/>
        </w:rPr>
        <w:t>”) to require the Company, subject to article 659 CO, to purchase all Firm Securities or Applicable Optional Securities, as applicable, entered in the Commercial Register of the Canton of</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700" w:top="274" w:right="279" w:bottom="1440" w:gutter="0" w:footer="0" w:header="0"/>
        </w:sectPr>
      </w:pPr>
    </w:p>
    <w:bookmarkStart w:id="268" w:name="page269"/>
    <w:bookmarkEnd w:id="268"/>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Vaud at their nominal value, plus expenses of the Representatives as set out in Section 14(f), within ten calendar days after receipt of a notice in writing addressed to the Company from the Representatives, stating that the Representatives exercises the Put Option. The Put Option shall expire on the twentieth calendar day after the Event of Non-Completion.</w:t>
      </w:r>
    </w:p>
    <w:p>
      <w:pPr>
        <w:spacing w:after="0" w:line="73" w:lineRule="exact"/>
        <w:rPr>
          <w:sz w:val="20"/>
          <w:szCs w:val="20"/>
          <w:color w:val="auto"/>
        </w:rPr>
      </w:pPr>
    </w:p>
    <w:p>
      <w:pPr>
        <w:ind w:right="20" w:firstLine="881"/>
        <w:spacing w:after="0" w:line="279" w:lineRule="auto"/>
        <w:tabs>
          <w:tab w:leader="none" w:pos="1141" w:val="left"/>
        </w:tabs>
        <w:numPr>
          <w:ilvl w:val="1"/>
          <w:numId w:val="196"/>
        </w:numPr>
        <w:rPr>
          <w:rFonts w:ascii="Arial" w:cs="Arial" w:eastAsia="Arial" w:hAnsi="Arial"/>
          <w:sz w:val="17"/>
          <w:szCs w:val="17"/>
          <w:color w:val="auto"/>
        </w:rPr>
      </w:pPr>
      <w:r>
        <w:rPr>
          <w:rFonts w:ascii="Arial" w:cs="Arial" w:eastAsia="Arial" w:hAnsi="Arial"/>
          <w:sz w:val="17"/>
          <w:szCs w:val="17"/>
          <w:color w:val="auto"/>
        </w:rPr>
        <w:t>The notice in which the Representatives, acting on behalf of the several Underwriters, exercises the Put Option shall specify the date on which the Representatives will deliver the Firm Securities or Applicable Optional Securities, as applicable, to the Company against direct payment therefore, and shall contain detailed instructions regarding payment, delivery of the Firm Securities or Applicable Optional Securities, as applicable, and amount payable (including satisfactory details regarding the costs claimed according to Section 14(f)).</w:t>
      </w:r>
    </w:p>
    <w:p>
      <w:pPr>
        <w:spacing w:after="0" w:line="63" w:lineRule="exact"/>
        <w:rPr>
          <w:rFonts w:ascii="Arial" w:cs="Arial" w:eastAsia="Arial" w:hAnsi="Arial"/>
          <w:sz w:val="17"/>
          <w:szCs w:val="17"/>
          <w:color w:val="auto"/>
        </w:rPr>
      </w:pPr>
    </w:p>
    <w:p>
      <w:pPr>
        <w:ind w:left="700" w:hanging="257"/>
        <w:spacing w:after="0"/>
        <w:tabs>
          <w:tab w:leader="none" w:pos="700"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Capital Reduction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881"/>
        <w:spacing w:after="0" w:line="288" w:lineRule="auto"/>
        <w:tabs>
          <w:tab w:leader="none" w:pos="1091" w:val="left"/>
        </w:tabs>
        <w:numPr>
          <w:ilvl w:val="1"/>
          <w:numId w:val="197"/>
        </w:numPr>
        <w:rPr>
          <w:rFonts w:ascii="Arial" w:cs="Arial" w:eastAsia="Arial" w:hAnsi="Arial"/>
          <w:sz w:val="16"/>
          <w:szCs w:val="16"/>
          <w:color w:val="auto"/>
        </w:rPr>
      </w:pPr>
      <w:r>
        <w:rPr>
          <w:rFonts w:ascii="Arial" w:cs="Arial" w:eastAsia="Arial" w:hAnsi="Arial"/>
          <w:sz w:val="16"/>
          <w:szCs w:val="16"/>
          <w:color w:val="auto"/>
        </w:rPr>
        <w:t>If the Put Option is not exercised within the deadline set forth in Section 14(c) or it is not possible for legal reasons or insufficient to dispose of the Firm Securities or Applicable Optional Securities, as applicable, including due to non-availability of sufficient freely disposable reserves, the Company shall immediately call a shareholders’ meeting and table the reduction of the share capital. Such shareholders’ meeting shall take place no later than seventy days after the Event of Non-Completion. The Representatives acting on behalf of the several Underwriters, will vote in favor of a reduction of the issued and outstanding share capital of the Company (the “</w:t>
      </w:r>
      <w:r>
        <w:rPr>
          <w:rFonts w:ascii="Arial" w:cs="Arial" w:eastAsia="Arial" w:hAnsi="Arial"/>
          <w:sz w:val="16"/>
          <w:szCs w:val="16"/>
          <w:b w:val="1"/>
          <w:bCs w:val="1"/>
          <w:color w:val="auto"/>
        </w:rPr>
        <w:t>Capital Reduction</w:t>
      </w:r>
      <w:r>
        <w:rPr>
          <w:rFonts w:ascii="Arial" w:cs="Arial" w:eastAsia="Arial" w:hAnsi="Arial"/>
          <w:sz w:val="16"/>
          <w:szCs w:val="16"/>
          <w:color w:val="auto"/>
        </w:rPr>
        <w:t xml:space="preserve">”) by cancellation of the Firm Securities or Applicable Optional Securities, as applicable, entered in the Commercial Register of the Canton of Vaud against repayment of the aggregate nominal value of such securities to the Representatives, acting on behalf of the several Underwriters. Prior to such shareholders’ meeting, the Company shall use its reasonable best efforts to cause its auditors to confirm in writing, pursuant to article 732 para. 2 CO, that the claims of the Company’s creditors are fully covered notwithstanding the Capital Reduction,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confirmation is not made by the auditors prior to such meeting, the meeting shall be cancelled. The Company shall use its reasonable best efforts to cause its shareholders to vote in favor of the Capital Reduction.</w:t>
      </w:r>
    </w:p>
    <w:p>
      <w:pPr>
        <w:spacing w:after="0" w:line="61" w:lineRule="exact"/>
        <w:rPr>
          <w:sz w:val="20"/>
          <w:szCs w:val="20"/>
          <w:color w:val="auto"/>
        </w:rPr>
      </w:pPr>
    </w:p>
    <w:p>
      <w:pPr>
        <w:ind w:right="140" w:firstLine="881"/>
        <w:spacing w:after="0" w:line="259" w:lineRule="auto"/>
        <w:tabs>
          <w:tab w:leader="none" w:pos="114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At the earliest possible date, and subject to statutory law, the Capital Reduction shall be consummated by registration in the Commercial Register of the Canton of Vaud. The proceeds of the Capital Reduction, being an amount representing the aggregate nominal value of the Firm Securities or Applicable Optional Securities, as applicable, shall be paid (for value on the date of the entry in the Commercial Register of the Canton of Vaud) in cash to the Representatives, acting on behalf of the several Underwriters.</w:t>
      </w:r>
    </w:p>
    <w:p>
      <w:pPr>
        <w:spacing w:after="0" w:line="78" w:lineRule="exact"/>
        <w:rPr>
          <w:rFonts w:ascii="Arial" w:cs="Arial" w:eastAsia="Arial" w:hAnsi="Arial"/>
          <w:sz w:val="18"/>
          <w:szCs w:val="18"/>
          <w:color w:val="auto"/>
        </w:rPr>
      </w:pPr>
    </w:p>
    <w:p>
      <w:pPr>
        <w:ind w:right="120" w:firstLine="881"/>
        <w:spacing w:after="0" w:line="264" w:lineRule="auto"/>
        <w:tabs>
          <w:tab w:leader="none" w:pos="119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Upon consummation of the Capital Reduction, the Company shall deregister the Firm Securities or Applicable Optional Securities, as applicable, in its book of uncertificated securities (</w:t>
      </w:r>
      <w:r>
        <w:rPr>
          <w:rFonts w:ascii="Arial" w:cs="Arial" w:eastAsia="Arial" w:hAnsi="Arial"/>
          <w:sz w:val="18"/>
          <w:szCs w:val="18"/>
          <w:i w:val="1"/>
          <w:iCs w:val="1"/>
          <w:color w:val="auto"/>
        </w:rPr>
        <w:t>Wertrechtebuch</w:t>
      </w:r>
      <w:r>
        <w:rPr>
          <w:rFonts w:ascii="Arial" w:cs="Arial" w:eastAsia="Arial" w:hAnsi="Arial"/>
          <w:sz w:val="18"/>
          <w:szCs w:val="18"/>
          <w:color w:val="auto"/>
        </w:rPr>
        <w:t>) to reflect the number of Shares registered with the Commercial Register of the Canton of Vaud.</w:t>
      </w:r>
    </w:p>
    <w:p>
      <w:pPr>
        <w:spacing w:after="0" w:line="73" w:lineRule="exact"/>
        <w:rPr>
          <w:rFonts w:ascii="Arial" w:cs="Arial" w:eastAsia="Arial" w:hAnsi="Arial"/>
          <w:sz w:val="18"/>
          <w:szCs w:val="18"/>
          <w:color w:val="auto"/>
        </w:rPr>
      </w:pPr>
    </w:p>
    <w:p>
      <w:pPr>
        <w:ind w:left="680" w:hanging="237"/>
        <w:spacing w:after="0"/>
        <w:tabs>
          <w:tab w:leader="none" w:pos="68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Sale of Firm Securities or Applicable Optional Securities</w:t>
      </w:r>
      <w:r>
        <w:rPr>
          <w:rFonts w:ascii="Arial" w:cs="Arial" w:eastAsia="Arial" w:hAnsi="Arial"/>
          <w:sz w:val="18"/>
          <w:szCs w:val="18"/>
          <w:color w:val="auto"/>
        </w:rPr>
        <w:t>. In addition, if an Event of Non-Completion occurs and,</w:t>
      </w:r>
    </w:p>
    <w:p>
      <w:pPr>
        <w:spacing w:after="0" w:line="117" w:lineRule="exact"/>
        <w:rPr>
          <w:rFonts w:ascii="Arial" w:cs="Arial" w:eastAsia="Arial" w:hAnsi="Arial"/>
          <w:sz w:val="18"/>
          <w:szCs w:val="18"/>
          <w:color w:val="auto"/>
        </w:rPr>
      </w:pPr>
    </w:p>
    <w:p>
      <w:pPr>
        <w:ind w:right="320" w:firstLine="881"/>
        <w:spacing w:after="0" w:line="277" w:lineRule="auto"/>
        <w:tabs>
          <w:tab w:leader="none" w:pos="109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Company fails to acquire or cause a third party to acquire the Firm Securities or Applicable Optional Securities, as applicable, in accordance with Section 14(b) at any time after the Event of Non-Completion; and</w:t>
      </w:r>
    </w:p>
    <w:p>
      <w:pPr>
        <w:spacing w:after="0" w:line="62" w:lineRule="exact"/>
        <w:rPr>
          <w:rFonts w:ascii="Arial" w:cs="Arial" w:eastAsia="Arial" w:hAnsi="Arial"/>
          <w:sz w:val="18"/>
          <w:szCs w:val="18"/>
          <w:color w:val="auto"/>
        </w:rPr>
      </w:pPr>
    </w:p>
    <w:p>
      <w:pPr>
        <w:ind w:right="240" w:firstLine="881"/>
        <w:spacing w:after="0" w:line="264" w:lineRule="auto"/>
        <w:tabs>
          <w:tab w:leader="none" w:pos="114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in the event and to the extent the Put Option is not possible for legal reasons or insufficient to dispose of the Firm Securities or Applicable Optional Securities, as applicable, including due to insufficient freely disposable reserves, or if the Put Option is not exercised within the deadline set forth in Section 14(c); and</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74" w:right="259" w:bottom="1440" w:gutter="0" w:footer="0" w:header="0"/>
        </w:sectPr>
      </w:pPr>
    </w:p>
    <w:bookmarkStart w:id="269" w:name="page270"/>
    <w:bookmarkEnd w:id="269"/>
    <w:p>
      <w:pPr>
        <w:ind w:left="440" w:right="80" w:firstLine="881"/>
        <w:spacing w:after="0" w:line="276" w:lineRule="auto"/>
        <w:tabs>
          <w:tab w:leader="none" w:pos="1631" w:val="left"/>
        </w:tabs>
        <w:numPr>
          <w:ilvl w:val="1"/>
          <w:numId w:val="2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Capital Reduction has not been resolved by the shareholders’ meeting of the Company within seventy days after the Event of Non-Completion, the Representatives, acting on behalf of the several Underwriters, are entitled to sell any or all Firm Securities or Applicable Optional Securities on terms which the Representatives deem fit under the circumstances. The difference between the proceeds of such sale and the nominal amount of such Firm Securities or Applicable Optional Securities, as applicable, sold, less the costs and expenses pursuant to Section 14(f) reasonably incurred by the Representatives in connection with the sale, if any, shall be transferred to the Company.</w:t>
      </w:r>
    </w:p>
    <w:p>
      <w:pPr>
        <w:spacing w:after="0" w:line="64" w:lineRule="exact"/>
        <w:rPr>
          <w:rFonts w:ascii="Arial" w:cs="Arial" w:eastAsia="Arial" w:hAnsi="Arial"/>
          <w:sz w:val="17"/>
          <w:szCs w:val="17"/>
          <w:color w:val="auto"/>
        </w:rPr>
      </w:pPr>
    </w:p>
    <w:p>
      <w:pPr>
        <w:ind w:left="1100" w:hanging="217"/>
        <w:spacing w:after="0"/>
        <w:tabs>
          <w:tab w:leader="none" w:pos="1100"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Costs; Indemnity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881"/>
        <w:spacing w:after="0" w:line="297" w:lineRule="auto"/>
        <w:tabs>
          <w:tab w:leader="none" w:pos="1531"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Company shall bear (A) all costs directly incidental to the Capital Reduction, including but not limited to notarization costs, costs of the Commercial Register and costs of publication of the Capital Reduction and (B) the costs of the Representatives reasonably incurred in connection with the Call Option, the Put Option or the Capital Reduction, as applicable (including but not limited to (x) taxes, (y) interest at a rate of the higher of zero or the 3-month CHF LIBOR, calculated on a 30/360 basis, following the Event of Non-Completion until the payment of proceeds to the Representatives, acting on behalf of the several Underwriters, and (z) reasonable out of pocket expenses of the Representatives and their counsel).</w:t>
      </w:r>
    </w:p>
    <w:p>
      <w:pPr>
        <w:spacing w:after="0" w:line="50" w:lineRule="exact"/>
        <w:rPr>
          <w:sz w:val="20"/>
          <w:szCs w:val="20"/>
          <w:color w:val="auto"/>
        </w:rPr>
      </w:pPr>
    </w:p>
    <w:p>
      <w:pPr>
        <w:jc w:val="both"/>
        <w:ind w:left="440" w:right="140" w:firstLine="881"/>
        <w:spacing w:after="0" w:line="264" w:lineRule="auto"/>
        <w:tabs>
          <w:tab w:leader="none" w:pos="1581" w:val="left"/>
        </w:tabs>
        <w:numPr>
          <w:ilvl w:val="2"/>
          <w:numId w:val="202"/>
        </w:numPr>
        <w:rPr>
          <w:rFonts w:ascii="Arial" w:cs="Arial" w:eastAsia="Arial" w:hAnsi="Arial"/>
          <w:sz w:val="18"/>
          <w:szCs w:val="18"/>
          <w:color w:val="auto"/>
        </w:rPr>
      </w:pPr>
      <w:r>
        <w:rPr>
          <w:rFonts w:ascii="Arial" w:cs="Arial" w:eastAsia="Arial" w:hAnsi="Arial"/>
          <w:sz w:val="18"/>
          <w:szCs w:val="18"/>
          <w:color w:val="auto"/>
        </w:rPr>
        <w:t>The Company further undertakes to indemnify the Representatives for, and to hold the Representatives harmless from, any reasonable costs, expenses, third party claims and liabilities, actual or contingent, that may be incurred by or made against the Representatives in connection with the Capital Reduction.</w:t>
      </w:r>
    </w:p>
    <w:p>
      <w:pPr>
        <w:spacing w:after="0" w:line="73" w:lineRule="exact"/>
        <w:rPr>
          <w:rFonts w:ascii="Arial" w:cs="Arial" w:eastAsia="Arial" w:hAnsi="Arial"/>
          <w:sz w:val="18"/>
          <w:szCs w:val="18"/>
          <w:color w:val="auto"/>
        </w:rPr>
      </w:pPr>
    </w:p>
    <w:p>
      <w:pPr>
        <w:ind w:left="-20" w:firstLine="464"/>
        <w:spacing w:after="0" w:line="257" w:lineRule="auto"/>
        <w:tabs>
          <w:tab w:leader="none" w:pos="706"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will be in writing and, if sent to the Underwriters, will be mailed by registered mail, or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at Credit Suisse Securities (USA) LLC, Eleven Madison Avenue, New York, N.Y. 10010-3629, Attention: LCD-IBD, or, if sent to the Company, will be mailed by registered mail or at AC Immune SA, EPFL Innovation Park Building B, 1050 Lausanne, Switzerland, Attention: Chief Financial Officer with copies (which shall not constitute notice) to Vischer AG, attn. Dr. Matthias Staehelin, Aeschenvorstadt 4, CH 4051 Basel, Switzerland, and Davis Polk &amp; Wardwell LLP, attn. Richard D. Truesdell, Jr., 450 Lexington Avenue, New York, NY 10017.</w:t>
      </w:r>
    </w:p>
    <w:p>
      <w:pPr>
        <w:spacing w:after="0" w:line="80" w:lineRule="exact"/>
        <w:rPr>
          <w:rFonts w:ascii="Arial" w:cs="Arial" w:eastAsia="Arial" w:hAnsi="Arial"/>
          <w:sz w:val="18"/>
          <w:szCs w:val="18"/>
          <w:color w:val="auto"/>
        </w:rPr>
      </w:pPr>
    </w:p>
    <w:p>
      <w:pPr>
        <w:ind w:left="-20" w:right="180" w:firstLine="464"/>
        <w:spacing w:after="0" w:line="277" w:lineRule="auto"/>
        <w:tabs>
          <w:tab w:leader="none" w:pos="706"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no other person will have any right or obligation hereunder.</w:t>
      </w:r>
    </w:p>
    <w:p>
      <w:pPr>
        <w:spacing w:after="0" w:line="62" w:lineRule="exact"/>
        <w:rPr>
          <w:rFonts w:ascii="Arial" w:cs="Arial" w:eastAsia="Arial" w:hAnsi="Arial"/>
          <w:sz w:val="18"/>
          <w:szCs w:val="18"/>
          <w:color w:val="auto"/>
        </w:rPr>
      </w:pPr>
    </w:p>
    <w:p>
      <w:pPr>
        <w:ind w:left="-20" w:right="200" w:firstLine="464"/>
        <w:spacing w:after="0" w:line="277" w:lineRule="auto"/>
        <w:tabs>
          <w:tab w:leader="none" w:pos="706"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Representation of Underwriters</w:t>
      </w:r>
      <w:r>
        <w:rPr>
          <w:rFonts w:ascii="Arial" w:cs="Arial" w:eastAsia="Arial" w:hAnsi="Arial"/>
          <w:sz w:val="18"/>
          <w:szCs w:val="18"/>
          <w:color w:val="auto"/>
        </w:rPr>
        <w:t>. The Representatives will act for the several Underwriters in connection with this financing, and any action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taken by the Representatives will be binding upon all the Underwriters.</w:t>
      </w:r>
    </w:p>
    <w:p>
      <w:pPr>
        <w:spacing w:after="0" w:line="62" w:lineRule="exact"/>
        <w:rPr>
          <w:rFonts w:ascii="Arial" w:cs="Arial" w:eastAsia="Arial" w:hAnsi="Arial"/>
          <w:sz w:val="18"/>
          <w:szCs w:val="18"/>
          <w:color w:val="auto"/>
        </w:rPr>
      </w:pPr>
    </w:p>
    <w:p>
      <w:pPr>
        <w:ind w:left="-20" w:right="560" w:firstLine="464"/>
        <w:spacing w:after="0" w:line="277" w:lineRule="auto"/>
        <w:tabs>
          <w:tab w:leader="none" w:pos="706"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but all such</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shall together constitute one and the same Agreement.</w:t>
      </w:r>
    </w:p>
    <w:p>
      <w:pPr>
        <w:spacing w:after="0" w:line="62" w:lineRule="exact"/>
        <w:rPr>
          <w:rFonts w:ascii="Arial" w:cs="Arial" w:eastAsia="Arial" w:hAnsi="Arial"/>
          <w:sz w:val="18"/>
          <w:szCs w:val="18"/>
          <w:color w:val="auto"/>
        </w:rPr>
      </w:pPr>
    </w:p>
    <w:p>
      <w:pPr>
        <w:ind w:left="720" w:hanging="276"/>
        <w:spacing w:after="0"/>
        <w:tabs>
          <w:tab w:leader="none" w:pos="720"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Absence of Fiduciary Relationship</w:t>
      </w:r>
      <w:r>
        <w:rPr>
          <w:rFonts w:ascii="Arial" w:cs="Arial" w:eastAsia="Arial" w:hAnsi="Arial"/>
          <w:sz w:val="18"/>
          <w:szCs w:val="18"/>
          <w:color w:val="auto"/>
        </w:rPr>
        <w:t>. The Company acknowledges and agrees that:</w:t>
      </w:r>
    </w:p>
    <w:p>
      <w:pPr>
        <w:spacing w:after="0" w:line="117" w:lineRule="exact"/>
        <w:rPr>
          <w:rFonts w:ascii="Arial" w:cs="Arial" w:eastAsia="Arial" w:hAnsi="Arial"/>
          <w:sz w:val="18"/>
          <w:szCs w:val="18"/>
          <w:color w:val="auto"/>
        </w:rPr>
      </w:pPr>
    </w:p>
    <w:p>
      <w:pPr>
        <w:ind w:left="1120" w:hanging="237"/>
        <w:spacing w:after="0"/>
        <w:tabs>
          <w:tab w:leader="none" w:pos="1120" w:val="left"/>
        </w:tabs>
        <w:numPr>
          <w:ilvl w:val="1"/>
          <w:numId w:val="203"/>
        </w:numPr>
        <w:rPr>
          <w:rFonts w:ascii="Arial" w:cs="Arial" w:eastAsia="Arial" w:hAnsi="Arial"/>
          <w:sz w:val="17"/>
          <w:szCs w:val="17"/>
          <w:color w:val="auto"/>
        </w:rPr>
      </w:pPr>
      <w:r>
        <w:rPr>
          <w:rFonts w:ascii="Arial" w:cs="Arial" w:eastAsia="Arial" w:hAnsi="Arial"/>
          <w:sz w:val="17"/>
          <w:szCs w:val="17"/>
          <w:i w:val="1"/>
          <w:iCs w:val="1"/>
          <w:color w:val="auto"/>
        </w:rPr>
        <w:t>No Other Relationship</w:t>
      </w:r>
      <w:r>
        <w:rPr>
          <w:rFonts w:ascii="Arial" w:cs="Arial" w:eastAsia="Arial" w:hAnsi="Arial"/>
          <w:sz w:val="17"/>
          <w:szCs w:val="17"/>
          <w:color w:val="auto"/>
        </w:rPr>
        <w:t>. The Representatives have been retained solely to act as an underwriter in connection with the sale of Offered</w:t>
      </w:r>
    </w:p>
    <w:p>
      <w:pPr>
        <w:spacing w:after="0" w:line="34" w:lineRule="exact"/>
        <w:rPr>
          <w:rFonts w:ascii="Arial" w:cs="Arial" w:eastAsia="Arial" w:hAnsi="Arial"/>
          <w:sz w:val="17"/>
          <w:szCs w:val="17"/>
          <w:color w:val="auto"/>
        </w:rPr>
      </w:pPr>
    </w:p>
    <w:p>
      <w:pPr>
        <w:ind w:left="440" w:right="20"/>
        <w:spacing w:after="0" w:line="255" w:lineRule="auto"/>
        <w:rPr>
          <w:rFonts w:ascii="Arial" w:cs="Arial" w:eastAsia="Arial" w:hAnsi="Arial"/>
          <w:sz w:val="17"/>
          <w:szCs w:val="17"/>
          <w:color w:val="auto"/>
        </w:rPr>
      </w:pPr>
      <w:r>
        <w:rPr>
          <w:rFonts w:ascii="Arial" w:cs="Arial" w:eastAsia="Arial" w:hAnsi="Arial"/>
          <w:sz w:val="18"/>
          <w:szCs w:val="18"/>
          <w:color w:val="auto"/>
        </w:rPr>
        <w:t>Securities and that no fiduciary, advisory or agency relationship between the Company and the Representatives has been created in respect of any of the transactions contemplated by this Agreement or the Final Prospectus, irrespective of whether the Representatives have advised or are advising the Company on other matters;</w:t>
      </w:r>
    </w:p>
    <w:p>
      <w:pPr>
        <w:spacing w:after="0" w:line="82" w:lineRule="exact"/>
        <w:rPr>
          <w:rFonts w:ascii="Arial" w:cs="Arial" w:eastAsia="Arial" w:hAnsi="Arial"/>
          <w:sz w:val="17"/>
          <w:szCs w:val="17"/>
          <w:color w:val="auto"/>
        </w:rPr>
      </w:pPr>
    </w:p>
    <w:p>
      <w:pPr>
        <w:ind w:left="440" w:right="240" w:firstLine="443"/>
        <w:spacing w:after="0" w:line="264" w:lineRule="auto"/>
        <w:tabs>
          <w:tab w:leader="none" w:pos="1133" w:val="left"/>
        </w:tabs>
        <w:numPr>
          <w:ilvl w:val="1"/>
          <w:numId w:val="203"/>
        </w:numPr>
        <w:rPr>
          <w:rFonts w:ascii="Arial" w:cs="Arial" w:eastAsia="Arial" w:hAnsi="Arial"/>
          <w:sz w:val="18"/>
          <w:szCs w:val="18"/>
          <w:color w:val="auto"/>
        </w:rPr>
      </w:pPr>
      <w:r>
        <w:rPr>
          <w:rFonts w:ascii="Arial" w:cs="Arial" w:eastAsia="Arial" w:hAnsi="Arial"/>
          <w:sz w:val="18"/>
          <w:szCs w:val="18"/>
          <w:i w:val="1"/>
          <w:iCs w:val="1"/>
          <w:color w:val="auto"/>
        </w:rPr>
        <w:t>Arms’ Length Negotiations</w:t>
      </w:r>
      <w:r>
        <w:rPr>
          <w:rFonts w:ascii="Arial" w:cs="Arial" w:eastAsia="Arial" w:hAnsi="Arial"/>
          <w:sz w:val="18"/>
          <w:szCs w:val="18"/>
          <w:color w:val="auto"/>
        </w:rPr>
        <w:t>. The price of the Offered Securities set forth in this Agreement was established by the Company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discussions and arms-length negotiations with the Representatives and the Company is capable of evaluating and understanding and understands and accepts the terms, risks and conditions of the transactions contemplated by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60" w:top="274" w:right="239" w:bottom="1440" w:gutter="0" w:footer="0" w:header="0"/>
        </w:sectPr>
      </w:pPr>
    </w:p>
    <w:bookmarkStart w:id="270" w:name="page271"/>
    <w:bookmarkEnd w:id="270"/>
    <w:p>
      <w:pPr>
        <w:ind w:left="460" w:firstLine="443"/>
        <w:spacing w:after="0" w:line="264" w:lineRule="auto"/>
        <w:tabs>
          <w:tab w:leader="none" w:pos="1143" w:val="left"/>
        </w:tabs>
        <w:numPr>
          <w:ilvl w:val="1"/>
          <w:numId w:val="20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Absence of Obligation to Disclose</w:t>
      </w:r>
      <w:r>
        <w:rPr>
          <w:rFonts w:ascii="Arial" w:cs="Arial" w:eastAsia="Arial" w:hAnsi="Arial"/>
          <w:sz w:val="18"/>
          <w:szCs w:val="18"/>
          <w:color w:val="auto"/>
        </w:rPr>
        <w:t>. The Company has been advised that the Representatives and their affiliates are engaged in a broad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73" w:lineRule="exact"/>
        <w:rPr>
          <w:rFonts w:ascii="Arial" w:cs="Arial" w:eastAsia="Arial" w:hAnsi="Arial"/>
          <w:sz w:val="18"/>
          <w:szCs w:val="18"/>
          <w:color w:val="auto"/>
        </w:rPr>
      </w:pPr>
    </w:p>
    <w:p>
      <w:pPr>
        <w:ind w:left="460" w:right="40" w:firstLine="443"/>
        <w:spacing w:after="0" w:line="259" w:lineRule="auto"/>
        <w:tabs>
          <w:tab w:leader="none" w:pos="1153" w:val="left"/>
        </w:tabs>
        <w:numPr>
          <w:ilvl w:val="1"/>
          <w:numId w:val="204"/>
        </w:numPr>
        <w:rPr>
          <w:rFonts w:ascii="Arial" w:cs="Arial" w:eastAsia="Arial" w:hAnsi="Arial"/>
          <w:sz w:val="18"/>
          <w:szCs w:val="18"/>
          <w:color w:val="auto"/>
        </w:rPr>
      </w:pPr>
      <w:r>
        <w:rPr>
          <w:rFonts w:ascii="Arial" w:cs="Arial" w:eastAsia="Arial" w:hAnsi="Arial"/>
          <w:sz w:val="18"/>
          <w:szCs w:val="18"/>
          <w:i w:val="1"/>
          <w:iCs w:val="1"/>
          <w:color w:val="auto"/>
        </w:rPr>
        <w:t>Waiver</w:t>
      </w:r>
      <w:r>
        <w:rPr>
          <w:rFonts w:ascii="Arial" w:cs="Arial" w:eastAsia="Arial" w:hAnsi="Arial"/>
          <w:sz w:val="18"/>
          <w:szCs w:val="18"/>
          <w:color w:val="auto"/>
        </w:rPr>
        <w:t>. The Company waives, to the fullest extent permitted by law, any claims it may have against the Representatives for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78" w:lineRule="exact"/>
        <w:rPr>
          <w:rFonts w:ascii="Arial" w:cs="Arial" w:eastAsia="Arial" w:hAnsi="Arial"/>
          <w:sz w:val="18"/>
          <w:szCs w:val="18"/>
          <w:color w:val="auto"/>
        </w:rPr>
      </w:pPr>
    </w:p>
    <w:p>
      <w:pPr>
        <w:ind w:right="40" w:firstLine="464"/>
        <w:spacing w:after="0" w:line="268" w:lineRule="auto"/>
        <w:tabs>
          <w:tab w:leader="none" w:pos="726" w:val="left"/>
        </w:tabs>
        <w:numPr>
          <w:ilvl w:val="0"/>
          <w:numId w:val="205"/>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laws of the State of New York. The Company hereby</w:t>
      </w:r>
      <w:r>
        <w:rPr>
          <w:rFonts w:ascii="Arial" w:cs="Arial" w:eastAsia="Arial" w:hAnsi="Arial"/>
          <w:sz w:val="17"/>
          <w:szCs w:val="17"/>
          <w:i w:val="1"/>
          <w:iCs w:val="1"/>
          <w:color w:val="auto"/>
        </w:rPr>
        <w:t xml:space="preserve"> </w:t>
      </w:r>
      <w:r>
        <w:rPr>
          <w:rFonts w:ascii="Arial" w:cs="Arial" w:eastAsia="Arial" w:hAnsi="Arial"/>
          <w:sz w:val="17"/>
          <w:szCs w:val="17"/>
          <w:color w:val="auto"/>
        </w:rPr>
        <w:t>agrees that the U.S. federal and New York state courts in the Borough of Manhattan in The City of New York shall have sole and exclusive jurisdiction over any suit or proceeding against the Underwriters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 The Company has appointed National Corporate Research, Ltd. as its authorized agent (the “</w:t>
      </w:r>
      <w:r>
        <w:rPr>
          <w:rFonts w:ascii="Arial" w:cs="Arial" w:eastAsia="Arial" w:hAnsi="Arial"/>
          <w:sz w:val="17"/>
          <w:szCs w:val="17"/>
          <w:b w:val="1"/>
          <w:bCs w:val="1"/>
          <w:color w:val="auto"/>
        </w:rPr>
        <w:t>Authorized Agent</w:t>
      </w:r>
      <w:r>
        <w:rPr>
          <w:rFonts w:ascii="Arial" w:cs="Arial" w:eastAsia="Arial" w:hAnsi="Arial"/>
          <w:sz w:val="17"/>
          <w:szCs w:val="17"/>
          <w:color w:val="auto"/>
        </w:rPr>
        <w:t>”) upon whom process may be served in any suit, action or proceeding arising out of or based upon this Agreement or the transactions contemplated herein which may be instituted in any New York state or United States federal court, by any Underwriter, the directors, officers, employees and agents of any Underwriter, or by any person who controls any Underwriter, and expressly accepts the 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 Notwithstanding the foregoing, any action arising out of or based upon this Agreement may be instituted by any Underwriter, the directors, officers, employees and agents of any Underwriter, or by any person who controls any Underwriter, in any court of competent jurisdiction in France. The provisions of this paragraph shall survive any termination of this Agreement.</w:t>
      </w:r>
    </w:p>
    <w:p>
      <w:pPr>
        <w:spacing w:after="0" w:line="181"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To the extent that the Company has or hereafter may acquire any immunity (sovereign or otherwise) from any legal action, suit or proceeding, from jurisdiction of any court or from set-off or any legal process (whether service or notice, attachment in aid or otherwise) with respect to itself or any of its property, the Company hereby irrevocably waives and agrees not to plead or claim such immunity in respect of its obligations under this Agreement.</w:t>
      </w:r>
    </w:p>
    <w:p>
      <w:pPr>
        <w:spacing w:after="0" w:line="39" w:lineRule="exact"/>
        <w:rPr>
          <w:sz w:val="20"/>
          <w:szCs w:val="20"/>
          <w:color w:val="auto"/>
        </w:rPr>
      </w:pPr>
    </w:p>
    <w:p>
      <w:pPr>
        <w:ind w:right="280" w:firstLine="464"/>
        <w:spacing w:after="0" w:line="308" w:lineRule="auto"/>
        <w:tabs>
          <w:tab w:leader="none" w:pos="726" w:val="left"/>
        </w:tabs>
        <w:numPr>
          <w:ilvl w:val="0"/>
          <w:numId w:val="206"/>
        </w:numPr>
        <w:rPr>
          <w:rFonts w:ascii="Arial" w:cs="Arial" w:eastAsia="Arial" w:hAnsi="Arial"/>
          <w:sz w:val="17"/>
          <w:szCs w:val="17"/>
          <w:color w:val="auto"/>
        </w:rPr>
      </w:pPr>
      <w:r>
        <w:rPr>
          <w:rFonts w:ascii="Arial" w:cs="Arial" w:eastAsia="Arial" w:hAnsi="Arial"/>
          <w:sz w:val="17"/>
          <w:szCs w:val="17"/>
          <w:i w:val="1"/>
          <w:iCs w:val="1"/>
          <w:color w:val="auto"/>
        </w:rPr>
        <w:t>Waiver of Jury Trial</w:t>
      </w:r>
      <w:r>
        <w:rPr>
          <w:rFonts w:ascii="Arial" w:cs="Arial" w:eastAsia="Arial" w:hAnsi="Arial"/>
          <w:sz w:val="17"/>
          <w:szCs w:val="17"/>
          <w:color w:val="auto"/>
        </w:rPr>
        <w:t>. Each of the Company and the Underwriters hereby irrevocably waive, to the fullest extent permitted by applicable law, any</w:t>
      </w:r>
      <w:r>
        <w:rPr>
          <w:rFonts w:ascii="Arial" w:cs="Arial" w:eastAsia="Arial" w:hAnsi="Arial"/>
          <w:sz w:val="17"/>
          <w:szCs w:val="17"/>
          <w:i w:val="1"/>
          <w:iCs w:val="1"/>
          <w:color w:val="auto"/>
        </w:rPr>
        <w:t xml:space="preserve"> </w:t>
      </w:r>
      <w:r>
        <w:rPr>
          <w:rFonts w:ascii="Arial" w:cs="Arial" w:eastAsia="Arial" w:hAnsi="Arial"/>
          <w:sz w:val="17"/>
          <w:szCs w:val="17"/>
          <w:color w:val="auto"/>
        </w:rPr>
        <w:t>and all right to trial by jury in any legal proceeding arising out of or relating to this Agreement or the transactions contemplated hereby.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the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71" w:name="page272"/>
    <w:bookmarkEnd w:id="271"/>
    <w:p>
      <w:pPr>
        <w:ind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the Representatives’ understanding of our agreement, kindly sign and return to the Company one of the counterparts hereof, whereupon it will become a binding agreement between the Company and the several Underwriters in accordance with its terms.</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themselves and as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the several Underwriters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LEERINK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[Signature Page to Underwriting Agreement]</w:t>
      </w:r>
    </w:p>
    <w:p>
      <w:pPr>
        <w:sectPr>
          <w:pgSz w:w="11900" w:h="16838" w:orient="portrait"/>
          <w:cols w:equalWidth="0" w:num="1">
            <w:col w:w="10760"/>
          </w:cols>
          <w:pgMar w:left="240" w:top="274" w:right="89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540" w:type="dxa"/>
            <w:vAlign w:val="bottom"/>
            <w:gridSpan w:val="3"/>
          </w:tcPr>
          <w:p>
            <w:pPr>
              <w:jc w:val="right"/>
              <w:ind w:right="5030"/>
              <w:spacing w:after="0"/>
              <w:rPr>
                <w:sz w:val="20"/>
                <w:szCs w:val="20"/>
                <w:color w:val="auto"/>
              </w:rPr>
            </w:pPr>
            <w:r>
              <w:rPr>
                <w:rFonts w:ascii="Arial" w:cs="Arial" w:eastAsia="Arial" w:hAnsi="Arial"/>
                <w:sz w:val="18"/>
                <w:szCs w:val="18"/>
                <w:b w:val="1"/>
                <w:bCs w:val="1"/>
                <w:color w:val="auto"/>
              </w:rPr>
              <w:t>SCHEDULE A</w:t>
            </w:r>
          </w:p>
        </w:tc>
      </w:tr>
      <w:tr>
        <w:trPr>
          <w:trHeight w:val="392"/>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5780" w:type="dxa"/>
            <w:vAlign w:val="bottom"/>
          </w:tcPr>
          <w:p>
            <w:pPr>
              <w:spacing w:after="0"/>
              <w:rPr>
                <w:sz w:val="24"/>
                <w:szCs w:val="24"/>
                <w:color w:val="auto"/>
              </w:rPr>
            </w:pPr>
          </w:p>
        </w:tc>
        <w:tc>
          <w:tcPr>
            <w:tcW w:w="17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2"/>
              </w:rPr>
              <w:t>Number of Firm Securities</w:t>
            </w: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3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Credit Suisse Securities (USA) LLC</w:t>
            </w:r>
          </w:p>
        </w:tc>
        <w:tc>
          <w:tcPr>
            <w:tcW w:w="57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[_______</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8"/>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7540" w:type="dxa"/>
            <w:vAlign w:val="bottom"/>
            <w:gridSpan w:val="3"/>
          </w:tcPr>
          <w:p>
            <w:pPr>
              <w:jc w:val="right"/>
              <w:spacing w:after="0"/>
              <w:rPr>
                <w:sz w:val="20"/>
                <w:szCs w:val="20"/>
                <w:color w:val="auto"/>
              </w:rPr>
            </w:pPr>
            <w:r>
              <w:rPr>
                <w:rFonts w:ascii="Arial" w:cs="Arial" w:eastAsia="Arial" w:hAnsi="Arial"/>
                <w:sz w:val="18"/>
                <w:szCs w:val="18"/>
                <w:color w:val="auto"/>
              </w:rPr>
              <w:t>[_______]</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Leerink Partners LLC</w:t>
            </w:r>
          </w:p>
        </w:tc>
        <w:tc>
          <w:tcPr>
            <w:tcW w:w="7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[_______]</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540" w:type="dxa"/>
            <w:vAlign w:val="bottom"/>
            <w:gridSpan w:val="3"/>
          </w:tcPr>
          <w:p>
            <w:pPr>
              <w:jc w:val="right"/>
              <w:spacing w:after="0"/>
              <w:rPr>
                <w:sz w:val="20"/>
                <w:szCs w:val="20"/>
                <w:color w:val="auto"/>
              </w:rPr>
            </w:pPr>
            <w:r>
              <w:rPr>
                <w:rFonts w:ascii="Arial" w:cs="Arial" w:eastAsia="Arial" w:hAnsi="Arial"/>
                <w:sz w:val="18"/>
                <w:szCs w:val="18"/>
                <w:color w:val="auto"/>
              </w:rPr>
              <w:t>[_______]</w:t>
            </w:r>
          </w:p>
        </w:tc>
      </w:tr>
    </w:tbl>
    <w:p>
      <w:pPr>
        <w:jc w:val="right"/>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73" w:name="page274"/>
    <w:bookmarkEnd w:id="273"/>
    <w:p>
      <w:pPr>
        <w:ind w:left="51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52" w:lineRule="exact"/>
        <w:rPr>
          <w:sz w:val="20"/>
          <w:szCs w:val="20"/>
          <w:color w:val="auto"/>
        </w:rPr>
      </w:pPr>
    </w:p>
    <w:p>
      <w:pPr>
        <w:ind w:left="452" w:right="3259" w:hanging="452"/>
        <w:spacing w:after="0" w:line="425" w:lineRule="auto"/>
        <w:tabs>
          <w:tab w:leader="none" w:pos="441"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Use Free Writing Prospectuses (included in the General Disclosure Package) </w:t>
      </w:r>
      <w:r>
        <w:rPr>
          <w:rFonts w:ascii="Arial" w:cs="Arial" w:eastAsia="Arial" w:hAnsi="Arial"/>
          <w:sz w:val="16"/>
          <w:szCs w:val="16"/>
          <w:color w:val="auto"/>
        </w:rPr>
        <w:t>“General Use Issuer Free Writing Prospectus” includes each of the following documents:</w:t>
      </w:r>
    </w:p>
    <w:p>
      <w:pPr>
        <w:ind w:left="632" w:hanging="176"/>
        <w:spacing w:after="0"/>
        <w:tabs>
          <w:tab w:leader="none" w:pos="632" w:val="left"/>
        </w:tabs>
        <w:numPr>
          <w:ilvl w:val="1"/>
          <w:numId w:val="207"/>
        </w:numPr>
        <w:rPr>
          <w:rFonts w:ascii="Arial" w:cs="Arial" w:eastAsia="Arial" w:hAnsi="Arial"/>
          <w:sz w:val="18"/>
          <w:szCs w:val="18"/>
          <w:color w:val="auto"/>
        </w:rPr>
      </w:pP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52" w:hanging="452"/>
        <w:spacing w:after="0"/>
        <w:tabs>
          <w:tab w:leader="none" w:pos="452"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 Included in the General Disclosure Package</w:t>
      </w:r>
    </w:p>
    <w:p>
      <w:pPr>
        <w:spacing w:after="0" w:line="121" w:lineRule="exact"/>
        <w:rPr>
          <w:rFonts w:ascii="Arial" w:cs="Arial" w:eastAsia="Arial" w:hAnsi="Arial"/>
          <w:sz w:val="18"/>
          <w:szCs w:val="18"/>
          <w:b w:val="1"/>
          <w:bCs w:val="1"/>
          <w:color w:val="auto"/>
        </w:rPr>
      </w:pPr>
    </w:p>
    <w:p>
      <w:pPr>
        <w:ind w:left="452" w:right="4099"/>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The following information is also included in the General Disclosure Package: [1. The initial price to the public of the Offered Securities.</w:t>
      </w:r>
    </w:p>
    <w:p>
      <w:pPr>
        <w:spacing w:after="0" w:line="1" w:lineRule="exact"/>
        <w:rPr>
          <w:rFonts w:ascii="Arial" w:cs="Arial" w:eastAsia="Arial" w:hAnsi="Arial"/>
          <w:sz w:val="18"/>
          <w:szCs w:val="18"/>
          <w:b w:val="1"/>
          <w:bCs w:val="1"/>
          <w:color w:val="auto"/>
        </w:rPr>
      </w:pPr>
    </w:p>
    <w:p>
      <w:pPr>
        <w:ind w:left="632" w:hanging="176"/>
        <w:spacing w:after="0"/>
        <w:tabs>
          <w:tab w:leader="none" w:pos="63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0211"/>
          </w:cols>
          <w:pgMar w:left="248" w:top="270" w:right="1440"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Comfort Letter</w:t>
      </w:r>
    </w:p>
    <w:p>
      <w:pPr>
        <w:sectPr>
          <w:pgSz w:w="11900" w:h="16838" w:orient="portrait"/>
          <w:cols w:equalWidth="0" w:num="1">
            <w:col w:w="9019"/>
          </w:cols>
          <w:pgMar w:left="1440" w:top="270" w:right="1440"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Form of Subscription</w:t>
      </w:r>
    </w:p>
    <w:p>
      <w:pPr>
        <w:sectPr>
          <w:pgSz w:w="11900" w:h="16838" w:orient="portrait"/>
          <w:cols w:equalWidth="0" w:num="1">
            <w:col w:w="10220"/>
          </w:cols>
          <w:pgMar w:left="1440" w:top="270"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1050 Lausanne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Credit Suisse Securities (USA)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10010-3629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As an inducement to the Underwriters to execute the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pursuant to which an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will be made that is intended to result in the establishment of a public market in the United States for common shares, nominal value CHF 0.02 per share (the “</w:t>
      </w:r>
      <w:r>
        <w:rPr>
          <w:rFonts w:ascii="Arial" w:cs="Arial" w:eastAsia="Arial" w:hAnsi="Arial"/>
          <w:sz w:val="16"/>
          <w:szCs w:val="16"/>
          <w:b w:val="1"/>
          <w:bCs w:val="1"/>
          <w:color w:val="auto"/>
        </w:rPr>
        <w:t>Securities</w:t>
      </w:r>
      <w:r>
        <w:rPr>
          <w:rFonts w:ascii="Arial" w:cs="Arial" w:eastAsia="Arial" w:hAnsi="Arial"/>
          <w:sz w:val="16"/>
          <w:szCs w:val="16"/>
          <w:color w:val="auto"/>
        </w:rPr>
        <w:t>”) of AC Immune SA, and any successor (by merger or otherwise) thereto (the “</w:t>
      </w:r>
      <w:r>
        <w:rPr>
          <w:rFonts w:ascii="Arial" w:cs="Arial" w:eastAsia="Arial" w:hAnsi="Arial"/>
          <w:sz w:val="16"/>
          <w:szCs w:val="16"/>
          <w:b w:val="1"/>
          <w:bCs w:val="1"/>
          <w:color w:val="auto"/>
        </w:rPr>
        <w:t>Company</w:t>
      </w:r>
      <w:r>
        <w:rPr>
          <w:rFonts w:ascii="Arial" w:cs="Arial" w:eastAsia="Arial" w:hAnsi="Arial"/>
          <w:sz w:val="16"/>
          <w:szCs w:val="16"/>
          <w:color w:val="auto"/>
        </w:rPr>
        <w:t>”), the undersigned hereby agrees that during the period specified in the following paragraph (the “</w:t>
      </w:r>
      <w:r>
        <w:rPr>
          <w:rFonts w:ascii="Arial" w:cs="Arial" w:eastAsia="Arial" w:hAnsi="Arial"/>
          <w:sz w:val="16"/>
          <w:szCs w:val="16"/>
          <w:b w:val="1"/>
          <w:bCs w:val="1"/>
          <w:color w:val="auto"/>
        </w:rPr>
        <w:t>Lock-Up Period</w:t>
      </w:r>
      <w:r>
        <w:rPr>
          <w:rFonts w:ascii="Arial" w:cs="Arial" w:eastAsia="Arial" w:hAnsi="Arial"/>
          <w:sz w:val="16"/>
          <w:szCs w:val="16"/>
          <w:color w:val="auto"/>
        </w:rPr>
        <w:t>”), the undersigned will not offer, sell, contract to sell, pledge or otherwise dispose of, directly or indirectly, any Securities or securities convertible into or exchangeable or exercisable for any Securities, enter into a transaction which would have the same effect, or enter into any swap, hedge or other arrangement that transfers, in whole or in part, any of the economic consequences of ownership of the Securities, whether any such aforementioned transaction is to be settled by delivery of the Securities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w:t>
      </w:r>
      <w:r>
        <w:rPr>
          <w:rFonts w:ascii="Arial" w:cs="Arial" w:eastAsia="Arial" w:hAnsi="Arial"/>
          <w:sz w:val="16"/>
          <w:szCs w:val="16"/>
          <w:b w:val="1"/>
          <w:bCs w:val="1"/>
          <w:color w:val="auto"/>
        </w:rPr>
        <w:t>Credit Suisse</w:t>
      </w:r>
      <w:r>
        <w:rPr>
          <w:rFonts w:ascii="Arial" w:cs="Arial" w:eastAsia="Arial" w:hAnsi="Arial"/>
          <w:sz w:val="16"/>
          <w:szCs w:val="16"/>
          <w:color w:val="auto"/>
        </w:rPr>
        <w:t>”). In addition, the undersigned agrees that, without the prior written consent of Credit Suisse, it will not, during the Lock-Up Period, make any demand for or exercise any right with respect to, the registration of any Securities or any security convertible into or exercisable or exchangeable for the Securities.</w:t>
      </w:r>
    </w:p>
    <w:p>
      <w:pPr>
        <w:spacing w:after="0" w:line="168"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The Lock-Up Period will commence on the filing of a preliminary prospectus by the Company which contains a bona fide price range and will continue and include the date 180 days after the public offering date set forth on the final prospectus used to sell the Securities (the “</w:t>
      </w:r>
      <w:r>
        <w:rPr>
          <w:rFonts w:ascii="Arial" w:cs="Arial" w:eastAsia="Arial" w:hAnsi="Arial"/>
          <w:sz w:val="16"/>
          <w:szCs w:val="16"/>
          <w:b w:val="1"/>
          <w:bCs w:val="1"/>
          <w:color w:val="auto"/>
        </w:rPr>
        <w:t>Public Offering Date</w:t>
      </w:r>
      <w:r>
        <w:rPr>
          <w:rFonts w:ascii="Arial" w:cs="Arial" w:eastAsia="Arial" w:hAnsi="Arial"/>
          <w:sz w:val="16"/>
          <w:szCs w:val="16"/>
          <w:color w:val="auto"/>
        </w:rPr>
        <w:t>”).</w:t>
      </w:r>
    </w:p>
    <w:p>
      <w:pPr>
        <w:spacing w:after="0" w:line="124"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Any Securities received upon exercise of options granted to the undersigned will also be subject to this Lock-Up Agreement. Notwithstanding anything contained herein to the contrary, the restrictions described in this Lock-Up Agreement shall not apply to:</w:t>
      </w:r>
    </w:p>
    <w:p>
      <w:pPr>
        <w:spacing w:after="0" w:line="76" w:lineRule="exact"/>
        <w:rPr>
          <w:sz w:val="20"/>
          <w:szCs w:val="20"/>
          <w:color w:val="auto"/>
        </w:rPr>
      </w:pPr>
    </w:p>
    <w:p>
      <w:pPr>
        <w:ind w:left="900" w:hanging="446"/>
        <w:spacing w:after="0"/>
        <w:tabs>
          <w:tab w:leader="none" w:pos="9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transactions relating to Securities or other securities acquired by the undersigned in the Public Offering or in open market transactions;</w:t>
      </w:r>
    </w:p>
    <w:p>
      <w:pPr>
        <w:sectPr>
          <w:pgSz w:w="11900" w:h="16838" w:orient="portrait"/>
          <w:cols w:equalWidth="0" w:num="1">
            <w:col w:w="11420"/>
          </w:cols>
          <w:pgMar w:left="240" w:top="270" w:right="239" w:bottom="1440" w:gutter="0" w:footer="0" w:header="0"/>
        </w:sectPr>
      </w:pPr>
    </w:p>
    <w:bookmarkStart w:id="277" w:name="page278"/>
    <w:bookmarkEnd w:id="277"/>
    <w:p>
      <w:pPr>
        <w:ind w:left="446" w:right="40" w:hanging="446"/>
        <w:spacing w:after="0" w:line="270" w:lineRule="auto"/>
        <w:tabs>
          <w:tab w:leader="none" w:pos="446" w:val="left"/>
        </w:tabs>
        <w:numPr>
          <w:ilvl w:val="0"/>
          <w:numId w:val="2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the exercise of stock options or other similar awards granted pursuant to the Company’s equity incentive plans or the vesting or settlement of awards granted pursuant to the Company’s equity incentive plans (including the delivery and receipt of Securities, other awards or any securities convertible into or exercisable or exchangeable for Securities in connection with such vesting or settlement);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clause (i), the foregoing restrictions shall apply to any of the undersigned’s Securities issued upon such exercise, vesting or settlement; or (ii) the transfer of Securities or any securities convertible into or exercisable or exchangeable for Securities from the undersigned to the Company (or the purchase and cancellation of same by the Company) upon a vesting event of the Company’s securities or upon the exercise of options to purchase Securities by the undersigned, in each case on a “cashless” or “net exercise” basis, or to cover income or withholding and other tax obligations of the undersigned in connection with such vesting or exercise in 2015 and 2016 of options for Securities of the Company, whether by means of a “net settlement” or otherwise;</w:t>
      </w:r>
    </w:p>
    <w:p>
      <w:pPr>
        <w:spacing w:after="0" w:line="87" w:lineRule="exact"/>
        <w:rPr>
          <w:rFonts w:ascii="Arial" w:cs="Arial" w:eastAsia="Arial" w:hAnsi="Arial"/>
          <w:sz w:val="17"/>
          <w:szCs w:val="17"/>
          <w:color w:val="auto"/>
        </w:rPr>
      </w:pPr>
    </w:p>
    <w:p>
      <w:pPr>
        <w:ind w:left="446" w:hanging="446"/>
        <w:spacing w:after="0"/>
        <w:tabs>
          <w:tab w:leader="none" w:pos="44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transfers of Securities or any security convertible into or exercisable or exchangeable for Securities:</w:t>
      </w:r>
    </w:p>
    <w:p>
      <w:pPr>
        <w:spacing w:after="0" w:line="130" w:lineRule="exact"/>
        <w:rPr>
          <w:rFonts w:ascii="Arial" w:cs="Arial" w:eastAsia="Arial" w:hAnsi="Arial"/>
          <w:sz w:val="18"/>
          <w:szCs w:val="18"/>
          <w:color w:val="auto"/>
        </w:rPr>
      </w:pPr>
    </w:p>
    <w:p>
      <w:pPr>
        <w:ind w:left="1026" w:right="420" w:hanging="567"/>
        <w:spacing w:after="0" w:line="277" w:lineRule="auto"/>
        <w:tabs>
          <w:tab w:leader="none" w:pos="102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026" w:right="40" w:hanging="567"/>
        <w:spacing w:after="0" w:line="264" w:lineRule="auto"/>
        <w:tabs>
          <w:tab w:leader="none" w:pos="102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if the undersigned is a natural person, to a member of the immediate family of the undersigned (for purposes of this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026" w:right="40" w:hanging="567"/>
        <w:spacing w:after="0" w:line="277" w:lineRule="auto"/>
        <w:tabs>
          <w:tab w:leader="none" w:pos="102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if the undersigned is a natural person, to any trust or other like entity for the direct or indirect benefit of the undersigned or the immediate family of the undersigned;</w:t>
      </w:r>
    </w:p>
    <w:p>
      <w:pPr>
        <w:spacing w:after="0" w:line="75" w:lineRule="exact"/>
        <w:rPr>
          <w:rFonts w:ascii="Arial" w:cs="Arial" w:eastAsia="Arial" w:hAnsi="Arial"/>
          <w:sz w:val="18"/>
          <w:szCs w:val="18"/>
          <w:color w:val="auto"/>
        </w:rPr>
      </w:pPr>
    </w:p>
    <w:p>
      <w:pPr>
        <w:ind w:left="1026" w:right="700" w:hanging="567"/>
        <w:spacing w:after="0" w:line="277" w:lineRule="auto"/>
        <w:tabs>
          <w:tab w:leader="none" w:pos="102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if the undersigned is a natural person, by operation of law or by order of a court of competent jurisdiction pursuant to a qualified domestic order or in connection with a divorce settlement;</w:t>
      </w:r>
    </w:p>
    <w:p>
      <w:pPr>
        <w:spacing w:after="0" w:line="75" w:lineRule="exact"/>
        <w:rPr>
          <w:rFonts w:ascii="Arial" w:cs="Arial" w:eastAsia="Arial" w:hAnsi="Arial"/>
          <w:sz w:val="18"/>
          <w:szCs w:val="18"/>
          <w:color w:val="auto"/>
        </w:rPr>
      </w:pPr>
    </w:p>
    <w:p>
      <w:pPr>
        <w:ind w:left="1026" w:hanging="567"/>
        <w:spacing w:after="0" w:line="264" w:lineRule="auto"/>
        <w:tabs>
          <w:tab w:leader="none" w:pos="102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if the undersigned is a natural person, to a corporation, partnership, limited liability company or other entity of which the undersigned and the immediate family of the undersigned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jc w:val="both"/>
        <w:ind w:left="1026" w:right="120" w:hanging="567"/>
        <w:spacing w:after="0" w:line="342" w:lineRule="auto"/>
        <w:tabs>
          <w:tab w:leader="none" w:pos="1026" w:val="left"/>
        </w:tabs>
        <w:numPr>
          <w:ilvl w:val="1"/>
          <w:numId w:val="210"/>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or other entity, to any trust or other like entity for the direct or indirect benefit of the undersigned or any affiliate, wholly-owned subsidiary, limited partner, member or stockholder of the undersigned;</w:t>
      </w:r>
    </w:p>
    <w:p>
      <w:pPr>
        <w:spacing w:after="0" w:line="29" w:lineRule="exact"/>
        <w:rPr>
          <w:rFonts w:ascii="Arial" w:cs="Arial" w:eastAsia="Arial" w:hAnsi="Arial"/>
          <w:sz w:val="16"/>
          <w:szCs w:val="16"/>
          <w:color w:val="auto"/>
        </w:rPr>
      </w:pPr>
    </w:p>
    <w:p>
      <w:pPr>
        <w:ind w:left="1026" w:hanging="567"/>
        <w:spacing w:after="0"/>
        <w:tabs>
          <w:tab w:leader="none" w:pos="102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026" w:right="20" w:hanging="567"/>
        <w:spacing w:after="0" w:line="277" w:lineRule="auto"/>
        <w:tabs>
          <w:tab w:leader="none" w:pos="102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or other entity, to any investment fund or other entity controlled or managed by the undersigned; or</w:t>
      </w:r>
    </w:p>
    <w:p>
      <w:pPr>
        <w:spacing w:after="0" w:line="75" w:lineRule="exact"/>
        <w:rPr>
          <w:rFonts w:ascii="Arial" w:cs="Arial" w:eastAsia="Arial" w:hAnsi="Arial"/>
          <w:sz w:val="18"/>
          <w:szCs w:val="18"/>
          <w:color w:val="auto"/>
        </w:rPr>
      </w:pPr>
    </w:p>
    <w:p>
      <w:pPr>
        <w:ind w:left="1026" w:hanging="567"/>
        <w:spacing w:after="0"/>
        <w:tabs>
          <w:tab w:leader="none" w:pos="102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the undersigned;</w:t>
      </w:r>
    </w:p>
    <w:p>
      <w:pPr>
        <w:sectPr>
          <w:pgSz w:w="11900" w:h="16838" w:orient="portrait"/>
          <w:cols w:equalWidth="0" w:num="1">
            <w:col w:w="10966"/>
          </w:cols>
          <w:pgMar w:left="694" w:top="274" w:right="239" w:bottom="1440" w:gutter="0" w:footer="0" w:header="0"/>
        </w:sectPr>
      </w:pPr>
    </w:p>
    <w:bookmarkStart w:id="278" w:name="page279"/>
    <w:bookmarkEnd w:id="278"/>
    <w:p>
      <w:pPr>
        <w:ind w:left="920" w:right="6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provided </w:t>
      </w:r>
      <w:r>
        <w:rPr>
          <w:rFonts w:ascii="Arial" w:cs="Arial" w:eastAsia="Arial" w:hAnsi="Arial"/>
          <w:sz w:val="18"/>
          <w:szCs w:val="18"/>
          <w:color w:val="auto"/>
        </w:rPr>
        <w:t>that in the case of any transfer or distribution pursuant to clause (c)(i)-(ix) above, each donee, distributee or transferee agrees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bound in writing by the terms of this Lock-Up Agreement prior to such transfer, such transfer shall not involve a disposition for value and no filing by any party (donor, donee, transferor or transferee) under the Securities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shall be required or shall be voluntarily made in connection with such transfer;</w:t>
      </w:r>
    </w:p>
    <w:p>
      <w:pPr>
        <w:spacing w:after="0" w:line="92" w:lineRule="exact"/>
        <w:rPr>
          <w:sz w:val="20"/>
          <w:szCs w:val="20"/>
          <w:color w:val="auto"/>
        </w:rPr>
      </w:pPr>
    </w:p>
    <w:p>
      <w:pPr>
        <w:ind w:left="900" w:right="100" w:hanging="446"/>
        <w:spacing w:after="0" w:line="255"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Lock-Up Period, (ii) the establishment of such plan shall not be voluntarily publicly announced or filed under the Exchange Act and (iii) to the extent a public announcement or filing under the Exchange Act, if any, is required by or on behalf of the undersigned or the Company regarding the establishment or modification of such plan, such announcement or filing shall include a statement to the effect that no transfer of Securities may be made under such plan during the Lock-Up Period;</w:t>
      </w:r>
    </w:p>
    <w:p>
      <w:pPr>
        <w:spacing w:after="0" w:line="98" w:lineRule="exact"/>
        <w:rPr>
          <w:rFonts w:ascii="Arial" w:cs="Arial" w:eastAsia="Arial" w:hAnsi="Arial"/>
          <w:sz w:val="18"/>
          <w:szCs w:val="18"/>
          <w:color w:val="auto"/>
        </w:rPr>
      </w:pPr>
    </w:p>
    <w:p>
      <w:pPr>
        <w:ind w:left="900" w:hanging="446"/>
        <w:spacing w:after="0" w:line="312" w:lineRule="auto"/>
        <w:tabs>
          <w:tab w:leader="none" w:pos="9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transfer of Securities or any security convertible into or exercisable or exchangeable for Securities to the Company, pursuant to agreements or rights in existence on the Public Offering Date under which the Company has the option to repurchase such shares or a right of first refusal with respect to transfers of such shares or in connection with the termination of the undersigned’s employment with the Company;</w:t>
      </w:r>
    </w:p>
    <w:p>
      <w:pPr>
        <w:spacing w:after="0" w:line="52"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transfer of Securities or any security convertible into or exercisable or exchangeable for Securities that occurs by any order or settlement resulting from any legal proceeding;</w:t>
      </w:r>
    </w:p>
    <w:p>
      <w:pPr>
        <w:spacing w:after="0" w:line="75" w:lineRule="exact"/>
        <w:rPr>
          <w:rFonts w:ascii="Arial" w:cs="Arial" w:eastAsia="Arial" w:hAnsi="Arial"/>
          <w:sz w:val="18"/>
          <w:szCs w:val="18"/>
          <w:color w:val="auto"/>
        </w:rPr>
      </w:pPr>
    </w:p>
    <w:p>
      <w:pPr>
        <w:ind w:left="900" w:right="140" w:hanging="446"/>
        <w:spacing w:after="0" w:line="279" w:lineRule="auto"/>
        <w:tabs>
          <w:tab w:leader="none" w:pos="9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the transfer of Securities or any security convertible into or exercisable or exchangeable for Securities pursuant to a bona fide third-party tender offer, merger, amalgamation, consolidation or other similar transaction made to all holders of the Securities involving a change of control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tender offer, merger, amalgamation, consolidation or other such transaction is not completed, the Securities owned by the undersigned shall remain subject to the restrictions contained in this Lock-Up Agreement; or</w:t>
      </w:r>
    </w:p>
    <w:p>
      <w:pPr>
        <w:spacing w:after="0" w:line="76" w:lineRule="exact"/>
        <w:rPr>
          <w:rFonts w:ascii="Arial" w:cs="Arial" w:eastAsia="Arial" w:hAnsi="Arial"/>
          <w:sz w:val="17"/>
          <w:szCs w:val="17"/>
          <w:color w:val="auto"/>
        </w:rPr>
      </w:pPr>
    </w:p>
    <w:p>
      <w:pPr>
        <w:ind w:left="900" w:hanging="446"/>
        <w:spacing w:after="0" w:line="259"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the Company of Securities or any securities convertible into or exercisable or exchangeable for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the undersigned’s Securities proposed to be registered pursuant to the exercise of such rights under this clause (h) shall occur, and no registration statement shall be filed, during the Lock-Up Period.</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decline to make any transfer of shares of Securities if such transfer would constitute a violation or breach of this Lock-Up Agreement.</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Furthermore, the undersigned instructs the Escrow Agent Vischer AG to release the shares in the Company held by the undersigned and to deliver such shares to the Transfer Agent designated by the Company and agrees that the corresponding share certificates shall be cancelled by the Secretary of the Board and such shares shall become intermediated securities. The undersigned also grants power of attorney to represent the undersigned towards such Transfer Agent including meeting all formalities required so that the undersigned can after the expiry of the lock-up dispose of such shares.</w:t>
      </w:r>
    </w:p>
    <w:p>
      <w:pPr>
        <w:spacing w:after="0" w:line="154"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If the undersigned is an officer or director of the Company, (i) Credit Suisse agrees that, at least three business days before the effective date of any release or waiver of the foregoing restrictions in connection with a transfer of Securities, Credit Suisse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Credit Suisse hereunder to any such officer or director shall only be effective two business days after the publication date of such press release. The provisions of this paragraph will not apply if</w:t>
      </w:r>
    </w:p>
    <w:p>
      <w:pPr>
        <w:spacing w:after="0" w:line="2" w:lineRule="exact"/>
        <w:rPr>
          <w:sz w:val="20"/>
          <w:szCs w:val="20"/>
          <w:color w:val="auto"/>
        </w:rPr>
      </w:pPr>
    </w:p>
    <w:p>
      <w:pPr>
        <w:ind w:right="20" w:firstLine="8"/>
        <w:spacing w:after="0" w:line="290" w:lineRule="auto"/>
        <w:tabs>
          <w:tab w:leader="none" w:pos="24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ectPr>
          <w:pgSz w:w="11900" w:h="16838" w:orient="portrait"/>
          <w:cols w:equalWidth="0" w:num="1">
            <w:col w:w="11380"/>
          </w:cols>
          <w:pgMar w:left="240" w:top="274" w:right="279" w:bottom="1440" w:gutter="0" w:footer="0" w:header="0"/>
        </w:sectPr>
      </w:pPr>
    </w:p>
    <w:bookmarkStart w:id="279" w:name="page280"/>
    <w:bookmarkEnd w:id="279"/>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Lock-Up Agreement shall be binding on the undersigned and the successors, heirs, personal representatives and assigns of the undersigned. This Lock-Up Agreement shall automatically terminate, and the undersigned will, in each case, be released from its obligations under this Lock-Up Agreement, upon the earliest to occur, if any, of (a) the date that the Company advises Credit Suisse that it does not intend to proceed with the Public Offering, (b) the date of termination of the Underwriting Agreement (if executed) if prior to the closing of the Public Offering, (c) December 31, 2016 if the Underwriting Agreement has not been entered into by such date, or (d) the date on which the Company files an application with the Securities and Exchange Commission to withdraw the registration statement relating to the Public Offering. </w:t>
      </w:r>
      <w:r>
        <w:rPr>
          <w:rFonts w:ascii="Arial" w:cs="Arial" w:eastAsia="Arial" w:hAnsi="Arial"/>
          <w:sz w:val="18"/>
          <w:szCs w:val="18"/>
          <w:b w:val="1"/>
          <w:bCs w:val="1"/>
          <w:color w:val="auto"/>
        </w:rPr>
        <w:t>This Lock-Up Agreement shall be governed by, and construed in accordance with,</w:t>
      </w:r>
      <w:r>
        <w:rPr>
          <w:rFonts w:ascii="Arial" w:cs="Arial" w:eastAsia="Arial" w:hAnsi="Arial"/>
          <w:sz w:val="18"/>
          <w:szCs w:val="18"/>
          <w:color w:val="auto"/>
        </w:rPr>
        <w:t xml:space="preserve"> </w:t>
      </w:r>
      <w:r>
        <w:rPr>
          <w:rFonts w:ascii="Arial" w:cs="Arial" w:eastAsia="Arial" w:hAnsi="Arial"/>
          <w:sz w:val="18"/>
          <w:szCs w:val="18"/>
          <w:b w:val="1"/>
          <w:bCs w:val="1"/>
          <w:color w:val="auto"/>
        </w:rPr>
        <w:t>the laws of the State of New York.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44907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auto"/>
        </w:rPr>
        <w:t>AC Immune SA (the “</w:t>
      </w:r>
      <w:r>
        <w:rPr>
          <w:rFonts w:ascii="Arial" w:cs="Arial" w:eastAsia="Arial" w:hAnsi="Arial"/>
          <w:sz w:val="18"/>
          <w:szCs w:val="18"/>
          <w:b w:val="1"/>
          <w:bCs w:val="1"/>
          <w:color w:val="auto"/>
        </w:rPr>
        <w:t>Company</w:t>
      </w:r>
      <w:r>
        <w:rPr>
          <w:rFonts w:ascii="Arial" w:cs="Arial" w:eastAsia="Arial" w:hAnsi="Arial"/>
          <w:sz w:val="18"/>
          <w:szCs w:val="18"/>
          <w:color w:val="auto"/>
        </w:rPr>
        <w:t>”) announced today that Credit Suisse Securities (USA) LLC, a lead book-running manager in the Company’s recent public sale of [•] shares of the Company’s common stock, is [waiving] [releasing] a lock-up restriction with respect to [•] shares of the Company’s common shares held by [certain officers or directors] [an officer or director] of the Company. The [waiver] [release] will take effect on [•], 20[•] , and the shares may be sold on or after such date.</w:t>
      </w:r>
    </w:p>
    <w:p>
      <w:pPr>
        <w:spacing w:after="0" w:line="180"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420"/>
          </w:cols>
          <w:pgMar w:left="240" w:top="270" w:right="2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ARTICLES OF ASSOCIATION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ARTICLES OF ASSOCIATION</w:t>
            </w:r>
          </w:p>
        </w:tc>
        <w:tc>
          <w:tcPr>
            <w:tcW w:w="4120" w:type="dxa"/>
            <w:vAlign w:val="bottom"/>
          </w:tcPr>
          <w:p>
            <w:pPr>
              <w:jc w:val="center"/>
              <w:ind w:left="2610"/>
              <w:spacing w:after="0"/>
              <w:rPr>
                <w:sz w:val="20"/>
                <w:szCs w:val="20"/>
                <w:color w:val="auto"/>
              </w:rPr>
            </w:pPr>
            <w:r>
              <w:rPr>
                <w:rFonts w:ascii="Arial" w:cs="Arial" w:eastAsia="Arial" w:hAnsi="Arial"/>
                <w:sz w:val="18"/>
                <w:szCs w:val="18"/>
                <w:b w:val="1"/>
                <w:bCs w:val="1"/>
                <w:color w:val="auto"/>
                <w:w w:val="93"/>
              </w:rPr>
              <w:t>STATUTS</w:t>
            </w:r>
          </w:p>
        </w:tc>
      </w:tr>
      <w:tr>
        <w:trPr>
          <w:trHeight w:val="459"/>
        </w:trPr>
        <w:tc>
          <w:tcPr>
            <w:tcW w:w="528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of</w:t>
            </w:r>
          </w:p>
        </w:tc>
        <w:tc>
          <w:tcPr>
            <w:tcW w:w="4120" w:type="dxa"/>
            <w:vAlign w:val="bottom"/>
          </w:tcPr>
          <w:p>
            <w:pPr>
              <w:jc w:val="center"/>
              <w:ind w:left="2610"/>
              <w:spacing w:after="0"/>
              <w:rPr>
                <w:sz w:val="20"/>
                <w:szCs w:val="20"/>
                <w:color w:val="auto"/>
              </w:rPr>
            </w:pPr>
            <w:r>
              <w:rPr>
                <w:rFonts w:ascii="Arial" w:cs="Arial" w:eastAsia="Arial" w:hAnsi="Arial"/>
                <w:sz w:val="18"/>
                <w:szCs w:val="18"/>
                <w:b w:val="1"/>
                <w:bCs w:val="1"/>
                <w:color w:val="auto"/>
                <w:w w:val="85"/>
              </w:rPr>
              <w:t>de</w:t>
            </w:r>
          </w:p>
        </w:tc>
      </w:tr>
      <w:tr>
        <w:trPr>
          <w:trHeight w:val="441"/>
        </w:trPr>
        <w:tc>
          <w:tcPr>
            <w:tcW w:w="5280" w:type="dxa"/>
            <w:vAlign w:val="bottom"/>
          </w:tcPr>
          <w:p>
            <w:pPr>
              <w:jc w:val="center"/>
              <w:ind w:left="270"/>
              <w:spacing w:after="0"/>
              <w:rPr>
                <w:sz w:val="20"/>
                <w:szCs w:val="20"/>
                <w:color w:val="auto"/>
              </w:rPr>
            </w:pPr>
            <w:r>
              <w:rPr>
                <w:rFonts w:ascii="Arial" w:cs="Arial" w:eastAsia="Arial" w:hAnsi="Arial"/>
                <w:sz w:val="18"/>
                <w:szCs w:val="18"/>
                <w:b w:val="1"/>
                <w:bCs w:val="1"/>
                <w:color w:val="auto"/>
                <w:w w:val="95"/>
              </w:rPr>
              <w:t>AC Immune SA</w:t>
            </w:r>
          </w:p>
        </w:tc>
        <w:tc>
          <w:tcPr>
            <w:tcW w:w="4120" w:type="dxa"/>
            <w:vAlign w:val="bottom"/>
          </w:tcPr>
          <w:p>
            <w:pPr>
              <w:jc w:val="center"/>
              <w:ind w:left="2610"/>
              <w:spacing w:after="0"/>
              <w:rPr>
                <w:sz w:val="20"/>
                <w:szCs w:val="20"/>
                <w:color w:val="auto"/>
              </w:rPr>
            </w:pPr>
            <w:r>
              <w:rPr>
                <w:rFonts w:ascii="Arial" w:cs="Arial" w:eastAsia="Arial" w:hAnsi="Arial"/>
                <w:sz w:val="18"/>
                <w:szCs w:val="18"/>
                <w:b w:val="1"/>
                <w:bCs w:val="1"/>
                <w:color w:val="auto"/>
                <w:w w:val="93"/>
              </w:rPr>
              <w:t>AC Immune SA</w:t>
            </w:r>
          </w:p>
        </w:tc>
      </w:tr>
      <w:tr>
        <w:trPr>
          <w:trHeight w:val="216"/>
        </w:trPr>
        <w:tc>
          <w:tcPr>
            <w:tcW w:w="5280" w:type="dxa"/>
            <w:vAlign w:val="bottom"/>
          </w:tcPr>
          <w:p>
            <w:pPr>
              <w:jc w:val="center"/>
              <w:ind w:left="270"/>
              <w:spacing w:after="0"/>
              <w:rPr>
                <w:sz w:val="20"/>
                <w:szCs w:val="20"/>
                <w:color w:val="auto"/>
              </w:rPr>
            </w:pPr>
            <w:r>
              <w:rPr>
                <w:rFonts w:ascii="Arial" w:cs="Arial" w:eastAsia="Arial" w:hAnsi="Arial"/>
                <w:sz w:val="18"/>
                <w:szCs w:val="18"/>
                <w:b w:val="1"/>
                <w:bCs w:val="1"/>
                <w:color w:val="auto"/>
                <w:w w:val="97"/>
              </w:rPr>
              <w:t>(AC Immune AG)</w:t>
            </w:r>
          </w:p>
        </w:tc>
        <w:tc>
          <w:tcPr>
            <w:tcW w:w="4120" w:type="dxa"/>
            <w:vAlign w:val="bottom"/>
          </w:tcPr>
          <w:p>
            <w:pPr>
              <w:jc w:val="center"/>
              <w:ind w:left="2610"/>
              <w:spacing w:after="0"/>
              <w:rPr>
                <w:sz w:val="20"/>
                <w:szCs w:val="20"/>
                <w:color w:val="auto"/>
              </w:rPr>
            </w:pPr>
            <w:r>
              <w:rPr>
                <w:rFonts w:ascii="Arial" w:cs="Arial" w:eastAsia="Arial" w:hAnsi="Arial"/>
                <w:sz w:val="18"/>
                <w:szCs w:val="18"/>
                <w:b w:val="1"/>
                <w:bCs w:val="1"/>
                <w:color w:val="auto"/>
                <w:w w:val="95"/>
              </w:rPr>
              <w:t>(AC Immune AG)</w:t>
            </w:r>
          </w:p>
        </w:tc>
      </w:tr>
      <w:tr>
        <w:trPr>
          <w:trHeight w:val="234"/>
        </w:trPr>
        <w:tc>
          <w:tcPr>
            <w:tcW w:w="5280" w:type="dxa"/>
            <w:vAlign w:val="bottom"/>
          </w:tcPr>
          <w:p>
            <w:pPr>
              <w:jc w:val="center"/>
              <w:ind w:left="270"/>
              <w:spacing w:after="0"/>
              <w:rPr>
                <w:sz w:val="20"/>
                <w:szCs w:val="20"/>
                <w:color w:val="auto"/>
              </w:rPr>
            </w:pPr>
            <w:r>
              <w:rPr>
                <w:rFonts w:ascii="Arial" w:cs="Arial" w:eastAsia="Arial" w:hAnsi="Arial"/>
                <w:sz w:val="18"/>
                <w:szCs w:val="18"/>
                <w:b w:val="1"/>
                <w:bCs w:val="1"/>
                <w:color w:val="auto"/>
                <w:w w:val="96"/>
              </w:rPr>
              <w:t>(AC Immune Ltd)</w:t>
            </w:r>
          </w:p>
        </w:tc>
        <w:tc>
          <w:tcPr>
            <w:tcW w:w="4120" w:type="dxa"/>
            <w:vAlign w:val="bottom"/>
          </w:tcPr>
          <w:p>
            <w:pPr>
              <w:jc w:val="center"/>
              <w:ind w:left="2630"/>
              <w:spacing w:after="0"/>
              <w:rPr>
                <w:sz w:val="20"/>
                <w:szCs w:val="20"/>
                <w:color w:val="auto"/>
              </w:rPr>
            </w:pPr>
            <w:r>
              <w:rPr>
                <w:rFonts w:ascii="Arial" w:cs="Arial" w:eastAsia="Arial" w:hAnsi="Arial"/>
                <w:sz w:val="18"/>
                <w:szCs w:val="18"/>
                <w:b w:val="1"/>
                <w:bCs w:val="1"/>
                <w:color w:val="auto"/>
                <w:w w:val="96"/>
              </w:rPr>
              <w:t>(AC Immune Ltd)</w:t>
            </w:r>
          </w:p>
        </w:tc>
      </w:tr>
      <w:tr>
        <w:trPr>
          <w:trHeight w:val="459"/>
        </w:trPr>
        <w:tc>
          <w:tcPr>
            <w:tcW w:w="528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with registered office in</w:t>
            </w:r>
          </w:p>
        </w:tc>
        <w:tc>
          <w:tcPr>
            <w:tcW w:w="4120" w:type="dxa"/>
            <w:vAlign w:val="bottom"/>
          </w:tcPr>
          <w:p>
            <w:pPr>
              <w:jc w:val="center"/>
              <w:ind w:left="2610"/>
              <w:spacing w:after="0"/>
              <w:rPr>
                <w:sz w:val="20"/>
                <w:szCs w:val="20"/>
                <w:color w:val="auto"/>
              </w:rPr>
            </w:pPr>
            <w:r>
              <w:rPr>
                <w:rFonts w:ascii="Arial" w:cs="Arial" w:eastAsia="Arial" w:hAnsi="Arial"/>
                <w:sz w:val="18"/>
                <w:szCs w:val="18"/>
                <w:b w:val="1"/>
                <w:bCs w:val="1"/>
                <w:color w:val="auto"/>
                <w:w w:val="84"/>
              </w:rPr>
              <w:t>avec siège à</w:t>
            </w:r>
          </w:p>
        </w:tc>
      </w:tr>
      <w:tr>
        <w:trPr>
          <w:trHeight w:val="459"/>
        </w:trPr>
        <w:tc>
          <w:tcPr>
            <w:tcW w:w="528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Ecublens (VD)</w:t>
            </w:r>
          </w:p>
        </w:tc>
        <w:tc>
          <w:tcPr>
            <w:tcW w:w="4120" w:type="dxa"/>
            <w:vAlign w:val="bottom"/>
          </w:tcPr>
          <w:p>
            <w:pPr>
              <w:jc w:val="center"/>
              <w:ind w:left="2610"/>
              <w:spacing w:after="0"/>
              <w:rPr>
                <w:sz w:val="20"/>
                <w:szCs w:val="20"/>
                <w:color w:val="auto"/>
              </w:rPr>
            </w:pPr>
            <w:r>
              <w:rPr>
                <w:rFonts w:ascii="Arial" w:cs="Arial" w:eastAsia="Arial" w:hAnsi="Arial"/>
                <w:sz w:val="18"/>
                <w:szCs w:val="18"/>
                <w:b w:val="1"/>
                <w:bCs w:val="1"/>
                <w:color w:val="auto"/>
                <w:w w:val="93"/>
              </w:rPr>
              <w:t>Ecublens (VD)</w:t>
            </w:r>
          </w:p>
        </w:tc>
      </w:tr>
      <w:tr>
        <w:trPr>
          <w:trHeight w:val="459"/>
        </w:trPr>
        <w:tc>
          <w:tcPr>
            <w:tcW w:w="5280" w:type="dxa"/>
            <w:vAlign w:val="bottom"/>
          </w:tcPr>
          <w:p>
            <w:pPr>
              <w:spacing w:after="0"/>
              <w:rPr>
                <w:sz w:val="20"/>
                <w:szCs w:val="20"/>
                <w:color w:val="auto"/>
              </w:rPr>
            </w:pPr>
            <w:r>
              <w:rPr>
                <w:rFonts w:ascii="Arial" w:cs="Arial" w:eastAsia="Arial" w:hAnsi="Arial"/>
                <w:sz w:val="18"/>
                <w:szCs w:val="18"/>
                <w:color w:val="auto"/>
              </w:rPr>
              <w:t>The French version of these articles of association shall prevail.</w:t>
            </w:r>
          </w:p>
        </w:tc>
        <w:tc>
          <w:tcPr>
            <w:tcW w:w="4120" w:type="dxa"/>
            <w:vAlign w:val="bottom"/>
          </w:tcPr>
          <w:p>
            <w:pPr>
              <w:ind w:left="680"/>
              <w:spacing w:after="0"/>
              <w:rPr>
                <w:sz w:val="20"/>
                <w:szCs w:val="20"/>
                <w:color w:val="auto"/>
              </w:rPr>
            </w:pPr>
            <w:r>
              <w:rPr>
                <w:rFonts w:ascii="Arial" w:cs="Arial" w:eastAsia="Arial" w:hAnsi="Arial"/>
                <w:sz w:val="18"/>
                <w:szCs w:val="18"/>
                <w:color w:val="auto"/>
              </w:rPr>
              <w:t>La version française de ces statuts fait foi.</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19" w:lineRule="exact"/>
        <w:rPr>
          <w:sz w:val="20"/>
          <w:szCs w:val="20"/>
          <w:color w:val="auto"/>
        </w:rPr>
      </w:pPr>
    </w:p>
    <w:p>
      <w:pPr>
        <w:ind w:left="480" w:right="60" w:hanging="472"/>
        <w:spacing w:after="0" w:line="282" w:lineRule="auto"/>
        <w:tabs>
          <w:tab w:leader="none" w:pos="48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NAME, PRINCIPAL OFFICE, DURATION AND PURPOSE OF THE COMPANY</w:t>
      </w:r>
    </w:p>
    <w:p>
      <w:pPr>
        <w:spacing w:after="0" w:line="54" w:lineRule="exact"/>
        <w:rPr>
          <w:sz w:val="20"/>
          <w:szCs w:val="20"/>
          <w:color w:val="auto"/>
        </w:rPr>
      </w:pPr>
    </w:p>
    <w:p>
      <w:pPr>
        <w:ind w:right="2460"/>
        <w:spacing w:after="0" w:line="423" w:lineRule="auto"/>
        <w:rPr>
          <w:sz w:val="20"/>
          <w:szCs w:val="20"/>
          <w:color w:val="auto"/>
        </w:rPr>
      </w:pPr>
      <w:r>
        <w:rPr>
          <w:rFonts w:ascii="Arial" w:cs="Arial" w:eastAsia="Arial" w:hAnsi="Arial"/>
          <w:sz w:val="18"/>
          <w:szCs w:val="18"/>
          <w:b w:val="1"/>
          <w:bCs w:val="1"/>
          <w:color w:val="auto"/>
        </w:rPr>
        <w:t xml:space="preserve">Art. 1 Corporate Name and Duration </w:t>
      </w:r>
      <w:r>
        <w:rPr>
          <w:rFonts w:ascii="Arial" w:cs="Arial" w:eastAsia="Arial" w:hAnsi="Arial"/>
          <w:sz w:val="18"/>
          <w:szCs w:val="18"/>
          <w:color w:val="auto"/>
        </w:rPr>
        <w:t>Under the name</w:t>
      </w:r>
    </w:p>
    <w:p>
      <w:pPr>
        <w:spacing w:after="0" w:line="71"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(AC Immune AG)</w:t>
      </w:r>
    </w:p>
    <w:p>
      <w:pPr>
        <w:spacing w:after="0" w:line="9"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(AC Immune Ltd)</w:t>
      </w:r>
    </w:p>
    <w:p>
      <w:pPr>
        <w:spacing w:after="0" w:line="2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exists a Company pursuant to the provisions of Articles 620 et seq. of the Swiss Code of Obligations (CO) with registered office in Ecublens (VD). The duration of the Company is unlimited.</w:t>
      </w:r>
    </w:p>
    <w:p>
      <w:pPr>
        <w:spacing w:after="0" w:line="2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2</w:t>
      </w:r>
      <w:r>
        <w:rPr>
          <w:sz w:val="20"/>
          <w:szCs w:val="20"/>
          <w:color w:val="auto"/>
        </w:rPr>
        <w:tab/>
      </w:r>
      <w:r>
        <w:rPr>
          <w:rFonts w:ascii="Arial" w:cs="Arial" w:eastAsia="Arial" w:hAnsi="Arial"/>
          <w:sz w:val="15"/>
          <w:szCs w:val="15"/>
          <w:b w:val="1"/>
          <w:bCs w:val="1"/>
          <w:color w:val="auto"/>
        </w:rPr>
        <w:t>Purpose</w:t>
      </w:r>
    </w:p>
    <w:p>
      <w:pPr>
        <w:spacing w:after="0" w:line="13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purpose of the Company is the research, study, development, manufacture, promotion, sale and marketing of products and substances within the pharmaceutical and nutrition industry as well as the purchase, sale and exploitation of patents and licenses in this field.</w:t>
      </w:r>
    </w:p>
    <w:p>
      <w:pPr>
        <w:spacing w:after="0" w:line="18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Company may engage in any activities which are apt to favor the purpose of the Company directly or indirectly. The Company may also acquire and sell real estate.</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440" w:right="800" w:hanging="436"/>
        <w:spacing w:after="0" w:line="282" w:lineRule="auto"/>
        <w:tabs>
          <w:tab w:leader="none" w:pos="44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RAISON SOCIALE, SIÈGE, DURÉE ET BUT DE LA SOCIÉTÉ</w:t>
      </w:r>
    </w:p>
    <w:p>
      <w:pPr>
        <w:spacing w:after="0" w:line="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Art. 1</w:t>
      </w:r>
      <w:r>
        <w:rPr>
          <w:sz w:val="20"/>
          <w:szCs w:val="20"/>
          <w:color w:val="auto"/>
        </w:rPr>
        <w:tab/>
      </w:r>
      <w:r>
        <w:rPr>
          <w:rFonts w:ascii="Arial" w:cs="Arial" w:eastAsia="Arial" w:hAnsi="Arial"/>
          <w:sz w:val="15"/>
          <w:szCs w:val="15"/>
          <w:b w:val="1"/>
          <w:bCs w:val="1"/>
          <w:color w:val="auto"/>
        </w:rPr>
        <w:t>Raison sociale et durée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Sous la raison sociale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 Immune AG)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 Immune Ltd)</w:t>
      </w:r>
    </w:p>
    <w:p>
      <w:pPr>
        <w:spacing w:after="0" w:line="23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il existe une société conformément aux articles 620 ss. du Code des Obligations suisse (CO) ayant son siège à Ecublens (VD). La durée de la société est illimitée.</w:t>
      </w:r>
    </w:p>
    <w:p>
      <w:pPr>
        <w:spacing w:after="0" w:line="29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Art. 2</w:t>
      </w:r>
      <w:r>
        <w:rPr>
          <w:sz w:val="20"/>
          <w:szCs w:val="20"/>
          <w:color w:val="auto"/>
        </w:rPr>
        <w:tab/>
      </w:r>
      <w:r>
        <w:rPr>
          <w:rFonts w:ascii="Arial" w:cs="Arial" w:eastAsia="Arial" w:hAnsi="Arial"/>
          <w:sz w:val="16"/>
          <w:szCs w:val="16"/>
          <w:b w:val="1"/>
          <w:bCs w:val="1"/>
          <w:color w:val="auto"/>
        </w:rPr>
        <w:t>But</w:t>
      </w:r>
    </w:p>
    <w:p>
      <w:pPr>
        <w:spacing w:after="0" w:line="1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Le but de la société est la recherche, les études, le développement, la fabrication, la promotion, la vente et le marketing des produits et des substances au sein de l’industrie pharmaceutique et de la nutrition ainsi que l’achat, la vente et l’exploitation de brevets et de licences dans ce domaine.</w:t>
      </w:r>
    </w:p>
    <w:p>
      <w:pPr>
        <w:spacing w:after="0" w:line="168"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La société peut se livrer à des activités qui sont de nature à favoriser directement ou indirectement le but de la société. La société peut également acquérir et vendre des biens immobiliers.</w:t>
      </w:r>
    </w:p>
    <w:p>
      <w:pPr>
        <w:sectPr>
          <w:pgSz w:w="11900" w:h="16838" w:orient="portrait"/>
          <w:cols w:equalWidth="0" w:num="2">
            <w:col w:w="5560" w:space="400"/>
            <w:col w:w="5460"/>
          </w:cols>
          <w:pgMar w:left="240" w:top="121" w:right="239" w:bottom="1440" w:gutter="0" w:footer="0" w:header="0"/>
          <w:type w:val="continuous"/>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 Immune SA</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may open branch offices in Switzerland and abroad and may also acquire participations in other companies.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provide securities to its subsidiaries and supply guarantees.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w:t>
      </w:r>
    </w:p>
    <w:p>
      <w:pPr>
        <w:spacing w:after="0" w:line="15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La société peut ouvrir des succursales en Suisse et à l’étranger et peut également acquérir des participations dans d’autres sociétés.</w:t>
      </w:r>
    </w:p>
    <w:p>
      <w:pPr>
        <w:spacing w:after="0" w:line="147"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La société peut fournir des titres à ses filiales et des garanties d’approvisionnement.</w:t>
      </w:r>
    </w:p>
    <w:p>
      <w:pPr>
        <w:spacing w:after="0" w:line="200" w:lineRule="exact"/>
        <w:rPr>
          <w:sz w:val="20"/>
          <w:szCs w:val="20"/>
          <w:color w:val="auto"/>
        </w:rPr>
      </w:pPr>
    </w:p>
    <w:p>
      <w:pPr>
        <w:sectPr>
          <w:pgSz w:w="11900" w:h="16838" w:orient="portrait"/>
          <w:cols w:equalWidth="0" w:num="2">
            <w:col w:w="5700" w:space="360"/>
            <w:col w:w="5360"/>
          </w:cols>
          <w:pgMar w:left="240" w:top="274" w:right="239" w:bottom="1440" w:gutter="0" w:footer="0" w:header="0"/>
        </w:sectPr>
      </w:pPr>
    </w:p>
    <w:p>
      <w:pPr>
        <w:spacing w:after="0" w:line="75" w:lineRule="exact"/>
        <w:rPr>
          <w:sz w:val="20"/>
          <w:szCs w:val="20"/>
          <w:color w:val="auto"/>
        </w:rPr>
      </w:pPr>
    </w:p>
    <w:p>
      <w:pPr>
        <w:ind w:right="2240" w:firstLine="8"/>
        <w:spacing w:after="0" w:line="408" w:lineRule="auto"/>
        <w:tabs>
          <w:tab w:leader="none" w:pos="725"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color w:val="auto"/>
        </w:rPr>
        <w:t>SHARE CAPITAL AND SHARES Art. 3 Share Capital and Shares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Capital of the Company is CHF [●]. It is divided into [●] registered shares with a nominal value of CHF [●] each, fully paid-in.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3a  Authorized Capital Increase of Share Capital</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Board of Directors is authorized to increase the share capital, in one or several Steps until [DATE], by a maximum amount of CHF [●] by issuing a maximum of [●] registered shares with a par value of CHF [●]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p>
      <w:pPr>
        <w:spacing w:after="0" w:line="3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Board of Directors shall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 w:right="1800" w:hanging="2"/>
        <w:spacing w:after="0" w:line="385" w:lineRule="auto"/>
        <w:tabs>
          <w:tab w:leader="none" w:pos="727"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CAPITAL-ACTIONS ET ACTIONS Art. 3 Capital-actions et actions</w:t>
      </w:r>
    </w:p>
    <w:p>
      <w:pPr>
        <w:spacing w:after="0" w:line="2" w:lineRule="exact"/>
        <w:rPr>
          <w:sz w:val="20"/>
          <w:szCs w:val="20"/>
          <w:color w:val="auto"/>
        </w:rPr>
      </w:pPr>
    </w:p>
    <w:p>
      <w:pPr>
        <w:ind w:left="2" w:right="260"/>
        <w:spacing w:after="0" w:line="264" w:lineRule="auto"/>
        <w:rPr>
          <w:sz w:val="20"/>
          <w:szCs w:val="20"/>
          <w:color w:val="auto"/>
        </w:rPr>
      </w:pPr>
      <w:r>
        <w:rPr>
          <w:rFonts w:ascii="Arial" w:cs="Arial" w:eastAsia="Arial" w:hAnsi="Arial"/>
          <w:sz w:val="18"/>
          <w:szCs w:val="18"/>
          <w:color w:val="auto"/>
        </w:rPr>
        <w:t>Le capital-actions de la société se monte à CHF [●]. Il est divisé en [●] actions nominatives d’une valeur nominale de CHF [●] chacune, entièrement libérées.</w:t>
      </w:r>
    </w:p>
    <w:p>
      <w:pPr>
        <w:spacing w:after="0" w:line="29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Art. 3a  Augmentation autorisée du capital-actions</w:t>
      </w:r>
    </w:p>
    <w:p>
      <w:pPr>
        <w:spacing w:after="0" w:line="121" w:lineRule="exact"/>
        <w:rPr>
          <w:sz w:val="20"/>
          <w:szCs w:val="20"/>
          <w:color w:val="auto"/>
        </w:rPr>
      </w:pPr>
    </w:p>
    <w:p>
      <w:pPr>
        <w:ind w:left="2" w:right="60"/>
        <w:spacing w:after="0" w:line="290" w:lineRule="auto"/>
        <w:rPr>
          <w:sz w:val="20"/>
          <w:szCs w:val="20"/>
          <w:color w:val="auto"/>
        </w:rPr>
      </w:pPr>
      <w:r>
        <w:rPr>
          <w:rFonts w:ascii="Arial" w:cs="Arial" w:eastAsia="Arial" w:hAnsi="Arial"/>
          <w:sz w:val="16"/>
          <w:szCs w:val="16"/>
          <w:color w:val="auto"/>
        </w:rPr>
        <w:t>Le conseil d’administration est autorisé à augmenter le capital-actions, en une ou plusieurs étapes jusqu’au [DATE], d’un montant maximum de CHF [●] par l’émission d’un montant maximum de [●] actions nominatives d’une valeur nominale de CHF [●] chacune, à libérer entièrement. Une augmentation de capital (i) par souscription d’actions par une institution financière, un syndicat ou un tiers ou des tiers, suivie par une souscription d’actions par les actionnaires de la société alors existants et (ii) par montants partiels, est également autorisée.</w:t>
      </w:r>
    </w:p>
    <w:p>
      <w:pPr>
        <w:spacing w:after="0" w:line="166" w:lineRule="exact"/>
        <w:rPr>
          <w:sz w:val="20"/>
          <w:szCs w:val="20"/>
          <w:color w:val="auto"/>
        </w:rPr>
      </w:pPr>
    </w:p>
    <w:p>
      <w:pPr>
        <w:ind w:left="2" w:right="80"/>
        <w:spacing w:after="0" w:line="288" w:lineRule="auto"/>
        <w:rPr>
          <w:sz w:val="20"/>
          <w:szCs w:val="20"/>
          <w:color w:val="auto"/>
        </w:rPr>
      </w:pPr>
      <w:r>
        <w:rPr>
          <w:rFonts w:ascii="Arial" w:cs="Arial" w:eastAsia="Arial" w:hAnsi="Arial"/>
          <w:sz w:val="16"/>
          <w:szCs w:val="16"/>
          <w:color w:val="auto"/>
        </w:rPr>
        <w:t>Le conseil d’administration fixe la date d’émission, le prix d’émission, la manière de libérer les nouvelles actions nominatives, la date à partir de laquelle les actions nominatives donnent droit à un dividende, les conditions pour l’exercice des droits de souscription préférentiels et l’attribution des droits de souscription préférentiels qui n’ont pas été exercés. Le conseil d’administration peut autoriser que des droits de souscription préférentiels qui n’ont pas été exercés expirent ou attribuer à des tiers ces droits ou actions nominatives, dont les droits de souscription préférentiels n’ont pas été exercés, aux conditions du marché ou les utiliser autrement dans l’intérêt de la société.</w:t>
      </w:r>
    </w:p>
    <w:p>
      <w:pPr>
        <w:sectPr>
          <w:pgSz w:w="11900" w:h="16838" w:orient="portrait"/>
          <w:cols w:equalWidth="0" w:num="2">
            <w:col w:w="5640" w:space="418"/>
            <w:col w:w="5362"/>
          </w:cols>
          <w:pgMar w:left="240" w:top="274" w:right="239" w:bottom="1440" w:gutter="0" w:footer="0" w:header="0"/>
          <w:type w:val="continuous"/>
        </w:sectPr>
      </w:pPr>
    </w:p>
    <w:bookmarkStart w:id="283" w:name="page284"/>
    <w:bookmarkEnd w:id="2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 Immune SA</w:t>
      </w:r>
    </w:p>
    <w:p>
      <w:pPr>
        <w:spacing w:after="0" w:line="15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Board of Directors is authorized to withdraw or limit the preemptive rights of the shareholders and to allot them to third parties:</w:t>
      </w:r>
    </w:p>
    <w:p>
      <w:pPr>
        <w:spacing w:after="0" w:line="16" w:lineRule="exact"/>
        <w:rPr>
          <w:sz w:val="20"/>
          <w:szCs w:val="20"/>
          <w:color w:val="auto"/>
        </w:rPr>
      </w:pPr>
    </w:p>
    <w:p>
      <w:pPr>
        <w:ind w:left="480" w:right="620" w:hanging="472"/>
        <w:spacing w:after="0" w:line="277" w:lineRule="auto"/>
        <w:tabs>
          <w:tab w:leader="none" w:pos="4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 or</w:t>
      </w:r>
    </w:p>
    <w:p>
      <w:pPr>
        <w:spacing w:after="0" w:line="62" w:lineRule="exact"/>
        <w:rPr>
          <w:rFonts w:ascii="Arial" w:cs="Arial" w:eastAsia="Arial" w:hAnsi="Arial"/>
          <w:sz w:val="18"/>
          <w:szCs w:val="18"/>
          <w:color w:val="auto"/>
        </w:rPr>
      </w:pPr>
    </w:p>
    <w:p>
      <w:pPr>
        <w:ind w:left="480" w:right="340" w:hanging="472"/>
        <w:spacing w:after="0" w:line="259" w:lineRule="auto"/>
        <w:tabs>
          <w:tab w:leader="none" w:pos="4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for the acquisition of an enterprise, part of an enterprise or participations, or for the financing or refinancing of any of such acquisition, or in the event of share placement for the financing or refinancing of such placement; or</w:t>
      </w:r>
    </w:p>
    <w:p>
      <w:pPr>
        <w:spacing w:after="0" w:line="78" w:lineRule="exact"/>
        <w:rPr>
          <w:rFonts w:ascii="Arial" w:cs="Arial" w:eastAsia="Arial" w:hAnsi="Arial"/>
          <w:sz w:val="18"/>
          <w:szCs w:val="18"/>
          <w:color w:val="auto"/>
        </w:rPr>
      </w:pPr>
    </w:p>
    <w:p>
      <w:pPr>
        <w:ind w:left="480" w:right="120" w:hanging="472"/>
        <w:spacing w:after="0" w:line="257" w:lineRule="auto"/>
        <w:tabs>
          <w:tab w:leader="none" w:pos="4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w:t>
      </w:r>
    </w:p>
    <w:p>
      <w:pPr>
        <w:spacing w:after="0" w:line="80" w:lineRule="exact"/>
        <w:rPr>
          <w:rFonts w:ascii="Arial" w:cs="Arial" w:eastAsia="Arial" w:hAnsi="Arial"/>
          <w:sz w:val="18"/>
          <w:szCs w:val="18"/>
          <w:color w:val="auto"/>
        </w:rPr>
      </w:pPr>
    </w:p>
    <w:p>
      <w:pPr>
        <w:ind w:left="480" w:hanging="472"/>
        <w:spacing w:after="0" w:line="259" w:lineRule="auto"/>
        <w:tabs>
          <w:tab w:leader="none" w:pos="4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for purposes of granting an over-allotment option (Greenshoe) of up to 20% of the total number of registered shares in a placement or sale of registered shares to the respective initial purchaser(s) or underwriter(s); or</w:t>
      </w:r>
    </w:p>
    <w:p>
      <w:pPr>
        <w:spacing w:after="0" w:line="78" w:lineRule="exact"/>
        <w:rPr>
          <w:rFonts w:ascii="Arial" w:cs="Arial" w:eastAsia="Arial" w:hAnsi="Arial"/>
          <w:sz w:val="18"/>
          <w:szCs w:val="18"/>
          <w:color w:val="auto"/>
        </w:rPr>
      </w:pPr>
    </w:p>
    <w:p>
      <w:pPr>
        <w:ind w:left="480" w:right="60" w:hanging="472"/>
        <w:spacing w:after="0" w:line="286" w:lineRule="auto"/>
        <w:tabs>
          <w:tab w:leader="none" w:pos="4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for raising of capital (including private placements) in a fast and flexible which probably could not be reached without the exclusion of the statutory pre-emptive right of the existing shareholders; or</w:t>
      </w:r>
    </w:p>
    <w:p>
      <w:pPr>
        <w:spacing w:after="0" w:line="273" w:lineRule="exact"/>
        <w:rPr>
          <w:rFonts w:ascii="Arial" w:cs="Arial" w:eastAsia="Arial" w:hAnsi="Arial"/>
          <w:sz w:val="17"/>
          <w:szCs w:val="17"/>
          <w:color w:val="auto"/>
        </w:rPr>
      </w:pPr>
    </w:p>
    <w:p>
      <w:pPr>
        <w:ind w:left="480" w:hanging="472"/>
        <w:spacing w:after="0"/>
        <w:tabs>
          <w:tab w:leader="none" w:pos="48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for other valid grounds in the sense of Article 652b para. 2 CO; or</w:t>
      </w:r>
    </w:p>
    <w:p>
      <w:pPr>
        <w:spacing w:after="0" w:line="128" w:lineRule="exact"/>
        <w:rPr>
          <w:rFonts w:ascii="Arial" w:cs="Arial" w:eastAsia="Arial" w:hAnsi="Arial"/>
          <w:sz w:val="17"/>
          <w:szCs w:val="17"/>
          <w:color w:val="auto"/>
        </w:rPr>
      </w:pPr>
    </w:p>
    <w:p>
      <w:pPr>
        <w:jc w:val="both"/>
        <w:ind w:left="480" w:right="220" w:hanging="472"/>
        <w:spacing w:after="0" w:line="238" w:lineRule="auto"/>
        <w:tabs>
          <w:tab w:leader="none" w:pos="48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following a shareholder or a group of shareholders acting in concert having accumulated shareholdings in excess of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share capital registered in the commercial register without having</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w:t>
      </w:r>
    </w:p>
    <w:p>
      <w:pPr>
        <w:spacing w:after="0" w:line="15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Le conseil d’administration est autorisé à retirer ou de limiter les droits de souscription préférentiels des actionnaires et de les attribuer à des tiers:</w:t>
      </w:r>
    </w:p>
    <w:p>
      <w:pPr>
        <w:spacing w:after="0" w:line="16" w:lineRule="exact"/>
        <w:rPr>
          <w:sz w:val="20"/>
          <w:szCs w:val="20"/>
          <w:color w:val="auto"/>
        </w:rPr>
      </w:pPr>
    </w:p>
    <w:p>
      <w:pPr>
        <w:ind w:left="440" w:right="40" w:hanging="436"/>
        <w:spacing w:after="0" w:line="277" w:lineRule="auto"/>
        <w:tabs>
          <w:tab w:leader="none" w:pos="4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si le prix d’émission des nouvelles actions nominatives est déterminé avec une référence au prix de marché; ou</w:t>
      </w:r>
    </w:p>
    <w:p>
      <w:pPr>
        <w:spacing w:after="0" w:line="62" w:lineRule="exact"/>
        <w:rPr>
          <w:rFonts w:ascii="Arial" w:cs="Arial" w:eastAsia="Arial" w:hAnsi="Arial"/>
          <w:sz w:val="18"/>
          <w:szCs w:val="18"/>
          <w:color w:val="auto"/>
        </w:rPr>
      </w:pPr>
    </w:p>
    <w:p>
      <w:pPr>
        <w:ind w:left="440" w:right="20" w:hanging="436"/>
        <w:spacing w:after="0" w:line="259" w:lineRule="auto"/>
        <w:tabs>
          <w:tab w:leader="none" w:pos="4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pour l’acquisition d’une entreprise, part d’entreprise ou participation, ou pour le financement ou le refinancement de ladite acquisition, ou en cas de placement d’actions pour le financement ou le refinancement dudit placement; ou</w:t>
      </w:r>
    </w:p>
    <w:p>
      <w:pPr>
        <w:spacing w:after="0" w:line="78" w:lineRule="exact"/>
        <w:rPr>
          <w:rFonts w:ascii="Arial" w:cs="Arial" w:eastAsia="Arial" w:hAnsi="Arial"/>
          <w:sz w:val="18"/>
          <w:szCs w:val="18"/>
          <w:color w:val="auto"/>
        </w:rPr>
      </w:pPr>
    </w:p>
    <w:p>
      <w:pPr>
        <w:ind w:left="440" w:right="200" w:hanging="436"/>
        <w:spacing w:after="0" w:line="276" w:lineRule="auto"/>
        <w:tabs>
          <w:tab w:leader="none" w:pos="4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pour l’élargissement de la base des actionnaires de la société dans certains marchés financiers ou d’investissement, afin de permettre une participation de partenaires stratégiques, ou dans le cas de cotation ou d’enregistrement de nouvelles actions nominatives aux bourses nationales ou étrangères; ou</w:t>
      </w:r>
    </w:p>
    <w:p>
      <w:pPr>
        <w:spacing w:after="0" w:line="64" w:lineRule="exact"/>
        <w:rPr>
          <w:rFonts w:ascii="Arial" w:cs="Arial" w:eastAsia="Arial" w:hAnsi="Arial"/>
          <w:sz w:val="17"/>
          <w:szCs w:val="17"/>
          <w:color w:val="auto"/>
        </w:rPr>
      </w:pPr>
    </w:p>
    <w:p>
      <w:pPr>
        <w:ind w:left="440" w:right="260" w:hanging="436"/>
        <w:spacing w:after="0" w:line="279" w:lineRule="auto"/>
        <w:tabs>
          <w:tab w:leader="none" w:pos="4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pour octroyer une option de surallocation (Greenshoe) d’un maximum de 20% du nombre total d’actions nominatives dans un placement ou une vente d’actions nominatives à l’/des acheteur(s) initial(s) ou du/des souscripteur(s) respectif(s); ou</w:t>
      </w:r>
    </w:p>
    <w:p>
      <w:pPr>
        <w:spacing w:after="0" w:line="63" w:lineRule="exact"/>
        <w:rPr>
          <w:rFonts w:ascii="Arial" w:cs="Arial" w:eastAsia="Arial" w:hAnsi="Arial"/>
          <w:sz w:val="17"/>
          <w:szCs w:val="17"/>
          <w:color w:val="auto"/>
        </w:rPr>
      </w:pPr>
    </w:p>
    <w:p>
      <w:pPr>
        <w:ind w:left="440" w:right="60" w:hanging="436"/>
        <w:spacing w:after="0" w:line="279" w:lineRule="auto"/>
        <w:tabs>
          <w:tab w:leader="none" w:pos="4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pour lever des capitaux (y compris des placements privés) dans un délai rapide et flexible, ce qui ne pourrait probablement pas être réalisé sans l’exclusion du droit préférentiel de souscription statuaire des actionnaires existants; ou</w:t>
      </w:r>
    </w:p>
    <w:p>
      <w:pPr>
        <w:spacing w:after="0" w:line="63" w:lineRule="exact"/>
        <w:rPr>
          <w:rFonts w:ascii="Arial" w:cs="Arial" w:eastAsia="Arial" w:hAnsi="Arial"/>
          <w:sz w:val="17"/>
          <w:szCs w:val="17"/>
          <w:color w:val="auto"/>
        </w:rPr>
      </w:pPr>
    </w:p>
    <w:p>
      <w:pPr>
        <w:ind w:left="440" w:hanging="436"/>
        <w:spacing w:after="0"/>
        <w:tabs>
          <w:tab w:leader="none" w:pos="4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pour d’autres motifs valables au sens de l’article 652b al. 2 CO; ou</w:t>
      </w:r>
    </w:p>
    <w:p>
      <w:pPr>
        <w:spacing w:after="0" w:line="128" w:lineRule="exact"/>
        <w:rPr>
          <w:rFonts w:ascii="Arial" w:cs="Arial" w:eastAsia="Arial" w:hAnsi="Arial"/>
          <w:sz w:val="17"/>
          <w:szCs w:val="17"/>
          <w:color w:val="auto"/>
        </w:rPr>
      </w:pPr>
    </w:p>
    <w:p>
      <w:pPr>
        <w:jc w:val="both"/>
        <w:ind w:left="440" w:hanging="436"/>
        <w:spacing w:after="0" w:line="238" w:lineRule="auto"/>
        <w:tabs>
          <w:tab w:leader="none" w:pos="4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suite à l’accumulation par un actionnaire ou un groupe d’actionnaires agissant de concert de participations supérieures à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du capital-actions inscrit au registre du commerce sans avoir soumis</w:t>
      </w:r>
    </w:p>
    <w:p>
      <w:pPr>
        <w:sectPr>
          <w:pgSz w:w="11900" w:h="16838" w:orient="portrait"/>
          <w:cols w:equalWidth="0" w:num="2">
            <w:col w:w="5580" w:space="380"/>
            <w:col w:w="5460"/>
          </w:cols>
          <w:pgMar w:left="240" w:top="274" w:right="2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 Immune SA</w:t>
      </w:r>
    </w:p>
    <w:p>
      <w:pPr>
        <w:spacing w:after="0" w:line="158" w:lineRule="exact"/>
        <w:rPr>
          <w:sz w:val="20"/>
          <w:szCs w:val="20"/>
          <w:color w:val="auto"/>
        </w:rPr>
      </w:pPr>
    </w:p>
    <w:p>
      <w:pPr>
        <w:ind w:left="360" w:right="20"/>
        <w:spacing w:after="0" w:line="272" w:lineRule="auto"/>
        <w:rPr>
          <w:sz w:val="20"/>
          <w:szCs w:val="20"/>
          <w:color w:val="auto"/>
        </w:rPr>
      </w:pPr>
      <w:r>
        <w:rPr>
          <w:rFonts w:ascii="Arial" w:cs="Arial" w:eastAsia="Arial" w:hAnsi="Arial"/>
          <w:sz w:val="17"/>
          <w:szCs w:val="17"/>
          <w:color w:val="auto"/>
        </w:rPr>
        <w:t>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w:t>
      </w:r>
    </w:p>
    <w:p>
      <w:pPr>
        <w:spacing w:after="0" w:line="17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acquisition of registered shares out of authorized capital incease of share capital for general purposes and any transfers of registered shares shall be subject to the restrictions specified in Article 4 of the Articles of Association.</w:t>
      </w:r>
    </w:p>
    <w:p>
      <w:pPr>
        <w:spacing w:after="0" w:line="251" w:lineRule="exact"/>
        <w:rPr>
          <w:sz w:val="20"/>
          <w:szCs w:val="20"/>
          <w:color w:val="auto"/>
        </w:rPr>
      </w:pPr>
    </w:p>
    <w:p>
      <w:pPr>
        <w:ind w:left="680" w:right="600" w:hanging="665"/>
        <w:spacing w:after="0" w:line="282" w:lineRule="auto"/>
        <w:rPr>
          <w:sz w:val="20"/>
          <w:szCs w:val="20"/>
          <w:color w:val="auto"/>
        </w:rPr>
      </w:pPr>
      <w:r>
        <w:rPr>
          <w:rFonts w:ascii="Arial" w:cs="Arial" w:eastAsia="Arial" w:hAnsi="Arial"/>
          <w:sz w:val="18"/>
          <w:szCs w:val="18"/>
          <w:b w:val="1"/>
          <w:bCs w:val="1"/>
          <w:color w:val="auto"/>
        </w:rPr>
        <w:t>Art. 3b Conditional Capital Increase for Bonds and Similar Debt Instruments</w:t>
      </w:r>
    </w:p>
    <w:p>
      <w:pPr>
        <w:spacing w:after="0" w:line="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share capital of the Company shall be increased by a maximum amount of CHF [●] through the issue of a maximum of [●] registered shares, payable in full, each with a nominal value of CHF [●] through the exercise of conversion and/or option or warrant rights granted in connection with bonds or similar instruments, issued or to be issued by the Company or by subsidiaries of the Company, including convertible debt instruments.</w:t>
      </w:r>
    </w:p>
    <w:p>
      <w:pPr>
        <w:spacing w:after="0" w:line="39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Shareholders’ subscription rights are excluded. Shareholders’ advance subscription rights with regard to the new bonds or similar instruments may be restricted or excluded by decision of the Board of Directors in order to finance or re-finance the acquisition of companies, parts of companies or holdings, or new investments planned by the Company, or in order to issue convertible</w:t>
      </w:r>
    </w:p>
    <w:p>
      <w:pPr>
        <w:spacing w:after="0" w:line="20" w:lineRule="exact"/>
        <w:rPr>
          <w:sz w:val="20"/>
          <w:szCs w:val="20"/>
          <w:color w:val="auto"/>
        </w:rPr>
      </w:pPr>
      <w:r>
        <w:rPr>
          <w:sz w:val="20"/>
          <w:szCs w:val="20"/>
          <w:color w:val="auto"/>
        </w:rPr>
        <w:br w:type="column"/>
      </w:r>
    </w:p>
    <w:p>
      <w:pPr>
        <w:ind w:left="5280"/>
        <w:spacing w:after="0"/>
        <w:rPr>
          <w:sz w:val="20"/>
          <w:szCs w:val="20"/>
          <w:color w:val="auto"/>
        </w:rPr>
      </w:pPr>
      <w:r>
        <w:rPr>
          <w:rFonts w:ascii="Arial" w:cs="Arial" w:eastAsia="Arial" w:hAnsi="Arial"/>
          <w:sz w:val="14"/>
          <w:szCs w:val="14"/>
          <w:color w:val="auto"/>
        </w:rPr>
        <w:t>4</w:t>
      </w:r>
    </w:p>
    <w:p>
      <w:pPr>
        <w:spacing w:after="0" w:line="204" w:lineRule="exact"/>
        <w:rPr>
          <w:sz w:val="20"/>
          <w:szCs w:val="20"/>
          <w:color w:val="auto"/>
        </w:rPr>
      </w:pPr>
    </w:p>
    <w:p>
      <w:pPr>
        <w:ind w:left="360" w:right="80"/>
        <w:spacing w:after="0" w:line="291" w:lineRule="auto"/>
        <w:rPr>
          <w:sz w:val="20"/>
          <w:szCs w:val="20"/>
          <w:color w:val="auto"/>
        </w:rPr>
      </w:pPr>
      <w:r>
        <w:rPr>
          <w:rFonts w:ascii="Arial" w:cs="Arial" w:eastAsia="Arial" w:hAnsi="Arial"/>
          <w:sz w:val="16"/>
          <w:szCs w:val="16"/>
          <w:color w:val="auto"/>
        </w:rPr>
        <w:t>aux autres actionnaires une offre publique d’achat recommandée par le conseil d’administration, ou pour la défense d’une offre publique d’achat réelle, imminente ou potentielle, pour laquelle le conseil d’administration, après consultation avec un conseiller financier indépendant retenu par lui, n’a pas recommandé l’acceptation aux actionnaires car il a estimé que l’offre publique d’achat n’était pas financièrement équitable pour les actionnaires.</w:t>
      </w:r>
    </w:p>
    <w:p>
      <w:pPr>
        <w:spacing w:after="0" w:line="16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L’acquisition d’actions nominatives dans le cadre d’une augmentation autorisée du capital-actions à des fins générales et les transferts d’actions nominatives sont soumis aux restrictions prévues à l’article 4 des statuts.</w:t>
      </w:r>
    </w:p>
    <w:p>
      <w:pPr>
        <w:spacing w:after="0" w:line="251" w:lineRule="exact"/>
        <w:rPr>
          <w:sz w:val="20"/>
          <w:szCs w:val="20"/>
          <w:color w:val="auto"/>
        </w:rPr>
      </w:pPr>
    </w:p>
    <w:p>
      <w:pPr>
        <w:ind w:left="660" w:right="400" w:hanging="665"/>
        <w:spacing w:after="0" w:line="313" w:lineRule="auto"/>
        <w:rPr>
          <w:sz w:val="20"/>
          <w:szCs w:val="20"/>
          <w:color w:val="auto"/>
        </w:rPr>
      </w:pPr>
      <w:r>
        <w:rPr>
          <w:rFonts w:ascii="Arial" w:cs="Arial" w:eastAsia="Arial" w:hAnsi="Arial"/>
          <w:sz w:val="17"/>
          <w:szCs w:val="17"/>
          <w:b w:val="1"/>
          <w:bCs w:val="1"/>
          <w:color w:val="auto"/>
        </w:rPr>
        <w:t>Art. 3b Augmentation conditionnelle du capital-actions pour les obligations et instruments de dettes similaire</w:t>
      </w:r>
    </w:p>
    <w:p>
      <w:pPr>
        <w:spacing w:after="0" w:line="3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Le capital-actions de la société peut être augmenté d’un montant maximum de CHF [●] par l’émission d’un maximum de [●] actions nominatives, d’une valeur nominale de [●] chacune, à libérer entièrement, suite à l’exercice de droits de conversion et/ou d’option ou de bons de souscription accordés en relation avec des obligations ou d’instruments similaires, émis ou devant être émis par la société ou par des filiales de la société, y compris les instruments d’emprunt convertibles.</w:t>
      </w:r>
    </w:p>
    <w:p>
      <w:pPr>
        <w:spacing w:after="0" w:line="16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Le droit de souscription préférentiel des actionnaires est exclu. Les droits de souscription préférentiels préalables des actionnaires à l’égard des nouvelles obligations ou instruments similaires peuvent être limités ou exclus par décision du conseil d’administration afin de financer ou de refinancer l’acquisition d’entreprises, parts d’entreprises ou de holdings, ou de nouveaux investissements</w:t>
      </w:r>
    </w:p>
    <w:p>
      <w:pPr>
        <w:sectPr>
          <w:pgSz w:w="11900" w:h="16838" w:orient="portrait"/>
          <w:cols w:equalWidth="0" w:num="2">
            <w:col w:w="5680" w:space="380"/>
            <w:col w:w="5360"/>
          </w:cols>
          <w:pgMar w:left="240" w:top="274" w:right="2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 Immune SA</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bonds and warrants on the international capital markets or through private placement. If advance subscription rights are excluded, then (1) the instruments are to be placed at market conditions, (2) the exercise period is not to exceed ten years from the date of issue for warrants and twenty years for conversion rights and (3) the conversion or exercise price for the new shares is to be set at least in line with the market conditions prevailing at the date on which the instruments are issued.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acquisition of registered shares through the exercise of conversion rights or warrants and any transfers of registered shares shall be subject to the restrictions specified in Article 4 of the Articles of Association.</w:t>
      </w:r>
    </w:p>
    <w:p>
      <w:pPr>
        <w:spacing w:after="0" w:line="2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3c</w:t>
      </w:r>
      <w:r>
        <w:rPr>
          <w:sz w:val="20"/>
          <w:szCs w:val="20"/>
          <w:color w:val="auto"/>
        </w:rPr>
        <w:tab/>
      </w:r>
      <w:r>
        <w:rPr>
          <w:rFonts w:ascii="Arial" w:cs="Arial" w:eastAsia="Arial" w:hAnsi="Arial"/>
          <w:sz w:val="16"/>
          <w:szCs w:val="16"/>
          <w:b w:val="1"/>
          <w:bCs w:val="1"/>
          <w:color w:val="auto"/>
        </w:rPr>
        <w:t>Conditional Share Capital Increase for Employee Benefit Plans</w:t>
      </w:r>
    </w:p>
    <w:p>
      <w:pPr>
        <w:spacing w:after="0" w:line="33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share capital of the Company shall be increased by an amount not exceeding CHF [●] through the issue of a maximum of [●] registered shares, payable in full, each with a nominal value of CHF [●], in connection with the exercise of option rights granted to any employee of the Company or a subsidiary, and any consultant, members of the Board of Directors, or other person providing services to the Company or a subsidiary.</w:t>
      </w:r>
    </w:p>
    <w:p>
      <w:pPr>
        <w:spacing w:after="0" w:line="3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subscription rights shall be excluded with regard to these shares. These new registered shares may be issued at a price below the current market price. The Board of Directors shall specify the precise conditions of issue including the issue price of the shares.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5</w:t>
      </w:r>
    </w:p>
    <w:p>
      <w:pPr>
        <w:spacing w:after="0" w:line="15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prévus par la société, ou en vue d’émettre des obligations convertibles et des bons de souscription sur les marchés internationaux de capitaux ou par placement privé. Si les droits de souscription préférentiels préalables sont exclus, (1) les instruments doivent être attribués aux conditions du marché, (2) la période d’exercice ne doit pas dépasser dix ans à partir de la date d’émission des bons de souscription et vingt ans pour les droits de conversion et (3) le prix de conversion ou d’exercice des actions nouvelles doit être fixé au moins aux conditions du marché prévalant à la date à laquelle les instruments sont émis.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L’acquisition d’actions nominatives par l’exercice de droits ou de bons de conversion et les transferts d’actions nominatives sont assujetties aux restrictions prévues par l’article 4 des statuts.</w:t>
      </w:r>
    </w:p>
    <w:p>
      <w:pPr>
        <w:spacing w:after="0" w:line="285" w:lineRule="exact"/>
        <w:rPr>
          <w:sz w:val="20"/>
          <w:szCs w:val="20"/>
          <w:color w:val="auto"/>
        </w:rPr>
      </w:pPr>
    </w:p>
    <w:p>
      <w:pPr>
        <w:ind w:left="660" w:right="320" w:hanging="665"/>
        <w:spacing w:after="0" w:line="282" w:lineRule="auto"/>
        <w:tabs>
          <w:tab w:leader="none" w:pos="640" w:val="left"/>
        </w:tabs>
        <w:rPr>
          <w:sz w:val="20"/>
          <w:szCs w:val="20"/>
          <w:color w:val="auto"/>
        </w:rPr>
      </w:pPr>
      <w:r>
        <w:rPr>
          <w:rFonts w:ascii="Arial" w:cs="Arial" w:eastAsia="Arial" w:hAnsi="Arial"/>
          <w:sz w:val="18"/>
          <w:szCs w:val="18"/>
          <w:b w:val="1"/>
          <w:bCs w:val="1"/>
          <w:color w:val="auto"/>
        </w:rPr>
        <w:t>Art. 3c</w:t>
        <w:tab/>
        <w:t>Augmentation conditionnelle du capital-actions pour les plans d’avantages sociaux</w:t>
      </w:r>
    </w:p>
    <w:p>
      <w:pPr>
        <w:spacing w:after="0" w:line="5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Le capital social de la société sera augmenté d’un montant ne dépassant pas CHF [●] par l’émission d’un maximum de [●] actions nominatives, entièrement libérées, chacune avec une valeur nominale de CHF [●], dans le cadre de l’exercice de droits d’option accordés à tout employé de la Société ou d’une succursale, et à tout consultant, aux membres du conseil d’administration, ou à autres personnes fournissant des services en faveur de la société ou d’une filiale.</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Le droit de souscription préférentiel des actionnaires est exclu à l’égard de ces actions. Ces nouvelles actions nominatives peuvent être émises à un prix inférieur au prix du marché actuel. Le conseil d’administration doit préciser les conditions précises d’émission, y compris le prix d’émission des actions.</w:t>
      </w:r>
    </w:p>
    <w:p>
      <w:pPr>
        <w:sectPr>
          <w:pgSz w:w="11900" w:h="16838" w:orient="portrait"/>
          <w:cols w:equalWidth="0" w:num="2">
            <w:col w:w="5700" w:space="360"/>
            <w:col w:w="5360"/>
          </w:cols>
          <w:pgMar w:left="240" w:top="274" w:right="2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 Immune SA</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acquisition of registered shares in connection with employee participation and any further transfers of registered shares shall be subject to the restrictions specified in Article 4 of the Articles of Association.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6</w:t>
      </w:r>
    </w:p>
    <w:p>
      <w:pPr>
        <w:spacing w:after="0" w:line="15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L’acquisition d’actions nominatives dans le cadre de la participation des employés et d’autres transferts d’actions nominatives sont soumis aux restrictions prévues à l’article 4 des statuts.</w:t>
      </w:r>
    </w:p>
    <w:p>
      <w:pPr>
        <w:spacing w:after="0" w:line="200" w:lineRule="exact"/>
        <w:rPr>
          <w:sz w:val="20"/>
          <w:szCs w:val="20"/>
          <w:color w:val="auto"/>
        </w:rPr>
      </w:pPr>
    </w:p>
    <w:p>
      <w:pPr>
        <w:sectPr>
          <w:pgSz w:w="11900" w:h="16838" w:orient="portrait"/>
          <w:cols w:equalWidth="0" w:num="2">
            <w:col w:w="5660" w:space="400"/>
            <w:col w:w="5360"/>
          </w:cols>
          <w:pgMar w:left="240" w:top="274" w:right="239" w:bottom="1440" w:gutter="0" w:footer="0" w:header="0"/>
        </w:sectPr>
      </w:pPr>
    </w:p>
    <w:p>
      <w:pPr>
        <w:spacing w:after="0" w:line="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4</w:t>
      </w:r>
      <w:r>
        <w:rPr>
          <w:sz w:val="20"/>
          <w:szCs w:val="20"/>
          <w:color w:val="auto"/>
        </w:rPr>
        <w:tab/>
      </w:r>
      <w:r>
        <w:rPr>
          <w:rFonts w:ascii="Arial" w:cs="Arial" w:eastAsia="Arial" w:hAnsi="Arial"/>
          <w:sz w:val="16"/>
          <w:szCs w:val="16"/>
          <w:b w:val="1"/>
          <w:bCs w:val="1"/>
          <w:color w:val="auto"/>
        </w:rPr>
        <w:t>Share Register</w:t>
      </w:r>
    </w:p>
    <w:p>
      <w:pPr>
        <w:spacing w:after="0" w:line="1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shall maintain a share register in which it shall register the name, first name and place of residence (in case of legal persons the place of incorporation) of the owners and usufructuaries of its registered shares. Natural and legal persons as well as legal representatives of minors etc. entitled by law to the voting rights of a share which they do not own will be noted in the share register upon request.</w:t>
      </w:r>
    </w:p>
    <w:p>
      <w:pPr>
        <w:spacing w:after="0" w:line="19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Upon request, acquirers of shares will be registered in the share register without limitation as shareholders if they expressly certify that they acquired the shares in their own name and for their own account.</w:t>
      </w:r>
    </w:p>
    <w:p>
      <w:pPr>
        <w:spacing w:after="0" w:line="38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Persons who do not expressly declare in the registration application that they are holding the shares on their own account (thereafter: nominees) shall forthwith be entered on the share register as shareholders with voting rights up to a maximum of 3 percent of the share capital. Beyond that limit, registered shares of nominees shall only be entered as voting if the nominees in question confirm in writing that they are willing to disclose the names, addresses and shareholdings of the persons on whose account they hold 0.5 percent or more of the share capital. The Board of Directors concludes agreements with nominees that among other things govern the representation of shareholders and the voting rights.</w:t>
      </w:r>
    </w:p>
    <w:p>
      <w:pPr>
        <w:spacing w:after="0" w:line="3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After hearing the registered shareholder or nominee, the Board of Directors may remove entries in the share register with retroactive effect as per the date of entry, if such entry was based on false information. The party affected must be informed of such removal immediately.</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4</w:t>
      </w:r>
      <w:r>
        <w:rPr>
          <w:sz w:val="20"/>
          <w:szCs w:val="20"/>
          <w:color w:val="auto"/>
        </w:rPr>
        <w:tab/>
      </w:r>
      <w:r>
        <w:rPr>
          <w:rFonts w:ascii="Arial" w:cs="Arial" w:eastAsia="Arial" w:hAnsi="Arial"/>
          <w:sz w:val="15"/>
          <w:szCs w:val="15"/>
          <w:b w:val="1"/>
          <w:bCs w:val="1"/>
          <w:color w:val="auto"/>
        </w:rPr>
        <w:t>Registre des actions</w:t>
      </w:r>
    </w:p>
    <w:p>
      <w:pPr>
        <w:spacing w:after="0" w:line="1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La société tient un registre des actions nominatives, dans lequel sont inscrits le nom, le prénom et l’adresse (dans le cas d’une personne morale, le siège) des propriétaires et des usufruitiers des actions. Les personnes physiques et morales ainsi que les représentants légaux des mineurs etc. autorisés par la loi à voter alors qu’ils ne sont pas propriétaires des actions seront, sur demande, inscrits dans le registre des actions.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Sur demande, les acquéreurs d’actions seront inscrits dans le registre des actions sans limitation comme actionnaires s’ils attestent expressément qu’ils ont acquis les actions en leur propre nom et pour leur propre compte.</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Les personnes qui ne déclarent pas expressément dans la demande d’inscription qu’ils détiennent les actions pour leur propre compte (par la suite: les candidats) doivent immédiatement être inscrits dans le registre des actions comme actionnaires avec droit de vote pour un maximum de 3 pour cent du capital-actions. Au-delà de cette limite, les actions nominatives des candidats ne sont inscrites avec droit de vote que si les candidats en question confirment par écrit qu’ils sont prêts à divulguer les noms, adresses et participations des personnes pour le compte desquelles ils détiennent 0,5 pour cent ou plus du capital-actions. Le conseil d’administration conclut des accords avec les candidats qui, entre autres choses, régissent la représentation des actionnaires et des droits de vote.</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Après avoir entendu l’actionnaire enregistré ou le candidat, le conseil d’administration peut supprimer des inscriptions dans le registre des actions avec effet rétroactif à la date d’inscription, si cette inscription était basée sur de fausses informations. La partie touchée doit être immédiatement informée de cette suppression.</w:t>
      </w:r>
    </w:p>
    <w:p>
      <w:pPr>
        <w:sectPr>
          <w:pgSz w:w="11900" w:h="16838" w:orient="portrait"/>
          <w:cols w:equalWidth="0" w:num="2">
            <w:col w:w="5720" w:space="340"/>
            <w:col w:w="5360"/>
          </w:cols>
          <w:pgMar w:left="240" w:top="274" w:right="239" w:bottom="1440" w:gutter="0" w:footer="0" w:header="0"/>
          <w:type w:val="continuous"/>
        </w:sectPr>
      </w:pPr>
    </w:p>
    <w:bookmarkStart w:id="287" w:name="page288"/>
    <w:bookmarkEnd w:id="2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 Immune SA</w:t>
      </w:r>
    </w:p>
    <w:p>
      <w:pPr>
        <w:spacing w:after="0" w:line="158"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 xml:space="preserve">No individual or legal entity may, directly or indirectly, formally, constructively or beneficially own (as defined in the next paragraph below) or otherwise control voting rights (“Controlled Shares”) with respect to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or more of the registered share capital recorded in the Commercial Register except if such individual or legal entity has submitted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shall be regarded as one person. The registered shares exceeding the limit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and not benefiting from the exemption regarding a tender offer shall be entered in the share register as shares without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the purposes of this Article 4, “Controlled Shares” in reference to any individual or entity means:</w:t>
      </w:r>
    </w:p>
    <w:p>
      <w:pPr>
        <w:spacing w:after="0" w:line="62" w:lineRule="exact"/>
        <w:rPr>
          <w:sz w:val="20"/>
          <w:szCs w:val="20"/>
          <w:color w:val="auto"/>
        </w:rPr>
      </w:pPr>
    </w:p>
    <w:p>
      <w:pPr>
        <w:ind w:left="480" w:right="140" w:hanging="472"/>
        <w:spacing w:after="0" w:line="277" w:lineRule="auto"/>
        <w:tabs>
          <w:tab w:leader="none" w:pos="4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shares of the Company directly, indirectly or constructively owned by such individual or entity; provided that</w:t>
      </w:r>
    </w:p>
    <w:p>
      <w:pPr>
        <w:spacing w:after="0" w:line="62" w:lineRule="exact"/>
        <w:rPr>
          <w:rFonts w:ascii="Arial" w:cs="Arial" w:eastAsia="Arial" w:hAnsi="Arial"/>
          <w:sz w:val="18"/>
          <w:szCs w:val="18"/>
          <w:color w:val="auto"/>
        </w:rPr>
      </w:pPr>
    </w:p>
    <w:p>
      <w:pPr>
        <w:ind w:left="960" w:right="40" w:hanging="479"/>
        <w:spacing w:after="0" w:line="286" w:lineRule="auto"/>
        <w:tabs>
          <w:tab w:leader="none" w:pos="96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shares owned, directly or indirectly, by or for a partnership, or trust or estate will be considered as being owned proportionately by its partners, or beneficiaries; and</w:t>
      </w:r>
    </w:p>
    <w:p>
      <w:pPr>
        <w:spacing w:after="0" w:line="273" w:lineRule="exact"/>
        <w:rPr>
          <w:rFonts w:ascii="Arial" w:cs="Arial" w:eastAsia="Arial" w:hAnsi="Arial"/>
          <w:sz w:val="17"/>
          <w:szCs w:val="17"/>
          <w:color w:val="auto"/>
        </w:rPr>
      </w:pPr>
    </w:p>
    <w:p>
      <w:pPr>
        <w:ind w:left="960" w:right="100" w:hanging="479"/>
        <w:spacing w:after="0" w:line="259" w:lineRule="auto"/>
        <w:tabs>
          <w:tab w:leader="none" w:pos="9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shares owned, directly or indirectly, by or for a corporation will be considered as being owned proportionately by any shareholder owning 50% or more of the outstanding voting shares of such corporation; and</w:t>
      </w:r>
    </w:p>
    <w:p>
      <w:pPr>
        <w:spacing w:after="0" w:line="78" w:lineRule="exact"/>
        <w:rPr>
          <w:rFonts w:ascii="Arial" w:cs="Arial" w:eastAsia="Arial" w:hAnsi="Arial"/>
          <w:sz w:val="18"/>
          <w:szCs w:val="18"/>
          <w:color w:val="auto"/>
        </w:rPr>
      </w:pPr>
    </w:p>
    <w:p>
      <w:pPr>
        <w:ind w:left="960" w:hanging="479"/>
        <w:spacing w:after="0" w:line="277" w:lineRule="auto"/>
        <w:tabs>
          <w:tab w:leader="none" w:pos="9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shares subject to options, warrants or other similar rights shall be deemed to be owned; and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7</w:t>
      </w:r>
    </w:p>
    <w:p>
      <w:pPr>
        <w:spacing w:after="0" w:line="158"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 xml:space="preserve">Aucune personne physique ou morale ne peut, directement ou indirectement, formellement ou implicitement détenir à son profit (comme défini dans le paragraphe ci-dessous) ou, d’une autre manière, contrôler le droit de vote (les “Actions Contrôlées”) de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ou plus du capital-actions nominatif tel qu’inscrit au registre du commerce sauf si cette personne physique ou morale a présenté avant l’acquisition de ces Actions Contrôlée une offre publique d’achat en bonne et due forme à tous les actionnaires à un prix minimum équivalent au montant le plus élevé entre</w:t>
      </w:r>
    </w:p>
    <w:p>
      <w:pPr>
        <w:spacing w:after="0" w:line="4" w:lineRule="exact"/>
        <w:rPr>
          <w:sz w:val="20"/>
          <w:szCs w:val="20"/>
          <w:color w:val="auto"/>
        </w:rPr>
      </w:pPr>
    </w:p>
    <w:p>
      <w:pPr>
        <w:ind w:right="80" w:firstLine="4"/>
        <w:spacing w:after="0" w:line="250" w:lineRule="auto"/>
        <w:tabs>
          <w:tab w:leader="none" w:pos="21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le cours moyen pondéré en fonction du volume des 60 derniers jours de bourse précédant la publication de l’offre publique d’achat et (ii) le plus haut prix payé par cette personne physique ou morale dans les 12 mois précédant la publication de l’offre publique d’achat. Les personnes associées par le capital, les droits de vote, une gestion commune ou de toute autre manière, ou qui se joignent pour une acquisition d’actions, sont considérées comme une personne. Les actions nominatives dépassant la limite de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et ne bénéficiant pas de l’exemption relative à une offre publique d’achat sont inscrites dans le registre des actions comme des actions sans droit de vote.</w:t>
      </w:r>
    </w:p>
    <w:p>
      <w:pPr>
        <w:spacing w:after="0" w:line="1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Aux fins du présent article 4, Actions Contrôlées signifie en référence à toute personne physique ou morale:</w:t>
      </w:r>
    </w:p>
    <w:p>
      <w:pPr>
        <w:spacing w:after="0" w:line="62" w:lineRule="exact"/>
        <w:rPr>
          <w:sz w:val="20"/>
          <w:szCs w:val="20"/>
          <w:color w:val="auto"/>
        </w:rPr>
      </w:pPr>
    </w:p>
    <w:p>
      <w:pPr>
        <w:ind w:left="440" w:right="100" w:hanging="436"/>
        <w:spacing w:after="0" w:line="342" w:lineRule="auto"/>
        <w:tabs>
          <w:tab w:leader="none" w:pos="4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toutes actions directement, indirectement ou implicitement détenues par cette personne physique ou morale, à condition que</w:t>
      </w:r>
    </w:p>
    <w:p>
      <w:pPr>
        <w:spacing w:after="0" w:line="15" w:lineRule="exact"/>
        <w:rPr>
          <w:rFonts w:ascii="Arial" w:cs="Arial" w:eastAsia="Arial" w:hAnsi="Arial"/>
          <w:sz w:val="16"/>
          <w:szCs w:val="16"/>
          <w:color w:val="auto"/>
        </w:rPr>
      </w:pPr>
    </w:p>
    <w:p>
      <w:pPr>
        <w:ind w:left="900" w:right="20" w:hanging="450"/>
        <w:spacing w:after="0" w:line="302" w:lineRule="auto"/>
        <w:tabs>
          <w:tab w:leader="none" w:pos="90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les actions détenues, directement ou indirectement, par ou pour un partenariat, une fiducie ou une communauté d’héritiers sont considérées comme étant détenues proportionnellement par leurs partenaires ou bénéficiaires; et</w:t>
      </w:r>
    </w:p>
    <w:p>
      <w:pPr>
        <w:spacing w:after="0" w:line="46" w:lineRule="exact"/>
        <w:rPr>
          <w:rFonts w:ascii="Arial" w:cs="Arial" w:eastAsia="Arial" w:hAnsi="Arial"/>
          <w:sz w:val="16"/>
          <w:szCs w:val="16"/>
          <w:color w:val="auto"/>
        </w:rPr>
      </w:pPr>
    </w:p>
    <w:p>
      <w:pPr>
        <w:ind w:left="900" w:right="20" w:hanging="450"/>
        <w:spacing w:after="0" w:line="302" w:lineRule="auto"/>
        <w:tabs>
          <w:tab w:leader="none" w:pos="90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les actions détenues, directement ou indirectement, par ou pour une société seront considérées comme étant détenues proportionnellement par tout actionnaire détenant 50% ou plus des actions avec droit de vote en circulation de cette société; et</w:t>
      </w:r>
    </w:p>
    <w:p>
      <w:pPr>
        <w:spacing w:after="0" w:line="46" w:lineRule="exact"/>
        <w:rPr>
          <w:rFonts w:ascii="Arial" w:cs="Arial" w:eastAsia="Arial" w:hAnsi="Arial"/>
          <w:sz w:val="16"/>
          <w:szCs w:val="16"/>
          <w:color w:val="auto"/>
        </w:rPr>
      </w:pPr>
    </w:p>
    <w:p>
      <w:pPr>
        <w:ind w:left="900" w:right="160" w:hanging="450"/>
        <w:spacing w:after="0" w:line="342" w:lineRule="auto"/>
        <w:tabs>
          <w:tab w:leader="none" w:pos="90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les actions sujettes à des options, des bons de souscription ou autres droits semblables sont réputées être détenues; et</w:t>
      </w:r>
    </w:p>
    <w:p>
      <w:pPr>
        <w:sectPr>
          <w:pgSz w:w="11900" w:h="16838" w:orient="portrait"/>
          <w:cols w:equalWidth="0" w:num="2">
            <w:col w:w="5640" w:space="320"/>
            <w:col w:w="5460"/>
          </w:cols>
          <w:pgMar w:left="240" w:top="274" w:right="23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30"/>
        </w:trPr>
        <w:tc>
          <w:tcPr>
            <w:tcW w:w="1300" w:type="dxa"/>
            <w:vAlign w:val="bottom"/>
            <w:gridSpan w:val="3"/>
          </w:tcPr>
          <w:p>
            <w:pPr>
              <w:spacing w:after="0"/>
              <w:rPr>
                <w:sz w:val="20"/>
                <w:szCs w:val="20"/>
                <w:color w:val="auto"/>
              </w:rPr>
            </w:pPr>
            <w:r>
              <w:rPr>
                <w:rFonts w:ascii="Arial" w:cs="Arial" w:eastAsia="Arial" w:hAnsi="Arial"/>
                <w:sz w:val="18"/>
                <w:szCs w:val="18"/>
                <w:color w:val="auto"/>
              </w:rPr>
              <w:t>AC Immune SA</w:t>
            </w:r>
          </w:p>
        </w:tc>
        <w:tc>
          <w:tcPr>
            <w:tcW w:w="4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60" w:type="dxa"/>
            <w:vAlign w:val="bottom"/>
          </w:tcPr>
          <w:p>
            <w:pPr>
              <w:ind w:left="3580"/>
              <w:spacing w:after="0"/>
              <w:rPr>
                <w:sz w:val="20"/>
                <w:szCs w:val="20"/>
                <w:color w:val="auto"/>
              </w:rPr>
            </w:pPr>
            <w:r>
              <w:rPr>
                <w:rFonts w:ascii="Arial" w:cs="Arial" w:eastAsia="Arial" w:hAnsi="Arial"/>
                <w:sz w:val="15"/>
                <w:szCs w:val="15"/>
                <w:color w:val="auto"/>
                <w:w w:val="71"/>
              </w:rPr>
              <w:t>8</w:t>
            </w:r>
          </w:p>
        </w:tc>
      </w:tr>
      <w:tr>
        <w:trPr>
          <w:trHeight w:val="350"/>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5240" w:type="dxa"/>
            <w:vAlign w:val="bottom"/>
            <w:gridSpan w:val="3"/>
          </w:tcPr>
          <w:p>
            <w:pPr>
              <w:ind w:left="140"/>
              <w:spacing w:after="0"/>
              <w:rPr>
                <w:sz w:val="20"/>
                <w:szCs w:val="20"/>
                <w:color w:val="auto"/>
              </w:rPr>
            </w:pPr>
            <w:r>
              <w:rPr>
                <w:rFonts w:ascii="Arial" w:cs="Arial" w:eastAsia="Arial" w:hAnsi="Arial"/>
                <w:sz w:val="18"/>
                <w:szCs w:val="18"/>
                <w:color w:val="auto"/>
                <w:w w:val="96"/>
              </w:rPr>
              <w:t>all shares of the Company directly, indirectly beneficially owned by</w:t>
            </w:r>
          </w:p>
        </w:tc>
        <w:tc>
          <w:tcPr>
            <w:tcW w:w="620" w:type="dxa"/>
            <w:vAlign w:val="bottom"/>
          </w:tcPr>
          <w:p>
            <w:pPr>
              <w:ind w:left="160"/>
              <w:spacing w:after="0"/>
              <w:rPr>
                <w:sz w:val="20"/>
                <w:szCs w:val="20"/>
                <w:color w:val="auto"/>
              </w:rPr>
            </w:pPr>
            <w:r>
              <w:rPr>
                <w:rFonts w:ascii="Arial" w:cs="Arial" w:eastAsia="Arial" w:hAnsi="Arial"/>
                <w:sz w:val="18"/>
                <w:szCs w:val="18"/>
                <w:color w:val="auto"/>
              </w:rPr>
              <w:t>(b)</w:t>
            </w: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w w:val="89"/>
              </w:rPr>
              <w:t>toutes actions de la société détenues directement, indirectement ou à</w:t>
            </w:r>
          </w:p>
        </w:tc>
      </w:tr>
      <w:tr>
        <w:trPr>
          <w:trHeight w:val="230"/>
        </w:trPr>
        <w:tc>
          <w:tcPr>
            <w:tcW w:w="340" w:type="dxa"/>
            <w:vAlign w:val="bottom"/>
          </w:tcPr>
          <w:p>
            <w:pPr>
              <w:spacing w:after="0"/>
              <w:rPr>
                <w:sz w:val="20"/>
                <w:szCs w:val="20"/>
                <w:color w:val="auto"/>
              </w:rPr>
            </w:pPr>
          </w:p>
        </w:tc>
        <w:tc>
          <w:tcPr>
            <w:tcW w:w="5240" w:type="dxa"/>
            <w:vAlign w:val="bottom"/>
            <w:gridSpan w:val="3"/>
          </w:tcPr>
          <w:p>
            <w:pPr>
              <w:ind w:left="140"/>
              <w:spacing w:after="0"/>
              <w:rPr>
                <w:sz w:val="20"/>
                <w:szCs w:val="20"/>
                <w:color w:val="auto"/>
              </w:rPr>
            </w:pPr>
            <w:r>
              <w:rPr>
                <w:rFonts w:ascii="Arial" w:cs="Arial" w:eastAsia="Arial" w:hAnsi="Arial"/>
                <w:sz w:val="18"/>
                <w:szCs w:val="18"/>
                <w:color w:val="auto"/>
              </w:rPr>
              <w:t>such individual or entity; provided that</w:t>
            </w:r>
          </w:p>
        </w:tc>
        <w:tc>
          <w:tcPr>
            <w:tcW w:w="620" w:type="dxa"/>
            <w:vAlign w:val="bottom"/>
          </w:tcPr>
          <w:p>
            <w:pPr>
              <w:spacing w:after="0"/>
              <w:rPr>
                <w:sz w:val="20"/>
                <w:szCs w:val="20"/>
                <w:color w:val="auto"/>
              </w:rPr>
            </w:pPr>
          </w:p>
        </w:tc>
        <w:tc>
          <w:tcPr>
            <w:tcW w:w="5220" w:type="dxa"/>
            <w:vAlign w:val="bottom"/>
            <w:gridSpan w:val="3"/>
          </w:tcPr>
          <w:p>
            <w:pPr>
              <w:ind w:left="220"/>
              <w:spacing w:after="0"/>
              <w:rPr>
                <w:sz w:val="20"/>
                <w:szCs w:val="20"/>
                <w:color w:val="auto"/>
              </w:rPr>
            </w:pPr>
            <w:r>
              <w:rPr>
                <w:rFonts w:ascii="Arial" w:cs="Arial" w:eastAsia="Arial" w:hAnsi="Arial"/>
                <w:sz w:val="18"/>
                <w:szCs w:val="18"/>
                <w:color w:val="auto"/>
                <w:w w:val="95"/>
              </w:rPr>
              <w:t>son profit par cette personne physique ou morale, à condition que</w:t>
            </w:r>
          </w:p>
        </w:tc>
      </w:tr>
      <w:tr>
        <w:trPr>
          <w:trHeight w:val="310"/>
        </w:trPr>
        <w:tc>
          <w:tcPr>
            <w:tcW w:w="34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(i)</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a beneficial owner of a security includes any person who,</w:t>
            </w:r>
          </w:p>
        </w:tc>
        <w:tc>
          <w:tcPr>
            <w:tcW w:w="62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(i)</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3"/>
              </w:rPr>
              <w:t>un bénéficiaire effectif d’un titre comprend toute personne</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directly or indirectly, through any contract, arrangement,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2"/>
              </w:rPr>
              <w:t>qui, directement ou indirectement, par le biais d’un contrat,</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8"/>
              </w:rPr>
              <w:t>understanding, relationship, or otherwise alone or together</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5"/>
              </w:rPr>
              <w:t>d’un accord, d’une entente, d’une relation, ou autrement,</w:t>
            </w:r>
          </w:p>
        </w:tc>
      </w:tr>
      <w:tr>
        <w:trPr>
          <w:trHeight w:val="230"/>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with other such persons has or shares:</w:t>
            </w: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seul ou avec d’autres personnes a ou partage:</w:t>
            </w:r>
          </w:p>
        </w:tc>
      </w:tr>
      <w:tr>
        <w:trPr>
          <w:trHeight w:val="310"/>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(1)</w:t>
            </w:r>
          </w:p>
        </w:tc>
        <w:tc>
          <w:tcPr>
            <w:tcW w:w="4280" w:type="dxa"/>
            <w:vAlign w:val="bottom"/>
          </w:tcPr>
          <w:p>
            <w:pPr>
              <w:ind w:left="120"/>
              <w:spacing w:after="0"/>
              <w:rPr>
                <w:sz w:val="20"/>
                <w:szCs w:val="20"/>
                <w:color w:val="auto"/>
              </w:rPr>
            </w:pPr>
            <w:r>
              <w:rPr>
                <w:rFonts w:ascii="Arial" w:cs="Arial" w:eastAsia="Arial" w:hAnsi="Arial"/>
                <w:sz w:val="18"/>
                <w:szCs w:val="18"/>
                <w:color w:val="auto"/>
              </w:rPr>
              <w:t>voting power which includes the power to vote, or to</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(1)</w:t>
            </w:r>
          </w:p>
        </w:tc>
        <w:tc>
          <w:tcPr>
            <w:tcW w:w="3660" w:type="dxa"/>
            <w:vAlign w:val="bottom"/>
          </w:tcPr>
          <w:p>
            <w:pPr>
              <w:ind w:left="20"/>
              <w:spacing w:after="0"/>
              <w:rPr>
                <w:sz w:val="20"/>
                <w:szCs w:val="20"/>
                <w:color w:val="auto"/>
              </w:rPr>
            </w:pPr>
            <w:r>
              <w:rPr>
                <w:rFonts w:ascii="Arial" w:cs="Arial" w:eastAsia="Arial" w:hAnsi="Arial"/>
                <w:sz w:val="18"/>
                <w:szCs w:val="18"/>
                <w:color w:val="auto"/>
                <w:w w:val="93"/>
              </w:rPr>
              <w:t>le pouvoir de voter, y compris le pouvoir de voter</w:t>
            </w:r>
          </w:p>
        </w:tc>
      </w:tr>
      <w:tr>
        <w:trPr>
          <w:trHeight w:val="230"/>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direct the voting of, such security; and/or</w:t>
            </w: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ou de diriger le vote d’un tel titre; et/ou</w:t>
            </w:r>
          </w:p>
        </w:tc>
      </w:tr>
      <w:tr>
        <w:trPr>
          <w:trHeight w:val="310"/>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(2)</w:t>
            </w:r>
          </w:p>
        </w:tc>
        <w:tc>
          <w:tcPr>
            <w:tcW w:w="4280" w:type="dxa"/>
            <w:vAlign w:val="bottom"/>
          </w:tcPr>
          <w:p>
            <w:pPr>
              <w:ind w:left="120"/>
              <w:spacing w:after="0"/>
              <w:rPr>
                <w:sz w:val="20"/>
                <w:szCs w:val="20"/>
                <w:color w:val="auto"/>
              </w:rPr>
            </w:pPr>
            <w:r>
              <w:rPr>
                <w:rFonts w:ascii="Arial" w:cs="Arial" w:eastAsia="Arial" w:hAnsi="Arial"/>
                <w:sz w:val="18"/>
                <w:szCs w:val="18"/>
                <w:color w:val="auto"/>
                <w:w w:val="94"/>
              </w:rPr>
              <w:t>investment power which includes the power to dispose,</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rPr>
              <w:t>(2)</w:t>
            </w:r>
          </w:p>
        </w:tc>
        <w:tc>
          <w:tcPr>
            <w:tcW w:w="3660" w:type="dxa"/>
            <w:vAlign w:val="bottom"/>
          </w:tcPr>
          <w:p>
            <w:pPr>
              <w:ind w:left="20"/>
              <w:spacing w:after="0"/>
              <w:rPr>
                <w:sz w:val="20"/>
                <w:szCs w:val="20"/>
                <w:color w:val="auto"/>
              </w:rPr>
            </w:pPr>
            <w:r>
              <w:rPr>
                <w:rFonts w:ascii="Arial" w:cs="Arial" w:eastAsia="Arial" w:hAnsi="Arial"/>
                <w:sz w:val="18"/>
                <w:szCs w:val="18"/>
                <w:color w:val="auto"/>
              </w:rPr>
              <w:t>le pouvoir d’investir, y compris le pouvoir de</w:t>
            </w:r>
          </w:p>
        </w:tc>
      </w:tr>
      <w:tr>
        <w:trPr>
          <w:trHeight w:val="230"/>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or to direct the disposition of, such security.</w:t>
            </w: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w w:val="93"/>
              </w:rPr>
              <w:t>disposer ou de diriger la disposition d’un tel titre.</w:t>
            </w:r>
          </w:p>
        </w:tc>
      </w:tr>
      <w:tr>
        <w:trPr>
          <w:trHeight w:val="310"/>
        </w:trPr>
        <w:tc>
          <w:tcPr>
            <w:tcW w:w="34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(ii)</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4"/>
              </w:rPr>
              <w:t>Any person who, directly or indirectly, creates or uses a trust,</w:t>
            </w:r>
          </w:p>
        </w:tc>
        <w:tc>
          <w:tcPr>
            <w:tcW w:w="62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(ii)</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2"/>
              </w:rPr>
              <w:t>Toute personne qui, directement ou indirectement, crée ou</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8"/>
              </w:rPr>
              <w:t>proxy, power of attorney, pooling arrangement or any other</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utilise une fiducie, une procuration, un pooling ou tout</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4"/>
              </w:rPr>
              <w:t>contract, arrangement, or device with the purpose or effect of</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4"/>
              </w:rPr>
              <w:t>autre contrat, accord, ou un dispositif ayant pour objet ou</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3"/>
              </w:rPr>
              <w:t>divesting such person of beneficial ownership of shares of the</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2"/>
              </w:rPr>
              <w:t>pour effet de priver cette personne de la propriété effective</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Company or preventing the vesting of such beneficial</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6"/>
              </w:rPr>
              <w:t>des actions de la société ou d’en empêcher l’acquisition</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2"/>
              </w:rPr>
              <w:t>ownership as part of a plan or scheme to evade the provisions</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7"/>
              </w:rPr>
              <w:t>effective au moyen d’un plan ou programme visant à se</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of these articles of association shall be deemed to be the</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89"/>
              </w:rPr>
              <w:t>soustraire aux dispositions de ces statuts est réputée être le</w:t>
            </w:r>
          </w:p>
        </w:tc>
      </w:tr>
      <w:tr>
        <w:trPr>
          <w:trHeight w:val="230"/>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beneficial owner of such shares.</w:t>
            </w: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propriétaire effectif de ces actions.</w:t>
            </w:r>
          </w:p>
        </w:tc>
      </w:tr>
      <w:tr>
        <w:trPr>
          <w:trHeight w:val="310"/>
        </w:trPr>
        <w:tc>
          <w:tcPr>
            <w:tcW w:w="34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(iii)</w:t>
            </w: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2"/>
              </w:rPr>
              <w:t>A person shall be deemed to be the beneficial owner of shares</w:t>
            </w:r>
          </w:p>
        </w:tc>
        <w:tc>
          <w:tcPr>
            <w:tcW w:w="62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(iii)</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Une personne est réputée être propriétaire effective</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5"/>
              </w:rPr>
              <w:t>if that person has the right to acquire beneficial ownership of</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2"/>
              </w:rPr>
              <w:t>d’actions si cette personne a le droit d’acquérir la propriété</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8"/>
              </w:rPr>
              <w:t>such shares within 60 days, including but not limited to any</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2"/>
              </w:rPr>
              <w:t>effective de ces actions dans les 60 jours, y compris, mais</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right acquired: (A) through the exercise of any option,</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8"/>
              </w:rPr>
              <w:t>pas limité à un droit acquis: (A) au moyen de l’exercice</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w w:val="95"/>
              </w:rPr>
              <w:t>warrant or right; (B) through the conversion of a security; (C)</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7"/>
              </w:rPr>
              <w:t>d’une option, d’un bon ou d’un droit de souscription; (B)</w:t>
            </w:r>
          </w:p>
        </w:tc>
      </w:tr>
      <w:tr>
        <w:trPr>
          <w:trHeight w:val="216"/>
        </w:trPr>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pursuant to the power to revoke a trust,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9"/>
              </w:rPr>
              <w:t>par la conversion d’un titre; (C) en vertu du pouvoir de</w:t>
            </w:r>
          </w:p>
        </w:tc>
      </w:tr>
      <w:tr>
        <w:trPr>
          <w:trHeight w:val="230"/>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w w:val="90"/>
              </w:rPr>
              <w:t>révoquer</w:t>
            </w:r>
          </w:p>
        </w:tc>
        <w:tc>
          <w:tcPr>
            <w:tcW w:w="366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9" w:name="page290"/>
    <w:bookmarkEnd w:id="2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 Immune SA</w:t>
      </w:r>
    </w:p>
    <w:p>
      <w:pPr>
        <w:spacing w:after="0" w:line="158" w:lineRule="exact"/>
        <w:rPr>
          <w:sz w:val="20"/>
          <w:szCs w:val="20"/>
          <w:color w:val="auto"/>
        </w:rPr>
      </w:pPr>
    </w:p>
    <w:p>
      <w:pPr>
        <w:ind w:left="720" w:right="20"/>
        <w:spacing w:after="0" w:line="264" w:lineRule="auto"/>
        <w:rPr>
          <w:sz w:val="20"/>
          <w:szCs w:val="20"/>
          <w:color w:val="auto"/>
        </w:rPr>
      </w:pPr>
      <w:r>
        <w:rPr>
          <w:rFonts w:ascii="Arial" w:cs="Arial" w:eastAsia="Arial" w:hAnsi="Arial"/>
          <w:sz w:val="18"/>
          <w:szCs w:val="18"/>
          <w:color w:val="auto"/>
        </w:rPr>
        <w:t>discretionary account, or similar arrangement; or (D) pursuant to the automatic termination of a trust, discretionary account or similar arrangement.</w:t>
      </w:r>
    </w:p>
    <w:p>
      <w:pPr>
        <w:spacing w:after="0" w:line="79"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 xml:space="preserve">The limit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registered share capital also applies to the subscription for, or 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 shares. The registered shares exceeding the limit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shall be entered in the share register as shares without voting rights.</w:t>
      </w:r>
    </w:p>
    <w:p>
      <w:pPr>
        <w:spacing w:after="0" w:line="200" w:lineRule="exact"/>
        <w:rPr>
          <w:sz w:val="20"/>
          <w:szCs w:val="20"/>
          <w:color w:val="auto"/>
        </w:rPr>
      </w:pPr>
    </w:p>
    <w:p>
      <w:pPr>
        <w:spacing w:after="0" w:line="22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9</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une fiducie, compte discrétionnaire ou accord semblable; ou</w:t>
      </w:r>
    </w:p>
    <w:p>
      <w:pPr>
        <w:spacing w:after="0" w:line="35" w:lineRule="exact"/>
        <w:rPr>
          <w:sz w:val="20"/>
          <w:szCs w:val="20"/>
          <w:color w:val="auto"/>
        </w:rPr>
      </w:pPr>
    </w:p>
    <w:p>
      <w:pPr>
        <w:ind w:left="720" w:right="260" w:hanging="1"/>
        <w:spacing w:after="0" w:line="261" w:lineRule="auto"/>
        <w:tabs>
          <w:tab w:leader="none" w:pos="101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conformément à la résiliation automatique d’une fiducie, compte discrétionnaire ou accord semblable.</w:t>
      </w:r>
    </w:p>
    <w:p>
      <w:pPr>
        <w:spacing w:after="0" w:line="81"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 xml:space="preserve">La limite de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du capital-actions nominatif s’applique également à la souscription ou l’acquisition d’actions nominatives par l’exercice d’options ou de droits convertibles découlant de titres nominatifs ou au porteur ou d’autres titres émis par la société ou par des tiers, ainsi que par le biais de l’exercice de droits de souscription préférentiels achetés découlant d’actions nominatives ou au porteur. Les actions nominatives dépassant la limite de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sont inscrites dans le registre des actions comme des actions sans droit de vote.</w:t>
      </w:r>
    </w:p>
    <w:p>
      <w:pPr>
        <w:spacing w:after="0" w:line="20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Le conseil d’administration peut dans des cas particuliers approuver des exceptions aux règles précitées. Il est en outre autorisé, après consultation avec la personne concernée, de supprimer avec effet rétroactif des inscriptions du registre des actions qui ont été effectuées sur la base de fausses informations.</w:t>
      </w:r>
    </w:p>
    <w:p>
      <w:pPr>
        <w:spacing w:after="0" w:line="200" w:lineRule="exact"/>
        <w:rPr>
          <w:sz w:val="20"/>
          <w:szCs w:val="20"/>
          <w:color w:val="auto"/>
        </w:rPr>
      </w:pPr>
    </w:p>
    <w:p>
      <w:pPr>
        <w:sectPr>
          <w:pgSz w:w="11900" w:h="16838" w:orient="portrait"/>
          <w:cols w:equalWidth="0" w:num="2">
            <w:col w:w="5680" w:space="380"/>
            <w:col w:w="5360"/>
          </w:cols>
          <w:pgMar w:left="240" w:top="274" w:right="239" w:bottom="1440" w:gutter="0" w:footer="0" w:header="0"/>
        </w:sectPr>
      </w:pPr>
    </w:p>
    <w:p>
      <w:pPr>
        <w:spacing w:after="0" w:line="9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5</w:t>
      </w:r>
      <w:r>
        <w:rPr>
          <w:sz w:val="20"/>
          <w:szCs w:val="20"/>
          <w:color w:val="auto"/>
        </w:rPr>
        <w:tab/>
      </w:r>
      <w:r>
        <w:rPr>
          <w:rFonts w:ascii="Arial" w:cs="Arial" w:eastAsia="Arial" w:hAnsi="Arial"/>
          <w:sz w:val="16"/>
          <w:szCs w:val="16"/>
          <w:b w:val="1"/>
          <w:bCs w:val="1"/>
          <w:color w:val="auto"/>
        </w:rPr>
        <w:t>Share Certificates and Intermediated Securities</w:t>
      </w:r>
    </w:p>
    <w:p>
      <w:pPr>
        <w:spacing w:after="0" w:line="1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may issue registered shares in the form of single certificates, global certificates and uncertificated securities. Under the conditions set forth by statutory law, the Company may convert its registered shares from one form into another form at any time and without the approval of the shareholders.</w:t>
      </w:r>
    </w:p>
    <w:p>
      <w:pPr>
        <w:spacing w:after="0" w:line="3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shareholder has no right to demand a conversion of the registered shares. Each shareholder may, however, at any time request a written confirmation from the Company of the registered shares held by such shareholder, as reflected in the share register.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5</w:t>
      </w:r>
      <w:r>
        <w:rPr>
          <w:sz w:val="20"/>
          <w:szCs w:val="20"/>
          <w:color w:val="auto"/>
        </w:rPr>
        <w:tab/>
      </w:r>
      <w:r>
        <w:rPr>
          <w:rFonts w:ascii="Arial" w:cs="Arial" w:eastAsia="Arial" w:hAnsi="Arial"/>
          <w:sz w:val="16"/>
          <w:szCs w:val="16"/>
          <w:b w:val="1"/>
          <w:bCs w:val="1"/>
          <w:color w:val="auto"/>
        </w:rPr>
        <w:t>Certificats d’actions et titres intermédiés</w:t>
      </w:r>
    </w:p>
    <w:p>
      <w:pPr>
        <w:spacing w:after="0" w:line="13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La société peut émettre des actions nominatives sous forme de certificats individuels, de certificats globaux et de titres dématérialisés. Dans les conditions prévues par la loi, la société peut convertir ses actions nominatives d’une forme en une autre forme, à tout moment et sans l’approbation des actionnaires.</w:t>
      </w:r>
    </w:p>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L’actionnaire n’a pas le droit d’exiger une conversion d’actions nominatives. Chaque actionnaire peut toutefois, à tout moment, demander une confirmation écrite de la société du nombres d’actions nominatives détenues par cet actionnaire telles qu’inscrites au registre du commerce.</w:t>
      </w:r>
    </w:p>
    <w:p>
      <w:pPr>
        <w:sectPr>
          <w:pgSz w:w="11900" w:h="16838" w:orient="portrait"/>
          <w:cols w:equalWidth="0" w:num="2">
            <w:col w:w="5700" w:space="360"/>
            <w:col w:w="5360"/>
          </w:cols>
          <w:pgMar w:left="240" w:top="274" w:right="239" w:bottom="1440" w:gutter="0" w:footer="0" w:header="0"/>
          <w:type w:val="continuous"/>
        </w:sectPr>
      </w:pPr>
    </w:p>
    <w:bookmarkStart w:id="290" w:name="page291"/>
    <w:bookmarkEnd w:id="2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 Immune SA</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transfer of intermediated securities and the pledging of these intermediated securities shall be based on the provisions of the Swiss Federal Intermediated Securities Act. Transfer of propriety as collateral by means of written assignment are not permitted.</w:t>
      </w:r>
    </w:p>
    <w:p>
      <w:pPr>
        <w:spacing w:after="0" w:line="2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6</w:t>
      </w:r>
      <w:r>
        <w:rPr>
          <w:sz w:val="20"/>
          <w:szCs w:val="20"/>
          <w:color w:val="auto"/>
        </w:rPr>
        <w:tab/>
      </w:r>
      <w:r>
        <w:rPr>
          <w:rFonts w:ascii="Arial" w:cs="Arial" w:eastAsia="Arial" w:hAnsi="Arial"/>
          <w:sz w:val="15"/>
          <w:szCs w:val="15"/>
          <w:b w:val="1"/>
          <w:bCs w:val="1"/>
          <w:color w:val="auto"/>
        </w:rPr>
        <w:t>Exercise of Shareholders Rights</w:t>
      </w:r>
    </w:p>
    <w:p>
      <w:pPr>
        <w:spacing w:after="0" w:line="13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shares are indivisible and the Company recognizes only one single representative per share.</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right to vote and the other rights pertaining to a registered share may only be exercised by a shareholder, a usufructuary or a nominee who is registered with the right to vote in the share register and by persons who are entitled by law to the voting rights of a share.</w:t>
      </w:r>
    </w:p>
    <w:p>
      <w:pPr>
        <w:spacing w:after="0" w:line="276" w:lineRule="exact"/>
        <w:rPr>
          <w:sz w:val="20"/>
          <w:szCs w:val="20"/>
          <w:color w:val="auto"/>
        </w:rPr>
      </w:pPr>
    </w:p>
    <w:p>
      <w:pPr>
        <w:ind w:right="2600" w:firstLine="8"/>
        <w:spacing w:after="0" w:line="378" w:lineRule="auto"/>
        <w:tabs>
          <w:tab w:leader="none" w:pos="705"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STRUCTURE Art. 7 Organization</w:t>
      </w:r>
    </w:p>
    <w:p>
      <w:pPr>
        <w:spacing w:after="0"/>
        <w:rPr>
          <w:sz w:val="20"/>
          <w:szCs w:val="20"/>
          <w:color w:val="auto"/>
        </w:rPr>
      </w:pPr>
      <w:r>
        <w:rPr>
          <w:rFonts w:ascii="Arial" w:cs="Arial" w:eastAsia="Arial" w:hAnsi="Arial"/>
          <w:sz w:val="18"/>
          <w:szCs w:val="18"/>
          <w:color w:val="auto"/>
        </w:rPr>
        <w:t>The corporate bodies are:</w:t>
      </w:r>
    </w:p>
    <w:p>
      <w:pPr>
        <w:spacing w:after="0" w:line="117" w:lineRule="exact"/>
        <w:rPr>
          <w:sz w:val="20"/>
          <w:szCs w:val="20"/>
          <w:color w:val="auto"/>
        </w:rPr>
      </w:pPr>
    </w:p>
    <w:p>
      <w:pPr>
        <w:ind w:left="480" w:hanging="472"/>
        <w:spacing w:after="0"/>
        <w:tabs>
          <w:tab w:leader="none" w:pos="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General Meeting;</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Board of Directors;</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Auditors.</w:t>
      </w:r>
    </w:p>
    <w:p>
      <w:pPr>
        <w:spacing w:after="0" w:line="3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THE GENERAL MEETING</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8</w:t>
      </w:r>
      <w:r>
        <w:rPr>
          <w:sz w:val="20"/>
          <w:szCs w:val="20"/>
          <w:color w:val="auto"/>
        </w:rPr>
        <w:tab/>
      </w:r>
      <w:r>
        <w:rPr>
          <w:rFonts w:ascii="Arial" w:cs="Arial" w:eastAsia="Arial" w:hAnsi="Arial"/>
          <w:sz w:val="15"/>
          <w:szCs w:val="15"/>
          <w:b w:val="1"/>
          <w:bCs w:val="1"/>
          <w:color w:val="auto"/>
        </w:rPr>
        <w:t>Powers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General Meeting is the supreme body of the Company. It has the following non delegable powers:</w:t>
      </w:r>
    </w:p>
    <w:p>
      <w:pPr>
        <w:spacing w:after="0" w:line="62" w:lineRule="exact"/>
        <w:rPr>
          <w:sz w:val="20"/>
          <w:szCs w:val="20"/>
          <w:color w:val="auto"/>
        </w:rPr>
      </w:pPr>
    </w:p>
    <w:p>
      <w:pPr>
        <w:ind w:left="480" w:right="180" w:hanging="472"/>
        <w:spacing w:after="0" w:line="277" w:lineRule="auto"/>
        <w:tabs>
          <w:tab w:leader="none" w:pos="4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adopt and amend the Articles of Association (Articles 651a, 652g, 653g und 653i CO remain reserved);</w:t>
      </w:r>
    </w:p>
    <w:p>
      <w:pPr>
        <w:spacing w:after="0" w:line="62" w:lineRule="exact"/>
        <w:rPr>
          <w:rFonts w:ascii="Arial" w:cs="Arial" w:eastAsia="Arial" w:hAnsi="Arial"/>
          <w:sz w:val="18"/>
          <w:szCs w:val="18"/>
          <w:color w:val="auto"/>
        </w:rPr>
      </w:pPr>
    </w:p>
    <w:p>
      <w:pPr>
        <w:ind w:left="480" w:hanging="472"/>
        <w:spacing w:after="0" w:line="286" w:lineRule="auto"/>
        <w:tabs>
          <w:tab w:leader="none" w:pos="4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to elect and remove the members of the Board of Directors, the Chairman of the Board of Directors, the members of the Compensation Committee, the Auditors and the Independent Proxy;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10</w:t>
      </w:r>
    </w:p>
    <w:p>
      <w:pPr>
        <w:spacing w:after="0" w:line="15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Le transfert des titres intermédiés et la mise en gage de ces titres intermédiés suivent les dispositions de la Loi fédérale sur les titres intermédiés. Le transfert de propriété à titre de sûreté par cession écrite n’est pas autorisé.</w:t>
      </w:r>
    </w:p>
    <w:p>
      <w:pPr>
        <w:spacing w:after="0" w:line="2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6</w:t>
      </w:r>
      <w:r>
        <w:rPr>
          <w:sz w:val="20"/>
          <w:szCs w:val="20"/>
          <w:color w:val="auto"/>
        </w:rPr>
        <w:tab/>
      </w:r>
      <w:r>
        <w:rPr>
          <w:rFonts w:ascii="Arial" w:cs="Arial" w:eastAsia="Arial" w:hAnsi="Arial"/>
          <w:sz w:val="15"/>
          <w:szCs w:val="15"/>
          <w:b w:val="1"/>
          <w:bCs w:val="1"/>
          <w:color w:val="auto"/>
        </w:rPr>
        <w:t>Exercice des droits des actionnaires</w:t>
      </w:r>
    </w:p>
    <w:p>
      <w:pPr>
        <w:spacing w:after="0" w:line="13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Les actions sont indivisibles et la société ne reconnaît qu’un seul représentant par action.</w:t>
      </w:r>
    </w:p>
    <w:p>
      <w:pPr>
        <w:spacing w:after="0" w:line="18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Le droit de vote et les autres droits relatifs à une action nominative ne peut être exercé que par un actionnaire, un usufruitier ou un candidat qui est inscrit avec le droit de vote dans le registre des actions et par des personnes autorisées par la loi à exercer les droits de vote d’une action.</w:t>
      </w:r>
    </w:p>
    <w:p>
      <w:pPr>
        <w:spacing w:after="0" w:line="258" w:lineRule="exact"/>
        <w:rPr>
          <w:sz w:val="20"/>
          <w:szCs w:val="20"/>
          <w:color w:val="auto"/>
        </w:rPr>
      </w:pPr>
    </w:p>
    <w:p>
      <w:pPr>
        <w:ind w:right="2440" w:firstLine="4"/>
        <w:spacing w:after="0" w:line="378" w:lineRule="auto"/>
        <w:tabs>
          <w:tab w:leader="none" w:pos="48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STRUCTURE DE LA SOCIÉTÉ Art. 7 Organisation</w:t>
      </w:r>
    </w:p>
    <w:p>
      <w:pPr>
        <w:spacing w:after="0"/>
        <w:rPr>
          <w:sz w:val="20"/>
          <w:szCs w:val="20"/>
          <w:color w:val="auto"/>
        </w:rPr>
      </w:pPr>
      <w:r>
        <w:rPr>
          <w:rFonts w:ascii="Arial" w:cs="Arial" w:eastAsia="Arial" w:hAnsi="Arial"/>
          <w:sz w:val="18"/>
          <w:szCs w:val="18"/>
          <w:color w:val="auto"/>
        </w:rPr>
        <w:t>Les organes de la société sont:</w:t>
      </w:r>
    </w:p>
    <w:p>
      <w:pPr>
        <w:spacing w:after="0" w:line="117" w:lineRule="exact"/>
        <w:rPr>
          <w:sz w:val="20"/>
          <w:szCs w:val="20"/>
          <w:color w:val="auto"/>
        </w:rPr>
      </w:pPr>
    </w:p>
    <w:p>
      <w:pPr>
        <w:ind w:left="440" w:hanging="436"/>
        <w:spacing w:after="0"/>
        <w:tabs>
          <w:tab w:leader="none" w:pos="4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L’assemblé générale;</w:t>
      </w:r>
    </w:p>
    <w:p>
      <w:pPr>
        <w:spacing w:after="0" w:line="117" w:lineRule="exact"/>
        <w:rPr>
          <w:rFonts w:ascii="Arial" w:cs="Arial" w:eastAsia="Arial" w:hAnsi="Arial"/>
          <w:sz w:val="18"/>
          <w:szCs w:val="18"/>
          <w:color w:val="auto"/>
        </w:rPr>
      </w:pPr>
    </w:p>
    <w:p>
      <w:pPr>
        <w:ind w:left="440" w:hanging="436"/>
        <w:spacing w:after="0"/>
        <w:tabs>
          <w:tab w:leader="none" w:pos="4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Le conseil d’administration;</w:t>
      </w:r>
    </w:p>
    <w:p>
      <w:pPr>
        <w:spacing w:after="0" w:line="117" w:lineRule="exact"/>
        <w:rPr>
          <w:rFonts w:ascii="Arial" w:cs="Arial" w:eastAsia="Arial" w:hAnsi="Arial"/>
          <w:sz w:val="18"/>
          <w:szCs w:val="18"/>
          <w:color w:val="auto"/>
        </w:rPr>
      </w:pPr>
    </w:p>
    <w:p>
      <w:pPr>
        <w:ind w:left="440" w:hanging="436"/>
        <w:spacing w:after="0"/>
        <w:tabs>
          <w:tab w:leader="none" w:pos="4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l’organe de révision.</w:t>
      </w:r>
    </w:p>
    <w:p>
      <w:pPr>
        <w:spacing w:after="0" w:line="3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tab/>
        <w:t>L’ASSEMBLÉE GÉNÉRALE</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8</w:t>
      </w:r>
      <w:r>
        <w:rPr>
          <w:sz w:val="20"/>
          <w:szCs w:val="20"/>
          <w:color w:val="auto"/>
        </w:rPr>
        <w:tab/>
      </w:r>
      <w:r>
        <w:rPr>
          <w:rFonts w:ascii="Arial" w:cs="Arial" w:eastAsia="Arial" w:hAnsi="Arial"/>
          <w:sz w:val="15"/>
          <w:szCs w:val="15"/>
          <w:b w:val="1"/>
          <w:bCs w:val="1"/>
          <w:color w:val="auto"/>
        </w:rPr>
        <w:t>Pouvoirs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L’assemblée générale des actionnaires est le pouvoir suprême de la société.</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Elle a les droits intransmissibles suivants:</w:t>
      </w:r>
    </w:p>
    <w:p>
      <w:pPr>
        <w:spacing w:after="0" w:line="103" w:lineRule="exact"/>
        <w:rPr>
          <w:sz w:val="20"/>
          <w:szCs w:val="20"/>
          <w:color w:val="auto"/>
        </w:rPr>
      </w:pPr>
    </w:p>
    <w:p>
      <w:pPr>
        <w:ind w:left="440" w:right="140" w:hanging="436"/>
        <w:spacing w:after="0" w:line="277" w:lineRule="auto"/>
        <w:tabs>
          <w:tab w:leader="none" w:pos="4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adapter et modifier les statuts (articles 651a, 652g, 653g et 653i CO sont réservés);</w:t>
      </w:r>
    </w:p>
    <w:p>
      <w:pPr>
        <w:spacing w:after="0" w:line="62" w:lineRule="exact"/>
        <w:rPr>
          <w:rFonts w:ascii="Arial" w:cs="Arial" w:eastAsia="Arial" w:hAnsi="Arial"/>
          <w:sz w:val="18"/>
          <w:szCs w:val="18"/>
          <w:color w:val="auto"/>
        </w:rPr>
      </w:pPr>
    </w:p>
    <w:p>
      <w:pPr>
        <w:jc w:val="both"/>
        <w:ind w:left="440" w:right="360" w:hanging="436"/>
        <w:spacing w:after="0" w:line="312" w:lineRule="auto"/>
        <w:tabs>
          <w:tab w:leader="none" w:pos="4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nommer et révoquer les membres du conseil d’administration, le président du conseil d’administration, les membres du comité de rémunération, l’organe de révision et le mandataire indépendant;</w:t>
      </w:r>
    </w:p>
    <w:p>
      <w:pPr>
        <w:sectPr>
          <w:pgSz w:w="11900" w:h="16838" w:orient="portrait"/>
          <w:cols w:equalWidth="0" w:num="2">
            <w:col w:w="5600" w:space="360"/>
            <w:col w:w="5460"/>
          </w:cols>
          <w:pgMar w:left="240" w:top="274" w:right="23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 Immune SA</w:t>
      </w:r>
    </w:p>
    <w:p>
      <w:pPr>
        <w:spacing w:after="0" w:line="158" w:lineRule="exact"/>
        <w:rPr>
          <w:sz w:val="20"/>
          <w:szCs w:val="20"/>
          <w:color w:val="auto"/>
        </w:rPr>
      </w:pPr>
    </w:p>
    <w:p>
      <w:pPr>
        <w:ind w:left="480" w:right="260" w:hanging="472"/>
        <w:spacing w:after="0" w:line="264" w:lineRule="auto"/>
        <w:tabs>
          <w:tab w:leader="none" w:pos="4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approve the management report and the annual accounts and to determine the allocation of profits, in particular with regard to dividends and bonus payments;</w:t>
      </w:r>
    </w:p>
    <w:p>
      <w:pPr>
        <w:spacing w:after="0" w:line="73" w:lineRule="exact"/>
        <w:rPr>
          <w:rFonts w:ascii="Arial" w:cs="Arial" w:eastAsia="Arial" w:hAnsi="Arial"/>
          <w:sz w:val="18"/>
          <w:szCs w:val="18"/>
          <w:color w:val="auto"/>
        </w:rPr>
      </w:pPr>
    </w:p>
    <w:p>
      <w:pPr>
        <w:ind w:left="480" w:right="520" w:hanging="472"/>
        <w:spacing w:after="0" w:line="277" w:lineRule="auto"/>
        <w:tabs>
          <w:tab w:leader="none" w:pos="4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discharge the members of the Board of Directors and of the Executive Committee;</w:t>
      </w:r>
    </w:p>
    <w:p>
      <w:pPr>
        <w:spacing w:after="0" w:line="62" w:lineRule="exact"/>
        <w:rPr>
          <w:rFonts w:ascii="Arial" w:cs="Arial" w:eastAsia="Arial" w:hAnsi="Arial"/>
          <w:sz w:val="18"/>
          <w:szCs w:val="18"/>
          <w:color w:val="auto"/>
        </w:rPr>
      </w:pPr>
    </w:p>
    <w:p>
      <w:pPr>
        <w:ind w:left="480" w:right="40" w:hanging="472"/>
        <w:spacing w:after="0" w:line="308" w:lineRule="auto"/>
        <w:tabs>
          <w:tab w:leader="none" w:pos="48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to approve the total compensation paid to the Board of Directors and the Executive Committee as per Articles 32 and 33 below;</w:t>
      </w:r>
    </w:p>
    <w:p>
      <w:pPr>
        <w:spacing w:after="0" w:line="254" w:lineRule="exact"/>
        <w:rPr>
          <w:rFonts w:ascii="Arial" w:cs="Arial" w:eastAsia="Arial" w:hAnsi="Arial"/>
          <w:sz w:val="17"/>
          <w:szCs w:val="17"/>
          <w:color w:val="auto"/>
        </w:rPr>
      </w:pPr>
    </w:p>
    <w:p>
      <w:pPr>
        <w:ind w:left="480" w:right="160" w:hanging="472"/>
        <w:spacing w:after="0" w:line="264" w:lineRule="auto"/>
        <w:tabs>
          <w:tab w:leader="none" w:pos="4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pass resolutions concerning all matters which are reserved to the authority of the General Meeting by law or by the Articles of Association.</w:t>
      </w:r>
    </w:p>
    <w:p>
      <w:pPr>
        <w:spacing w:after="0" w:line="2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Art. 9</w:t>
      </w:r>
      <w:r>
        <w:rPr>
          <w:sz w:val="20"/>
          <w:szCs w:val="20"/>
          <w:color w:val="auto"/>
        </w:rPr>
        <w:tab/>
      </w:r>
      <w:r>
        <w:rPr>
          <w:rFonts w:ascii="Arial" w:cs="Arial" w:eastAsia="Arial" w:hAnsi="Arial"/>
          <w:sz w:val="17"/>
          <w:szCs w:val="17"/>
          <w:b w:val="1"/>
          <w:bCs w:val="1"/>
          <w:color w:val="auto"/>
        </w:rPr>
        <w:t>Ordinary General Meeting</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Ordinary General Meeting shall be held annually within six months after the close of the business year at such time and at such location, which may be within or outside Switzerland, as determined by the Board of Directors.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10  Extraordinary General Meeting</w:t>
      </w:r>
    </w:p>
    <w:p>
      <w:pPr>
        <w:spacing w:after="0" w:line="13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Extraordinary General Meetings may be called by resolution of the General Meeting, the Auditors or the Board of Directors, or by shareholders with voting powers, provided they represent at least 10% of the share capital and who submit (a)(1) a request signed by such shareholder(s) that specifies the item(s) to be included on the agenda, (2) the respective proposals of the shareholders and (3) evidence of the required shareholdings recorded in the share register and (b) such other information as would be required to be included in a proxy statement pursuant to the rules of the country where the Company’s shares are primarily listed.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11</w:t>
      </w:r>
    </w:p>
    <w:p>
      <w:pPr>
        <w:spacing w:after="0" w:line="158" w:lineRule="exact"/>
        <w:rPr>
          <w:sz w:val="20"/>
          <w:szCs w:val="20"/>
          <w:color w:val="auto"/>
        </w:rPr>
      </w:pPr>
    </w:p>
    <w:p>
      <w:pPr>
        <w:ind w:left="448" w:right="400" w:hanging="448"/>
        <w:spacing w:after="0" w:line="264" w:lineRule="auto"/>
        <w:tabs>
          <w:tab w:leader="none" w:pos="44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approuver le rapport de gestion et les comptes annuels et déterminer la répartition des bénéfices, en particulier en ce qui concerne les dividendes et les bonus;</w:t>
      </w:r>
    </w:p>
    <w:p>
      <w:pPr>
        <w:spacing w:after="0" w:line="73" w:lineRule="exact"/>
        <w:rPr>
          <w:rFonts w:ascii="Arial" w:cs="Arial" w:eastAsia="Arial" w:hAnsi="Arial"/>
          <w:sz w:val="18"/>
          <w:szCs w:val="18"/>
          <w:color w:val="auto"/>
        </w:rPr>
      </w:pPr>
    </w:p>
    <w:p>
      <w:pPr>
        <w:ind w:left="448" w:right="300" w:hanging="448"/>
        <w:spacing w:after="0" w:line="277" w:lineRule="auto"/>
        <w:tabs>
          <w:tab w:leader="none" w:pos="44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donner décharge aux membres du conseil d’administration et au comité exécutif;</w:t>
      </w:r>
    </w:p>
    <w:p>
      <w:pPr>
        <w:spacing w:after="0" w:line="62" w:lineRule="exact"/>
        <w:rPr>
          <w:rFonts w:ascii="Arial" w:cs="Arial" w:eastAsia="Arial" w:hAnsi="Arial"/>
          <w:sz w:val="18"/>
          <w:szCs w:val="18"/>
          <w:color w:val="auto"/>
        </w:rPr>
      </w:pPr>
    </w:p>
    <w:p>
      <w:pPr>
        <w:ind w:left="448" w:right="40" w:hanging="448"/>
        <w:spacing w:after="0" w:line="264" w:lineRule="auto"/>
        <w:tabs>
          <w:tab w:leader="none" w:pos="44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approuver la rémunération totale versée au conseil d’administration et au comité exécutif conformément aux l’articles 32 et 33 ci-dessous;</w:t>
      </w:r>
    </w:p>
    <w:p>
      <w:pPr>
        <w:spacing w:after="0" w:line="73" w:lineRule="exact"/>
        <w:rPr>
          <w:rFonts w:ascii="Arial" w:cs="Arial" w:eastAsia="Arial" w:hAnsi="Arial"/>
          <w:sz w:val="18"/>
          <w:szCs w:val="18"/>
          <w:color w:val="auto"/>
        </w:rPr>
      </w:pPr>
    </w:p>
    <w:p>
      <w:pPr>
        <w:ind w:left="448" w:right="340" w:hanging="448"/>
        <w:spacing w:after="0" w:line="308" w:lineRule="auto"/>
        <w:tabs>
          <w:tab w:leader="none" w:pos="44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prendre les décisions sur toutes les affaires qui sont attribuées à l’assemblée générale par la loi ou les statuts.</w:t>
      </w:r>
    </w:p>
    <w:p>
      <w:pPr>
        <w:spacing w:after="0" w:line="200" w:lineRule="exact"/>
        <w:rPr>
          <w:sz w:val="20"/>
          <w:szCs w:val="20"/>
          <w:color w:val="auto"/>
        </w:rPr>
      </w:pPr>
    </w:p>
    <w:p>
      <w:pPr>
        <w:spacing w:after="0" w:line="267" w:lineRule="exact"/>
        <w:rPr>
          <w:sz w:val="20"/>
          <w:szCs w:val="20"/>
          <w:color w:val="auto"/>
        </w:rPr>
      </w:pPr>
    </w:p>
    <w:p>
      <w:pPr>
        <w:ind w:left="8"/>
        <w:spacing w:after="0"/>
        <w:tabs>
          <w:tab w:leader="none" w:pos="728" w:val="left"/>
        </w:tabs>
        <w:rPr>
          <w:sz w:val="20"/>
          <w:szCs w:val="20"/>
          <w:color w:val="auto"/>
        </w:rPr>
      </w:pPr>
      <w:r>
        <w:rPr>
          <w:rFonts w:ascii="Arial" w:cs="Arial" w:eastAsia="Arial" w:hAnsi="Arial"/>
          <w:sz w:val="18"/>
          <w:szCs w:val="18"/>
          <w:b w:val="1"/>
          <w:bCs w:val="1"/>
          <w:color w:val="auto"/>
        </w:rPr>
        <w:t>Art. 9</w:t>
      </w:r>
      <w:r>
        <w:rPr>
          <w:sz w:val="20"/>
          <w:szCs w:val="20"/>
          <w:color w:val="auto"/>
        </w:rPr>
        <w:tab/>
      </w:r>
      <w:r>
        <w:rPr>
          <w:rFonts w:ascii="Arial" w:cs="Arial" w:eastAsia="Arial" w:hAnsi="Arial"/>
          <w:sz w:val="16"/>
          <w:szCs w:val="16"/>
          <w:b w:val="1"/>
          <w:bCs w:val="1"/>
          <w:color w:val="auto"/>
        </w:rPr>
        <w:t>Assemblée générale ordinaire</w:t>
      </w:r>
    </w:p>
    <w:p>
      <w:pPr>
        <w:spacing w:after="0" w:line="135" w:lineRule="exact"/>
        <w:rPr>
          <w:sz w:val="20"/>
          <w:szCs w:val="20"/>
          <w:color w:val="auto"/>
        </w:rPr>
      </w:pPr>
    </w:p>
    <w:p>
      <w:pPr>
        <w:ind w:left="8" w:right="60"/>
        <w:spacing w:after="0" w:line="312" w:lineRule="auto"/>
        <w:rPr>
          <w:sz w:val="20"/>
          <w:szCs w:val="20"/>
          <w:color w:val="auto"/>
        </w:rPr>
      </w:pPr>
      <w:r>
        <w:rPr>
          <w:rFonts w:ascii="Arial" w:cs="Arial" w:eastAsia="Arial" w:hAnsi="Arial"/>
          <w:sz w:val="16"/>
          <w:szCs w:val="16"/>
          <w:color w:val="auto"/>
        </w:rPr>
        <w:t>L’assemblée générale ordinaire aura lieu chaque année dans les six mois qui suivent la clôture de l’exercice à la date et à l’endroit, qui peut être en ou hors de la Suisse, tel que déterminé par le conseil d’administration.</w:t>
      </w:r>
    </w:p>
    <w:p>
      <w:pPr>
        <w:spacing w:after="0" w:line="200" w:lineRule="exact"/>
        <w:rPr>
          <w:sz w:val="20"/>
          <w:szCs w:val="20"/>
          <w:color w:val="auto"/>
        </w:rPr>
      </w:pPr>
    </w:p>
    <w:p>
      <w:pPr>
        <w:spacing w:after="0" w:line="280" w:lineRule="exact"/>
        <w:rPr>
          <w:sz w:val="20"/>
          <w:szCs w:val="20"/>
          <w:color w:val="auto"/>
        </w:rPr>
      </w:pPr>
    </w:p>
    <w:p>
      <w:pPr>
        <w:ind w:left="8"/>
        <w:spacing w:after="0"/>
        <w:tabs>
          <w:tab w:leader="none" w:pos="728" w:val="left"/>
        </w:tabs>
        <w:rPr>
          <w:sz w:val="20"/>
          <w:szCs w:val="20"/>
          <w:color w:val="auto"/>
        </w:rPr>
      </w:pPr>
      <w:r>
        <w:rPr>
          <w:rFonts w:ascii="Arial" w:cs="Arial" w:eastAsia="Arial" w:hAnsi="Arial"/>
          <w:sz w:val="18"/>
          <w:szCs w:val="18"/>
          <w:b w:val="1"/>
          <w:bCs w:val="1"/>
          <w:color w:val="auto"/>
        </w:rPr>
        <w:t>Art. 10</w:t>
      </w:r>
      <w:r>
        <w:rPr>
          <w:sz w:val="20"/>
          <w:szCs w:val="20"/>
          <w:color w:val="auto"/>
        </w:rPr>
        <w:tab/>
      </w:r>
      <w:r>
        <w:rPr>
          <w:rFonts w:ascii="Arial" w:cs="Arial" w:eastAsia="Arial" w:hAnsi="Arial"/>
          <w:sz w:val="16"/>
          <w:szCs w:val="16"/>
          <w:b w:val="1"/>
          <w:bCs w:val="1"/>
          <w:color w:val="auto"/>
        </w:rPr>
        <w:t>Assemblée générale extraordinaire</w:t>
      </w:r>
    </w:p>
    <w:p>
      <w:pPr>
        <w:spacing w:after="0" w:line="135" w:lineRule="exact"/>
        <w:rPr>
          <w:sz w:val="20"/>
          <w:szCs w:val="20"/>
          <w:color w:val="auto"/>
        </w:rPr>
      </w:pPr>
    </w:p>
    <w:p>
      <w:pPr>
        <w:ind w:left="8" w:right="160"/>
        <w:spacing w:after="0" w:line="286" w:lineRule="auto"/>
        <w:rPr>
          <w:sz w:val="20"/>
          <w:szCs w:val="20"/>
          <w:color w:val="auto"/>
        </w:rPr>
      </w:pPr>
      <w:r>
        <w:rPr>
          <w:rFonts w:ascii="Arial" w:cs="Arial" w:eastAsia="Arial" w:hAnsi="Arial"/>
          <w:sz w:val="16"/>
          <w:szCs w:val="16"/>
          <w:color w:val="auto"/>
        </w:rPr>
        <w:t>Les assemblées générales extraordinaires peuvent être convoquées par décision de l’assemblée générale, l’organe de révision ou le conseil d’administration, ou par des actionnaires avec droit de vote, à condition qu’ils représentent au moins 10% du capital-actions et qu’ils soumettent</w:t>
      </w:r>
    </w:p>
    <w:p>
      <w:pPr>
        <w:spacing w:after="0" w:line="2" w:lineRule="exact"/>
        <w:rPr>
          <w:sz w:val="20"/>
          <w:szCs w:val="20"/>
          <w:color w:val="auto"/>
        </w:rPr>
      </w:pPr>
    </w:p>
    <w:p>
      <w:pPr>
        <w:ind w:left="8" w:right="120" w:hanging="8"/>
        <w:spacing w:after="0" w:line="290" w:lineRule="auto"/>
        <w:tabs>
          <w:tab w:leader="none" w:pos="253" w:val="left"/>
        </w:tabs>
        <w:numPr>
          <w:ilvl w:val="0"/>
          <w:numId w:val="231"/>
        </w:numPr>
        <w:rPr>
          <w:rFonts w:ascii="Arial" w:cs="Arial" w:eastAsia="Arial" w:hAnsi="Arial"/>
          <w:sz w:val="16"/>
          <w:szCs w:val="16"/>
          <w:color w:val="auto"/>
        </w:rPr>
      </w:pPr>
      <w:r>
        <w:rPr>
          <w:rFonts w:ascii="Arial" w:cs="Arial" w:eastAsia="Arial" w:hAnsi="Arial"/>
          <w:sz w:val="16"/>
          <w:szCs w:val="16"/>
          <w:color w:val="auto"/>
        </w:rPr>
        <w:t>(1) une demande signée par le(s)dit(s) actionnaire(s) qui spécifie les objets à faire figurer sur l’ordre du jour, (2) les propositions respectives de ces actionnaires et (3) la preuve des participations requises inscrites dans le registre des actions et (b) les autres informations qui doivent être mentionnées dans une déclaration (proxy statement) conformément aux règles du pays où les actions de la société sont principalement cotées.</w:t>
      </w:r>
    </w:p>
    <w:p>
      <w:pPr>
        <w:sectPr>
          <w:pgSz w:w="11900" w:h="16838" w:orient="portrait"/>
          <w:cols w:equalWidth="0" w:num="2">
            <w:col w:w="5460" w:space="612"/>
            <w:col w:w="5348"/>
          </w:cols>
          <w:pgMar w:left="240" w:top="274" w:right="23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 Immune SA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11  Notice and Agenda of Shareholders’ Meetings</w:t>
      </w:r>
    </w:p>
    <w:p>
      <w:pPr>
        <w:spacing w:after="0" w:line="1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Notice of a General Meeting of Shareholders shall be given by the Board of Directors or, if necessary, by the Auditor, not later than twenty calendar days prior to the date of the General Meeting of Shareholders. Notice of the General Meeting of Shareholders shall be given by way of a one-time announcement in the official means of publication of the Company pursuant to Article 46 of these Articles of Association. The notice period shall be deemed to have been observed if notice of the General Meeting of Shareholders is published in such official means of publication, it being understood that the date of publication shall not be computed in the notice period. Shareholders of record may in addition be informed of the General Meeting of Shareholders by ordinary mail or e-mail.</w:t>
      </w:r>
    </w:p>
    <w:p>
      <w:pPr>
        <w:spacing w:after="0" w:line="18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notice of a General Meeting of Shareholders shall specify the items on the agenda and the proposals of the Board of Directors and the shareholder(s) who requested that a General Meeting of Shareholders be held or an item be included on the agenda, and, in the event of elections, the name(s) of the candidate(s) that has or have been put on the ballot for election.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shall state the matters on the agenda.</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Shareholders who represent an aggregate of at least 10 percent of the share capital or together representing shares with a nominal value of 1 million Swiss francs may demand that an item be placed on the agenda of a General Meeting of Shareholders. A request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12</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 11  Convocations et ordres du jour des assemblées générales</w:t>
      </w:r>
    </w:p>
    <w:p>
      <w:pPr>
        <w:spacing w:after="0" w:line="14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L’assemblée générale est convoquée par le conseil d’administration ou, si nécessaire, par l’organe de révision, au moins 20 jours avant la tenue de l’assemblée générale des actionnaires. La convocation à l’assemblée générale des actionnaires doit être faite au moyen d’une seule publication conformément à l’article 46 de ces statuts. La période de préavis sera réputée avoir été respectée si la convocation à l’assemblée générale des actionnaires est publiée conformément à l’article 46 de ces statuts, étant entendu que la date de publication ne doit pas être calculée dans la période de préavis. Les actionnaires inscrits peuvent en outre être informés de l’assemblée générale des actionnaires par courrier ordinaire ou par e-mail.</w:t>
      </w:r>
    </w:p>
    <w:p>
      <w:pPr>
        <w:spacing w:after="0" w:line="1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La convocation à l’assemblée générale des actionnaires doit préciser les objets de l’ordre du jour et les propositions du conseil d’administration et l’/les actionnaire(s) qui a/ont demandé que l’assemblée générale des actionnaires ait lieu ou qu’un objet soit inscrit à l’ordre du jour, et, dans le cas d’élections, le/les nom(s) du/des candidat(s) qui a ou ont été mis sur le bulletin de vote pour l’élection.</w:t>
      </w:r>
    </w:p>
    <w:p>
      <w:pPr>
        <w:spacing w:after="0" w:line="178"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Le conseil d’administration doit indiquer les objets de l’ordre du jour.</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Les actionnaires qui représentent un total d’au moins 10 pour cent du capital-actions ou qui représentent ensemble une valeur nominale de CHF 1 million d’actions peuvent exiger qu’un objet soit inscrit à l’ordre du jour d’une assemblée générale des</w:t>
      </w:r>
    </w:p>
    <w:p>
      <w:pPr>
        <w:sectPr>
          <w:pgSz w:w="11900" w:h="16838" w:orient="portrait"/>
          <w:cols w:equalWidth="0" w:num="2">
            <w:col w:w="5700" w:space="360"/>
            <w:col w:w="5360"/>
          </w:cols>
          <w:pgMar w:left="240" w:top="274" w:right="23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inclusion of an item on the agenda must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However, if no ordinary General Meeting of Shareholders was held in the previous year or if the date of the ordinary General Meeting of Shareholders has been changed by more than 30 calendar days from the date contemplated at the time of the previous year’s proxy statement, request for inclusion of an item on the agenda must be requested not fewer than the later of (i) 150 calendar days prior to the date of the contemplated annual General Meeting or (ii) the date which is ten calendar days after the date of the first public announcement or other notification to the shareholders of the date of the contemplated annual General Meeting. To be timely for an extraordinary General Meeting, a shareholder’s notice to the Secretary must be delivered to or mailed and received at the registered office of the Company not fewer than the later of (i) 120 calendar days before the date of the extraordinary General Meeting of Shareholders or (ii) the date which is ten calendar days after the date of the first public announcement or other notification to the shareholders of the date of the contemplated extraordinary General Meeting of Shareholders.</w:t>
      </w:r>
    </w:p>
    <w:p>
      <w:pPr>
        <w:spacing w:after="0" w:line="3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request for inclusion of an item on the agenda must include (i) a brief description of the business desired to be brought before the meeting and the reasons for conducting such business at the meeting; (ii) the name and address, as they appear on the Company’s register of shareholders, of the shareholder</w:t>
      </w:r>
    </w:p>
    <w:p>
      <w:pPr>
        <w:spacing w:after="0" w:line="20" w:lineRule="exact"/>
        <w:rPr>
          <w:sz w:val="20"/>
          <w:szCs w:val="20"/>
          <w:color w:val="auto"/>
        </w:rPr>
      </w:pPr>
      <w:r>
        <w:rPr>
          <w:sz w:val="20"/>
          <w:szCs w:val="20"/>
          <w:color w:val="auto"/>
        </w:rPr>
        <w:br w:type="column"/>
      </w:r>
    </w:p>
    <w:p>
      <w:pPr>
        <w:ind w:left="54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-201295</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actionnaires. Une demande d’inscription d’un objet à l’ordre du jour doit être faite par écrit et remise ou envoyée et reçue au siège de la société au moins 120 jours avant le premier anniversaire de la date à laquelle la déclaration (proxy statement) de la Société a été communiquée aux actionnaires lors de l’assemblée générale ordinaire des actionnaires de l’année précédente. Toutefois, si aucune assemblée générale ordinaire des actionnaires n’a eu lieu l’année précédente ou si la date de l’assemblée générale ordinaire des actionnaires a été modifiée de plus de 30 jours calendaires à compter de la date prévue au moment de la déclaration (proxy statement) de l’année précédente, une demande d’inscription d’un objet à l’ordre du jour doit être demandée au moins à la date la plus tardive entre (i) 150 jours calendaires avant la date de l’assemblée générale ordinaire envisagée ou (ii) la date qui est dix jours calendaires plus tard que la date de la première annonce publique ou autre notification aux actionnaires de la date envisagée de l’assemblée générale ordinaire. Pour être dans les délais pour une assemblée générale extraordinaire, l’avis d’un actionnaire au secrétaire doit être livré ou envoyé et reçu au siège de la société au moins à la date la plus tardive entre</w:t>
      </w:r>
    </w:p>
    <w:p>
      <w:pPr>
        <w:spacing w:after="0" w:line="13" w:lineRule="exact"/>
        <w:rPr>
          <w:sz w:val="20"/>
          <w:szCs w:val="20"/>
          <w:color w:val="auto"/>
        </w:rPr>
      </w:pPr>
    </w:p>
    <w:p>
      <w:pPr>
        <w:ind w:right="80" w:firstLine="9"/>
        <w:spacing w:after="0" w:line="320" w:lineRule="auto"/>
        <w:tabs>
          <w:tab w:leader="none" w:pos="215" w:val="left"/>
        </w:tabs>
        <w:numPr>
          <w:ilvl w:val="0"/>
          <w:numId w:val="232"/>
        </w:numPr>
        <w:rPr>
          <w:rFonts w:ascii="Arial" w:cs="Arial" w:eastAsia="Arial" w:hAnsi="Arial"/>
          <w:sz w:val="15"/>
          <w:szCs w:val="15"/>
          <w:color w:val="auto"/>
        </w:rPr>
      </w:pPr>
      <w:r>
        <w:rPr>
          <w:rFonts w:ascii="Arial" w:cs="Arial" w:eastAsia="Arial" w:hAnsi="Arial"/>
          <w:sz w:val="15"/>
          <w:szCs w:val="15"/>
          <w:color w:val="auto"/>
        </w:rPr>
        <w:t>120 jours calendaires avant la date de l’assemblée générale extraordinaire des actionnaires ou (ii) la date qui est dix jours calendaires plus tard que la date de la première annonce publique ou autre notification aux actionnaires de la date envisagée de l’assemblée générale extraordinaire des actionnaires.</w:t>
      </w:r>
    </w:p>
    <w:p>
      <w:pPr>
        <w:spacing w:after="0" w:line="14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Chaque demande d’inscription d’un objet à l’ordre du jour doit inclure (i) une brève description de l’affaire qui sera soumise à l’assemblée et les raisons pour lesquelles cette affaire est soumise à l’assemblée; (ii) le nom et l’adresse, tels qu’ils apparaissent dans le registre des actionnaires</w:t>
      </w:r>
    </w:p>
    <w:p>
      <w:pPr>
        <w:sectPr>
          <w:pgSz w:w="11900" w:h="16838" w:orient="portrait"/>
          <w:cols w:equalWidth="0" w:num="2">
            <w:col w:w="5480" w:space="340"/>
            <w:col w:w="5600"/>
          </w:cols>
          <w:pgMar w:left="240" w:top="274" w:right="23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proposing such business; (iii) the number of shares of the Company which are beneficially owned by such shareholder; (iv) the dates upon which the shareholder acquired such shares; (v) documentary support for any claim of beneficial ownership; (vi) any material interest of such shareholder in such business; and (vii) a statement in support of the matter and, for proposals sought to be included in the Company’s proxy statement, any other information required by Securities and Exchange Commission Rule “14a-8”.</w:t>
      </w:r>
    </w:p>
    <w:p>
      <w:pPr>
        <w:spacing w:after="0" w:line="200" w:lineRule="exact"/>
        <w:rPr>
          <w:sz w:val="20"/>
          <w:szCs w:val="20"/>
          <w:color w:val="auto"/>
        </w:r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if the shareholder intends to solicit proxies from the shareholders of the Company, such shareholder shall notify the Company of this intent in accordance with Securities and Exchange Commission Rule “14a-4” and/or Rule “14a-8”.</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No resolution may be passed at a General Meeting of Shareholders concerning an item in relation to which due notice was not given. Proposals made during a General Meeting of Shareholders to (i) convene a extraordinary General Meeting or (ii) initiate a special investigation in accordance with article 697a of the Swiss Code of Obligations are not subject to the due notice requirement set forth herein.</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 advance notice is required to propose motions on duly notified agenda items and to debate items without passing resolutions.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12  Documentation</w:t>
      </w:r>
    </w:p>
    <w:p>
      <w:pPr>
        <w:spacing w:after="0" w:line="12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annual business report, the compensation report and the Auditor’s report must be submitted for examination by the shareholders at the registered office of the Company at least 20 days prior to the date of the Ordinary General Meeting. Each shareholder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8" w:lineRule="exact"/>
        <w:rPr>
          <w:sz w:val="20"/>
          <w:szCs w:val="20"/>
          <w:color w:val="auto"/>
        </w:rPr>
      </w:pPr>
    </w:p>
    <w:p>
      <w:pPr>
        <w:jc w:val="both"/>
        <w:ind w:right="220"/>
        <w:spacing w:after="0" w:line="291" w:lineRule="auto"/>
        <w:rPr>
          <w:sz w:val="20"/>
          <w:szCs w:val="20"/>
          <w:color w:val="auto"/>
        </w:rPr>
      </w:pPr>
      <w:r>
        <w:rPr>
          <w:rFonts w:ascii="Arial" w:cs="Arial" w:eastAsia="Arial" w:hAnsi="Arial"/>
          <w:sz w:val="16"/>
          <w:szCs w:val="16"/>
          <w:color w:val="auto"/>
        </w:rPr>
        <w:t>de la société, de l’/des actionnaire(s) proposant un tel objet; (iii) le nombre d’actions de la société effectivment détenues par (un) tel(s) actionnaire(s);</w:t>
      </w:r>
    </w:p>
    <w:p>
      <w:pPr>
        <w:ind w:right="100" w:firstLine="9"/>
        <w:spacing w:after="0" w:line="252" w:lineRule="auto"/>
        <w:tabs>
          <w:tab w:leader="none" w:pos="30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les dates auxquelles l’/les actionnaire(s) a/ont acquis ces actions; (v) l’appui documentaire pour toute revendication de propriété effective; (vi) un intérêt important de cet/ces actionnaire(s) par rapport à cet objet; et (vii) une déclaration à l’appui de cet objet et, pour les propositions devant être incluses dans la déclaration (proxy statement) de la société, toute autre information requise par la Securities and Exchange Commission règle “14a-8”.</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En outre, si un actionnaire a l’intention de solliciter des procurations des actionnaires de la société, cet actionnaire doit en informer la société conformément aux dispositions de la Securities and Exchange Commission règle “14a-4” et “14a-8”.</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Aucune décision ne peut être adoptée lors d’une assemblée générale des actionnaires si un objet n’a pas été inscrit à l’ordre du jour dans le délai de préavis. Les propositions faites au cours d’une assemblée générale des actionnaires pour (i) convoquer une assemblée générale extraordinaire ou (ii) instituer un contrôle spécial au sens de l’article 697a CO ne sont pas soumises à l’obligation d’inscription prévue dans ces statuts.</w:t>
      </w:r>
    </w:p>
    <w:p>
      <w:pPr>
        <w:spacing w:after="0" w:line="16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Aucun préavis n’est nécessaire pour proposer des motions sur les objets inscrits à l’ordre du jour ou débattre desdits objets sans prendre de décisions.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12  Documents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Le rapport de gestion annuel, le rapport de rémunération et le rapport du réviseur doivent être présentés aux actionnaires pour examen au siège de la société au moins 20 jours avant la date de l’assemblée générale ordinaire. Chaque actionnaire peut demander</w:t>
      </w:r>
    </w:p>
    <w:p>
      <w:pPr>
        <w:sectPr>
          <w:pgSz w:w="11900" w:h="16838" w:orient="portrait"/>
          <w:cols w:equalWidth="0" w:num="2">
            <w:col w:w="5480" w:space="340"/>
            <w:col w:w="5600"/>
          </w:cols>
          <w:pgMar w:left="240" w:top="274" w:right="23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may request that a copy of this documentation be sent to him promptly by e-mail. Such right shall be included in the invitation to the General Meeting.</w:t>
      </w:r>
    </w:p>
    <w:p>
      <w:pPr>
        <w:spacing w:after="0" w:line="20" w:lineRule="exact"/>
        <w:rPr>
          <w:sz w:val="20"/>
          <w:szCs w:val="20"/>
          <w:color w:val="auto"/>
        </w:rPr>
      </w:pPr>
      <w:r>
        <w:rPr>
          <w:sz w:val="20"/>
          <w:szCs w:val="20"/>
          <w:color w:val="auto"/>
        </w:rPr>
        <w:br w:type="column"/>
      </w:r>
    </w:p>
    <w:p>
      <w:pPr>
        <w:ind w:left="54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-201295</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une copie de ces documents qui doivent lui être envoyés promptement par e-mail. Ce droit doit être mentionné dans l’invitation à l’assemblée générale.</w:t>
      </w:r>
    </w:p>
    <w:p>
      <w:pPr>
        <w:spacing w:after="0" w:line="358" w:lineRule="exact"/>
        <w:rPr>
          <w:sz w:val="20"/>
          <w:szCs w:val="20"/>
          <w:color w:val="auto"/>
        </w:rPr>
      </w:pPr>
    </w:p>
    <w:p>
      <w:pPr>
        <w:sectPr>
          <w:pgSz w:w="11900" w:h="16838" w:orient="portrait"/>
          <w:cols w:equalWidth="0" w:num="2">
            <w:col w:w="5320" w:space="500"/>
            <w:col w:w="5600"/>
          </w:cols>
          <w:pgMar w:left="240" w:top="274" w:right="23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13  Meeting of All Shareholders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or their proxies representing all shares issued may hold a General Meeting without observing the formalities required for calling a meeting, unless objection is raised. At such a meeting, discussions may be held and resolutions passed on all matters within the scope of the powers of a General Meeting for so long as the shareholders or proxies representing all shares issued are present.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13  Assemblée universelle</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Les propriétaires ou les représentants de la totalité des actions peuvent, s’il n’y a pas d’opposition, tenir une assemblée générale sans observer les formes prévues pour sa convocation. Aussi longtemps que les propriétaires ou les représentants de la totalité des actions sont présents, cette assemblée a le droit de délibérer et de statuer valablement sur tous les objets qui sont du ressort de l’assemblée générale.</w:t>
      </w:r>
    </w:p>
    <w:p>
      <w:pPr>
        <w:spacing w:after="0" w:line="200" w:lineRule="exact"/>
        <w:rPr>
          <w:sz w:val="20"/>
          <w:szCs w:val="20"/>
          <w:color w:val="auto"/>
        </w:rPr>
      </w:pPr>
    </w:p>
    <w:p>
      <w:pPr>
        <w:sectPr>
          <w:pgSz w:w="11900" w:h="16838" w:orient="portrait"/>
          <w:cols w:equalWidth="0" w:num="2">
            <w:col w:w="5460" w:space="360"/>
            <w:col w:w="5600"/>
          </w:cols>
          <w:pgMar w:left="240" w:top="274" w:right="2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14  Chairman and Scrutineers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Chairman of the Board of Directors shall preside over the General Meeting. In his absence, a member of the Board of Directors or another Chairman of the Meeting designated by the General Meeting shall preside.</w:t>
      </w:r>
    </w:p>
    <w:p>
      <w:pPr>
        <w:spacing w:after="0" w:line="37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Chairman of the Meeting shall designate a Secretary and the scrutineers who need not be shareholders.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15  Minutes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is responsible for the keeping of the minutes of the Meeting, which shall state the number, kind, nominal value of shares represented by the shareholders, by the corporate bodies and by the independent proxy and gives information on resolutions passed, elections, requests for information and information as well as declarations given by the shareholders. The minutes shall be signed by the Chairman and the Secretary.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are entitled to inspect the minutes.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14  Président et scrutateurs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L’assemblée générale est présidée par le président du conseil d’administration. En cas d’empêchement, un autre membre du conseil d’administration ou un président ad hoc nommé par l’assemblée générale préside celle-ci.</w:t>
      </w:r>
    </w:p>
    <w:p>
      <w:pPr>
        <w:spacing w:after="0" w:line="2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Le président de l’assemblée générale désigne un secrétaire et les scrutateurs qui ne doivent pas nécessairement être actionnaires.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15  Procès-verbal</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Le conseil d’administration est responsable de la tenue du procès-verbal de l’assemblée, qui doit indiquer le nombre, le type, la valeur nominale des actions représentées par les actionnaires, par les organes sociaux et par le représentant indépendant et donne des informations sur les décisions adoptées, les élections, les demandes de renseignements et les informations ainsi que les déclarations faites par les actionnaires. Le procès-verbal est signé par le président et le secrétaire.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Les actionnaires ont le droit d’examiner le procès-verbal.</w:t>
      </w:r>
    </w:p>
    <w:p>
      <w:pPr>
        <w:sectPr>
          <w:pgSz w:w="11900" w:h="16838" w:orient="portrait"/>
          <w:cols w:equalWidth="0" w:num="2">
            <w:col w:w="5380" w:space="440"/>
            <w:col w:w="5600"/>
          </w:cols>
          <w:pgMar w:left="240" w:top="274" w:right="239" w:bottom="1440" w:gutter="0" w:footer="0" w:header="0"/>
          <w:type w:val="continuous"/>
        </w:sectPr>
      </w:pPr>
    </w:p>
    <w:bookmarkStart w:id="296" w:name="page297"/>
    <w:bookmarkEnd w:id="296"/>
    <w:p>
      <w:pPr>
        <w:spacing w:after="0"/>
        <w:rPr>
          <w:sz w:val="20"/>
          <w:szCs w:val="20"/>
          <w:color w:val="auto"/>
        </w:rPr>
      </w:pPr>
      <w:r>
        <w:rPr>
          <w:rFonts w:ascii="Arial" w:cs="Arial" w:eastAsia="Arial" w:hAnsi="Arial"/>
          <w:sz w:val="18"/>
          <w:szCs w:val="18"/>
          <w:color w:val="auto"/>
        </w:rPr>
        <w:t>AC Immune SA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16  Right to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share entitles to one vote.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Each shareholder may be represented at a General Meeting by any person who is so authorized by a written proxy. A proxy need not be a shareholder.</w:t>
      </w:r>
    </w:p>
    <w:p>
      <w:pPr>
        <w:spacing w:after="0" w:line="34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Each shareholder may be represented by the Independent Proxy. The requirements regarding proxies and instructions are determined by the Board of Directors.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-215900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16  Droit de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Chaque action donne droit à une voix.</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Chaque actionnaire peut se faire représenter à l’assemblée générale par toute personne qui est autorisée par une procuration écrite. Le représentant ne doit pas nécessairement être un actionnaire.</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Chaque actionnaire peut se faire représenter par le représentant indépendant. Les exigences en matière de procurations et les instructions sont déterminées par le conseil d’administration.</w:t>
      </w:r>
    </w:p>
    <w:p>
      <w:pPr>
        <w:spacing w:after="0" w:line="200" w:lineRule="exact"/>
        <w:rPr>
          <w:sz w:val="20"/>
          <w:szCs w:val="20"/>
          <w:color w:val="auto"/>
        </w:rPr>
      </w:pPr>
    </w:p>
    <w:p>
      <w:pPr>
        <w:sectPr>
          <w:pgSz w:w="11900" w:h="16838" w:orient="portrait"/>
          <w:cols w:equalWidth="0" w:num="2">
            <w:col w:w="5460" w:space="400"/>
            <w:col w:w="5560"/>
          </w:cols>
          <w:pgMar w:left="240" w:top="274" w:right="23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17  Resolutions and Elections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voting and elections are held openly or electronically. A written voting or election shall be held if instructed so by the Chairman or if decided by the General Meeting.</w:t>
      </w:r>
    </w:p>
    <w:p>
      <w:pPr>
        <w:spacing w:after="0" w:line="18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General Meeting shall pass its resolutions and carry out its elections with the simple majority of the votes cast regardless of abstentions and empty or invalid votes, unless statutory law or articles of association state otherwise. In the event of tie votes, the request shall be refused. The Chairman shall not have a casting vote.</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resolution of the General Meeting passed by at least two thirds of the represented share votes and the absolute majority of the represented shares par value is required for:</w:t>
      </w:r>
    </w:p>
    <w:p>
      <w:pPr>
        <w:spacing w:after="0" w:line="73" w:lineRule="exact"/>
        <w:rPr>
          <w:sz w:val="20"/>
          <w:szCs w:val="20"/>
          <w:color w:val="auto"/>
        </w:rPr>
      </w:pPr>
    </w:p>
    <w:p>
      <w:pPr>
        <w:ind w:left="480" w:hanging="472"/>
        <w:spacing w:after="0"/>
        <w:tabs>
          <w:tab w:leader="none" w:pos="4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cases listed in art. 704 para. 1 CO, i.e.:</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change of the company purpose;</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creation of shares with privileged voting rights;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restriction of the transferability of registered shares;</w:t>
      </w:r>
    </w:p>
    <w:p>
      <w:pPr>
        <w:spacing w:after="0" w:line="117" w:lineRule="exact"/>
        <w:rPr>
          <w:rFonts w:ascii="Arial" w:cs="Arial" w:eastAsia="Arial" w:hAnsi="Arial"/>
          <w:sz w:val="18"/>
          <w:szCs w:val="18"/>
          <w:color w:val="auto"/>
        </w:rPr>
      </w:pPr>
    </w:p>
    <w:p>
      <w:pPr>
        <w:ind w:left="960" w:hanging="479"/>
        <w:spacing w:after="0"/>
        <w:tabs>
          <w:tab w:leader="none" w:pos="96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an increase of capital, authorized or subject to a condition;</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 17  Décisions and élections</w:t>
      </w:r>
    </w:p>
    <w:p>
      <w:pPr>
        <w:spacing w:after="0" w:line="121" w:lineRule="exact"/>
        <w:rPr>
          <w:sz w:val="20"/>
          <w:szCs w:val="20"/>
          <w:color w:val="auto"/>
        </w:rPr>
      </w:pPr>
    </w:p>
    <w:p>
      <w:pPr>
        <w:jc w:val="both"/>
        <w:ind w:left="4" w:right="80"/>
        <w:spacing w:after="0" w:line="264" w:lineRule="auto"/>
        <w:rPr>
          <w:sz w:val="20"/>
          <w:szCs w:val="20"/>
          <w:color w:val="auto"/>
        </w:rPr>
      </w:pPr>
      <w:r>
        <w:rPr>
          <w:rFonts w:ascii="Arial" w:cs="Arial" w:eastAsia="Arial" w:hAnsi="Arial"/>
          <w:sz w:val="18"/>
          <w:szCs w:val="18"/>
          <w:color w:val="auto"/>
        </w:rPr>
        <w:t>Tous votes et élections sont tenus ouvertement ou par voie électronique. Sur instruction du président ou de l’assemblée générale, un vote ou une élection doit être tenu par écrit.</w:t>
      </w:r>
    </w:p>
    <w:p>
      <w:pPr>
        <w:spacing w:after="0" w:line="181"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Sous réserve des dispositions impératives de la loi ou des statuts, l’assemblée générale prend ses décisions et procède aux élections à la majorité simple des voix émises. En cas de partage égal des voix, la requête sera refusée. Le président n’a pas voix prépondérante.</w:t>
      </w:r>
    </w:p>
    <w:p>
      <w:pPr>
        <w:spacing w:after="0" w:line="388" w:lineRule="exact"/>
        <w:rPr>
          <w:sz w:val="20"/>
          <w:szCs w:val="20"/>
          <w:color w:val="auto"/>
        </w:rPr>
      </w:pPr>
    </w:p>
    <w:p>
      <w:pPr>
        <w:ind w:left="4" w:right="80"/>
        <w:spacing w:after="0" w:line="264" w:lineRule="auto"/>
        <w:rPr>
          <w:sz w:val="20"/>
          <w:szCs w:val="20"/>
          <w:color w:val="auto"/>
        </w:rPr>
      </w:pPr>
      <w:r>
        <w:rPr>
          <w:rFonts w:ascii="Arial" w:cs="Arial" w:eastAsia="Arial" w:hAnsi="Arial"/>
          <w:sz w:val="18"/>
          <w:szCs w:val="18"/>
          <w:color w:val="auto"/>
        </w:rPr>
        <w:t>Une décision de l’assemblée générale recueillant au moins les deux tiers des voix attribuées aux actions représentées et la majorité absolue des valeurs nominales représentées est nécessaire pour:</w:t>
      </w:r>
    </w:p>
    <w:p>
      <w:pPr>
        <w:spacing w:after="0" w:line="73" w:lineRule="exact"/>
        <w:rPr>
          <w:sz w:val="20"/>
          <w:szCs w:val="20"/>
          <w:color w:val="auto"/>
        </w:rPr>
      </w:pPr>
    </w:p>
    <w:p>
      <w:pPr>
        <w:ind w:left="444" w:hanging="444"/>
        <w:spacing w:after="0"/>
        <w:tabs>
          <w:tab w:leader="none" w:pos="44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les cas énumérés dans l’art. 704 al. 1 CO, i.e.:</w:t>
      </w:r>
    </w:p>
    <w:p>
      <w:pPr>
        <w:spacing w:after="0" w:line="117" w:lineRule="exact"/>
        <w:rPr>
          <w:rFonts w:ascii="Arial" w:cs="Arial" w:eastAsia="Arial" w:hAnsi="Arial"/>
          <w:sz w:val="18"/>
          <w:szCs w:val="18"/>
          <w:color w:val="auto"/>
        </w:rPr>
      </w:pPr>
    </w:p>
    <w:p>
      <w:pPr>
        <w:ind w:left="884" w:hanging="439"/>
        <w:spacing w:after="0"/>
        <w:tabs>
          <w:tab w:leader="none" w:pos="88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la modification du but social;</w:t>
      </w:r>
    </w:p>
    <w:p>
      <w:pPr>
        <w:spacing w:after="0" w:line="117" w:lineRule="exact"/>
        <w:rPr>
          <w:rFonts w:ascii="Arial" w:cs="Arial" w:eastAsia="Arial" w:hAnsi="Arial"/>
          <w:sz w:val="18"/>
          <w:szCs w:val="18"/>
          <w:color w:val="auto"/>
        </w:rPr>
      </w:pPr>
    </w:p>
    <w:p>
      <w:pPr>
        <w:ind w:left="884" w:hanging="439"/>
        <w:spacing w:after="0"/>
        <w:tabs>
          <w:tab w:leader="none" w:pos="88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l’introduction d’actions à droit de vote privilégié;</w:t>
      </w:r>
    </w:p>
    <w:p>
      <w:pPr>
        <w:spacing w:after="0" w:line="117" w:lineRule="exact"/>
        <w:rPr>
          <w:rFonts w:ascii="Arial" w:cs="Arial" w:eastAsia="Arial" w:hAnsi="Arial"/>
          <w:sz w:val="18"/>
          <w:szCs w:val="18"/>
          <w:color w:val="auto"/>
        </w:rPr>
      </w:pPr>
    </w:p>
    <w:p>
      <w:pPr>
        <w:ind w:left="884" w:hanging="439"/>
        <w:spacing w:after="0"/>
        <w:tabs>
          <w:tab w:leader="none" w:pos="884" w:val="left"/>
        </w:tabs>
        <w:numPr>
          <w:ilvl w:val="1"/>
          <w:numId w:val="235"/>
        </w:numPr>
        <w:rPr>
          <w:rFonts w:ascii="Arial" w:cs="Arial" w:eastAsia="Arial" w:hAnsi="Arial"/>
          <w:sz w:val="17"/>
          <w:szCs w:val="17"/>
          <w:color w:val="auto"/>
        </w:rPr>
      </w:pPr>
      <w:r>
        <w:rPr>
          <w:rFonts w:ascii="Arial" w:cs="Arial" w:eastAsia="Arial" w:hAnsi="Arial"/>
          <w:sz w:val="17"/>
          <w:szCs w:val="17"/>
          <w:color w:val="auto"/>
        </w:rPr>
        <w:t>la restriction de la transmissibilité des actions nominatives;</w:t>
      </w:r>
    </w:p>
    <w:p>
      <w:pPr>
        <w:spacing w:after="0" w:line="128" w:lineRule="exact"/>
        <w:rPr>
          <w:rFonts w:ascii="Arial" w:cs="Arial" w:eastAsia="Arial" w:hAnsi="Arial"/>
          <w:sz w:val="17"/>
          <w:szCs w:val="17"/>
          <w:color w:val="auto"/>
        </w:rPr>
      </w:pPr>
    </w:p>
    <w:p>
      <w:pPr>
        <w:ind w:left="884" w:hanging="439"/>
        <w:spacing w:after="0"/>
        <w:tabs>
          <w:tab w:leader="none" w:pos="884" w:val="left"/>
        </w:tabs>
        <w:numPr>
          <w:ilvl w:val="1"/>
          <w:numId w:val="235"/>
        </w:numPr>
        <w:rPr>
          <w:rFonts w:ascii="Arial" w:cs="Arial" w:eastAsia="Arial" w:hAnsi="Arial"/>
          <w:sz w:val="17"/>
          <w:szCs w:val="17"/>
          <w:color w:val="auto"/>
        </w:rPr>
      </w:pPr>
      <w:r>
        <w:rPr>
          <w:rFonts w:ascii="Arial" w:cs="Arial" w:eastAsia="Arial" w:hAnsi="Arial"/>
          <w:sz w:val="17"/>
          <w:szCs w:val="17"/>
          <w:color w:val="auto"/>
        </w:rPr>
        <w:t>l’augmentation autorisée ou conditionnelle du capital-actions;</w:t>
      </w:r>
    </w:p>
    <w:p>
      <w:pPr>
        <w:sectPr>
          <w:pgSz w:w="11900" w:h="16838" w:orient="portrait"/>
          <w:cols w:equalWidth="0" w:num="2">
            <w:col w:w="5540" w:space="316"/>
            <w:col w:w="5564"/>
          </w:cols>
          <w:pgMar w:left="240" w:top="274" w:right="239" w:bottom="1440" w:gutter="0" w:footer="0" w:header="0"/>
          <w:type w:val="continuous"/>
        </w:sectPr>
      </w:pPr>
    </w:p>
    <w:bookmarkStart w:id="297" w:name="page298"/>
    <w:bookmarkEnd w:id="297"/>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left="940" w:right="360" w:hanging="473"/>
        <w:spacing w:after="0" w:line="264" w:lineRule="auto"/>
        <w:tabs>
          <w:tab w:leader="none" w:pos="94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an increase of capital out of equity, against contribution in kind, or for the purpose of acquisition of assets and the granting of special benefits;</w:t>
      </w:r>
    </w:p>
    <w:p>
      <w:pPr>
        <w:spacing w:after="0" w:line="73" w:lineRule="exact"/>
        <w:rPr>
          <w:rFonts w:ascii="Arial" w:cs="Arial" w:eastAsia="Arial" w:hAnsi="Arial"/>
          <w:sz w:val="18"/>
          <w:szCs w:val="18"/>
          <w:color w:val="auto"/>
        </w:rPr>
      </w:pPr>
    </w:p>
    <w:p>
      <w:pPr>
        <w:ind w:left="940" w:hanging="473"/>
        <w:spacing w:after="0"/>
        <w:tabs>
          <w:tab w:leader="none" w:pos="94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limitation or withdrawal of subscription rights;</w:t>
      </w:r>
    </w:p>
    <w:p>
      <w:pPr>
        <w:spacing w:after="0" w:line="333" w:lineRule="exact"/>
        <w:rPr>
          <w:rFonts w:ascii="Arial" w:cs="Arial" w:eastAsia="Arial" w:hAnsi="Arial"/>
          <w:sz w:val="18"/>
          <w:szCs w:val="18"/>
          <w:color w:val="auto"/>
        </w:rPr>
      </w:pPr>
    </w:p>
    <w:p>
      <w:pPr>
        <w:ind w:left="940" w:hanging="473"/>
        <w:spacing w:after="0"/>
        <w:tabs>
          <w:tab w:leader="none" w:pos="94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change of the domicile of the Company; and</w:t>
      </w:r>
    </w:p>
    <w:p>
      <w:pPr>
        <w:spacing w:after="0" w:line="117" w:lineRule="exact"/>
        <w:rPr>
          <w:rFonts w:ascii="Arial" w:cs="Arial" w:eastAsia="Arial" w:hAnsi="Arial"/>
          <w:sz w:val="18"/>
          <w:szCs w:val="18"/>
          <w:color w:val="auto"/>
        </w:rPr>
      </w:pPr>
    </w:p>
    <w:p>
      <w:pPr>
        <w:ind w:left="940" w:hanging="473"/>
        <w:spacing w:after="0"/>
        <w:tabs>
          <w:tab w:leader="none" w:pos="94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liquidation of the Company;</w:t>
      </w:r>
    </w:p>
    <w:p>
      <w:pPr>
        <w:spacing w:after="0" w:line="117"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merger, de-merger or conversion of the Company (subject to mandatory law);</w:t>
      </w:r>
    </w:p>
    <w:p>
      <w:pPr>
        <w:spacing w:after="0" w:line="75"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alleviating or withdrawal of restrictions upon the transfer of registered shares;</w:t>
      </w:r>
    </w:p>
    <w:p>
      <w:pPr>
        <w:spacing w:after="0" w:line="75"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conversion of registered shares into bearer shares and vice versa; and</w:t>
      </w:r>
    </w:p>
    <w:p>
      <w:pPr>
        <w:spacing w:after="0" w:line="75"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amendment or elimination of the provisions of Article 4 and 29 of the Articles of Association as well as those contained in this Article 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18  Votes on Compensation</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Each year, the General Meeting separately approves the total maximum amounts proposed by the Board of Directors pursuant to Articles 32 and 33 of the Articles of Association for:</w:t>
      </w:r>
    </w:p>
    <w:p>
      <w:pPr>
        <w:spacing w:after="0" w:line="73" w:lineRule="exact"/>
        <w:rPr>
          <w:sz w:val="20"/>
          <w:szCs w:val="20"/>
          <w:color w:val="auto"/>
        </w:rPr>
      </w:pPr>
    </w:p>
    <w:p>
      <w:pPr>
        <w:ind w:left="460" w:right="60" w:hanging="452"/>
        <w:spacing w:after="0" w:line="277" w:lineRule="auto"/>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non-performance-related compensation of the Board of Directors for the next term of office;</w:t>
      </w:r>
    </w:p>
    <w:p>
      <w:pPr>
        <w:spacing w:after="0" w:line="62"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possible additional compensation of the Board of Directors for the preceding business year;</w:t>
      </w:r>
    </w:p>
    <w:p>
      <w:pPr>
        <w:spacing w:after="0" w:line="62"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non-performance-related compensation of the Executive Committee for the 12-month period starting on 1 July following the Ordinary General Meeting;</w:t>
      </w:r>
    </w:p>
    <w:p>
      <w:pPr>
        <w:spacing w:after="0" w:line="73" w:lineRule="exact"/>
        <w:rPr>
          <w:rFonts w:ascii="Arial" w:cs="Arial" w:eastAsia="Arial" w:hAnsi="Arial"/>
          <w:sz w:val="18"/>
          <w:szCs w:val="18"/>
          <w:color w:val="auto"/>
        </w:rPr>
      </w:pPr>
    </w:p>
    <w:p>
      <w:pPr>
        <w:ind w:left="460" w:right="480" w:hanging="452"/>
        <w:spacing w:after="0" w:line="277" w:lineRule="auto"/>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variable compensation for the Executive Committee for the current year;</w:t>
      </w:r>
    </w:p>
    <w:p>
      <w:pPr>
        <w:spacing w:after="0" w:line="62" w:lineRule="exact"/>
        <w:rPr>
          <w:rFonts w:ascii="Arial" w:cs="Arial" w:eastAsia="Arial" w:hAnsi="Arial"/>
          <w:sz w:val="18"/>
          <w:szCs w:val="18"/>
          <w:color w:val="auto"/>
        </w:rPr>
      </w:pPr>
    </w:p>
    <w:p>
      <w:pPr>
        <w:ind w:left="460" w:right="600" w:hanging="452"/>
        <w:spacing w:after="0" w:line="277" w:lineRule="auto"/>
        <w:tabs>
          <w:tab w:leader="none" w:pos="4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grant of options or shares in the Company to the Board of Directors and the Executive Committee.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8" w:lineRule="exact"/>
        <w:rPr>
          <w:sz w:val="20"/>
          <w:szCs w:val="20"/>
          <w:color w:val="auto"/>
        </w:rPr>
      </w:pPr>
    </w:p>
    <w:p>
      <w:pPr>
        <w:ind w:left="920" w:right="160" w:hanging="466"/>
        <w:spacing w:after="0" w:line="264" w:lineRule="auto"/>
        <w:tabs>
          <w:tab w:leader="none" w:pos="9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l’augmentation du capital-actions au moyen des fonds propres, contre apport en nature ou en vue d’une reprise de biens et l’octroi d’avantages particuliers;</w:t>
      </w:r>
    </w:p>
    <w:p>
      <w:pPr>
        <w:spacing w:after="0" w:line="73" w:lineRule="exact"/>
        <w:rPr>
          <w:rFonts w:ascii="Arial" w:cs="Arial" w:eastAsia="Arial" w:hAnsi="Arial"/>
          <w:sz w:val="18"/>
          <w:szCs w:val="18"/>
          <w:color w:val="auto"/>
        </w:rPr>
      </w:pPr>
    </w:p>
    <w:p>
      <w:pPr>
        <w:ind w:left="920" w:right="760" w:hanging="466"/>
        <w:spacing w:after="0" w:line="277" w:lineRule="auto"/>
        <w:tabs>
          <w:tab w:leader="none" w:pos="9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la limitation ou la suppression du droit de souscription préférentiel;</w:t>
      </w:r>
    </w:p>
    <w:p>
      <w:pPr>
        <w:spacing w:after="0" w:line="62" w:lineRule="exact"/>
        <w:rPr>
          <w:rFonts w:ascii="Arial" w:cs="Arial" w:eastAsia="Arial" w:hAnsi="Arial"/>
          <w:sz w:val="18"/>
          <w:szCs w:val="18"/>
          <w:color w:val="auto"/>
        </w:rPr>
      </w:pPr>
    </w:p>
    <w:p>
      <w:pPr>
        <w:ind w:left="920" w:hanging="466"/>
        <w:spacing w:after="0"/>
        <w:tabs>
          <w:tab w:leader="none" w:pos="9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le transfert du siège de la société; et</w:t>
      </w:r>
    </w:p>
    <w:p>
      <w:pPr>
        <w:spacing w:after="0" w:line="117" w:lineRule="exact"/>
        <w:rPr>
          <w:rFonts w:ascii="Arial" w:cs="Arial" w:eastAsia="Arial" w:hAnsi="Arial"/>
          <w:sz w:val="18"/>
          <w:szCs w:val="18"/>
          <w:color w:val="auto"/>
        </w:rPr>
      </w:pPr>
    </w:p>
    <w:p>
      <w:pPr>
        <w:ind w:left="920" w:hanging="466"/>
        <w:spacing w:after="0"/>
        <w:tabs>
          <w:tab w:leader="none" w:pos="9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la dissolution de la société;</w:t>
      </w:r>
    </w:p>
    <w:p>
      <w:pPr>
        <w:spacing w:after="0" w:line="117" w:lineRule="exact"/>
        <w:rPr>
          <w:rFonts w:ascii="Arial" w:cs="Arial" w:eastAsia="Arial" w:hAnsi="Arial"/>
          <w:sz w:val="18"/>
          <w:szCs w:val="18"/>
          <w:color w:val="auto"/>
        </w:rPr>
      </w:pPr>
    </w:p>
    <w:p>
      <w:pPr>
        <w:ind w:left="460" w:right="240" w:hanging="451"/>
        <w:spacing w:after="0" w:line="277" w:lineRule="auto"/>
        <w:tabs>
          <w:tab w:leader="none" w:pos="4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la fusion, la scission ou la conversion de la société (sous réserve des dispositions impératives);</w:t>
      </w:r>
    </w:p>
    <w:p>
      <w:pPr>
        <w:spacing w:after="0" w:line="75" w:lineRule="exact"/>
        <w:rPr>
          <w:rFonts w:ascii="Arial" w:cs="Arial" w:eastAsia="Arial" w:hAnsi="Arial"/>
          <w:sz w:val="18"/>
          <w:szCs w:val="18"/>
          <w:color w:val="auto"/>
        </w:rPr>
      </w:pPr>
    </w:p>
    <w:p>
      <w:pPr>
        <w:ind w:left="460" w:right="320" w:hanging="451"/>
        <w:spacing w:after="0" w:line="277" w:lineRule="auto"/>
        <w:tabs>
          <w:tab w:leader="none" w:pos="4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l’atténuation ou la suppresion des re-restrictions sur le transfert des actions nominatives;</w:t>
      </w:r>
    </w:p>
    <w:p>
      <w:pPr>
        <w:spacing w:after="0" w:line="75" w:lineRule="exact"/>
        <w:rPr>
          <w:rFonts w:ascii="Arial" w:cs="Arial" w:eastAsia="Arial" w:hAnsi="Arial"/>
          <w:sz w:val="18"/>
          <w:szCs w:val="18"/>
          <w:color w:val="auto"/>
        </w:rPr>
      </w:pPr>
    </w:p>
    <w:p>
      <w:pPr>
        <w:ind w:left="460" w:hanging="451"/>
        <w:spacing w:after="0" w:line="277" w:lineRule="auto"/>
        <w:tabs>
          <w:tab w:leader="none" w:pos="4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la conversion d’actions nominatives en actions au porteur et vice versa; et</w:t>
      </w:r>
    </w:p>
    <w:p>
      <w:pPr>
        <w:spacing w:after="0" w:line="75" w:lineRule="exact"/>
        <w:rPr>
          <w:rFonts w:ascii="Arial" w:cs="Arial" w:eastAsia="Arial" w:hAnsi="Arial"/>
          <w:sz w:val="18"/>
          <w:szCs w:val="18"/>
          <w:color w:val="auto"/>
        </w:rPr>
      </w:pPr>
    </w:p>
    <w:p>
      <w:pPr>
        <w:ind w:left="460" w:right="180" w:hanging="451"/>
        <w:spacing w:after="0" w:line="342" w:lineRule="auto"/>
        <w:tabs>
          <w:tab w:leader="none" w:pos="46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la modification ou la suppression des dispositions des articles 4 et 29 des statuts ainsi que ceux contenues dans le présent article 17.</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18  Votes sur la rémunération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Chaque année, l’assemblée générale approuve séparément les montants totaux maximaux proposés par le conseil d’administration conformément aux articles 32 et 33 des statuts pour:</w:t>
      </w:r>
    </w:p>
    <w:p>
      <w:pPr>
        <w:spacing w:after="0" w:line="73" w:lineRule="exact"/>
        <w:rPr>
          <w:sz w:val="20"/>
          <w:szCs w:val="20"/>
          <w:color w:val="auto"/>
        </w:rPr>
      </w:pPr>
    </w:p>
    <w:p>
      <w:pPr>
        <w:ind w:left="460" w:right="120" w:hanging="451"/>
        <w:spacing w:after="0" w:line="277"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la rémunération non liée à la performance du conseil d’administration pour le prochain mandat;</w:t>
      </w:r>
    </w:p>
    <w:p>
      <w:pPr>
        <w:spacing w:after="0" w:line="62" w:lineRule="exact"/>
        <w:rPr>
          <w:rFonts w:ascii="Arial" w:cs="Arial" w:eastAsia="Arial" w:hAnsi="Arial"/>
          <w:sz w:val="18"/>
          <w:szCs w:val="18"/>
          <w:color w:val="auto"/>
        </w:rPr>
      </w:pPr>
    </w:p>
    <w:p>
      <w:pPr>
        <w:ind w:left="460" w:right="1180" w:hanging="451"/>
        <w:spacing w:after="0" w:line="308" w:lineRule="auto"/>
        <w:tabs>
          <w:tab w:leader="none" w:pos="4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une éventuelle rémunération supplémentaire du conseil d’administration pour l’exercice précédent;</w:t>
      </w:r>
    </w:p>
    <w:p>
      <w:pPr>
        <w:spacing w:after="0" w:line="38" w:lineRule="exact"/>
        <w:rPr>
          <w:rFonts w:ascii="Arial" w:cs="Arial" w:eastAsia="Arial" w:hAnsi="Arial"/>
          <w:sz w:val="17"/>
          <w:szCs w:val="17"/>
          <w:color w:val="auto"/>
        </w:rPr>
      </w:pPr>
    </w:p>
    <w:p>
      <w:pPr>
        <w:ind w:left="460" w:right="120" w:hanging="451"/>
        <w:spacing w:after="0" w:line="264"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la rémunération non liée à la performance du comité exécutif pour la période de 12 mois commençant le 1er juillet après chaque assemblée générale ordinaire;</w:t>
      </w:r>
    </w:p>
    <w:p>
      <w:pPr>
        <w:spacing w:after="0" w:line="73" w:lineRule="exact"/>
        <w:rPr>
          <w:rFonts w:ascii="Arial" w:cs="Arial" w:eastAsia="Arial" w:hAnsi="Arial"/>
          <w:sz w:val="18"/>
          <w:szCs w:val="18"/>
          <w:color w:val="auto"/>
        </w:rPr>
      </w:pPr>
    </w:p>
    <w:p>
      <w:pPr>
        <w:ind w:left="460" w:hanging="451"/>
        <w:spacing w:after="0"/>
        <w:tabs>
          <w:tab w:leader="none" w:pos="46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la rémunération variable pour le comité exécutif pour l’année en cours;</w:t>
      </w:r>
    </w:p>
    <w:p>
      <w:pPr>
        <w:spacing w:after="0" w:line="356" w:lineRule="exact"/>
        <w:rPr>
          <w:rFonts w:ascii="Arial" w:cs="Arial" w:eastAsia="Arial" w:hAnsi="Arial"/>
          <w:sz w:val="16"/>
          <w:szCs w:val="16"/>
          <w:color w:val="auto"/>
        </w:rPr>
      </w:pPr>
    </w:p>
    <w:p>
      <w:pPr>
        <w:ind w:left="460" w:right="20" w:hanging="451"/>
        <w:spacing w:after="0" w:line="277"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l’octroi d’options ou d’actions de la société au conseil d’administration et au comité exécutif.</w:t>
      </w:r>
    </w:p>
    <w:p>
      <w:pPr>
        <w:sectPr>
          <w:pgSz w:w="11900" w:h="16838" w:orient="portrait"/>
          <w:cols w:equalWidth="0" w:num="2">
            <w:col w:w="5480" w:space="340"/>
            <w:col w:w="5600"/>
          </w:cols>
          <w:pgMar w:left="240" w:top="274" w:right="2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respective total compensation amounts include social security and occupational pension contributions for the benefit of the members of the Board of Directors, the Executive Committee and the Company.</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General Meeting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for approval. The Company may pay remunerations within the framework of the maximum total or partial remuneration and subject to the approval by the General Meeting.</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19  Independent Proxy</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Independent Proxy shall be elected by the Ordinary General Meeting for a term of one year until the end of the next Ordinary General Meeting. Re-election is permitted. The Independent Proxy informs the Company about number, type, par value and category of the represented shares. The Chairman of the Board discloses the information to the General Meeting. The other duties of the Independent Proxy are determined by the applicable statutory provisions.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Les montants totaux de rémunération respectifs comprennent la sécurité sociale et les cotisations de retraite professionnelle au profit des membres du conseil d’administration, du comité exécutif et de la société.</w:t>
      </w:r>
    </w:p>
    <w:p>
      <w:pPr>
        <w:spacing w:after="0" w:line="1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Si l’assemblée générale refuse d’approuver une motion soumise par le conseil d’administration, le conseil d’administration peut, soit présenter une nouvelle motion à la même séance ou détérminer une rémunération maximale totale ou plusieurs rémunérations maximales partielles, sous réserve des principes concernant la rémunération, soit soumettre une nouvelle motion à la prochaine assemblée générale pour approbation. La société peut verser des rémunérations dans le cadre de la rémunération maximale totale ou partielle et sous réserve de l’approbation par l’assemblée générale.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19  Représentant indépendant</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Le représentant indépendant est élu par l’assemblée générale ordinaire pour une durée d’un an jusqu’à la fin de la prochaine assemblée générale ordinaire. Une réélection est possible. Le représentant indépendant informe la société sur le nombre, le type, la valeur nominale et la catégorie des actions représentées. Le président du conseil d’administration communique ces informations à l’assemblée générale. Les autres fonctions du représentant indépendant sont déterminées par les dispositions statutaires applicables.</w:t>
      </w:r>
    </w:p>
    <w:p>
      <w:pPr>
        <w:sectPr>
          <w:pgSz w:w="11900" w:h="16838" w:orient="portrait"/>
          <w:cols w:equalWidth="0" w:num="2">
            <w:col w:w="5440" w:space="380"/>
            <w:col w:w="5600"/>
          </w:cols>
          <w:pgMar w:left="240" w:top="274" w:right="23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t>AC Immune SA</w:t>
      </w:r>
    </w:p>
    <w:p>
      <w:pPr>
        <w:spacing w:after="0" w:line="154" w:lineRule="exact"/>
        <w:rPr>
          <w:sz w:val="20"/>
          <w:szCs w:val="20"/>
          <w:color w:val="auto"/>
        </w:rPr>
      </w:pPr>
    </w:p>
    <w:p>
      <w:pPr>
        <w:ind w:left="740" w:hanging="732"/>
        <w:spacing w:after="0"/>
        <w:tabs>
          <w:tab w:leader="none" w:pos="74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20  Number of Members, Term of Office</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Board of Directors shall consist of at least 3 and not more than 9 members. The chairman and the members of the Board of Directors are individually elected by the General Meeting for a term of one year until the end of the next Ordinary General Meeting, provided that he/she does not resign or is not replaced during his term.</w:t>
      </w:r>
    </w:p>
    <w:p>
      <w:pPr>
        <w:spacing w:after="0" w:line="1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members of the Board of Directors may be re-elected without limitation. The maximum age limit of members of the Board shall be 75 years. When a member of the Board of Directors reaches this age limit during his term of office, such term shall automatically extend to the next ordinary shareholders’ meeting. The shareholders’ meeting may resolve to grant an exception to the age limit.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21  Constitution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Subject to the powers of the General Meeting, the Board of Directors determines its own organization. It appoints a Secretary who needs not be a member of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22  Function, Organization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It is the Board of Director’s duty to lead the Company and to supervise the management. The Board of Director represents the Company and may take decisions on all affairs which are not assigned to any other body of the Company by law, the Articles of Association or the organizational regulations.</w:t>
      </w:r>
    </w:p>
    <w:p>
      <w:pPr>
        <w:spacing w:after="0" w:line="18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Board of Directors shall enact the organizational regulations and arrange for the appropriate contractual relationships.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4" w:lineRule="exact"/>
        <w:rPr>
          <w:sz w:val="20"/>
          <w:szCs w:val="20"/>
          <w:color w:val="auto"/>
        </w:rPr>
      </w:pPr>
    </w:p>
    <w:p>
      <w:pPr>
        <w:ind w:left="740" w:hanging="731"/>
        <w:spacing w:after="0"/>
        <w:tabs>
          <w:tab w:leader="none" w:pos="74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CONSEIL D’ADMINISTRATION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20  Nombre de membres, durée de la fonction</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Le conseil d’administration se compose d’au minimum 3 et au maximum 9 membres. Le président et les membres du conseil d’administration sont élus individuellement par l’assemblée générale pour un mandat d’un an jusqu’à la fin de la prochaine assemblée générale ordinaire, à condition qu’il/elle ne démissionne pas ou ne soit pas remplacé(e) durant son mandat.</w:t>
      </w:r>
    </w:p>
    <w:p>
      <w:pPr>
        <w:spacing w:after="0" w:line="1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Les membres du conseil d’administration peuvent être réélus sans limitation. La limite d’âge des membres du conseil d’administration est fixée à 75 ans. Lorsqu’un membre du conseil d’administration atteint cette limite d’âge durant son mandat, ledit mandat sera automatiquement prolongé jusqu’à la prochaine assemblée générale ordinaire. L’assemblée générale des actionnaires peut décider d’accorder une dérogation à la limite d’âge.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21  Constitution</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Sous réserve des pouvoirs de l’assemblée générale, le conseil d’administration détermine sa propre organisation. Il nomme un secrétaire qui ne doit pas nécessairement être un membre du conseil d’administration.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22  Fonction, organisation</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Le conseil d’administration exerce la direction de la société et en supervise la gestion. Le conseil d’administration représente la société et peut prendre les décisions sur toutes les affaires qui ne sont pas attribuées à un autre organe de la société par la loi, les statuts ou le règlement d’organisation.</w:t>
      </w:r>
    </w:p>
    <w:p>
      <w:pPr>
        <w:spacing w:after="0" w:line="3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Le conseil d’administration édicte le règlement d’organisation et s’occupe des relations contractuelles appropriées.</w:t>
      </w:r>
    </w:p>
    <w:p>
      <w:pPr>
        <w:sectPr>
          <w:pgSz w:w="11900" w:h="16838" w:orient="portrait"/>
          <w:cols w:equalWidth="0" w:num="2">
            <w:col w:w="5440" w:space="380"/>
            <w:col w:w="5600"/>
          </w:cols>
          <w:pgMar w:left="240" w:top="274" w:right="2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t>AC Immune SA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23  Powers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Board of Directors has the following non-delegable and inalienable duties:</w:t>
      </w:r>
    </w:p>
    <w:p>
      <w:pPr>
        <w:spacing w:after="0" w:line="62" w:lineRule="exact"/>
        <w:rPr>
          <w:sz w:val="20"/>
          <w:szCs w:val="20"/>
          <w:color w:val="auto"/>
        </w:rPr>
      </w:pPr>
    </w:p>
    <w:p>
      <w:pPr>
        <w:ind w:left="480" w:right="580" w:hanging="472"/>
        <w:spacing w:after="0" w:line="277" w:lineRule="auto"/>
        <w:tabs>
          <w:tab w:leader="none" w:pos="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overall management of the company and the issuing of all necessary directives;</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determination of the company’s organisation;</w:t>
      </w:r>
    </w:p>
    <w:p>
      <w:pPr>
        <w:spacing w:after="0" w:line="117" w:lineRule="exact"/>
        <w:rPr>
          <w:rFonts w:ascii="Arial" w:cs="Arial" w:eastAsia="Arial" w:hAnsi="Arial"/>
          <w:sz w:val="18"/>
          <w:szCs w:val="18"/>
          <w:color w:val="auto"/>
        </w:rPr>
      </w:pPr>
    </w:p>
    <w:p>
      <w:pPr>
        <w:ind w:left="480" w:right="320" w:hanging="472"/>
        <w:spacing w:after="0" w:line="342" w:lineRule="auto"/>
        <w:tabs>
          <w:tab w:leader="none" w:pos="4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organisation of the accounting, financial control and financial planning systems as required for management of the company;</w:t>
      </w:r>
    </w:p>
    <w:p>
      <w:pPr>
        <w:spacing w:after="0" w:line="231" w:lineRule="exact"/>
        <w:rPr>
          <w:rFonts w:ascii="Arial" w:cs="Arial" w:eastAsia="Arial" w:hAnsi="Arial"/>
          <w:sz w:val="16"/>
          <w:szCs w:val="16"/>
          <w:color w:val="auto"/>
        </w:rPr>
      </w:pPr>
    </w:p>
    <w:p>
      <w:pPr>
        <w:ind w:left="480" w:right="220" w:hanging="472"/>
        <w:spacing w:after="0" w:line="277" w:lineRule="auto"/>
        <w:tabs>
          <w:tab w:leader="none" w:pos="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 managing and representing the company;</w:t>
      </w:r>
    </w:p>
    <w:p>
      <w:pPr>
        <w:spacing w:after="0" w:line="62" w:lineRule="exact"/>
        <w:rPr>
          <w:rFonts w:ascii="Arial" w:cs="Arial" w:eastAsia="Arial" w:hAnsi="Arial"/>
          <w:sz w:val="18"/>
          <w:szCs w:val="18"/>
          <w:color w:val="auto"/>
        </w:rPr>
      </w:pPr>
    </w:p>
    <w:p>
      <w:pPr>
        <w:jc w:val="both"/>
        <w:ind w:left="480" w:right="500" w:hanging="472"/>
        <w:spacing w:after="0" w:line="312" w:lineRule="auto"/>
        <w:tabs>
          <w:tab w:leader="none" w:pos="4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overall supervision of the persons entrusted with managing the company, in particular with regard to compliance with the law, articles of association, operational regulations and directives;</w:t>
      </w:r>
    </w:p>
    <w:p>
      <w:pPr>
        <w:spacing w:after="0" w:line="38" w:lineRule="exact"/>
        <w:rPr>
          <w:rFonts w:ascii="Arial" w:cs="Arial" w:eastAsia="Arial" w:hAnsi="Arial"/>
          <w:sz w:val="16"/>
          <w:szCs w:val="16"/>
          <w:color w:val="auto"/>
        </w:rPr>
      </w:pPr>
    </w:p>
    <w:p>
      <w:pPr>
        <w:ind w:left="480" w:right="80" w:hanging="472"/>
        <w:spacing w:after="0" w:line="277" w:lineRule="auto"/>
        <w:tabs>
          <w:tab w:leader="none" w:pos="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and implementation of its resolutions;</w:t>
      </w:r>
    </w:p>
    <w:p>
      <w:pPr>
        <w:spacing w:after="0" w:line="62" w:lineRule="exact"/>
        <w:rPr>
          <w:rFonts w:ascii="Arial" w:cs="Arial" w:eastAsia="Arial" w:hAnsi="Arial"/>
          <w:sz w:val="18"/>
          <w:szCs w:val="18"/>
          <w:color w:val="auto"/>
        </w:rPr>
      </w:pPr>
    </w:p>
    <w:p>
      <w:pPr>
        <w:ind w:left="480" w:hanging="472"/>
        <w:spacing w:after="0" w:line="264" w:lineRule="auto"/>
        <w:tabs>
          <w:tab w:leader="none" w:pos="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preparation of the compensation report and to request approval by the General Meeting regarding compensation of the Board of Directors and the Executive Committee; and</w:t>
      </w:r>
    </w:p>
    <w:p>
      <w:pPr>
        <w:spacing w:after="0" w:line="73" w:lineRule="exact"/>
        <w:rPr>
          <w:rFonts w:ascii="Arial" w:cs="Arial" w:eastAsia="Arial" w:hAnsi="Arial"/>
          <w:sz w:val="18"/>
          <w:szCs w:val="18"/>
          <w:color w:val="auto"/>
        </w:rPr>
      </w:pPr>
    </w:p>
    <w:p>
      <w:pPr>
        <w:ind w:left="480" w:right="980" w:hanging="472"/>
        <w:spacing w:after="0" w:line="277" w:lineRule="auto"/>
        <w:tabs>
          <w:tab w:leader="none" w:pos="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board of directors may assign responsibility for preparing and implementing its resolutions or monitoring transactions to committees or individual members. It must ensure appropriate reporting to its members.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24  Representation of the Company</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Board of Directors shall assign the persons with signatory power for the company and the kind of signatory power.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23  Pouvoirs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 conseil d’administration a les attributions intransmissibles et inaliénables suivantes:</w:t>
      </w:r>
    </w:p>
    <w:p>
      <w:pPr>
        <w:spacing w:after="0" w:line="62" w:lineRule="exact"/>
        <w:rPr>
          <w:sz w:val="20"/>
          <w:szCs w:val="20"/>
          <w:color w:val="auto"/>
        </w:rPr>
      </w:pPr>
    </w:p>
    <w:p>
      <w:pPr>
        <w:ind w:left="440" w:right="560" w:hanging="438"/>
        <w:spacing w:after="0" w:line="277" w:lineRule="auto"/>
        <w:tabs>
          <w:tab w:leader="none" w:pos="4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exercer la haute direction de la société et établir les instructions nécessaires;</w:t>
      </w:r>
    </w:p>
    <w:p>
      <w:pPr>
        <w:spacing w:after="0" w:line="62" w:lineRule="exact"/>
        <w:rPr>
          <w:rFonts w:ascii="Arial" w:cs="Arial" w:eastAsia="Arial" w:hAnsi="Arial"/>
          <w:sz w:val="18"/>
          <w:szCs w:val="18"/>
          <w:color w:val="auto"/>
        </w:rPr>
      </w:pPr>
    </w:p>
    <w:p>
      <w:pPr>
        <w:ind w:left="440" w:hanging="438"/>
        <w:spacing w:after="0"/>
        <w:tabs>
          <w:tab w:leader="none" w:pos="4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fixer l’organisation;</w:t>
      </w:r>
    </w:p>
    <w:p>
      <w:pPr>
        <w:spacing w:after="0" w:line="117" w:lineRule="exact"/>
        <w:rPr>
          <w:rFonts w:ascii="Arial" w:cs="Arial" w:eastAsia="Arial" w:hAnsi="Arial"/>
          <w:sz w:val="18"/>
          <w:szCs w:val="18"/>
          <w:color w:val="auto"/>
        </w:rPr>
      </w:pPr>
    </w:p>
    <w:p>
      <w:pPr>
        <w:jc w:val="both"/>
        <w:ind w:left="440" w:right="40" w:hanging="438"/>
        <w:spacing w:after="0" w:line="264" w:lineRule="auto"/>
        <w:tabs>
          <w:tab w:leader="none" w:pos="4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fixer les principes de la comptabilité et du contrôle financier ainsi que le plan financier pour autant que celui-ci soit nécessaire à la gestion de la société;</w:t>
      </w:r>
    </w:p>
    <w:p>
      <w:pPr>
        <w:spacing w:after="0" w:line="73" w:lineRule="exact"/>
        <w:rPr>
          <w:rFonts w:ascii="Arial" w:cs="Arial" w:eastAsia="Arial" w:hAnsi="Arial"/>
          <w:sz w:val="18"/>
          <w:szCs w:val="18"/>
          <w:color w:val="auto"/>
        </w:rPr>
      </w:pPr>
    </w:p>
    <w:p>
      <w:pPr>
        <w:ind w:left="440" w:right="480" w:hanging="438"/>
        <w:spacing w:after="0" w:line="277" w:lineRule="auto"/>
        <w:tabs>
          <w:tab w:leader="none" w:pos="4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nommer et révoquer les personnes chargées de la gestion et de la représentation;</w:t>
      </w:r>
    </w:p>
    <w:p>
      <w:pPr>
        <w:spacing w:after="0" w:line="62" w:lineRule="exact"/>
        <w:rPr>
          <w:rFonts w:ascii="Arial" w:cs="Arial" w:eastAsia="Arial" w:hAnsi="Arial"/>
          <w:sz w:val="18"/>
          <w:szCs w:val="18"/>
          <w:color w:val="auto"/>
        </w:rPr>
      </w:pPr>
    </w:p>
    <w:p>
      <w:pPr>
        <w:ind w:left="440" w:right="180" w:hanging="438"/>
        <w:spacing w:after="0" w:line="264" w:lineRule="auto"/>
        <w:tabs>
          <w:tab w:leader="none" w:pos="4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exercer la haute surveillance sur les personnes chargées de la gestion pour s’assurer notamment qu’elles observent la loi, les statuts, les règlements et les instructions données;</w:t>
      </w:r>
    </w:p>
    <w:p>
      <w:pPr>
        <w:spacing w:after="0" w:line="73" w:lineRule="exact"/>
        <w:rPr>
          <w:rFonts w:ascii="Arial" w:cs="Arial" w:eastAsia="Arial" w:hAnsi="Arial"/>
          <w:sz w:val="18"/>
          <w:szCs w:val="18"/>
          <w:color w:val="auto"/>
        </w:rPr>
      </w:pPr>
    </w:p>
    <w:p>
      <w:pPr>
        <w:ind w:left="440" w:right="80" w:hanging="438"/>
        <w:spacing w:after="0" w:line="277" w:lineRule="auto"/>
        <w:tabs>
          <w:tab w:leader="none" w:pos="4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établir le rapport de gestion, préparer l’assemblée générale et exécuter ses décisions;</w:t>
      </w:r>
    </w:p>
    <w:p>
      <w:pPr>
        <w:spacing w:after="0" w:line="62" w:lineRule="exact"/>
        <w:rPr>
          <w:rFonts w:ascii="Arial" w:cs="Arial" w:eastAsia="Arial" w:hAnsi="Arial"/>
          <w:sz w:val="18"/>
          <w:szCs w:val="18"/>
          <w:color w:val="auto"/>
        </w:rPr>
      </w:pPr>
    </w:p>
    <w:p>
      <w:pPr>
        <w:ind w:left="440" w:right="380" w:hanging="438"/>
        <w:spacing w:after="0" w:line="312" w:lineRule="auto"/>
        <w:tabs>
          <w:tab w:leader="none" w:pos="44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la préparation du rapport de rémunération et de demander l’approbation par l’assemblée générale en ce qui concerne la rémunération du conseil d’administration et du comité exécutif; et</w:t>
      </w:r>
    </w:p>
    <w:p>
      <w:pPr>
        <w:spacing w:after="0" w:line="38" w:lineRule="exact"/>
        <w:rPr>
          <w:rFonts w:ascii="Arial" w:cs="Arial" w:eastAsia="Arial" w:hAnsi="Arial"/>
          <w:sz w:val="16"/>
          <w:szCs w:val="16"/>
          <w:color w:val="auto"/>
        </w:rPr>
      </w:pPr>
    </w:p>
    <w:p>
      <w:pPr>
        <w:ind w:left="440" w:hanging="438"/>
        <w:spacing w:after="0"/>
        <w:tabs>
          <w:tab w:leader="none" w:pos="4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informer le juge en cas de surendettement.</w:t>
      </w:r>
    </w:p>
    <w:p>
      <w:pPr>
        <w:spacing w:after="0" w:line="200" w:lineRule="exact"/>
        <w:rPr>
          <w:sz w:val="20"/>
          <w:szCs w:val="20"/>
          <w:color w:val="auto"/>
        </w:rPr>
      </w:pP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Le conseil d’administration peut déléguer à un ou plusieurs membres, regroupés en comités, la charge de préparer et d’exécuter ses décisions ou de surveiller certaines affaires. Il veille à ce que ses membres soient convenablement informés.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24  Représentation de la société</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Le conseil d’administration nomme les personnes pouvant représenter la société ainsi que le mode de signature.</w:t>
      </w:r>
    </w:p>
    <w:p>
      <w:pPr>
        <w:sectPr>
          <w:pgSz w:w="11900" w:h="16838" w:orient="portrait"/>
          <w:cols w:equalWidth="0" w:num="2">
            <w:col w:w="5500" w:space="340"/>
            <w:col w:w="5580"/>
          </w:cols>
          <w:pgMar w:left="240" w:top="274" w:right="2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t>AC Immune SA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25  Delegation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Moreover, the Board of Directors is authorized to delegate, in part or entirely, the management and the representation of the Company, within the limits of the law, to one or more individual directors (Delegates) or to third parties pursuant to organizational regulations.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26  Meetings, Resolutions and Minutes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organization of the meetings, the presence quorum and the passing of resolutions of the Board of Directors is determined by the organizational regulations. No presence quorum is required for the approval of the capital increase.</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Resolutions may be passed via telephone or videoconference. Resolutions may also be passed by way of circulation, provided that no member requests oral deliberation.</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Minutes are kept of the board’s discussions and resolutions and signed by the chairman and the minute-taker.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27  Right to information and inspection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Any member of the board of directors may request information on any company business.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Outside meetings, any member may request information from the persons entrusted with managing the company’s business concerning the company’s business performance and, with the chairman’s authorisation, specific transactions.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25  Délégation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En outre, le conseil d’administration peut, dans les limites de la loi, déléguer, en partie ou entièrement, la gestion et la représentation de la société à un ou plusieurs administrateurs (délégués) ou à des tiers conformément au règlement d’organisation.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26  Réunions, décisions et procès-verbal</w:t>
      </w:r>
    </w:p>
    <w:p>
      <w:pPr>
        <w:spacing w:after="0" w:line="121" w:lineRule="exact"/>
        <w:rPr>
          <w:sz w:val="20"/>
          <w:szCs w:val="20"/>
          <w:color w:val="auto"/>
        </w:rPr>
      </w:pPr>
    </w:p>
    <w:p>
      <w:pPr>
        <w:ind w:right="720"/>
        <w:spacing w:after="0" w:line="302" w:lineRule="auto"/>
        <w:rPr>
          <w:sz w:val="20"/>
          <w:szCs w:val="20"/>
          <w:color w:val="auto"/>
        </w:rPr>
      </w:pPr>
      <w:r>
        <w:rPr>
          <w:rFonts w:ascii="Arial" w:cs="Arial" w:eastAsia="Arial" w:hAnsi="Arial"/>
          <w:sz w:val="16"/>
          <w:szCs w:val="16"/>
          <w:color w:val="auto"/>
        </w:rPr>
        <w:t>L’organisation des réunions, le quorum de présence et l’adoption de décisions du conseil d’administration sont prévus dans le règlement d’organisation. Aucun quorum de présence n’est nécessaire pour l’approbation d’un rapport d’augmentation de capital.</w:t>
      </w:r>
    </w:p>
    <w:p>
      <w:pPr>
        <w:spacing w:after="0" w:line="154"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Les décisions peuvent être prises par téléphone ou par vidéoconférence. Les décisions peuvent également être prises par voie de circulation, à condition qu’aucun membre ne demande une délibération orale.</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Les délibérations et les décisions du conseil d’administration sont consignées dans un procès-verbal signé par le président et le rédacteur du procès-verbal.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27  Droit aux renseignements et à la consultation</w:t>
      </w:r>
    </w:p>
    <w:p>
      <w:pPr>
        <w:spacing w:after="0" w:line="121"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Chaque membre du conseil d’administration a le droit d’obtenir des renseignements sur toutes les affaires de la société.</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 dehors des séances, chaque membre du conseil d’administration peut exiger des personnes chargées de la gestion des renseignements sur la marche de l’entreprise et, avec l’autorisation du président, sur des affaires déterminées.</w:t>
      </w:r>
    </w:p>
    <w:p>
      <w:pPr>
        <w:sectPr>
          <w:pgSz w:w="11900" w:h="16838" w:orient="portrait"/>
          <w:cols w:equalWidth="0" w:num="2">
            <w:col w:w="5460" w:space="360"/>
            <w:col w:w="5600"/>
          </w:cols>
          <w:pgMar w:left="240" w:top="274" w:right="2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 Immune SA</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Where required for the performance of his duties, any member may request the chairman to have books of account and documents made available to him for inspection.</w:t>
      </w:r>
    </w:p>
    <w:p>
      <w:pPr>
        <w:spacing w:after="0" w:line="181"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If the chairman refuses a request for information, a request to be heard or an application to inspect documents, the board of directors rules on the matter.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28  Compensation Committee</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Compensation Committee shall comprise at least 2 members. The members of the Compensation Committee shall be individually elected by the Ordinary General Meeting from among the members of the Board of Directors for a term of one year until the next Ordinary General Meeting. Re-election is permitted. The Compensation Committee has the following duties:</w:t>
      </w:r>
    </w:p>
    <w:p>
      <w:pPr>
        <w:spacing w:after="0" w:line="50" w:lineRule="exact"/>
        <w:rPr>
          <w:sz w:val="20"/>
          <w:szCs w:val="20"/>
          <w:color w:val="auto"/>
        </w:rPr>
      </w:pPr>
    </w:p>
    <w:p>
      <w:pPr>
        <w:ind w:left="480" w:right="280" w:hanging="472"/>
        <w:spacing w:after="0" w:line="264" w:lineRule="auto"/>
        <w:tabs>
          <w:tab w:leader="none" w:pos="4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to draw up principles for compensation of members of the Board of Directors and the Executive Committee and to submit them to the Board of Directors for approval;</w:t>
      </w:r>
    </w:p>
    <w:p>
      <w:pPr>
        <w:spacing w:after="0" w:line="73" w:lineRule="exact"/>
        <w:rPr>
          <w:rFonts w:ascii="Arial" w:cs="Arial" w:eastAsia="Arial" w:hAnsi="Arial"/>
          <w:sz w:val="18"/>
          <w:szCs w:val="18"/>
          <w:color w:val="auto"/>
        </w:rPr>
      </w:pPr>
    </w:p>
    <w:p>
      <w:pPr>
        <w:ind w:left="480" w:right="60" w:hanging="472"/>
        <w:spacing w:after="0" w:line="286" w:lineRule="auto"/>
        <w:tabs>
          <w:tab w:leader="none" w:pos="48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to propose to the Board of Directors the resolution to be submitted to the Ordinary General Meeting for the maximum total compensation of the Board of Directors and Executive Committee;</w:t>
      </w:r>
    </w:p>
    <w:p>
      <w:pPr>
        <w:spacing w:after="0" w:line="57" w:lineRule="exact"/>
        <w:rPr>
          <w:rFonts w:ascii="Arial" w:cs="Arial" w:eastAsia="Arial" w:hAnsi="Arial"/>
          <w:sz w:val="17"/>
          <w:szCs w:val="17"/>
          <w:color w:val="auto"/>
        </w:rPr>
      </w:pPr>
    </w:p>
    <w:p>
      <w:pPr>
        <w:ind w:left="480" w:right="60" w:hanging="472"/>
        <w:spacing w:after="0" w:line="257" w:lineRule="auto"/>
        <w:tabs>
          <w:tab w:leader="none" w:pos="4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subject to and within the bounds of the maximum compensation approved by the Ordinary General Meeting, to request approval by the Board of Directors of the individual remuneration packages to be paid to members of the Board of Directors and members of the Executive Committee;</w:t>
      </w:r>
    </w:p>
    <w:p>
      <w:pPr>
        <w:spacing w:after="0" w:line="80" w:lineRule="exact"/>
        <w:rPr>
          <w:rFonts w:ascii="Arial" w:cs="Arial" w:eastAsia="Arial" w:hAnsi="Arial"/>
          <w:sz w:val="18"/>
          <w:szCs w:val="18"/>
          <w:color w:val="auto"/>
        </w:rPr>
      </w:pPr>
    </w:p>
    <w:p>
      <w:pPr>
        <w:ind w:left="480" w:right="280" w:hanging="472"/>
        <w:spacing w:after="0" w:line="264" w:lineRule="auto"/>
        <w:tabs>
          <w:tab w:leader="none" w:pos="4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to request approval by the Board of Directors regarding the determination of the compensation-related targets for the Executive Committee;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22</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Dans la mesure où cela est nécessaire à l’accomplissement de ses tâches, chaque membre du conseil d’administration peut demander au président la production des livres ou des dossiers.</w:t>
      </w:r>
    </w:p>
    <w:p>
      <w:pPr>
        <w:spacing w:after="0" w:line="18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Si le président rejette une demande de renseignement, d’audition ou de consultation, le conseil d’administration tranche.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28  Comité de rémunération</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Le comité de rémunération se compose d’au moins 2 membres. Les membres du comité de rémunération sont élus par l’assemblée générale ordinaire parmi les membres du conseil d’administration pour un mandat d’un an jusqu’à la prochaine assemblée générale ordinaire. Une réélection est possible. Le comité de rémunération a les fonctions suivantes:</w:t>
      </w:r>
    </w:p>
    <w:p>
      <w:pPr>
        <w:spacing w:after="0" w:line="50" w:lineRule="exact"/>
        <w:rPr>
          <w:sz w:val="20"/>
          <w:szCs w:val="20"/>
          <w:color w:val="auto"/>
        </w:rPr>
      </w:pPr>
    </w:p>
    <w:p>
      <w:pPr>
        <w:ind w:left="440" w:right="100" w:hanging="436"/>
        <w:spacing w:after="0" w:line="264" w:lineRule="auto"/>
        <w:tabs>
          <w:tab w:leader="none" w:pos="4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élaborer des principes de rémunération des membres du conseil d’administration et du comité exécutif et de les soumettre au conseil d’administration pour approbation;</w:t>
      </w:r>
    </w:p>
    <w:p>
      <w:pPr>
        <w:spacing w:after="0" w:line="73" w:lineRule="exact"/>
        <w:rPr>
          <w:rFonts w:ascii="Arial" w:cs="Arial" w:eastAsia="Arial" w:hAnsi="Arial"/>
          <w:sz w:val="18"/>
          <w:szCs w:val="18"/>
          <w:color w:val="auto"/>
        </w:rPr>
      </w:pPr>
    </w:p>
    <w:p>
      <w:pPr>
        <w:ind w:left="440" w:right="60" w:hanging="436"/>
        <w:spacing w:after="0" w:line="264" w:lineRule="auto"/>
        <w:tabs>
          <w:tab w:leader="none" w:pos="4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proposer au conseil d’administration la décision sera soumise à l’assemblée générale ordinaire pour la rémunération totale maximale du conseil d’administration et du comité exécutif;</w:t>
      </w:r>
    </w:p>
    <w:p>
      <w:pPr>
        <w:spacing w:after="0" w:line="73" w:lineRule="exact"/>
        <w:rPr>
          <w:rFonts w:ascii="Arial" w:cs="Arial" w:eastAsia="Arial" w:hAnsi="Arial"/>
          <w:sz w:val="18"/>
          <w:szCs w:val="18"/>
          <w:color w:val="auto"/>
        </w:rPr>
      </w:pPr>
    </w:p>
    <w:p>
      <w:pPr>
        <w:ind w:left="440" w:right="80" w:hanging="436"/>
        <w:spacing w:after="0" w:line="276" w:lineRule="auto"/>
        <w:tabs>
          <w:tab w:leader="none" w:pos="44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sous réserve et dans les limites de la rémunération maximale approuvée par l’assemblée générale ordinaire, demander l’approbation du conseil d’administration quant aux paquets de rémunération individuels devant être versés aux membres du conseil d’administration et aux membres du comité exécutif;</w:t>
      </w:r>
    </w:p>
    <w:p>
      <w:pPr>
        <w:spacing w:after="0" w:line="64" w:lineRule="exact"/>
        <w:rPr>
          <w:rFonts w:ascii="Arial" w:cs="Arial" w:eastAsia="Arial" w:hAnsi="Arial"/>
          <w:sz w:val="17"/>
          <w:szCs w:val="17"/>
          <w:color w:val="auto"/>
        </w:rPr>
      </w:pPr>
    </w:p>
    <w:p>
      <w:pPr>
        <w:ind w:left="440" w:right="360" w:hanging="436"/>
        <w:spacing w:after="0" w:line="342" w:lineRule="auto"/>
        <w:tabs>
          <w:tab w:leader="none" w:pos="44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requérir l’approbation du conseil d’administration sur la fixation d’objectifs liés à la rémunération pour le comité exécutif;</w:t>
      </w:r>
    </w:p>
    <w:p>
      <w:pPr>
        <w:sectPr>
          <w:pgSz w:w="11900" w:h="16838" w:orient="portrait"/>
          <w:cols w:equalWidth="0" w:num="2">
            <w:col w:w="5620" w:space="340"/>
            <w:col w:w="5460"/>
          </w:cols>
          <w:pgMar w:left="240" w:top="274" w:right="2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left="480" w:right="180" w:hanging="472"/>
        <w:spacing w:after="0" w:line="264" w:lineRule="auto"/>
        <w:tabs>
          <w:tab w:leader="none" w:pos="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to request approval by the Board of Directors regarding the adjustments to the Articles of Association relating to remuneration; and</w:t>
      </w:r>
    </w:p>
    <w:p>
      <w:pPr>
        <w:spacing w:after="0" w:line="73" w:lineRule="exact"/>
        <w:rPr>
          <w:rFonts w:ascii="Arial" w:cs="Arial" w:eastAsia="Arial" w:hAnsi="Arial"/>
          <w:sz w:val="18"/>
          <w:szCs w:val="18"/>
          <w:color w:val="auto"/>
        </w:rPr>
      </w:pPr>
    </w:p>
    <w:p>
      <w:pPr>
        <w:ind w:left="480" w:right="300" w:hanging="472"/>
        <w:spacing w:after="0" w:line="277" w:lineRule="auto"/>
        <w:tabs>
          <w:tab w:leader="none" w:pos="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to prepare the Compensation Report and submit it to the Board of Directors.</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Board of Directors shall set out any further duties and responsibilities vested on the Compensation Committee in the Company’s Organizational Rules.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29  Indemnification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far as is permissible under applicable law, the Company shall indemnify any current or former member of the Board of Directors, former members of the Executive Committee, or any person who is serving or has served at the request of the Company as a member of the Board of Directors or member of the Executive Committee (each individually, a “Covered Person”), against any expenses, including attorneys’ fees, judgments, fines, and amounts paid in settlement actually and reasonably incurred by him or her in connection with any threatened, pending, or completed action, suit or proceeding, whether civil, criminal or administrative, to which he or she was, is, or is threatened to be made a party, or is otherwise involved (a “Proceeding”). This provision shall not indemnify any Covered Person against any liability arising out of (a) any fraud or dishonesty in the performance of such Covered Person’s duty to the Company, or (b) such Covered Party’s conscious, intentional or willful or grossly negligent breach of the obligation to act honestly and in good faith with a view to the best interests of the Company. Notwithstanding the preceding sentence, this section shall not extend to any person holding the office of auditor or special auditor of the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8" w:lineRule="exact"/>
        <w:rPr>
          <w:sz w:val="20"/>
          <w:szCs w:val="20"/>
          <w:color w:val="auto"/>
        </w:rPr>
      </w:pPr>
    </w:p>
    <w:p>
      <w:pPr>
        <w:ind w:left="440" w:right="160" w:hanging="438"/>
        <w:spacing w:after="0" w:line="277" w:lineRule="auto"/>
        <w:tabs>
          <w:tab w:leader="none" w:pos="4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requérir l’approbation du conseil d’administration sur les adaptations des statuts relatives à la rémunération; et</w:t>
      </w:r>
    </w:p>
    <w:p>
      <w:pPr>
        <w:spacing w:after="0" w:line="278" w:lineRule="exact"/>
        <w:rPr>
          <w:rFonts w:ascii="Arial" w:cs="Arial" w:eastAsia="Arial" w:hAnsi="Arial"/>
          <w:sz w:val="18"/>
          <w:szCs w:val="18"/>
          <w:color w:val="auto"/>
        </w:rPr>
      </w:pPr>
    </w:p>
    <w:p>
      <w:pPr>
        <w:ind w:left="440" w:right="480" w:hanging="438"/>
        <w:spacing w:after="0" w:line="277" w:lineRule="auto"/>
        <w:tabs>
          <w:tab w:leader="none" w:pos="4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préparer le rapport de rémunération et de le soumettre au conseil d’administration.</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Le conseil d’administration fixe toutes les autres fonctions et responsabilités dévolues au comité de rémunération dans le règlement d’organisation de la société.</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29  Indemnisation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Dans la mesure permise par la loi applicable, la société indemnisera tout membre actuel ou ancien du conseil d’administration, les anciens membres du comité exécutif, ou toute personne qui sert ou a servi à la demande de la société en tant que membre du conseil d’administration ou membre du comité exécutif (chacun individuellement, une “Personne Couverte”), pour toutes les dépenses, y compris les honoraires d’avocat, jugements, amendes, et montants versés effectivement et raisonnablement à titre de règlement dans le cadre de toute action, poursuite ou procédure imminente, pendante ou terminée, qu’elle soit civile, pénale ou administrative, à laquelle il ou elle a été, est, ou est menacé d’être partie, ou est impliqué de toute autre manière (une “Procédure”). Cette disposition ne doit pas indemniser une Personne Couverte contre une responsabilité découlant de (a) une fraude ou une malhonnêteté de cette Personne Couverte dans l’exercice de ses fonctions vis-à-vis de la société, ou (b) une violation consciente, intentionnelle ou volontaire ou gravement négligente de l’obligation de cette Personne Couverte d’agir avec honnêteté en tenant compte du meilleur intérêt de la société. Nonobstant ce qui précède, cette disposition ne s’étend pas aux personnes qui occupent le poste de réviseur ou de réviseur spécial de la société.</w:t>
      </w:r>
    </w:p>
    <w:p>
      <w:pPr>
        <w:sectPr>
          <w:pgSz w:w="11900" w:h="16838" w:orient="portrait"/>
          <w:cols w:equalWidth="0" w:num="2">
            <w:col w:w="5500" w:space="340"/>
            <w:col w:w="5580"/>
          </w:cols>
          <w:pgMar w:left="240" w:top="274" w:right="2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the case of any Proceeding by or in the name of the Company, the Company shall indemnify each Covered Person against expenses, including attorneys’ fees, actually and reasonably incurred in connection with the defense or settlement thereof, except no indemnification shall be made in respect of any claim, issue or matter as to which a Covered Person shall have been adjudged to be liable for fraud or dishonesty in the performance of his or her duty to the Company, or for conscious, intentional or willful or grossly negligent breach of his or her obligation to act honestly and in good faith with a view to the best interests of the Company, unless and only to the extent that a court in which such action or suit was brought shall determine upon application that despite the adjudication of liability, but in view of all the circumstances of the case, such Covered Person is fairly and reasonably entitled to indemnity for such expenses as the court shall deem proper. Notwithstanding the preceding sentence, this section shall not extend to any person holding the office of auditor or special auditor of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indemnification under this Article 29 (unless ordered by a court) shall be made by the Company only as authorized in the specific case upon a determination that indemnification of the Covered Person is proper in the circumstances because such person has met the applicable Standard of conduct set forth in this Article 29. Such determination shall be made, with respect to a Covered Person (a) by a majority vote of the members of the Board of Directors who are not parties to such proceeding, even though less than a quorum; (b) by a committee of such members of the Board of Directors designated by a majority vote of such the Board of Directors, even though less than a quorum;</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Dans le cas de toute Procédure intentée par ou au nom de la société, la société doit indemniser chaque Personne Couverte pour les dépenses, y compris les honoraires d’avocat, effectivement et raisonnablement encourus dans le cadre de la défense ou du règlement dans le cadre de la Procédure. Aucune indemnisation ne sera octroyée pour une réclamation, problème ou affaire pour laquelle une Personne Couverte est tenue responsable à la suite de fraude ou de malhonnêteté dans l’exercice de ses fonctions vis-à-vis de la société, ou à cause d’une violation consciente, intentionnelle ou volontaire ou gravement négligente de l’obligation de la Personne Couverte d’agir avec honnêteté en tenant compte du meilleur intérêt de la société, sauf et uniquement si un tribunal auquel une telle action ou poursuite a été porté détermine que, malgré la reconnaissance de la responsabilité, mais compte tenu de toutes les circonstances du cas d’espèce, cette Personne Couverte a équitablement et raisonnablement droit à une indemnisation de ces dépenses, mais uniquement à hauteur du montant que le tribunal jugera convenable. Nonobstant la phrase précédente, cette disposition ne s’étend pas aux personnes qui occupent le poste de réviseur ou de réviseur spécial de la société.</w:t>
      </w:r>
    </w:p>
    <w:p>
      <w:pPr>
        <w:spacing w:after="0" w:line="20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Toute indemnisation en vertu du présent article 29 (sauf si ordonnée par un tribunal) doit être octroyée par la société dans chaque cas dans les limites de l’autorisation sur la base d’une détermination que l’indemnisation de la Personne Couverte est appropriée dans les circonstances parce que cette personne a satisfait au standard de conduite applicable énoncé dans le présent article 29. Une telle décision concernant une Personne Couverte doit être prise (a) par la majorité des votes des membres du conseil d’administration qui ne sont pas parties à cette procédure, même si le quorum requis n’est pas réuni; (b) par un comité de membres du conseil d’administration désignés par une</w:t>
      </w:r>
    </w:p>
    <w:p>
      <w:pPr>
        <w:sectPr>
          <w:pgSz w:w="11900" w:h="16838" w:orient="portrait"/>
          <w:cols w:equalWidth="0" w:num="2">
            <w:col w:w="5480" w:space="340"/>
            <w:col w:w="5600"/>
          </w:cols>
          <w:pgMar w:left="240" w:top="273" w:right="2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firstLine="8"/>
        <w:spacing w:after="0" w:line="287" w:lineRule="auto"/>
        <w:tabs>
          <w:tab w:leader="none" w:pos="24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if there are no such member of the Board of Directors, or if such member of the Board of Directors so direct, by independent legal counsel in a written opinion; or (d) by the General Meeting of Shareholders. Such determination shall be made, with respect to any other Covered Person, by any person or persons having the authority to act on the matter on behalf of the Company. To the extent, however, that any Covered Person has been successful on the merits or otherwise in defense of any proceeding, or in defense of any claim, issue or matter therein, such Covered Person shall be indemnified against expenses (including attorneys’ fees) actually and reasonably incurred by such person in connection therewith, without the necessity of authorization in the specific case.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far as is permissible under applicable law, expenses, including attorneys’ fees, incurred in defending any proceeding for which indemnification is permitted pursuant to this Article 29 shall be paid by the Company in advance of the final disposition of such proceeding upon receipt by the Board of Directors of an undertaking by or on behalf of the Covered Person to repay such amount if it shall ultimately be determined that he or she is not entitled to be indemnified by the Company under these Articles of Association.</w:t>
      </w:r>
    </w:p>
    <w:p>
      <w:pPr>
        <w:spacing w:after="0" w:line="23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It being the policy of the Company that indemnification of the persons specified in this Article 29 shall be made to the fullest extent permitted by law and the indemnification provided by this Article 29 shall not be deemed exclusive (a) of any other rights to which those seeking indemnification or advancement of expenses may be entitled under these Articles of Association, any agreement, any insurance purchased by the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majorité des votes du conseil d’administration, même si le quorum requis n’est pas réuni; (c) s’il n’y a pas de tel membre du conseil d’administration, ou si ce membre du conseil d’administration l’ordonne, par un conseiller juridique indépendant dans un avis écrit; ou (d) par l’assemblée générale des actionnaires. Une telle décision concernant une Personne Couverte doit être prise par une personne ou des personnes ayant le pouvoir d’agir dans cet affaire au nom de la société. Dans la mesure, cependant, où une Personne Couverte a gagné sur le fond ou autrement dans la défense d’une procédure, ou dans la défense de toute réclamation, problème ou affaire dans cette procédure, cette Personne Couverte doit être indemnisée pour les dépenses (y compris les honoraires d’avocat) effectivement et raisonnablement encourus dans le cadre de l’affarie en question sans qu’il soit nécessaire d’avoir une autorisation dans le cas spécifique.</w:t>
      </w:r>
    </w:p>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Dans la mesure permise par la loi applicable, les dépenses, y compris les honoraires d’avocats, encourus dans la défense de toute procédure pour laquelle l’indemnisation est permise en vertu du présent article 29, doivent être payées par la société avant la décision finale dans cette procédure à réception par le conseil d’administration d’une promesse faite par ou au nom de la Personne Couverte de rembourser ce montant s’il s’avère finalement que cette Personne Couverte n’a pas droit à l’indemnisation par la société en vertu de ces statuts.</w:t>
      </w:r>
    </w:p>
    <w:p>
      <w:pPr>
        <w:spacing w:after="0" w:line="21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La politique de la société prévoit que l’indemnisation des personnes visées au présent article 29 doit être payée dans toute la mesure autorisée par la loi et l’indemnisation prévue par cet article 29 ne sera pas considérée comme exclusive (a) d’autres droits auxquels les personnes demandant une indemnisation ou une avance des dépenses ont droit en vertu de ces statuts, d’un accord, d’une assurance souscrite par la société,</w:t>
      </w:r>
    </w:p>
    <w:p>
      <w:pPr>
        <w:sectPr>
          <w:pgSz w:w="11900" w:h="16838" w:orient="portrait"/>
          <w:cols w:equalWidth="0" w:num="2">
            <w:col w:w="5480" w:space="340"/>
            <w:col w:w="5600"/>
          </w:cols>
          <w:pgMar w:left="240" w:top="273" w:right="2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vote of shareholders or disinterested members of the Board of Directors, or pursuant to the decision of any court of competent jurisdiction, or otherwise, both as to action in his or her official capacity and as to action in another capacity while holding such office, or (b) of the power of the Company to indemnify any person who is or was an employee or agent of the Company or of another corporation, joint venture, trust or other enterprise which he or she is serving or has served at the request of the Company, to the same extent and in the same situations and subject to the same determinations as are hereinabove set forth with respect to a Covered Person.</w:t>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used in this Article 29, references to the “Company” include all constituent corporations in a consolidation or merger in which the Company or a predecessor to the Company by consolidation or merger was involved.</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indemnification provided by this Article 29 shall continue as to a person who has ceased to be a member of the Board of Directors or the Executive Committee and shall inure to the benefit of their heirs, executors, and administrators.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AUDITORS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30  Election, Term</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General Meeting shall elect one or more accountants as its Auditors in terms of Articles 727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every year with the rights and duties determined by law.</w:t>
      </w:r>
    </w:p>
    <w:p>
      <w:pPr>
        <w:spacing w:after="0" w:line="208"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The General Meeting may appoint Special Auditors for a term of up to three years who provide the attestations required for capital increases.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31  Duties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Auditors shall perform their duties to audit and report whether the accounting, the</w:t>
      </w:r>
    </w:p>
    <w:p>
      <w:pPr>
        <w:spacing w:after="0" w:line="20" w:lineRule="exact"/>
        <w:rPr>
          <w:sz w:val="20"/>
          <w:szCs w:val="20"/>
          <w:color w:val="auto"/>
        </w:rPr>
      </w:pPr>
      <w:r>
        <w:rPr>
          <w:sz w:val="20"/>
          <w:szCs w:val="20"/>
          <w:color w:val="auto"/>
        </w:rPr>
        <w:br w:type="column"/>
      </w:r>
    </w:p>
    <w:p>
      <w:pPr>
        <w:ind w:left="542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-201295</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d’un vote d’actionnaires ou de membres du conseil d’administration n’ayant pas d’intérêt direct, ou en vertu d’une décision d’un tribunal compétent, ou autrement, soit à l’égard d’actions faites en sa capacité officielle, soit à l’égard d’actions faites à un autre titre tout en ayant une telle fonction, ou (b) du pouvoir de la société d’indemniser toute personne qui est ou était un employé ou un mandataire de la société ou d’une autre société, d’une joint venture, d’une fiducie ou d’une autre entreprise pour laquelle il ou elle travaille ou a travaillé à la demande de la société, dans la même mesure et dans les mêmes situations et sous réserve des mêmes principes concernant une Personne Couverte évoquées ci-dessus.</w:t>
      </w:r>
    </w:p>
    <w:p>
      <w:pPr>
        <w:spacing w:after="0" w:line="18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Tel qu’utilisé dans le présent article 29, les références à la “société” comprennent toutes les sociétés ayant fait l’objet d’un regroupement ou d’une fusion dans laquelle la société ou un prédécesseur à la société a été impliqué.</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L’indemnisation prévue par cet article 29 est maintenue à l’égard d’une personne qui a cessé d’être un membre du conseil d’administration ou le committé exécutif et sera en vigueur au bénéfice de ses héritiers, exécuteurs et administrateurs.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ORGANE DE RÉVISION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30  Élection, durée</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L’assemblée générale nomme chaque année un ou plusieurs réviseurs comme organe de révision selon les articles 727 ss. CO avec les droits et les devoirs déterminés par la loi.</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L’assemblée générale peut nommer des réviseurs spéciaux pour une durée de trois ans au maximum qui fournissent les attestations requises pour les augmentations de capital.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31  Fonctions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L’organe de révision vérifie et rapporte si la comptabilité, les comptes annuels et la proposition</w:t>
      </w:r>
    </w:p>
    <w:p>
      <w:pPr>
        <w:sectPr>
          <w:pgSz w:w="11900" w:h="16838" w:orient="portrait"/>
          <w:cols w:equalWidth="0" w:num="2">
            <w:col w:w="5460" w:space="360"/>
            <w:col w:w="5600"/>
          </w:cols>
          <w:pgMar w:left="240" w:top="274" w:right="2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annual accounts and the proposal regarding allocation of profits are in accordance with law and the Articles of Association.</w:t>
      </w:r>
    </w:p>
    <w:p>
      <w:pPr>
        <w:spacing w:after="0" w:line="291" w:lineRule="exact"/>
        <w:rPr>
          <w:sz w:val="20"/>
          <w:szCs w:val="20"/>
          <w:color w:val="auto"/>
        </w:rPr>
      </w:pPr>
    </w:p>
    <w:p>
      <w:pPr>
        <w:ind w:right="420"/>
        <w:spacing w:after="0" w:line="401" w:lineRule="auto"/>
        <w:rPr>
          <w:sz w:val="20"/>
          <w:szCs w:val="20"/>
          <w:color w:val="auto"/>
        </w:rPr>
      </w:pPr>
      <w:r>
        <w:rPr>
          <w:rFonts w:ascii="Arial" w:cs="Arial" w:eastAsia="Arial" w:hAnsi="Arial"/>
          <w:sz w:val="18"/>
          <w:szCs w:val="18"/>
          <w:b w:val="1"/>
          <w:bCs w:val="1"/>
          <w:color w:val="auto"/>
        </w:rPr>
        <w:t>VII. COMPENSATION AND RELATED PROVISIONS Art. 32 Principles of the Compensation of the Board of Directors</w:t>
      </w:r>
    </w:p>
    <w:p>
      <w:pPr>
        <w:spacing w:after="0" w:line="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compensation payable to the members of the Board of Directors comprises, subject to and within the bounds of the approval by the General Meeting of the total compensation, the following elements:</w:t>
      </w:r>
    </w:p>
    <w:p>
      <w:pPr>
        <w:spacing w:after="0" w:line="71" w:lineRule="exact"/>
        <w:rPr>
          <w:sz w:val="20"/>
          <w:szCs w:val="20"/>
          <w:color w:val="auto"/>
        </w:rPr>
      </w:pPr>
    </w:p>
    <w:p>
      <w:pPr>
        <w:ind w:left="480" w:hanging="472"/>
        <w:spacing w:after="0"/>
        <w:tabs>
          <w:tab w:leader="none" w:pos="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fixed basic remuneration;</w:t>
      </w:r>
    </w:p>
    <w:p>
      <w:pPr>
        <w:spacing w:after="0" w:line="117" w:lineRule="exact"/>
        <w:rPr>
          <w:rFonts w:ascii="Arial" w:cs="Arial" w:eastAsia="Arial" w:hAnsi="Arial"/>
          <w:sz w:val="18"/>
          <w:szCs w:val="18"/>
          <w:color w:val="auto"/>
        </w:rPr>
      </w:pPr>
    </w:p>
    <w:p>
      <w:pPr>
        <w:ind w:left="480" w:right="500" w:hanging="472"/>
        <w:spacing w:after="0" w:line="277" w:lineRule="auto"/>
        <w:tabs>
          <w:tab w:leader="none" w:pos="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fixed committee fee for work in a committee of the Board of Directors;</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lump sum compensation for expenses;</w:t>
      </w:r>
    </w:p>
    <w:p>
      <w:pPr>
        <w:spacing w:after="0" w:line="117" w:lineRule="exact"/>
        <w:rPr>
          <w:rFonts w:ascii="Arial" w:cs="Arial" w:eastAsia="Arial" w:hAnsi="Arial"/>
          <w:sz w:val="18"/>
          <w:szCs w:val="18"/>
          <w:color w:val="auto"/>
        </w:rPr>
      </w:pPr>
    </w:p>
    <w:p>
      <w:pPr>
        <w:ind w:left="480" w:right="60" w:hanging="472"/>
        <w:spacing w:after="0" w:line="277" w:lineRule="auto"/>
        <w:tabs>
          <w:tab w:leader="none" w:pos="4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number of options or shares in the Company, as further outlined in Art. 41.</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compensation is paid in cash and in form of options or shares in the Company. The board of directors or, to the extent delegated to it, the compensation committee shall determine grant, exercise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the required shares through purchases in the market, from treasury shares or by using contingent or authorized share capital.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relative à la répartition des bénéfices sont en conformité avec la loi et les statuts.</w:t>
      </w:r>
    </w:p>
    <w:p>
      <w:pPr>
        <w:spacing w:after="0" w:line="315" w:lineRule="exact"/>
        <w:rPr>
          <w:sz w:val="20"/>
          <w:szCs w:val="20"/>
          <w:color w:val="auto"/>
        </w:rPr>
      </w:pPr>
    </w:p>
    <w:p>
      <w:pPr>
        <w:ind w:right="560"/>
        <w:spacing w:after="0" w:line="401" w:lineRule="auto"/>
        <w:rPr>
          <w:sz w:val="20"/>
          <w:szCs w:val="20"/>
          <w:color w:val="auto"/>
        </w:rPr>
      </w:pPr>
      <w:r>
        <w:rPr>
          <w:rFonts w:ascii="Arial" w:cs="Arial" w:eastAsia="Arial" w:hAnsi="Arial"/>
          <w:sz w:val="18"/>
          <w:szCs w:val="18"/>
          <w:b w:val="1"/>
          <w:bCs w:val="1"/>
          <w:color w:val="auto"/>
        </w:rPr>
        <w:t>VII. RÉMUNÉRATION ET DISPOSITIONS ANALOGUES Art. 32 Principes de rémunération du conseil d’administration</w:t>
      </w:r>
    </w:p>
    <w:p>
      <w:pPr>
        <w:spacing w:after="0" w:line="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La rémunération des membres du conseil d’administration comprend, sous réserve et dans les limites de l’approbation de la rémunération totale par l’assemblée générale, les éléments suivants:</w:t>
      </w:r>
    </w:p>
    <w:p>
      <w:pPr>
        <w:spacing w:after="0" w:line="71" w:lineRule="exact"/>
        <w:rPr>
          <w:sz w:val="20"/>
          <w:szCs w:val="20"/>
          <w:color w:val="auto"/>
        </w:rPr>
      </w:pPr>
    </w:p>
    <w:p>
      <w:pPr>
        <w:ind w:left="440" w:hanging="438"/>
        <w:spacing w:after="0"/>
        <w:tabs>
          <w:tab w:leader="none" w:pos="4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une rémunération fixe de base;</w:t>
      </w:r>
    </w:p>
    <w:p>
      <w:pPr>
        <w:spacing w:after="0" w:line="117" w:lineRule="exact"/>
        <w:rPr>
          <w:rFonts w:ascii="Arial" w:cs="Arial" w:eastAsia="Arial" w:hAnsi="Arial"/>
          <w:sz w:val="18"/>
          <w:szCs w:val="18"/>
          <w:color w:val="auto"/>
        </w:rPr>
      </w:pPr>
    </w:p>
    <w:p>
      <w:pPr>
        <w:ind w:left="440" w:right="40" w:hanging="438"/>
        <w:spacing w:after="0" w:line="277" w:lineRule="auto"/>
        <w:tabs>
          <w:tab w:leader="none" w:pos="4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des frais de commission fixes pour le travail dans un comité du conseil d’administration;</w:t>
      </w:r>
    </w:p>
    <w:p>
      <w:pPr>
        <w:spacing w:after="0" w:line="62" w:lineRule="exact"/>
        <w:rPr>
          <w:rFonts w:ascii="Arial" w:cs="Arial" w:eastAsia="Arial" w:hAnsi="Arial"/>
          <w:sz w:val="18"/>
          <w:szCs w:val="18"/>
          <w:color w:val="auto"/>
        </w:rPr>
      </w:pPr>
    </w:p>
    <w:p>
      <w:pPr>
        <w:ind w:left="440" w:hanging="438"/>
        <w:spacing w:after="0"/>
        <w:tabs>
          <w:tab w:leader="none" w:pos="4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une compensation forfaitaire pour les dépenses;</w:t>
      </w:r>
    </w:p>
    <w:p>
      <w:pPr>
        <w:spacing w:after="0" w:line="117" w:lineRule="exact"/>
        <w:rPr>
          <w:rFonts w:ascii="Arial" w:cs="Arial" w:eastAsia="Arial" w:hAnsi="Arial"/>
          <w:sz w:val="18"/>
          <w:szCs w:val="18"/>
          <w:color w:val="auto"/>
        </w:rPr>
      </w:pPr>
    </w:p>
    <w:p>
      <w:pPr>
        <w:ind w:left="440" w:right="200" w:hanging="438"/>
        <w:spacing w:after="0" w:line="277" w:lineRule="auto"/>
        <w:tabs>
          <w:tab w:leader="none" w:pos="4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un nombre d’actions ou d’options dans la société, comme détaillée à l’art. 41.</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La rémunération est versée en espèces et sous forme d’options ou d’actions de la société. Le conseil d’administration ou, en cas de délégation des fonctions, le comité de rémunération doit fixer les conditions de l’octroi, de l’exercice et de la péremption. En particulier, il peut prévoir la poursuite, l’accélération ou la suppression des conditions d’acquisition, d’exercice et de péremption, pour le paiement ou l’octroi d’une rémunération basée sur la réalisation des objectifs supposés, ou pour la péremption, dans chaque cas, dans le cas d’événements prédéterminés tels qu’un changement de contrôle ou la résiliation d’un contrat de travail ou d’un mandat. La société peut fournir les actions nécessaires par des achats sur le marché, par ses actions propres ou en utilisant du capital conditionnel ou autorisé.</w:t>
      </w:r>
    </w:p>
    <w:p>
      <w:pPr>
        <w:sectPr>
          <w:pgSz w:w="11900" w:h="16838" w:orient="portrait"/>
          <w:cols w:equalWidth="0" w:num="2">
            <w:col w:w="5460" w:space="380"/>
            <w:col w:w="5580"/>
          </w:cols>
          <w:pgMar w:left="240" w:top="274" w:right="2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Subject to the approval by the General Meeting, the members of the Board of Directors may receive remuneration in cash at customary conditions for advisory services rendered outside their capacity as Board member for the benefit of the Company or companies under its control. The General Meeting may approve an additional bonus for the members of the Board of Directors in exceptional cases.</w:t>
      </w:r>
    </w:p>
    <w:p>
      <w:pPr>
        <w:spacing w:after="0" w:line="39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compensation may also be paid for activities in companies that are directly or indirectly controlled by the Company and may be paid by the Company or by a company controlled by it.</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 33  Principles of the Compensation of the Executive Committee</w:t>
      </w:r>
    </w:p>
    <w:p>
      <w:pPr>
        <w:spacing w:after="0" w:line="1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compensation payable to the members of the Executive Committee is subject to the approval by the General Meeting and comprises the following elements:</w:t>
      </w:r>
    </w:p>
    <w:p>
      <w:pPr>
        <w:spacing w:after="0" w:line="87" w:lineRule="exact"/>
        <w:rPr>
          <w:sz w:val="20"/>
          <w:szCs w:val="20"/>
          <w:color w:val="auto"/>
        </w:rPr>
      </w:pPr>
    </w:p>
    <w:p>
      <w:pPr>
        <w:ind w:left="480" w:hanging="472"/>
        <w:spacing w:after="0"/>
        <w:tabs>
          <w:tab w:leader="none" w:pos="4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fixed remuneration payable in cash;</w:t>
      </w:r>
    </w:p>
    <w:p>
      <w:pPr>
        <w:spacing w:after="0" w:line="117" w:lineRule="exact"/>
        <w:rPr>
          <w:rFonts w:ascii="Arial" w:cs="Arial" w:eastAsia="Arial" w:hAnsi="Arial"/>
          <w:sz w:val="18"/>
          <w:szCs w:val="18"/>
          <w:color w:val="auto"/>
        </w:rPr>
      </w:pPr>
    </w:p>
    <w:p>
      <w:pPr>
        <w:ind w:left="480" w:hanging="472"/>
        <w:spacing w:after="0"/>
        <w:tabs>
          <w:tab w:leader="none" w:pos="48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 performance-related remuneration payable in cash (variable);</w:t>
      </w:r>
    </w:p>
    <w:p>
      <w:pPr>
        <w:spacing w:after="0" w:line="142" w:lineRule="exact"/>
        <w:rPr>
          <w:rFonts w:ascii="Arial" w:cs="Arial" w:eastAsia="Arial" w:hAnsi="Arial"/>
          <w:sz w:val="17"/>
          <w:szCs w:val="17"/>
          <w:color w:val="auto"/>
        </w:rPr>
      </w:pPr>
    </w:p>
    <w:p>
      <w:pPr>
        <w:ind w:left="480" w:right="80" w:hanging="472"/>
        <w:spacing w:after="0" w:line="277" w:lineRule="auto"/>
        <w:tabs>
          <w:tab w:leader="none" w:pos="4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number of options or shares in the Company, as further outlined in Art. 41.</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performance-related remuneration depends on the Company’s business success and the individual performance of the member of the Executive Committee based on the achievement of pre-determined targets during a business year. The Board of Directors determines annually at the beginning of each relevant business year the decisive targets and their weighting upon proposal by the Compensation Committee. The amount of the performance-related remuneration for each member of the Executive Committee is determined by the Board of Directors and may not exceed 100 percent of the respective individual fixed remuneration for the same year.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Sous réserve de l’approbation par l’assemblée générale, les membres du conseil d’administration peuvent recevoir une rémunération en espèces dans les conditions habituelles pour des services consultatifs rendus en-dehors de leur qualité de membre du conseil pour le bénéfice de la société ou des sociétés sous son contrôle. L’assemblée générale peut approuver un bonus supplémentaire pour les membres du conseil d’administration dans des cas exceptionnels.</w:t>
      </w:r>
    </w:p>
    <w:p>
      <w:pPr>
        <w:spacing w:after="0" w:line="17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La rémunération peut également être accordée pour des activités dans des entreprises qui sont contrôlées directement ou indirectement par la société et peuvent être versées par la société ou par une société contrôlée par elle.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33  Principe de rémunération du comité exécutif</w:t>
      </w:r>
    </w:p>
    <w:p>
      <w:pPr>
        <w:spacing w:after="0" w:line="14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La rémunération des membres du comité exécutif est soumis à l’approbation l’assemblée générale et comprend les éléments suivants</w:t>
      </w:r>
    </w:p>
    <w:p>
      <w:pPr>
        <w:spacing w:after="0" w:line="268" w:lineRule="exact"/>
        <w:rPr>
          <w:sz w:val="20"/>
          <w:szCs w:val="20"/>
          <w:color w:val="auto"/>
        </w:rPr>
      </w:pPr>
    </w:p>
    <w:p>
      <w:pPr>
        <w:ind w:left="440" w:hanging="438"/>
        <w:spacing w:after="0"/>
        <w:tabs>
          <w:tab w:leader="none" w:pos="4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une rémunération fixe payable en espèces;</w:t>
      </w:r>
    </w:p>
    <w:p>
      <w:pPr>
        <w:spacing w:after="0" w:line="117" w:lineRule="exact"/>
        <w:rPr>
          <w:rFonts w:ascii="Arial" w:cs="Arial" w:eastAsia="Arial" w:hAnsi="Arial"/>
          <w:sz w:val="18"/>
          <w:szCs w:val="18"/>
          <w:color w:val="auto"/>
        </w:rPr>
      </w:pPr>
    </w:p>
    <w:p>
      <w:pPr>
        <w:ind w:left="440" w:hanging="438"/>
        <w:spacing w:after="0"/>
        <w:tabs>
          <w:tab w:leader="none" w:pos="4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une rémunération liée à la performance payable en espèces (variable);</w:t>
      </w:r>
    </w:p>
    <w:p>
      <w:pPr>
        <w:spacing w:after="0" w:line="153" w:lineRule="exact"/>
        <w:rPr>
          <w:rFonts w:ascii="Arial" w:cs="Arial" w:eastAsia="Arial" w:hAnsi="Arial"/>
          <w:sz w:val="16"/>
          <w:szCs w:val="16"/>
          <w:color w:val="auto"/>
        </w:rPr>
      </w:pPr>
    </w:p>
    <w:p>
      <w:pPr>
        <w:ind w:left="440" w:right="200" w:hanging="438"/>
        <w:spacing w:after="0" w:line="277" w:lineRule="auto"/>
        <w:tabs>
          <w:tab w:leader="none" w:pos="4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un nombre d’actions ou d’options dans la société, comme détaillée à l’art. 41.</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La rémunération liée à la performance dépend de la réussite économique de la société et de la performance individuelle du membre du comité exécutif sur la base de la réalisation des objectifs prédéterminés au cours d’une année d’activité. Le conseil d’administration détermine au début de chaque exercice les objectifs décisifs et leur pondération sur proposition du comité de rémunération. Le montant de la rémunération liée à la performance pour chaque membre du comité exécutif est déterminé par le conseil d’administration et ne peut dépasser 100 pour cent de la rémunération fixe individuelle respective pour la même année.</w:t>
      </w:r>
    </w:p>
    <w:p>
      <w:pPr>
        <w:sectPr>
          <w:pgSz w:w="11900" w:h="16838" w:orient="portrait"/>
          <w:cols w:equalWidth="0" w:num="2">
            <w:col w:w="5480" w:space="360"/>
            <w:col w:w="5580"/>
          </w:cols>
          <w:pgMar w:left="240" w:top="274" w:right="23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compensation may also be paid for activities in companies that are directly or indirectly controlled by the Company and may be paid by the Company or by a company controlled by it.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-215900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La rémunération peut également être versée pour activités dans des entreprises qui sont contrôlées directement ou indirectement par la société et peut être versée par la société ou par une société contrôlée par elle.</w:t>
      </w:r>
    </w:p>
    <w:p>
      <w:pPr>
        <w:spacing w:after="0" w:line="200" w:lineRule="exact"/>
        <w:rPr>
          <w:sz w:val="20"/>
          <w:szCs w:val="20"/>
          <w:color w:val="auto"/>
        </w:rPr>
      </w:pPr>
    </w:p>
    <w:p>
      <w:pPr>
        <w:sectPr>
          <w:pgSz w:w="11900" w:h="16838" w:orient="portrait"/>
          <w:cols w:equalWidth="0" w:num="2">
            <w:col w:w="5220" w:space="600"/>
            <w:col w:w="5600"/>
          </w:cols>
          <w:pgMar w:left="240" w:top="273" w:right="2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 34  Compensation for new Members of the Executive Committee</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new members of the Executive Committee are appointed and take up their position in the Company after the General Meeting has approved the maximum total compensation for members of the Executive Committee for the year in question, the new members may be paid an additional amount for the period until the next Ordinary Meeting of Shareholder. The additional amount payable to all new members of the Executive Committee may not exceed 50 percent of the respective total compensation already approved by the General Meeting. The additional compensation may only be paid if the total compensation amount that has been approved by the General Meeting for the compensation of the members of the Executive Committee is insufficient to compensate the newly appointed members. The General Meeting is not required to vote on this additional amount.</w:t>
      </w:r>
    </w:p>
    <w:p>
      <w:pPr>
        <w:spacing w:after="0" w:line="39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additional overall compensation is understood to include any settlements for any disadvantage suffered as a result of the change of job.</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 34  Rémunération pour les nouveaux membres du comité exécutif</w:t>
      </w:r>
    </w:p>
    <w:p>
      <w:pPr>
        <w:spacing w:after="0" w:line="15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Si de nouveaux membres du comité exécutif sont nommés et prennent leur position dans la société après que l’assemblée générale a approuvé la rémunération totale maximale pour les membres du comité exécutif pour l’année en question, les nouveaux membres peuvent être payés au moyen d’un montant additionnel pour la période allant jusqu’à la prochaine assemblée ordinaire des actionnaires. Le montant additionnel payable à tous les nouveaux membres du comité exécutif ne peut pas dépasser 50 pour cent de la rémunération totale respective déjà approuvé par l’assemblée générale. La rémunération additionnelle ne peut être versée que si le montant total de la rémunération qui a été approuvé par l’assemblée générale pour la rémunération des membres du comité exécutif est insuffisant pour rémunérer les membres nouvellement nommés. L’assemblée générale n’a pas à se prononcer sur ce montant supplémentaire.</w:t>
      </w:r>
    </w:p>
    <w:p>
      <w:pPr>
        <w:spacing w:after="0" w:line="18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Cette rémunération additionnelle globale est sensée comprendre toutes les règlements pour tout inconvénient subi à la suite du changement de travail.</w:t>
      </w:r>
    </w:p>
    <w:p>
      <w:pPr>
        <w:spacing w:after="0" w:line="200" w:lineRule="exact"/>
        <w:rPr>
          <w:sz w:val="20"/>
          <w:szCs w:val="20"/>
          <w:color w:val="auto"/>
        </w:rPr>
      </w:pPr>
    </w:p>
    <w:p>
      <w:pPr>
        <w:sectPr>
          <w:pgSz w:w="11900" w:h="16838" w:orient="portrait"/>
          <w:cols w:equalWidth="0" w:num="2">
            <w:col w:w="5440" w:space="380"/>
            <w:col w:w="5600"/>
          </w:cols>
          <w:pgMar w:left="240" w:top="273"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35  Expenses</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Expenses which are not covered by the lump sum compensation pursuant to the Company’s expense regulations shall be reimbursed following presentation of the supporting receipts. This additional remuneration is not subject to a separate vote by the General Meeting.</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35  Dépenses</w:t>
      </w:r>
    </w:p>
    <w:p>
      <w:pPr>
        <w:spacing w:after="0" w:line="13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Les dépenses qui ne sont pas couvertes par l’indemnité forfaitaire conformément aux règlements de frais de la société sont remboursées à la suite de la présentation des reçus correspondants. Cette rémunération additionnelle n’est pas soumise à un vote séparé par l’assemblée générale.</w:t>
      </w:r>
    </w:p>
    <w:p>
      <w:pPr>
        <w:sectPr>
          <w:pgSz w:w="11900" w:h="16838" w:orient="portrait"/>
          <w:cols w:equalWidth="0" w:num="2">
            <w:col w:w="5480" w:space="340"/>
            <w:col w:w="5600"/>
          </w:cols>
          <w:pgMar w:left="240" w:top="273" w:right="239" w:bottom="1440" w:gutter="0" w:footer="0" w:header="0"/>
          <w:type w:val="continuous"/>
        </w:sectPr>
      </w:pPr>
    </w:p>
    <w:bookmarkStart w:id="310" w:name="page311"/>
    <w:bookmarkEnd w:id="310"/>
    <w:p>
      <w:pPr>
        <w:spacing w:after="0"/>
        <w:rPr>
          <w:sz w:val="20"/>
          <w:szCs w:val="20"/>
          <w:color w:val="auto"/>
        </w:rPr>
      </w:pPr>
      <w:r>
        <w:rPr>
          <w:rFonts w:ascii="Arial" w:cs="Arial" w:eastAsia="Arial" w:hAnsi="Arial"/>
          <w:sz w:val="18"/>
          <w:szCs w:val="18"/>
          <w:color w:val="auto"/>
        </w:rPr>
        <w:t>AC Immune SA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36  Compensation Agreements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Agreements on compensation with members of the Board of Directors may not exceed the term of maximal one year.</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Employment agreements of the members of the Executive Committee are principally concluded for an indefinite period of time whereas a notice period may not exceed 12 months. If an employment agreement is concluded for a fixed term such term may not exceed one year.</w:t>
      </w:r>
    </w:p>
    <w:p>
      <w:pPr>
        <w:spacing w:after="0" w:line="258" w:lineRule="exact"/>
        <w:rPr>
          <w:sz w:val="20"/>
          <w:szCs w:val="20"/>
          <w:color w:val="auto"/>
        </w:rPr>
      </w:pPr>
    </w:p>
    <w:p>
      <w:pPr>
        <w:ind w:left="680" w:right="160" w:hanging="665"/>
        <w:spacing w:after="0" w:line="282" w:lineRule="auto"/>
        <w:rPr>
          <w:sz w:val="20"/>
          <w:szCs w:val="20"/>
          <w:color w:val="auto"/>
        </w:rPr>
      </w:pPr>
      <w:r>
        <w:rPr>
          <w:rFonts w:ascii="Arial" w:cs="Arial" w:eastAsia="Arial" w:hAnsi="Arial"/>
          <w:sz w:val="18"/>
          <w:szCs w:val="18"/>
          <w:b w:val="1"/>
          <w:bCs w:val="1"/>
          <w:color w:val="auto"/>
        </w:rPr>
        <w:t>Art. 37 Mandates of a Member of the Board of Directors outside the Company</w:t>
      </w:r>
    </w:p>
    <w:p>
      <w:pPr>
        <w:spacing w:after="0" w:line="5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 member of the Board of Directors may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spacing w:after="0" w:line="80" w:lineRule="exact"/>
        <w:rPr>
          <w:sz w:val="20"/>
          <w:szCs w:val="20"/>
          <w:color w:val="auto"/>
        </w:rPr>
      </w:pPr>
    </w:p>
    <w:p>
      <w:pPr>
        <w:ind w:left="480" w:hanging="472"/>
        <w:spacing w:after="0" w:line="277" w:lineRule="auto"/>
        <w:tabs>
          <w:tab w:leader="none" w:pos="4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7 mandates for publicly traded companies pursuant to art. 727 para. 1 number 1 CO; and</w:t>
      </w:r>
    </w:p>
    <w:p>
      <w:pPr>
        <w:spacing w:after="0" w:line="62" w:lineRule="exact"/>
        <w:rPr>
          <w:rFonts w:ascii="Arial" w:cs="Arial" w:eastAsia="Arial" w:hAnsi="Arial"/>
          <w:sz w:val="18"/>
          <w:szCs w:val="18"/>
          <w:color w:val="auto"/>
        </w:rPr>
      </w:pPr>
    </w:p>
    <w:p>
      <w:pPr>
        <w:ind w:left="480" w:right="60" w:hanging="472"/>
        <w:spacing w:after="0" w:line="277" w:lineRule="auto"/>
        <w:tabs>
          <w:tab w:leader="none" w:pos="4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8 mandates for companies pursuant to art. 727 para. 1 number 2 CO; and</w:t>
      </w:r>
    </w:p>
    <w:p>
      <w:pPr>
        <w:spacing w:after="0" w:line="62" w:lineRule="exact"/>
        <w:rPr>
          <w:rFonts w:ascii="Arial" w:cs="Arial" w:eastAsia="Arial" w:hAnsi="Arial"/>
          <w:sz w:val="18"/>
          <w:szCs w:val="18"/>
          <w:color w:val="auto"/>
        </w:rPr>
      </w:pPr>
    </w:p>
    <w:p>
      <w:pPr>
        <w:ind w:left="480" w:right="260" w:hanging="472"/>
        <w:spacing w:after="0" w:line="277" w:lineRule="auto"/>
        <w:tabs>
          <w:tab w:leader="none" w:pos="4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5 mandates for companies which do not fulfil the criteria under a) and b) above.</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Mandates held in several legal entities each operating under the same management or same beneficial owner (group) are deemed to be a single mandate.</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a legal entity fulfills several of the above mentioned criteria, it can be freely counted towards any category. The following mandates are excepted from these restrictions:</w:t>
      </w:r>
    </w:p>
    <w:p>
      <w:pPr>
        <w:spacing w:after="0" w:line="73" w:lineRule="exact"/>
        <w:rPr>
          <w:sz w:val="20"/>
          <w:szCs w:val="20"/>
          <w:color w:val="auto"/>
        </w:rPr>
      </w:pPr>
    </w:p>
    <w:p>
      <w:pPr>
        <w:ind w:left="480" w:right="220" w:hanging="472"/>
        <w:spacing w:after="0" w:line="277" w:lineRule="auto"/>
        <w:tabs>
          <w:tab w:leader="none" w:pos="4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mandates in legal entities which are controlled by the Company or which control the Company;</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honorary mandates in charitable legal entities.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36  Accords sur la rémunération</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Les accords sur la rémunération des membres du conseil d’administration ne peuvent pas excéder la durée maximale d’une année.</w:t>
      </w:r>
    </w:p>
    <w:p>
      <w:pPr>
        <w:spacing w:after="0" w:line="14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Les contrats de travail des membres du comité exécutif sont principalement conclus pour une durée indéterminée. Un délai de préavis ne peut pas excéder 12 mois. Si un accord de travail est conclu pour une durée déterminée, telle durée ne peut pas excéder un an.</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 37  Mandats d’un membre du conseil d’administration de la société</w:t>
      </w:r>
    </w:p>
    <w:p>
      <w:pPr>
        <w:spacing w:after="0" w:line="3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 membre du conseil d’administration ne peut pas cumuler plus que le nombre suivant de mandats dans un conseil d’administration, une direction supérieure ou un organisme administratif d’une personne morale qui est obligée d’être inscrite au registre du commerce suisse ou un registre étranger équivalent:</w:t>
      </w:r>
    </w:p>
    <w:p>
      <w:pPr>
        <w:spacing w:after="0" w:line="80" w:lineRule="exact"/>
        <w:rPr>
          <w:sz w:val="20"/>
          <w:szCs w:val="20"/>
          <w:color w:val="auto"/>
        </w:rPr>
      </w:pPr>
    </w:p>
    <w:p>
      <w:pPr>
        <w:ind w:left="440" w:right="240" w:hanging="438"/>
        <w:spacing w:after="0" w:line="277" w:lineRule="auto"/>
        <w:tabs>
          <w:tab w:leader="none" w:pos="4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7 mandats pour les entreprises cotées en bourse selon l’art. 727 al. 1 chiffre 1 CO; et</w:t>
      </w:r>
    </w:p>
    <w:p>
      <w:pPr>
        <w:spacing w:after="0" w:line="62" w:lineRule="exact"/>
        <w:rPr>
          <w:rFonts w:ascii="Arial" w:cs="Arial" w:eastAsia="Arial" w:hAnsi="Arial"/>
          <w:sz w:val="18"/>
          <w:szCs w:val="18"/>
          <w:color w:val="auto"/>
        </w:rPr>
      </w:pPr>
    </w:p>
    <w:p>
      <w:pPr>
        <w:ind w:left="440" w:hanging="438"/>
        <w:spacing w:after="0"/>
        <w:tabs>
          <w:tab w:leader="none" w:pos="44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8 mandats pour des entreprises selon l’art. 727 al. 1 chiffre 2 CO; et</w:t>
      </w:r>
    </w:p>
    <w:p>
      <w:pPr>
        <w:spacing w:after="0" w:line="344" w:lineRule="exact"/>
        <w:rPr>
          <w:rFonts w:ascii="Arial" w:cs="Arial" w:eastAsia="Arial" w:hAnsi="Arial"/>
          <w:sz w:val="17"/>
          <w:szCs w:val="17"/>
          <w:color w:val="auto"/>
        </w:rPr>
      </w:pPr>
    </w:p>
    <w:p>
      <w:pPr>
        <w:ind w:left="440" w:right="120" w:hanging="438"/>
        <w:spacing w:after="0" w:line="277" w:lineRule="auto"/>
        <w:tabs>
          <w:tab w:leader="none" w:pos="4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5 mandats pour les entreprises qui ne remplissent pas les critères sous a) et b) ci-dessus.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Les mandats exercés dans plusieurs entités juridiques opérant chacune sous la même direction ou le même bénéficiaire effectif (groupe) sont réputés être un seul mandat.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 une entité juridique remplit plusieurs des critères mentionnés ci-dessus, elle peut être librement placée dans une catégorie. Les mandats suivants sont exceptés de ces restrictions:</w:t>
      </w:r>
    </w:p>
    <w:p>
      <w:pPr>
        <w:spacing w:after="0" w:line="73" w:lineRule="exact"/>
        <w:rPr>
          <w:sz w:val="20"/>
          <w:szCs w:val="20"/>
          <w:color w:val="auto"/>
        </w:rPr>
      </w:pPr>
    </w:p>
    <w:p>
      <w:pPr>
        <w:ind w:left="440" w:right="500" w:hanging="438"/>
        <w:spacing w:after="0" w:line="277" w:lineRule="auto"/>
        <w:tabs>
          <w:tab w:leader="none" w:pos="4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les mandats dans des entités juridiques qui sont contrôlées par la société ou qui contrôlent la société;</w:t>
      </w:r>
    </w:p>
    <w:p>
      <w:pPr>
        <w:spacing w:after="0" w:line="62" w:lineRule="exact"/>
        <w:rPr>
          <w:rFonts w:ascii="Arial" w:cs="Arial" w:eastAsia="Arial" w:hAnsi="Arial"/>
          <w:sz w:val="18"/>
          <w:szCs w:val="18"/>
          <w:color w:val="auto"/>
        </w:rPr>
      </w:pPr>
    </w:p>
    <w:p>
      <w:pPr>
        <w:ind w:left="440" w:hanging="438"/>
        <w:spacing w:after="0"/>
        <w:tabs>
          <w:tab w:leader="none" w:pos="44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des mandats d’honneur à des personnes morales de bienfaisance.</w:t>
      </w:r>
    </w:p>
    <w:p>
      <w:pPr>
        <w:sectPr>
          <w:pgSz w:w="11900" w:h="16838" w:orient="portrait"/>
          <w:cols w:equalWidth="0" w:num="2">
            <w:col w:w="5480" w:space="360"/>
            <w:col w:w="5580"/>
          </w:cols>
          <w:pgMar w:left="240" w:top="273" w:right="23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color w:val="auto"/>
        </w:rPr>
        <w:t>AC Immune SA</w:t>
      </w:r>
    </w:p>
    <w:p>
      <w:pPr>
        <w:spacing w:after="0" w:line="154" w:lineRule="exact"/>
        <w:rPr>
          <w:sz w:val="20"/>
          <w:szCs w:val="20"/>
          <w:color w:val="auto"/>
        </w:rPr>
      </w:pPr>
    </w:p>
    <w:p>
      <w:pPr>
        <w:ind w:left="680" w:right="220" w:hanging="665"/>
        <w:spacing w:after="0" w:line="282" w:lineRule="auto"/>
        <w:rPr>
          <w:sz w:val="20"/>
          <w:szCs w:val="20"/>
          <w:color w:val="auto"/>
        </w:rPr>
      </w:pPr>
      <w:r>
        <w:rPr>
          <w:rFonts w:ascii="Arial" w:cs="Arial" w:eastAsia="Arial" w:hAnsi="Arial"/>
          <w:sz w:val="18"/>
          <w:szCs w:val="18"/>
          <w:b w:val="1"/>
          <w:bCs w:val="1"/>
          <w:color w:val="auto"/>
        </w:rPr>
        <w:t>Art. 38 Mandates of a Member of the Executive Committee outside the Company</w:t>
      </w:r>
    </w:p>
    <w:p>
      <w:pPr>
        <w:spacing w:after="0" w:line="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Each member of the Executive Committee may, with approval of the Board of Directors, cumulatively assume not more than the following number of mandates in the board of directors, the superior management or an administrative body of a legal entity which is obliged to be registered in the Swiss commercial register or an equivalent foreign register:</w:t>
      </w:r>
    </w:p>
    <w:p>
      <w:pPr>
        <w:spacing w:after="0" w:line="50" w:lineRule="exact"/>
        <w:rPr>
          <w:sz w:val="20"/>
          <w:szCs w:val="20"/>
          <w:color w:val="auto"/>
        </w:rPr>
      </w:pPr>
    </w:p>
    <w:p>
      <w:pPr>
        <w:ind w:left="480" w:right="80" w:hanging="472"/>
        <w:spacing w:after="0" w:line="277" w:lineRule="auto"/>
        <w:tabs>
          <w:tab w:leader="none" w:pos="4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2 mandates for publicly traded companies pursuant to Art. 727 para. 1 number 1 CO; and</w:t>
      </w:r>
    </w:p>
    <w:p>
      <w:pPr>
        <w:spacing w:after="0" w:line="62" w:lineRule="exact"/>
        <w:rPr>
          <w:rFonts w:ascii="Arial" w:cs="Arial" w:eastAsia="Arial" w:hAnsi="Arial"/>
          <w:sz w:val="18"/>
          <w:szCs w:val="18"/>
          <w:color w:val="auto"/>
        </w:rPr>
      </w:pPr>
    </w:p>
    <w:p>
      <w:pPr>
        <w:ind w:left="480" w:hanging="472"/>
        <w:spacing w:after="0" w:line="277" w:lineRule="auto"/>
        <w:tabs>
          <w:tab w:leader="none" w:pos="4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3 mandates for companies pursuant to Art. 727 para. 1 number 2 CO; and</w:t>
      </w:r>
    </w:p>
    <w:p>
      <w:pPr>
        <w:spacing w:after="0" w:line="62" w:lineRule="exact"/>
        <w:rPr>
          <w:rFonts w:ascii="Arial" w:cs="Arial" w:eastAsia="Arial" w:hAnsi="Arial"/>
          <w:sz w:val="18"/>
          <w:szCs w:val="18"/>
          <w:color w:val="auto"/>
        </w:rPr>
      </w:pPr>
    </w:p>
    <w:p>
      <w:pPr>
        <w:ind w:left="480" w:right="20" w:hanging="472"/>
        <w:spacing w:after="0" w:line="277" w:lineRule="auto"/>
        <w:tabs>
          <w:tab w:leader="none" w:pos="4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5 mandates for companies which do not fulfil the criteria under litera a) and b) above.</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Mandates held in several legal entities each operating under the same management or same beneficial owner (group) are deemed to be a single mandate.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a legal entity fulfills several of the above mentioned criteria, it can be freely counted towards any category. The following mandates are excepted from this restrictions:</w:t>
      </w:r>
    </w:p>
    <w:p>
      <w:pPr>
        <w:spacing w:after="0" w:line="73" w:lineRule="exact"/>
        <w:rPr>
          <w:sz w:val="20"/>
          <w:szCs w:val="20"/>
          <w:color w:val="auto"/>
        </w:rPr>
      </w:pPr>
    </w:p>
    <w:p>
      <w:pPr>
        <w:ind w:left="480" w:right="200" w:hanging="472"/>
        <w:spacing w:after="0" w:line="277" w:lineRule="auto"/>
        <w:tabs>
          <w:tab w:leader="none" w:pos="4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mandates in legal entities which are controlled by the Company or which control the Company;</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honorary mandates in charitable legal entities.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4" w:lineRule="exact"/>
        <w:rPr>
          <w:sz w:val="20"/>
          <w:szCs w:val="20"/>
          <w:color w:val="auto"/>
        </w:rPr>
      </w:pPr>
    </w:p>
    <w:p>
      <w:pPr>
        <w:ind w:left="660" w:right="480" w:hanging="665"/>
        <w:spacing w:after="0" w:line="282" w:lineRule="auto"/>
        <w:rPr>
          <w:sz w:val="20"/>
          <w:szCs w:val="20"/>
          <w:color w:val="auto"/>
        </w:rPr>
      </w:pPr>
      <w:r>
        <w:rPr>
          <w:rFonts w:ascii="Arial" w:cs="Arial" w:eastAsia="Arial" w:hAnsi="Arial"/>
          <w:sz w:val="18"/>
          <w:szCs w:val="18"/>
          <w:b w:val="1"/>
          <w:bCs w:val="1"/>
          <w:color w:val="auto"/>
        </w:rPr>
        <w:t>Art. 38 Mandats d’un membre du comité exécutif en-dehors de la soicété</w:t>
      </w:r>
    </w:p>
    <w:p>
      <w:pPr>
        <w:spacing w:after="0" w:line="5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Chaque membre du comité exécutif peut, avec l’approbation du conseil d’administration, cumuler pas plus que le nombre suivant de mandats dans un conseil d’administration, une direction supérieure ou un organisme administratif d’une personne morale qui est obligée d’être inscrite dans le registre du commerce suisse ou un registre étranger équivalent:</w:t>
      </w:r>
    </w:p>
    <w:p>
      <w:pPr>
        <w:spacing w:after="0" w:line="50" w:lineRule="exact"/>
        <w:rPr>
          <w:sz w:val="20"/>
          <w:szCs w:val="20"/>
          <w:color w:val="auto"/>
        </w:rPr>
      </w:pPr>
    </w:p>
    <w:p>
      <w:pPr>
        <w:ind w:left="440" w:right="240" w:hanging="438"/>
        <w:spacing w:after="0" w:line="277" w:lineRule="auto"/>
        <w:tabs>
          <w:tab w:leader="none" w:pos="4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2 mandats pour les entreprises cotées en bourse selon l’art. 727 al. 1 chiffre 1 CO; et</w:t>
      </w:r>
    </w:p>
    <w:p>
      <w:pPr>
        <w:spacing w:after="0" w:line="62" w:lineRule="exact"/>
        <w:rPr>
          <w:rFonts w:ascii="Arial" w:cs="Arial" w:eastAsia="Arial" w:hAnsi="Arial"/>
          <w:sz w:val="18"/>
          <w:szCs w:val="18"/>
          <w:color w:val="auto"/>
        </w:rPr>
      </w:pPr>
    </w:p>
    <w:p>
      <w:pPr>
        <w:ind w:left="440" w:hanging="438"/>
        <w:spacing w:after="0"/>
        <w:tabs>
          <w:tab w:leader="none" w:pos="44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3 mandats pour des entreprises selon l’art. 727 al. 1 chiffre 2 CO; et</w:t>
      </w:r>
    </w:p>
    <w:p>
      <w:pPr>
        <w:spacing w:after="0" w:line="344" w:lineRule="exact"/>
        <w:rPr>
          <w:rFonts w:ascii="Arial" w:cs="Arial" w:eastAsia="Arial" w:hAnsi="Arial"/>
          <w:sz w:val="17"/>
          <w:szCs w:val="17"/>
          <w:color w:val="auto"/>
        </w:rPr>
      </w:pPr>
    </w:p>
    <w:p>
      <w:pPr>
        <w:ind w:left="440" w:right="120" w:hanging="438"/>
        <w:spacing w:after="0" w:line="277" w:lineRule="auto"/>
        <w:tabs>
          <w:tab w:leader="none" w:pos="4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5 mandats pour les entreprises qui ne remplissent pas les critères sous a) et b) ci-dessus.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Les mandats exercés dans plusieurs entités juridiques opérant chacun sous la même direction ou même bénéficiaire effectif (groupe) sont réputés être un seul mandat.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 une entité juridique remplit plusieurs des critères mentionnés ci-dessus, elle peut être librement placée dans une catégorie. Les mandats suivants sont exceptés de ces restrictions:</w:t>
      </w:r>
    </w:p>
    <w:p>
      <w:pPr>
        <w:spacing w:after="0" w:line="73" w:lineRule="exact"/>
        <w:rPr>
          <w:sz w:val="20"/>
          <w:szCs w:val="20"/>
          <w:color w:val="auto"/>
        </w:rPr>
      </w:pPr>
    </w:p>
    <w:p>
      <w:pPr>
        <w:ind w:left="440" w:right="500" w:hanging="438"/>
        <w:spacing w:after="0" w:line="277" w:lineRule="auto"/>
        <w:tabs>
          <w:tab w:leader="none" w:pos="4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les mandats dans des entités juridiques qui sont contrôlées par la société ou qui contrôlent la société;</w:t>
      </w:r>
    </w:p>
    <w:p>
      <w:pPr>
        <w:spacing w:after="0" w:line="62" w:lineRule="exact"/>
        <w:rPr>
          <w:rFonts w:ascii="Arial" w:cs="Arial" w:eastAsia="Arial" w:hAnsi="Arial"/>
          <w:sz w:val="18"/>
          <w:szCs w:val="18"/>
          <w:color w:val="auto"/>
        </w:rPr>
      </w:pPr>
    </w:p>
    <w:p>
      <w:pPr>
        <w:ind w:left="440" w:hanging="438"/>
        <w:spacing w:after="0"/>
        <w:tabs>
          <w:tab w:leader="none" w:pos="4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mandats d’honneur dans des entités juridiques de bienfaisance.</w:t>
      </w:r>
    </w:p>
    <w:p>
      <w:pPr>
        <w:sectPr>
          <w:pgSz w:w="11900" w:h="16838" w:orient="portrait"/>
          <w:cols w:equalWidth="0" w:num="2">
            <w:col w:w="5460" w:space="380"/>
            <w:col w:w="5580"/>
          </w:cols>
          <w:pgMar w:left="240" w:top="274" w:right="2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 Immune SA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39  Loans and Credits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members of the Board of Directors and the Executive Committee may not be granted any loans, credits or securities. Excepted from the above are advances in the maximum amount of CHF 500’000 per person for attorneys’ fees, court and other similar costs required for the defence of third-party liability claims permitted by Article 29.</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40  Pension Funds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shall remunerate members of the Board of Directors only in respect of the employer’s mandatory contributions to social insurance. Above and beyond this, the Company shall not make any contributions to pension funds or other such pension plans. In exceptional cases, contributions such as these may be made subject to a request by the Compensation Committee and the approval of the General Meeting.</w:t>
      </w:r>
    </w:p>
    <w:p>
      <w:pPr>
        <w:spacing w:after="0" w:line="3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Members of the Executive Committee participate in the Company’s pension plans (the Company’s pension fund and the management pension plan). The pension plans conform to the legal requirements. For members of the Executive Committee, the insured income is defined as the fixed remuneration plus 50 percent of the target performance-related remuneration, up to the legal maximum. Equity-linked income components are not included.</w:t>
      </w:r>
    </w:p>
    <w:p>
      <w:pPr>
        <w:spacing w:after="0" w:line="3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Within the overall compensation approved by the General Meeting, the Company may make additional payments into the Company’s pension funds for the benefit of members of the Executive Committee in order to cover any disadvantage suffered as a result of the change of jobs or to purchase additional pension entitlements. In this context the Company may conclude life insurance policies on behalf of members of the Executive Committee and pay the insurance premiums either fully or in part.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39  Prêts et crédits</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Les membres du conseil d’administration et du comité exécutif ne peuvent pas souscrire des prêts, des crédits ou des titres. Sont exceptées les avances d’un montant maximum de CHF 500’000 par personne pour les frais d’avocat, des coûts de tribunaux et d’autres coûts similaires nécessaires à la défense contre des actions en responsabilité civile autorisés par l’article 29.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40  Fonds de pension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La société ne doit rémunérer les membres du conseil d’administration que du montant dû au titre de contributions obligatoire de l’employeur à l’assurance sociale. Au-delà de ce montant, la société ne doit pas verser de cotisations à des institutions de prévoyance ou à d’autres régimes de retraite. Dans des cas exceptionnels, des contributions comme celles-ci peuvent être faites sur demande au comité de rémunération et sous réserve de l’approbation de l’assemblée générale.</w:t>
      </w:r>
    </w:p>
    <w:p>
      <w:pPr>
        <w:spacing w:after="0" w:line="16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Les membres du comité exécutif participent aux régimes de retraite de la société (le fond de pension de la société et le régime de retraite du management). Les régimes de retraite sont conformes aux exigences légales (LPP). Pour les membres du comité exécutif, le revenu assuré est défini comme la rémunération fixe plus les 50 pour cent de la rémunération liée à la performance, jusqu’au maximum légal. Les composantes du revenu liées au capital propre ne sont pas inclus.</w:t>
      </w:r>
    </w:p>
    <w:p>
      <w:pPr>
        <w:spacing w:after="0" w:line="167"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Dans la rémunération globale approuvée par l’assemblée générale, la société pourra effectuer des paiements supplémentaires dans les caisses de retraite de la société pour le bénéfice des membres du comité exécutif afin de couvrir tout désavantage subi par suite de la modification de l’emploi ou pour acheter des droits de pension supplémentaires. Dans ce contexte, la société peut conclure des contrats d’assurance-vie au nom des membres du comité exécutif et payer en totalité ou en partie les primes d’assurance.</w:t>
      </w:r>
    </w:p>
    <w:p>
      <w:pPr>
        <w:sectPr>
          <w:pgSz w:w="11900" w:h="16838" w:orient="portrait"/>
          <w:cols w:equalWidth="0" w:num="2">
            <w:col w:w="5660" w:space="400"/>
            <w:col w:w="5360"/>
          </w:cols>
          <w:pgMar w:left="240" w:top="273" w:right="2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Upon retirement, the Company may also grant members of the Executive Committee a bridging pension to cover the period between early retirement at 62 and the ordinary age of retirement, if such bridging pension does not exceed 100 percent of the total annual compensation of the respective member last paid.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41  Option and Share Plans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Company’s Option Plan, the Board of Directors, upon proposal of the Compensation Committee, allocates the participating members of the Executive Committee and the Board of Directors a fixed number of options or shares with a vesting for a period of at least three years (the vesting period). At the end of the vesting period, participants in the Option Plan are entitled to exercise the options granted against payment of the strike price. These options to acquire shares in the Company or allocated shares are subject to the basic principles set out in the following:</w:t>
      </w:r>
    </w:p>
    <w:p>
      <w:pPr>
        <w:spacing w:after="0" w:line="58" w:lineRule="exact"/>
        <w:rPr>
          <w:sz w:val="20"/>
          <w:szCs w:val="20"/>
          <w:color w:val="auto"/>
        </w:rPr>
      </w:pPr>
    </w:p>
    <w:p>
      <w:pPr>
        <w:ind w:left="480" w:hanging="472"/>
        <w:spacing w:after="0" w:line="277" w:lineRule="auto"/>
        <w:tabs>
          <w:tab w:leader="none" w:pos="4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it is the sole discretion of the Board of Directors to decide whether to allocate options or shares and to whom;</w:t>
      </w:r>
    </w:p>
    <w:p>
      <w:pPr>
        <w:spacing w:after="0" w:line="62" w:lineRule="exact"/>
        <w:rPr>
          <w:rFonts w:ascii="Arial" w:cs="Arial" w:eastAsia="Arial" w:hAnsi="Arial"/>
          <w:sz w:val="18"/>
          <w:szCs w:val="18"/>
          <w:color w:val="auto"/>
        </w:rPr>
      </w:pPr>
    </w:p>
    <w:p>
      <w:pPr>
        <w:ind w:left="480" w:right="360" w:hanging="472"/>
        <w:spacing w:after="0" w:line="312" w:lineRule="auto"/>
        <w:tabs>
          <w:tab w:leader="none" w:pos="4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each year, the Board of Directors, upon proposal of the Compensation Committee, stipulates the number of options and shares to be allocated, the date of allocation and the strike price;</w:t>
      </w:r>
    </w:p>
    <w:p>
      <w:pPr>
        <w:spacing w:after="0" w:line="38" w:lineRule="exact"/>
        <w:rPr>
          <w:rFonts w:ascii="Arial" w:cs="Arial" w:eastAsia="Arial" w:hAnsi="Arial"/>
          <w:sz w:val="16"/>
          <w:szCs w:val="16"/>
          <w:color w:val="auto"/>
        </w:rPr>
      </w:pPr>
    </w:p>
    <w:p>
      <w:pPr>
        <w:ind w:left="480" w:right="220" w:hanging="472"/>
        <w:spacing w:after="0" w:line="342" w:lineRule="auto"/>
        <w:tabs>
          <w:tab w:leader="none" w:pos="4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each option incorporates a non-transferable, pre-emptive, and contingent right to acquire a certain number of Company’s shares;</w:t>
      </w:r>
    </w:p>
    <w:p>
      <w:pPr>
        <w:spacing w:after="0" w:line="231" w:lineRule="exact"/>
        <w:rPr>
          <w:rFonts w:ascii="Arial" w:cs="Arial" w:eastAsia="Arial" w:hAnsi="Arial"/>
          <w:sz w:val="16"/>
          <w:szCs w:val="16"/>
          <w:color w:val="auto"/>
        </w:rPr>
      </w:pPr>
    </w:p>
    <w:p>
      <w:pPr>
        <w:ind w:left="480" w:right="100" w:hanging="472"/>
        <w:spacing w:after="0" w:line="276" w:lineRule="auto"/>
        <w:tabs>
          <w:tab w:leader="none" w:pos="48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in the case of a change of control (as defined in the Option Plan) or delisting of the Company’s shares, the vesting period shall end (accelerated vesting) and the participant shall be entitled to exercise the options on a pro rata basis on the day the transaction that led to the change of control or delisting was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8" w:lineRule="exact"/>
        <w:rPr>
          <w:sz w:val="20"/>
          <w:szCs w:val="20"/>
          <w:color w:val="auto"/>
        </w:rPr>
      </w:pPr>
    </w:p>
    <w:p>
      <w:pPr>
        <w:ind w:right="80" w:firstLine="2"/>
        <w:spacing w:after="0" w:line="276" w:lineRule="auto"/>
        <w:tabs>
          <w:tab w:leader="none" w:pos="17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la retraite, la société peut également accorder aux membres du comité exécutif, une pension de transition pour couvrir la période entre la retraite anticipée à 62 ans et l’âge ordinaire de la retraite, si cette rente transitoire ne dépasse pas 100 pour cent du dernier montant de la rémunération annuelle totale payée au membre respectif.</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41  Options et plan d’actions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En vertu du régime d’options de la société, le conseil d’administration, sur proposition du comité de rémunération, attribue aux membres participants du comité exécutif et du conseil d’administration un nombre fixe d’options ou d’actions avec une période de blocage d’une période d’au moins trois ans (la “Période de Blocage”). À la fin de la Période de Blocage, les participants au régime d’options sont habilités à exercer les options attribuées contre paiement du prix d’exercice. Ces options d’achat d’actions de la société ou d’actions attribuées sont soumises aux principes de base suivants:</w:t>
      </w:r>
    </w:p>
    <w:p>
      <w:pPr>
        <w:spacing w:after="0" w:line="58" w:lineRule="exact"/>
        <w:rPr>
          <w:sz w:val="20"/>
          <w:szCs w:val="20"/>
          <w:color w:val="auto"/>
        </w:rPr>
      </w:pPr>
    </w:p>
    <w:p>
      <w:pPr>
        <w:ind w:left="440" w:right="40" w:hanging="438"/>
        <w:spacing w:after="0" w:line="277" w:lineRule="auto"/>
        <w:tabs>
          <w:tab w:leader="none" w:pos="4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il relève de la libre appréciation du conseil d’administration de décider si des options ou actions sont attribuées et à qui;</w:t>
      </w:r>
    </w:p>
    <w:p>
      <w:pPr>
        <w:spacing w:after="0" w:line="62" w:lineRule="exact"/>
        <w:rPr>
          <w:rFonts w:ascii="Arial" w:cs="Arial" w:eastAsia="Arial" w:hAnsi="Arial"/>
          <w:sz w:val="18"/>
          <w:szCs w:val="18"/>
          <w:color w:val="auto"/>
        </w:rPr>
      </w:pPr>
    </w:p>
    <w:p>
      <w:pPr>
        <w:jc w:val="both"/>
        <w:ind w:left="440" w:right="220" w:hanging="438"/>
        <w:spacing w:after="0" w:line="264" w:lineRule="auto"/>
        <w:tabs>
          <w:tab w:leader="none" w:pos="4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chaque année, le conseil d’administration, sur proposition du comité de rémunération, fixe le nombre d’options et d’actions à attribuer, la date d’attribution et le prix d’exercice;</w:t>
      </w:r>
    </w:p>
    <w:p>
      <w:pPr>
        <w:spacing w:after="0" w:line="73" w:lineRule="exact"/>
        <w:rPr>
          <w:rFonts w:ascii="Arial" w:cs="Arial" w:eastAsia="Arial" w:hAnsi="Arial"/>
          <w:sz w:val="18"/>
          <w:szCs w:val="18"/>
          <w:color w:val="auto"/>
        </w:rPr>
      </w:pPr>
    </w:p>
    <w:p>
      <w:pPr>
        <w:ind w:left="440" w:right="40" w:hanging="438"/>
        <w:spacing w:after="0" w:line="264" w:lineRule="auto"/>
        <w:tabs>
          <w:tab w:leader="none" w:pos="4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chaque option comporte un droit non transférable, de souscription préférentielle et optionnel d’acquérir un certain nombre d’actions de la société;</w:t>
      </w:r>
    </w:p>
    <w:p>
      <w:pPr>
        <w:spacing w:after="0" w:line="73" w:lineRule="exact"/>
        <w:rPr>
          <w:rFonts w:ascii="Arial" w:cs="Arial" w:eastAsia="Arial" w:hAnsi="Arial"/>
          <w:sz w:val="18"/>
          <w:szCs w:val="18"/>
          <w:color w:val="auto"/>
        </w:rPr>
      </w:pPr>
    </w:p>
    <w:p>
      <w:pPr>
        <w:ind w:left="440" w:right="60" w:hanging="438"/>
        <w:spacing w:after="0" w:line="257" w:lineRule="auto"/>
        <w:tabs>
          <w:tab w:leader="none" w:pos="4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dans le cas d’un changement de contrôle (tel que défini dans le régime d’options) ou la radiation des actions de la société, la Période de Blocage prend fin (acquisition accélérée) et le participant est en droit d’exercer les options sur une base pro rata le jour de la transaction qui a conduit à un changement de</w:t>
      </w:r>
    </w:p>
    <w:p>
      <w:pPr>
        <w:sectPr>
          <w:pgSz w:w="11900" w:h="16838" w:orient="portrait"/>
          <w:cols w:equalWidth="0" w:num="2">
            <w:col w:w="5460" w:space="380"/>
            <w:col w:w="5580"/>
          </w:cols>
          <w:pgMar w:left="240" w:top="274" w:right="2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left="440" w:right="160"/>
        <w:spacing w:after="0" w:line="264" w:lineRule="auto"/>
        <w:rPr>
          <w:sz w:val="20"/>
          <w:szCs w:val="20"/>
          <w:color w:val="auto"/>
        </w:rPr>
      </w:pPr>
      <w:r>
        <w:rPr>
          <w:rFonts w:ascii="Arial" w:cs="Arial" w:eastAsia="Arial" w:hAnsi="Arial"/>
          <w:sz w:val="18"/>
          <w:szCs w:val="18"/>
          <w:color w:val="auto"/>
        </w:rPr>
        <w:t>executed. It is at the sole discretion of the Board of Directors to decide upon proposal of the Compensation Committee whether the financial objectives have been met;</w:t>
      </w:r>
    </w:p>
    <w:p>
      <w:pPr>
        <w:spacing w:after="0" w:line="73" w:lineRule="exact"/>
        <w:rPr>
          <w:sz w:val="20"/>
          <w:szCs w:val="20"/>
          <w:color w:val="auto"/>
        </w:rPr>
      </w:pPr>
    </w:p>
    <w:p>
      <w:pPr>
        <w:ind w:left="440" w:right="80" w:hanging="432"/>
        <w:spacing w:after="0" w:line="279" w:lineRule="auto"/>
        <w:tabs>
          <w:tab w:leader="none" w:pos="44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individual members of the Executive Committee or the Board of Directors participating in the Option Plan are responsible for paying any taxes or social security contributions and for declaring income correctly to the authorities;</w:t>
      </w:r>
    </w:p>
    <w:p>
      <w:pPr>
        <w:spacing w:after="0" w:line="63" w:lineRule="exact"/>
        <w:rPr>
          <w:rFonts w:ascii="Arial" w:cs="Arial" w:eastAsia="Arial" w:hAnsi="Arial"/>
          <w:sz w:val="17"/>
          <w:szCs w:val="17"/>
          <w:color w:val="auto"/>
        </w:rPr>
      </w:pPr>
    </w:p>
    <w:p>
      <w:pPr>
        <w:jc w:val="both"/>
        <w:ind w:left="440" w:hanging="432"/>
        <w:spacing w:after="0" w:line="264" w:lineRule="auto"/>
        <w:tabs>
          <w:tab w:leader="none" w:pos="4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it is at the sole discretion of the Board of Directors to decide whether to supplement the Option Plan within the bounds of the principles set out above or to discontinue it.</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may periodically offer shares in the Company to important and long-term employees for a price being at maximum ten percent below the average volume-weighted price of the last 30 trading days at the stock exchange. Members of the Board of Directors and the Executive Committee may be included in this programme. The shares acquired thereby shall be blocked for a period of at least 3 years.</w:t>
      </w:r>
    </w:p>
    <w:p>
      <w:pPr>
        <w:spacing w:after="0" w:line="269" w:lineRule="exact"/>
        <w:rPr>
          <w:sz w:val="20"/>
          <w:szCs w:val="20"/>
          <w:color w:val="auto"/>
        </w:rPr>
      </w:pPr>
    </w:p>
    <w:p>
      <w:pPr>
        <w:ind w:left="640" w:right="360" w:hanging="629"/>
        <w:spacing w:after="0" w:line="282" w:lineRule="auto"/>
        <w:tabs>
          <w:tab w:leader="none" w:pos="620" w:val="left"/>
        </w:tabs>
        <w:rPr>
          <w:sz w:val="20"/>
          <w:szCs w:val="20"/>
          <w:color w:val="auto"/>
        </w:rPr>
      </w:pPr>
      <w:r>
        <w:rPr>
          <w:rFonts w:ascii="Arial" w:cs="Arial" w:eastAsia="Arial" w:hAnsi="Arial"/>
          <w:sz w:val="18"/>
          <w:szCs w:val="18"/>
          <w:b w:val="1"/>
          <w:bCs w:val="1"/>
          <w:color w:val="auto"/>
        </w:rPr>
        <w:t>VIII.</w:t>
        <w:tab/>
        <w:t>BUSINESS YEAR, ACCOUNTING, ALLOCATION OF PROFITS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42  Business Year</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Board of Directors shall determine the start and the end of the Company’s business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43  Accounting</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The annual accounts consist of the profit and loss statement, the balance sheet, the cash flow statement, the annex and the management report, and shall be drawn up pursuant to the provisions of the CO, particularly of Articles 958 </w:t>
      </w:r>
      <w:r>
        <w:rPr>
          <w:rFonts w:ascii="Arial" w:cs="Arial" w:eastAsia="Arial" w:hAnsi="Arial"/>
          <w:sz w:val="16"/>
          <w:szCs w:val="16"/>
          <w:i w:val="1"/>
          <w:iCs w:val="1"/>
          <w:color w:val="auto"/>
        </w:rPr>
        <w:t>et seq.</w:t>
      </w:r>
      <w:r>
        <w:rPr>
          <w:rFonts w:ascii="Arial" w:cs="Arial" w:eastAsia="Arial" w:hAnsi="Arial"/>
          <w:sz w:val="16"/>
          <w:szCs w:val="16"/>
          <w:color w:val="auto"/>
        </w:rPr>
        <w:t xml:space="preserve"> CO, and the generally accepted commercial principles and customary rules in that business area.</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8" w:lineRule="exact"/>
        <w:rPr>
          <w:sz w:val="20"/>
          <w:szCs w:val="20"/>
          <w:color w:val="auto"/>
        </w:rPr>
      </w:pPr>
    </w:p>
    <w:p>
      <w:pPr>
        <w:ind w:left="440" w:right="40"/>
        <w:spacing w:after="0" w:line="312" w:lineRule="auto"/>
        <w:rPr>
          <w:sz w:val="20"/>
          <w:szCs w:val="20"/>
          <w:color w:val="auto"/>
        </w:rPr>
      </w:pPr>
      <w:r>
        <w:rPr>
          <w:rFonts w:ascii="Arial" w:cs="Arial" w:eastAsia="Arial" w:hAnsi="Arial"/>
          <w:sz w:val="16"/>
          <w:szCs w:val="16"/>
          <w:color w:val="auto"/>
        </w:rPr>
        <w:t>contrôle ou le jour où la radiation a été exécutée. Il relève de la libre appréciation du conseil d’administration de décider, sur proposition du comité de rémunération, si les objectifs financiers ont été atteints;</w:t>
      </w:r>
    </w:p>
    <w:p>
      <w:pPr>
        <w:spacing w:after="0" w:line="39" w:lineRule="exact"/>
        <w:rPr>
          <w:sz w:val="20"/>
          <w:szCs w:val="20"/>
          <w:color w:val="auto"/>
        </w:rPr>
      </w:pPr>
    </w:p>
    <w:p>
      <w:pPr>
        <w:ind w:left="440" w:right="60" w:hanging="438"/>
        <w:spacing w:after="0" w:line="302" w:lineRule="auto"/>
        <w:tabs>
          <w:tab w:leader="none" w:pos="44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les membres individuels du comité exécutif ou du conseil d’administration qui participent au régime d’options sont responsables du paiment de tous les impôts ou cotisations de sécurité sociale et de déclarer correctement le revenu aux autorités;</w:t>
      </w:r>
    </w:p>
    <w:p>
      <w:pPr>
        <w:spacing w:after="0" w:line="46" w:lineRule="exact"/>
        <w:rPr>
          <w:rFonts w:ascii="Arial" w:cs="Arial" w:eastAsia="Arial" w:hAnsi="Arial"/>
          <w:sz w:val="16"/>
          <w:szCs w:val="16"/>
          <w:color w:val="auto"/>
        </w:rPr>
      </w:pPr>
    </w:p>
    <w:p>
      <w:pPr>
        <w:ind w:left="440" w:right="40" w:hanging="438"/>
        <w:spacing w:after="0" w:line="264" w:lineRule="auto"/>
        <w:tabs>
          <w:tab w:leader="none" w:pos="4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il relève de la libre appréciation du conseil d’administration de décider si le régime d’options est complété dans les limites des principes énoncés ci-dessus ou de l’interrompre.</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La société peut périodiquement offrir des actions de la société aux salariés importants et à long terme pour un prix étant au maximum dix pour cent au-dessous du prix moyen pondéré par les volumes des 30 derniers jours à la bourse. Les membres du conseil d’administration et du comité exécutif peuvent être inclus dans ce programme. Les actions ainsi acquises seront bloquées pour une période d’au moins 3 ans.</w:t>
      </w:r>
    </w:p>
    <w:p>
      <w:pPr>
        <w:spacing w:after="0" w:line="283" w:lineRule="exact"/>
        <w:rPr>
          <w:sz w:val="20"/>
          <w:szCs w:val="20"/>
          <w:color w:val="auto"/>
        </w:rPr>
      </w:pPr>
    </w:p>
    <w:p>
      <w:pPr>
        <w:ind w:left="660" w:right="640" w:hanging="665"/>
        <w:spacing w:after="0" w:line="282" w:lineRule="auto"/>
        <w:tabs>
          <w:tab w:leader="none" w:pos="640" w:val="left"/>
        </w:tabs>
        <w:rPr>
          <w:sz w:val="20"/>
          <w:szCs w:val="20"/>
          <w:color w:val="auto"/>
        </w:rPr>
      </w:pPr>
      <w:r>
        <w:rPr>
          <w:rFonts w:ascii="Arial" w:cs="Arial" w:eastAsia="Arial" w:hAnsi="Arial"/>
          <w:sz w:val="18"/>
          <w:szCs w:val="18"/>
          <w:b w:val="1"/>
          <w:bCs w:val="1"/>
          <w:color w:val="auto"/>
        </w:rPr>
        <w:t>VIII.</w:t>
        <w:tab/>
        <w:t>EXERCICE, COMPTABILITÉ, RÉPARTITION DES BÉNÉFICES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42  Exercice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Le conseil d’administration détermine le début et la fin de l’exercice de la société.</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43  Comptabilité</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Les comptes annuels se composent du compte de profits et pertes, du bilan, du tableau des flux de trésorerie, de l’annexe et du rapport de gestion, et sont établis conformément aux dispositions du CO, en particulier des articles 958</w:t>
      </w:r>
    </w:p>
    <w:p>
      <w:pPr>
        <w:ind w:right="180" w:firstLine="2"/>
        <w:spacing w:after="0" w:line="290" w:lineRule="auto"/>
        <w:tabs>
          <w:tab w:leader="none" w:pos="23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CO, et aux principes commerciaux généralement reconnus et aux règles coutumières dans ce secteur d’activité.</w:t>
      </w:r>
    </w:p>
    <w:p>
      <w:pPr>
        <w:sectPr>
          <w:pgSz w:w="11900" w:h="16838" w:orient="portrait"/>
          <w:cols w:equalWidth="0" w:num="2">
            <w:col w:w="5420" w:space="420"/>
            <w:col w:w="5580"/>
          </w:cols>
          <w:pgMar w:left="240" w:top="273" w:right="2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required by law, the consolidated financial statements shall be drawn in accordance with the provisions of Article 962 CO.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44  Allocation of Profits</w:t>
      </w:r>
    </w:p>
    <w:p>
      <w:pPr>
        <w:spacing w:after="0" w:line="1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Subject to the legal provisions regarding distribution of profits, the profit as shown on the balance sheet shall be allocated by the General Meeting at its discretion after receipt of the proposals of the Board of Directors and the Auditors.</w:t>
      </w:r>
    </w:p>
    <w:p>
      <w:pPr>
        <w:spacing w:after="0" w:line="18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 addition to the legal reserves, the General Meeting may create supplemental reserves.</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Dividends not claimed within five years after the due date shall remain with the Company and be allocated to the general reserves.</w:t>
      </w:r>
    </w:p>
    <w:p>
      <w:pPr>
        <w:spacing w:after="0" w:line="25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color w:val="auto"/>
        </w:rPr>
        <w:t>DISSOLUTION AND LIQUIDATION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 45  Dissolution and Liquidation</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dissolution and liquidation of the Company shall take place in accordance with the provisions of the CO.</w:t>
      </w:r>
    </w:p>
    <w:p>
      <w:pPr>
        <w:spacing w:after="0" w:line="275" w:lineRule="exact"/>
        <w:rPr>
          <w:sz w:val="20"/>
          <w:szCs w:val="20"/>
          <w:color w:val="auto"/>
        </w:rPr>
      </w:pPr>
    </w:p>
    <w:p>
      <w:pPr>
        <w:ind w:right="2040" w:firstLine="8"/>
        <w:spacing w:after="0" w:line="378" w:lineRule="auto"/>
        <w:tabs>
          <w:tab w:leader="none" w:pos="715"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NOTICES AND PUBLICATIONS Art. 46 Notices and Publications</w:t>
      </w:r>
    </w:p>
    <w:p>
      <w:pPr>
        <w:ind w:right="600"/>
        <w:spacing w:after="0" w:line="277" w:lineRule="auto"/>
        <w:rPr>
          <w:sz w:val="20"/>
          <w:szCs w:val="20"/>
          <w:color w:val="auto"/>
        </w:rPr>
      </w:pPr>
      <w:r>
        <w:rPr>
          <w:rFonts w:ascii="Arial" w:cs="Arial" w:eastAsia="Arial" w:hAnsi="Arial"/>
          <w:sz w:val="18"/>
          <w:szCs w:val="18"/>
          <w:color w:val="auto"/>
        </w:rPr>
        <w:t>The Swiss Official Gazette of Commerce is the official publication medium.</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Shareholder communications and notices to the shareholders shall be made by publication in the Swiss Official Gazette of Commerce or sent by mail or e-mail to the addresses registered in the share register.</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Unless the law provides otherwise, notices shall be given to creditors by publication in</w:t>
      </w:r>
    </w:p>
    <w:p>
      <w:pPr>
        <w:spacing w:after="0" w:line="20" w:lineRule="exact"/>
        <w:rPr>
          <w:sz w:val="20"/>
          <w:szCs w:val="20"/>
          <w:color w:val="auto"/>
        </w:rPr>
      </w:pPr>
      <w:r>
        <w:rPr>
          <w:sz w:val="20"/>
          <w:szCs w:val="20"/>
          <w:color w:val="auto"/>
        </w:rPr>
        <w:br w:type="column"/>
      </w:r>
    </w:p>
    <w:p>
      <w:pPr>
        <w:ind w:left="5384"/>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-201295</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Si requis par la loi, les états financiers consolidés sont établis en conformité avec les dispositions de l’article 962 CO.</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 44  Répartition des bénéfices</w:t>
      </w:r>
    </w:p>
    <w:p>
      <w:pPr>
        <w:spacing w:after="0" w:line="135"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Sous réserve des dispositions légales en matière de répartition des bénéfices, le bénéfice comme indiqué sur le bilan doit être alloué à la libre appréciation de l’assemblée générale après réception des propositions du conseil d’administration et de l’organe de révision.</w:t>
      </w:r>
    </w:p>
    <w:p>
      <w:pPr>
        <w:spacing w:after="0" w:line="187"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En plus des réserves légales, l’assemblée générale peut créer des réserves supplémentaires.</w:t>
      </w:r>
    </w:p>
    <w:p>
      <w:pPr>
        <w:spacing w:after="0" w:line="170" w:lineRule="exact"/>
        <w:rPr>
          <w:sz w:val="20"/>
          <w:szCs w:val="20"/>
          <w:color w:val="auto"/>
        </w:rPr>
      </w:pPr>
    </w:p>
    <w:p>
      <w:pPr>
        <w:ind w:left="4" w:right="420"/>
        <w:spacing w:after="0" w:line="381" w:lineRule="auto"/>
        <w:rPr>
          <w:sz w:val="20"/>
          <w:szCs w:val="20"/>
          <w:color w:val="auto"/>
        </w:rPr>
      </w:pPr>
      <w:r>
        <w:rPr>
          <w:rFonts w:ascii="Arial" w:cs="Arial" w:eastAsia="Arial" w:hAnsi="Arial"/>
          <w:sz w:val="15"/>
          <w:szCs w:val="15"/>
          <w:color w:val="auto"/>
        </w:rPr>
        <w:t>Les dividendes non réclamés dans les cinq ans après la date d’échéance restent avec la société et sont attribués aux réserves générales.</w:t>
      </w:r>
    </w:p>
    <w:p>
      <w:pPr>
        <w:spacing w:after="0" w:line="205" w:lineRule="exact"/>
        <w:rPr>
          <w:sz w:val="20"/>
          <w:szCs w:val="20"/>
          <w:color w:val="auto"/>
        </w:rPr>
      </w:pPr>
    </w:p>
    <w:p>
      <w:pPr>
        <w:ind w:left="4"/>
        <w:spacing w:after="0"/>
        <w:tabs>
          <w:tab w:leader="none" w:pos="684"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color w:val="auto"/>
        </w:rPr>
        <w:t>DISSOLUTION ET LIQUIDATION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 45  Dissolution et Liquidation</w:t>
      </w:r>
    </w:p>
    <w:p>
      <w:pPr>
        <w:spacing w:after="0" w:line="121"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La dissolution et la liquidation de la société ont lieu en conformité avec les dispositions du CO.</w:t>
      </w:r>
    </w:p>
    <w:p>
      <w:pPr>
        <w:spacing w:after="0" w:line="275" w:lineRule="exact"/>
        <w:rPr>
          <w:sz w:val="20"/>
          <w:szCs w:val="20"/>
          <w:color w:val="auto"/>
        </w:rPr>
      </w:pPr>
    </w:p>
    <w:p>
      <w:pPr>
        <w:ind w:left="4" w:right="2760" w:hanging="4"/>
        <w:spacing w:after="0" w:line="400" w:lineRule="auto"/>
        <w:tabs>
          <w:tab w:leader="none" w:pos="709"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AVIS ET PUBLICATIONS Art. 46 Avis et Publications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7"/>
          <w:szCs w:val="17"/>
          <w:color w:val="auto"/>
        </w:rPr>
        <w:t>L’organe de publication légal est la Feuille officielle suisse du commerce.</w:t>
      </w:r>
    </w:p>
    <w:p>
      <w:pPr>
        <w:spacing w:after="0" w:line="200" w:lineRule="exact"/>
        <w:rPr>
          <w:sz w:val="20"/>
          <w:szCs w:val="20"/>
          <w:color w:val="auto"/>
        </w:rPr>
      </w:pPr>
    </w:p>
    <w:p>
      <w:pPr>
        <w:spacing w:after="0" w:line="253" w:lineRule="exact"/>
        <w:rPr>
          <w:sz w:val="20"/>
          <w:szCs w:val="20"/>
          <w:color w:val="auto"/>
        </w:rPr>
      </w:pPr>
    </w:p>
    <w:p>
      <w:pPr>
        <w:jc w:val="both"/>
        <w:ind w:left="4" w:right="160"/>
        <w:spacing w:after="0" w:line="312" w:lineRule="auto"/>
        <w:rPr>
          <w:sz w:val="20"/>
          <w:szCs w:val="20"/>
          <w:color w:val="auto"/>
        </w:rPr>
      </w:pPr>
      <w:r>
        <w:rPr>
          <w:rFonts w:ascii="Arial" w:cs="Arial" w:eastAsia="Arial" w:hAnsi="Arial"/>
          <w:sz w:val="16"/>
          <w:szCs w:val="16"/>
          <w:color w:val="auto"/>
        </w:rPr>
        <w:t>Les communications et avis aux actionnaires sont effectués par publication dans la Feuille officielle suisse du commerce ou envoyés par courrier ou e-mail aux adresses enregistrées dans le registre des actions.</w:t>
      </w:r>
    </w:p>
    <w:p>
      <w:pPr>
        <w:spacing w:after="0" w:line="147"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Sauf si la loi en dispose autrement, les avis seront envoyés aux créanciers par publication</w:t>
      </w:r>
    </w:p>
    <w:p>
      <w:pPr>
        <w:sectPr>
          <w:pgSz w:w="11900" w:h="16838" w:orient="portrait"/>
          <w:cols w:equalWidth="0" w:num="2">
            <w:col w:w="5420" w:space="436"/>
            <w:col w:w="5564"/>
          </w:cols>
          <w:pgMar w:left="240" w:top="273" w:right="2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t>AC Immune SA</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Swiss Official Gazette of Commerce. The Board of Directors may assign further means of communication.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-215900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dans la Feuille officielle suisse du commerce. Le conseil d’administration peut prévoir d’autres moyens de communication.</w:t>
      </w:r>
    </w:p>
    <w:p>
      <w:pPr>
        <w:sectPr>
          <w:pgSz w:w="11900" w:h="16838" w:orient="portrait"/>
          <w:cols w:equalWidth="0" w:num="2">
            <w:col w:w="5120" w:space="720"/>
            <w:col w:w="5580"/>
          </w:cols>
          <w:pgMar w:left="240" w:top="274" w:right="2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REGISTRATION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RIGHTS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October 23, 2015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AC IMMUNE SA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THE SHAREHOLDERS PARTY HERETO</w:t>
      </w:r>
    </w:p>
    <w:p>
      <w:pPr>
        <w:sectPr>
          <w:pgSz w:w="11900" w:h="16838" w:orient="portrait"/>
          <w:cols w:equalWidth="0" w:num="1">
            <w:col w:w="10220"/>
          </w:cols>
          <w:pgMar w:left="1440" w:top="121" w:right="239" w:bottom="1440" w:gutter="0" w:footer="0" w:header="0"/>
        </w:sectPr>
      </w:pPr>
    </w:p>
    <w:bookmarkStart w:id="318" w:name="page319"/>
    <w:bookmarkEnd w:id="31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tcPr>
          <w:p>
            <w:pPr>
              <w:spacing w:after="0"/>
              <w:rPr>
                <w:sz w:val="14"/>
                <w:szCs w:val="14"/>
                <w:color w:val="auto"/>
              </w:rPr>
            </w:pPr>
          </w:p>
        </w:tc>
        <w:tc>
          <w:tcPr>
            <w:tcW w:w="9720" w:type="dxa"/>
            <w:vAlign w:val="bottom"/>
            <w:vMerge w:val="restart"/>
          </w:tcPr>
          <w:p>
            <w:pPr>
              <w:jc w:val="center"/>
              <w:ind w:right="830"/>
              <w:spacing w:after="0"/>
              <w:rPr>
                <w:sz w:val="20"/>
                <w:szCs w:val="20"/>
                <w:color w:val="auto"/>
              </w:rPr>
            </w:pPr>
            <w:r>
              <w:rPr>
                <w:rFonts w:ascii="Arial" w:cs="Arial" w:eastAsia="Arial" w:hAnsi="Arial"/>
                <w:sz w:val="18"/>
                <w:szCs w:val="18"/>
                <w:color w:val="auto"/>
                <w:w w:val="96"/>
              </w:rPr>
              <w:t>ARTICLE 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AGE</w:t>
            </w:r>
          </w:p>
        </w:tc>
        <w:tc>
          <w:tcPr>
            <w:tcW w:w="0" w:type="dxa"/>
            <w:vAlign w:val="bottom"/>
          </w:tcPr>
          <w:p>
            <w:pPr>
              <w:spacing w:after="0"/>
              <w:rPr>
                <w:sz w:val="1"/>
                <w:szCs w:val="1"/>
                <w:color w:val="auto"/>
              </w:rPr>
            </w:pPr>
          </w:p>
        </w:tc>
      </w:tr>
      <w:tr>
        <w:trPr>
          <w:trHeight w:val="182"/>
        </w:trPr>
        <w:tc>
          <w:tcPr>
            <w:tcW w:w="1260" w:type="dxa"/>
            <w:vAlign w:val="bottom"/>
          </w:tcPr>
          <w:p>
            <w:pPr>
              <w:spacing w:after="0"/>
              <w:rPr>
                <w:sz w:val="15"/>
                <w:szCs w:val="15"/>
                <w:color w:val="auto"/>
              </w:rPr>
            </w:pPr>
          </w:p>
        </w:tc>
        <w:tc>
          <w:tcPr>
            <w:tcW w:w="9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9720" w:type="dxa"/>
            <w:vAlign w:val="bottom"/>
          </w:tcPr>
          <w:p>
            <w:pPr>
              <w:jc w:val="center"/>
              <w:ind w:right="810"/>
              <w:spacing w:after="0"/>
              <w:rPr>
                <w:sz w:val="20"/>
                <w:szCs w:val="20"/>
                <w:color w:val="auto"/>
              </w:rPr>
            </w:pPr>
            <w:r>
              <w:rPr>
                <w:rFonts w:ascii="Arial" w:cs="Arial" w:eastAsia="Arial" w:hAnsi="Arial"/>
                <w:sz w:val="18"/>
                <w:szCs w:val="18"/>
                <w:color w:val="auto"/>
                <w:w w:val="97"/>
              </w:rPr>
              <w:t>Definitions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1.01.</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1.02.</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Other Definitional and Interpretative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4"/>
                <w:szCs w:val="24"/>
                <w:color w:val="auto"/>
              </w:rPr>
            </w:pPr>
          </w:p>
        </w:tc>
        <w:tc>
          <w:tcPr>
            <w:tcW w:w="9720" w:type="dxa"/>
            <w:vAlign w:val="bottom"/>
          </w:tcPr>
          <w:p>
            <w:pPr>
              <w:jc w:val="center"/>
              <w:ind w:right="830"/>
              <w:spacing w:after="0"/>
              <w:rPr>
                <w:sz w:val="20"/>
                <w:szCs w:val="20"/>
                <w:color w:val="auto"/>
              </w:rPr>
            </w:pPr>
            <w:r>
              <w:rPr>
                <w:rFonts w:ascii="Arial" w:cs="Arial" w:eastAsia="Arial" w:hAnsi="Arial"/>
                <w:sz w:val="18"/>
                <w:szCs w:val="18"/>
                <w:color w:val="auto"/>
                <w:w w:val="96"/>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9720" w:type="dxa"/>
            <w:vAlign w:val="bottom"/>
          </w:tcPr>
          <w:p>
            <w:pPr>
              <w:jc w:val="center"/>
              <w:ind w:right="830"/>
              <w:spacing w:after="0"/>
              <w:rPr>
                <w:sz w:val="20"/>
                <w:szCs w:val="20"/>
                <w:color w:val="auto"/>
              </w:rPr>
            </w:pPr>
            <w:r>
              <w:rPr>
                <w:rFonts w:ascii="Arial" w:cs="Arial" w:eastAsia="Arial" w:hAnsi="Arial"/>
                <w:sz w:val="18"/>
                <w:szCs w:val="18"/>
                <w:color w:val="auto"/>
                <w:w w:val="92"/>
              </w:rPr>
              <w:t>Registration Rights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2.01.</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Demand Registration</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2.02.</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Piggyback Registration</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2.03.</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Shelf Registration</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2.04.</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Lock-Up Agreements</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2.05.</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Registration Procedures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2.06.</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Participation In Public Offering</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2.07.</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Rule 144 Sales; Cooperation By The Company</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4"/>
                <w:szCs w:val="24"/>
                <w:color w:val="auto"/>
              </w:rPr>
            </w:pPr>
          </w:p>
        </w:tc>
        <w:tc>
          <w:tcPr>
            <w:tcW w:w="9720" w:type="dxa"/>
            <w:vAlign w:val="bottom"/>
          </w:tcPr>
          <w:p>
            <w:pPr>
              <w:jc w:val="center"/>
              <w:ind w:right="830"/>
              <w:spacing w:after="0"/>
              <w:rPr>
                <w:sz w:val="20"/>
                <w:szCs w:val="20"/>
                <w:color w:val="auto"/>
              </w:rPr>
            </w:pPr>
            <w:r>
              <w:rPr>
                <w:rFonts w:ascii="Arial" w:cs="Arial" w:eastAsia="Arial" w:hAnsi="Arial"/>
                <w:sz w:val="18"/>
                <w:szCs w:val="18"/>
                <w:color w:val="auto"/>
                <w:w w:val="96"/>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9720" w:type="dxa"/>
            <w:vAlign w:val="bottom"/>
          </w:tcPr>
          <w:p>
            <w:pPr>
              <w:jc w:val="center"/>
              <w:ind w:right="810"/>
              <w:spacing w:after="0"/>
              <w:rPr>
                <w:sz w:val="20"/>
                <w:szCs w:val="20"/>
                <w:color w:val="auto"/>
              </w:rPr>
            </w:pPr>
            <w:r>
              <w:rPr>
                <w:rFonts w:ascii="Arial" w:cs="Arial" w:eastAsia="Arial" w:hAnsi="Arial"/>
                <w:sz w:val="18"/>
                <w:szCs w:val="18"/>
                <w:color w:val="auto"/>
                <w:w w:val="93"/>
              </w:rPr>
              <w:t>Indemnification and Contribution</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3.01.</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Indemnification by the Company</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3.02.</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Indemnification by Participating Shareholders</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3.03.</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Conduct of Indemnification Proceedings</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3.04.</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Contribution</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3.05.</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Other Indemnification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4"/>
                <w:szCs w:val="24"/>
                <w:color w:val="auto"/>
              </w:rPr>
            </w:pPr>
          </w:p>
        </w:tc>
        <w:tc>
          <w:tcPr>
            <w:tcW w:w="9720" w:type="dxa"/>
            <w:vAlign w:val="bottom"/>
          </w:tcPr>
          <w:p>
            <w:pPr>
              <w:jc w:val="center"/>
              <w:ind w:right="830"/>
              <w:spacing w:after="0"/>
              <w:rPr>
                <w:sz w:val="20"/>
                <w:szCs w:val="20"/>
                <w:color w:val="auto"/>
              </w:rPr>
            </w:pPr>
            <w:r>
              <w:rPr>
                <w:rFonts w:ascii="Arial" w:cs="Arial" w:eastAsia="Arial" w:hAnsi="Arial"/>
                <w:sz w:val="18"/>
                <w:szCs w:val="18"/>
                <w:color w:val="auto"/>
                <w:w w:val="96"/>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9720" w:type="dxa"/>
            <w:vAlign w:val="bottom"/>
          </w:tcPr>
          <w:p>
            <w:pPr>
              <w:jc w:val="center"/>
              <w:ind w:right="830"/>
              <w:spacing w:after="0"/>
              <w:rPr>
                <w:sz w:val="20"/>
                <w:szCs w:val="20"/>
                <w:color w:val="auto"/>
              </w:rPr>
            </w:pPr>
            <w:r>
              <w:rPr>
                <w:rFonts w:ascii="Arial" w:cs="Arial" w:eastAsia="Arial" w:hAnsi="Arial"/>
                <w:sz w:val="18"/>
                <w:szCs w:val="18"/>
                <w:color w:val="auto"/>
                <w:w w:val="91"/>
              </w:rPr>
              <w:t>Miscellaneous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4.01.</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Binding Effect; Assignability; Benefit</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4.02.</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Notices</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4.03.</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Waiver; Amendment; Termination</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4.04.</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Governing Law</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4.05.</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Jurisdiction</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4.06.</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WAIVER OF JURY TRIAL</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4.07.</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Specific Enforcement</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4.08.</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Counterparts; Effectiveness</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4.09.</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Entire Agreement</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4.10.</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Severability</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4.11.</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Confidentiality</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4.12.</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Independent Nature of Shareholders’ Obligations and Rights</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Exhibit A</w:t>
            </w:r>
          </w:p>
        </w:tc>
        <w:tc>
          <w:tcPr>
            <w:tcW w:w="9720" w:type="dxa"/>
            <w:vAlign w:val="bottom"/>
          </w:tcPr>
          <w:p>
            <w:pPr>
              <w:ind w:left="300"/>
              <w:spacing w:after="0"/>
              <w:rPr>
                <w:sz w:val="20"/>
                <w:szCs w:val="20"/>
                <w:color w:val="auto"/>
              </w:rPr>
            </w:pPr>
            <w:r>
              <w:rPr>
                <w:rFonts w:ascii="Arial" w:cs="Arial" w:eastAsia="Arial" w:hAnsi="Arial"/>
                <w:sz w:val="18"/>
                <w:szCs w:val="18"/>
                <w:color w:val="auto"/>
              </w:rPr>
              <w:t>Joinder Agreement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0" w:right="339" w:bottom="1440" w:gutter="0" w:footer="0" w:header="0"/>
        </w:sectPr>
      </w:pPr>
    </w:p>
    <w:bookmarkStart w:id="319" w:name="page320"/>
    <w:bookmarkEnd w:id="31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RIGHTS AGREEMENT</w:t>
      </w:r>
    </w:p>
    <w:p>
      <w:pPr>
        <w:spacing w:after="0" w:line="225" w:lineRule="exact"/>
        <w:rPr>
          <w:sz w:val="20"/>
          <w:szCs w:val="20"/>
          <w:color w:val="auto"/>
        </w:rPr>
      </w:pPr>
    </w:p>
    <w:p>
      <w:pPr>
        <w:ind w:right="560" w:firstLine="456"/>
        <w:spacing w:after="0" w:line="266" w:lineRule="auto"/>
        <w:rPr>
          <w:sz w:val="20"/>
          <w:szCs w:val="20"/>
          <w:color w:val="auto"/>
        </w:rPr>
      </w:pPr>
      <w:r>
        <w:rPr>
          <w:rFonts w:ascii="Arial" w:cs="Arial" w:eastAsia="Arial" w:hAnsi="Arial"/>
          <w:sz w:val="18"/>
          <w:szCs w:val="18"/>
          <w:color w:val="auto"/>
        </w:rPr>
        <w:t>THIS REGISTRATION RIGHTS AGREEMENT is made as of October 23, 2015 (this “</w:t>
      </w:r>
      <w:r>
        <w:rPr>
          <w:rFonts w:ascii="Arial" w:cs="Arial" w:eastAsia="Arial" w:hAnsi="Arial"/>
          <w:sz w:val="18"/>
          <w:szCs w:val="18"/>
          <w:b w:val="1"/>
          <w:bCs w:val="1"/>
          <w:color w:val="auto"/>
        </w:rPr>
        <w:t>Agreement</w:t>
      </w:r>
      <w:r>
        <w:rPr>
          <w:rFonts w:ascii="Arial" w:cs="Arial" w:eastAsia="Arial" w:hAnsi="Arial"/>
          <w:sz w:val="18"/>
          <w:szCs w:val="18"/>
          <w:color w:val="auto"/>
        </w:rPr>
        <w:t>”) among AC IMMUNE SA, a Swiss stock corporation organized under the laws of Switzerland (the “</w:t>
      </w:r>
      <w:r>
        <w:rPr>
          <w:rFonts w:ascii="Arial" w:cs="Arial" w:eastAsia="Arial" w:hAnsi="Arial"/>
          <w:sz w:val="18"/>
          <w:szCs w:val="18"/>
          <w:b w:val="1"/>
          <w:bCs w:val="1"/>
          <w:color w:val="auto"/>
        </w:rPr>
        <w:t>Company</w:t>
      </w:r>
      <w:r>
        <w:rPr>
          <w:rFonts w:ascii="Arial" w:cs="Arial" w:eastAsia="Arial" w:hAnsi="Arial"/>
          <w:sz w:val="18"/>
          <w:szCs w:val="18"/>
          <w:color w:val="auto"/>
        </w:rPr>
        <w:t>”), and the shareholders listed on the signature pages, as well as any Permitted Transferees (as defined below).</w:t>
      </w:r>
    </w:p>
    <w:p>
      <w:pPr>
        <w:spacing w:after="0" w:line="18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consideration of the mutual promises made herein and other good and valuable consideration, the receipt and sufficiency of which are hereby acknowledged, the parties hereto agree as follows: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EFINITIONS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(a) The following terms, as used herein, have the following meanings:</w:t>
      </w:r>
    </w:p>
    <w:p>
      <w:pPr>
        <w:spacing w:after="0" w:line="221"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any Person, any other Person directly or indirectly controlling, controlled by or under common control with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securityholder of the Company shall be deemed an Affiliate of any other securityholder solely by reason of any investment in the Company,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w:t>
      </w:r>
      <w:r>
        <w:rPr>
          <w:rFonts w:ascii="Arial" w:cs="Arial" w:eastAsia="Arial" w:hAnsi="Arial"/>
          <w:sz w:val="16"/>
          <w:szCs w:val="16"/>
          <w:b w:val="1"/>
          <w:bCs w:val="1"/>
          <w:color w:val="auto"/>
        </w:rPr>
        <w:t>Affiliate</w:t>
      </w:r>
      <w:r>
        <w:rPr>
          <w:rFonts w:ascii="Arial" w:cs="Arial" w:eastAsia="Arial" w:hAnsi="Arial"/>
          <w:sz w:val="16"/>
          <w:szCs w:val="16"/>
          <w:color w:val="auto"/>
        </w:rPr>
        <w:t>” with respect to those Shareholders that are advisory clients of a Person shall include other funds and accounts managed by such Person. For the purpose of this definition, the term “</w:t>
      </w:r>
      <w:r>
        <w:rPr>
          <w:rFonts w:ascii="Arial" w:cs="Arial" w:eastAsia="Arial" w:hAnsi="Arial"/>
          <w:sz w:val="16"/>
          <w:szCs w:val="16"/>
          <w:b w:val="1"/>
          <w:bCs w:val="1"/>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b w:val="1"/>
          <w:bCs w:val="1"/>
          <w:color w:val="auto"/>
        </w:rPr>
        <w:t>controlling</w:t>
      </w:r>
      <w:r>
        <w:rPr>
          <w:rFonts w:ascii="Arial" w:cs="Arial" w:eastAsia="Arial" w:hAnsi="Arial"/>
          <w:sz w:val="16"/>
          <w:szCs w:val="16"/>
          <w:color w:val="auto"/>
        </w:rPr>
        <w:t>”, “</w:t>
      </w:r>
      <w:r>
        <w:rPr>
          <w:rFonts w:ascii="Arial" w:cs="Arial" w:eastAsia="Arial" w:hAnsi="Arial"/>
          <w:sz w:val="16"/>
          <w:szCs w:val="16"/>
          <w:b w:val="1"/>
          <w:bCs w:val="1"/>
          <w:color w:val="auto"/>
        </w:rPr>
        <w:t>controlled</w:t>
      </w:r>
      <w:r>
        <w:rPr>
          <w:rFonts w:ascii="Arial" w:cs="Arial" w:eastAsia="Arial" w:hAnsi="Arial"/>
          <w:sz w:val="16"/>
          <w:szCs w:val="16"/>
          <w:color w:val="auto"/>
        </w:rPr>
        <w:t xml:space="preserve"> </w:t>
      </w:r>
      <w:r>
        <w:rPr>
          <w:rFonts w:ascii="Arial" w:cs="Arial" w:eastAsia="Arial" w:hAnsi="Arial"/>
          <w:sz w:val="16"/>
          <w:szCs w:val="16"/>
          <w:b w:val="1"/>
          <w:bCs w:val="1"/>
          <w:color w:val="auto"/>
        </w:rPr>
        <w:t>by</w:t>
      </w:r>
      <w:r>
        <w:rPr>
          <w:rFonts w:ascii="Arial" w:cs="Arial" w:eastAsia="Arial" w:hAnsi="Arial"/>
          <w:sz w:val="16"/>
          <w:szCs w:val="16"/>
          <w:color w:val="auto"/>
        </w:rPr>
        <w:t>” and “</w:t>
      </w:r>
      <w:r>
        <w:rPr>
          <w:rFonts w:ascii="Arial" w:cs="Arial" w:eastAsia="Arial" w:hAnsi="Arial"/>
          <w:sz w:val="16"/>
          <w:szCs w:val="16"/>
          <w:b w:val="1"/>
          <w:bCs w:val="1"/>
          <w:color w:val="auto"/>
        </w:rPr>
        <w:t>under common control with</w:t>
      </w:r>
      <w:r>
        <w:rPr>
          <w:rFonts w:ascii="Arial" w:cs="Arial" w:eastAsia="Arial" w:hAnsi="Arial"/>
          <w:sz w:val="16"/>
          <w:szCs w:val="16"/>
          <w:color w:val="auto"/>
        </w:rPr>
        <w:t>”), as used with respect to any Person, shall mean the possession, directly or indirectly, of the power to direct 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the direction of the management and policies of such Person, whether through the ownership of voting securities, by contract or otherwise.</w:t>
      </w:r>
    </w:p>
    <w:p>
      <w:pPr>
        <w:spacing w:after="0" w:line="156"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 Saturday, Sunday or other day on which commercial banks in New York City or Lausanne, Switzerland are authorized by law to close.</w:t>
      </w:r>
    </w:p>
    <w:p>
      <w:pPr>
        <w:spacing w:after="0" w:line="162"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means common shares, nominal value CHF5.00 per share, of the Company and any shares into which such Common Shares may thereafter be converted or changed (including, without limitation, in connection with a share dividend, share split, reverse share split, combination, reclassification or similar change in the capital structure of the Company involving such common shares).</w:t>
      </w:r>
    </w:p>
    <w:p>
      <w:pPr>
        <w:spacing w:after="0" w:line="17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the Common Shares and, for purposes of the definitions of “</w:t>
      </w:r>
      <w:r>
        <w:rPr>
          <w:rFonts w:ascii="Arial" w:cs="Arial" w:eastAsia="Arial" w:hAnsi="Arial"/>
          <w:sz w:val="18"/>
          <w:szCs w:val="18"/>
          <w:b w:val="1"/>
          <w:bCs w:val="1"/>
          <w:color w:val="auto"/>
        </w:rPr>
        <w:t>Permitted Transferees</w:t>
      </w:r>
      <w:r>
        <w:rPr>
          <w:rFonts w:ascii="Arial" w:cs="Arial" w:eastAsia="Arial" w:hAnsi="Arial"/>
          <w:sz w:val="18"/>
          <w:szCs w:val="18"/>
          <w:color w:val="auto"/>
        </w:rPr>
        <w:t>” and “</w:t>
      </w:r>
      <w:r>
        <w:rPr>
          <w:rFonts w:ascii="Arial" w:cs="Arial" w:eastAsia="Arial" w:hAnsi="Arial"/>
          <w:sz w:val="18"/>
          <w:szCs w:val="18"/>
          <w:b w:val="1"/>
          <w:bCs w:val="1"/>
          <w:color w:val="auto"/>
        </w:rPr>
        <w:t>Transfer</w:t>
      </w:r>
      <w:r>
        <w:rPr>
          <w:rFonts w:ascii="Arial" w:cs="Arial" w:eastAsia="Arial" w:hAnsi="Arial"/>
          <w:sz w:val="18"/>
          <w:szCs w:val="18"/>
          <w:color w:val="auto"/>
        </w:rPr>
        <w:t>”, shall also mean any other securities of the Company that are convertible or exercisable into or exchangeable for Common Shares.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ectPr>
          <w:pgSz w:w="11900" w:h="16838" w:orient="portrait"/>
          <w:cols w:equalWidth="0" w:num="1">
            <w:col w:w="11340"/>
          </w:cols>
          <w:pgMar w:left="240" w:top="270" w:right="319" w:bottom="1440" w:gutter="0" w:footer="0" w:header="0"/>
        </w:sectPr>
      </w:pPr>
    </w:p>
    <w:bookmarkStart w:id="320" w:name="page321"/>
    <w:bookmarkEnd w:id="32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FINRA</w:t>
      </w:r>
      <w:r>
        <w:rPr>
          <w:rFonts w:ascii="Arial" w:cs="Arial" w:eastAsia="Arial" w:hAnsi="Arial"/>
          <w:sz w:val="16"/>
          <w:szCs w:val="16"/>
          <w:color w:val="auto"/>
        </w:rPr>
        <w:t>” means the Financial Industry Regulatory Authority (formerly, the National Association of Securities Dealers, Inc.) and any successor thereto.</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Public Offering</w:t>
      </w:r>
      <w:r>
        <w:rPr>
          <w:rFonts w:ascii="Arial" w:cs="Arial" w:eastAsia="Arial" w:hAnsi="Arial"/>
          <w:sz w:val="18"/>
          <w:szCs w:val="18"/>
          <w:color w:val="auto"/>
        </w:rPr>
        <w:t>” means the Company’s initial Public Offering.</w:t>
      </w:r>
    </w:p>
    <w:p>
      <w:pPr>
        <w:spacing w:after="0" w:line="225"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Transferee</w:t>
      </w:r>
      <w:r>
        <w:rPr>
          <w:rFonts w:ascii="Arial" w:cs="Arial" w:eastAsia="Arial" w:hAnsi="Arial"/>
          <w:sz w:val="17"/>
          <w:szCs w:val="17"/>
          <w:color w:val="auto"/>
        </w:rPr>
        <w:t xml:space="preserve">” means in the case of any Shareholder, a Person to whom Registrable Securities are Transferred by such Shareholder;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Transfer does not violate any agreements between such Shareholder and the Company or any of the Company’s subsidiaries, (ii) such Transfer is not made in a registered offering or pursuant to Rule 144 and (iii) such transferee shall only be a Permitted Transferee if and to the extent the transferor designates the transferee as a Permitted Transferee entitled to rights hereunder pursuant to Section 4.01(b).</w:t>
      </w:r>
    </w:p>
    <w:p>
      <w:pPr>
        <w:spacing w:after="0" w:line="165"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62" w:lineRule="exact"/>
        <w:rPr>
          <w:sz w:val="20"/>
          <w:szCs w:val="20"/>
          <w:color w:val="auto"/>
        </w:rPr>
      </w:pPr>
    </w:p>
    <w:p>
      <w:pPr>
        <w:ind w:right="44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 Offering</w:t>
      </w:r>
      <w:r>
        <w:rPr>
          <w:rFonts w:ascii="Arial" w:cs="Arial" w:eastAsia="Arial" w:hAnsi="Arial"/>
          <w:sz w:val="16"/>
          <w:szCs w:val="16"/>
          <w:color w:val="auto"/>
        </w:rPr>
        <w:t>” means an underwritten public offering of Registrable Securities of the Company pursuant to an effective registration statement under the Securities Act, other than pursuant to a registration statement on Form S-4, Form F-4 or Form S-8 or any similar or successor form.</w:t>
      </w:r>
    </w:p>
    <w:p>
      <w:pPr>
        <w:spacing w:after="0" w:line="1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at any time, any Company Securities and any other securities issued or issuable by the Company or any of its successors or assigns in respect of any such Company Securities by way of conversion, exchange, exercise, dividend, split, reverse split, combination, recapitalization, reclassification, merger, amalgamation, consolidation, sale of assets, other reorganization or otherwise or which by their terms are exercisable or exchangeable for or convertible into Company Securities until (i) a registration statement covering such Company Securities or such other securities has been declared effective by the SEC and such Company Securities or such other securities have been disposed of pursuant to such effective registration statement, (ii) such Company Securities or such other securities are sold under circumstances in which all of the applicable conditions of Rule 144 are met or</w:t>
      </w:r>
    </w:p>
    <w:p>
      <w:pPr>
        <w:spacing w:after="0" w:line="4" w:lineRule="exact"/>
        <w:rPr>
          <w:sz w:val="20"/>
          <w:szCs w:val="20"/>
          <w:color w:val="auto"/>
        </w:rPr>
      </w:pPr>
    </w:p>
    <w:p>
      <w:pPr>
        <w:ind w:right="180" w:firstLine="8"/>
        <w:spacing w:after="0" w:line="261" w:lineRule="auto"/>
        <w:tabs>
          <w:tab w:leader="none" w:pos="31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such Company Securities or such other securities are eligible for sale by the holder thereof under Rule 144 without any limitation thereunder (including with respect to volume or manner of sale) or need for current public information.</w:t>
      </w:r>
    </w:p>
    <w:p>
      <w:pPr>
        <w:spacing w:after="0" w:line="180"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Expenses</w:t>
      </w:r>
      <w:r>
        <w:rPr>
          <w:rFonts w:ascii="Arial" w:cs="Arial" w:eastAsia="Arial" w:hAnsi="Arial"/>
          <w:sz w:val="17"/>
          <w:szCs w:val="17"/>
          <w:color w:val="auto"/>
        </w:rPr>
        <w:t>” means any and all expenses incident to the performance of, or compliance with, any registration or marketing of Registrable Securities, including all (i) registration and filing fees, and all other fees and expenses payable in connection with the listing of securities on any securities exchange or automated interdealer quotation system, (ii) fees and expenses of compliance with any securities or “blue sky” laws (including reasonable and documented fees and disbursements of counsel in connection with “blue sky” qualifications of the securities registered), (iii) expenses in connection with the preparation, printing, mailing and delivery of any registration statements, prospectuses and other documents in connection therewith and any amendments or supplements thereto, (iv) security engraving and printing expenses, (v)</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21" w:name="page322"/>
    <w:bookmarkEnd w:id="321"/>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internal expenses of the Company (including all salaries and expenses of its officers and employees performing legal or accounting duties), (vi) reasonable fees and disbursements of counsel for the Company and customary fees and expenses for independent certified public accountants retained by the Company (including the expenses relating to any comfort letters or costs associated with the delivery by independent certified public accountants of any comfort letters requested pursuant to Section 2.05(g)), (vii) reasonable fees and expenses of any special experts retained by the Company in connection with such registration, (viii) reasonable and documented fees, out-of-pocket costs and expenses of the Shareholders, including the reasonable fees and disbursements of one counsel for all of the Shareholders participating in the offering selected by the Shareholders holding the majority of the Registrable Securities to be sold for the account of all Shareholders in the offering, (ix) reasonable fees and expenses in connection with any review by FINRA of the underwriting arrangements or other terms of the offering, and all fees and expenses of any “qualified independent underwriter,” including the fees and expenses of any counsel thereto, (x) reasonable fees and disbursements of underwriters customarily paid by issuers or sellers of securities, (xi) costs of printing and producing any agreements among underwriters, underwriting agreements, any “blue sky” or legal investment memoranda and any selling agreements and other documents in connection with the offering, sale or delivery of the Registrable Securities, (xii) transfer agents’ and registrars’ fees and expenses and the fees and expenses of any other agent or trustee appointed in connection with such offering, and (xiii) expenses relating to any analyst or investor presentations or any “road shows” undertaken in connection with the registration, marketing or selling of the Registrable Securities. Except as set forth in clause (viii) above, Registration Expenses shall not include any out-of-pocket expenses of the Shareholders (or the agents who manage their accounts). For the avoidance of doubt, Registration Expenses shall not include any underwriting fees, discounts, commissions or taxes attributable to the sale of Registrable 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(or any successor or similar provisions)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means at any time, any Person (other than the Company) who shall then be a party to or bound by this Agreement, so long as such Person shall “</w:t>
      </w:r>
      <w:r>
        <w:rPr>
          <w:rFonts w:ascii="Arial" w:cs="Arial" w:eastAsia="Arial" w:hAnsi="Arial"/>
          <w:sz w:val="18"/>
          <w:szCs w:val="18"/>
          <w:b w:val="1"/>
          <w:bCs w:val="1"/>
          <w:color w:val="auto"/>
        </w:rPr>
        <w:t>beneficially own</w:t>
      </w:r>
      <w:r>
        <w:rPr>
          <w:rFonts w:ascii="Arial" w:cs="Arial" w:eastAsia="Arial" w:hAnsi="Arial"/>
          <w:sz w:val="18"/>
          <w:szCs w:val="18"/>
          <w:color w:val="auto"/>
        </w:rPr>
        <w:t>” (as such term is defined in Rule 13d-3 of the Exchange Act) any Registrable Securities.</w:t>
      </w:r>
    </w:p>
    <w:p>
      <w:pPr>
        <w:spacing w:after="0" w:line="162"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means, with respect to any Company Securities, (i) when used as a verb, to sell, assign, dispose of, exchange, pledge, encumber, hypothecate or otherwise transfer such Company Securities or any participation or interest therein, whether directly or indirectly, or agree or commit to do any of the foregoing and (ii) when used as a noun, a direct or indirect sale, assignment, disposition, exchange, pledge, encumbrance, hypothecation, or other transfer of such Company Securities or any participation or interest therein or any agreement or commitment to do any of the foregoing.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22" w:name="page323"/>
    <w:bookmarkEnd w:id="3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Trigger Date</w:t>
      </w:r>
      <w:r>
        <w:rPr>
          <w:rFonts w:ascii="Arial" w:cs="Arial" w:eastAsia="Arial" w:hAnsi="Arial"/>
          <w:sz w:val="18"/>
          <w:szCs w:val="18"/>
          <w:color w:val="auto"/>
        </w:rPr>
        <w:t>” means the date six months after the closing of the First Public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4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Section</w:t>
            </w:r>
          </w:p>
        </w:tc>
      </w:tr>
      <w:tr>
        <w:trPr>
          <w:trHeight w:val="189"/>
        </w:trPr>
        <w:tc>
          <w:tcPr>
            <w:tcW w:w="4580" w:type="dxa"/>
            <w:vAlign w:val="bottom"/>
            <w:gridSpan w:val="2"/>
          </w:tcPr>
          <w:p>
            <w:pPr>
              <w:spacing w:after="0" w:line="189" w:lineRule="exact"/>
              <w:rPr>
                <w:sz w:val="20"/>
                <w:szCs w:val="20"/>
                <w:color w:val="auto"/>
              </w:rPr>
            </w:pPr>
            <w:r>
              <w:rPr>
                <w:rFonts w:ascii="Arial" w:cs="Arial" w:eastAsia="Arial" w:hAnsi="Arial"/>
                <w:sz w:val="18"/>
                <w:szCs w:val="18"/>
                <w:color w:val="auto"/>
              </w:rPr>
              <w:t>Agents</w:t>
            </w:r>
          </w:p>
        </w:tc>
        <w:tc>
          <w:tcPr>
            <w:tcW w:w="242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8"/>
                <w:szCs w:val="18"/>
                <w:color w:val="auto"/>
                <w:w w:val="85"/>
              </w:rPr>
              <w:t>4.11</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3180" w:type="dxa"/>
            <w:vAlign w:val="bottom"/>
            <w:gridSpan w:val="2"/>
          </w:tcPr>
          <w:p>
            <w:pPr>
              <w:jc w:val="center"/>
              <w:ind w:left="2310"/>
              <w:spacing w:after="0"/>
              <w:rPr>
                <w:sz w:val="20"/>
                <w:szCs w:val="20"/>
                <w:color w:val="auto"/>
              </w:rPr>
            </w:pPr>
            <w:r>
              <w:rPr>
                <w:rFonts w:ascii="Arial" w:cs="Arial" w:eastAsia="Arial" w:hAnsi="Arial"/>
                <w:sz w:val="18"/>
                <w:szCs w:val="18"/>
                <w:color w:val="auto"/>
                <w:w w:val="85"/>
              </w:rPr>
              <w:t>3.01</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Demand Registration</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2.01(a)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3180" w:type="dxa"/>
            <w:vAlign w:val="bottom"/>
            <w:gridSpan w:val="2"/>
          </w:tcPr>
          <w:p>
            <w:pPr>
              <w:jc w:val="center"/>
              <w:ind w:left="2310"/>
              <w:spacing w:after="0"/>
              <w:rPr>
                <w:sz w:val="20"/>
                <w:szCs w:val="20"/>
                <w:color w:val="auto"/>
              </w:rPr>
            </w:pPr>
            <w:r>
              <w:rPr>
                <w:rFonts w:ascii="Arial" w:cs="Arial" w:eastAsia="Arial" w:hAnsi="Arial"/>
                <w:sz w:val="18"/>
                <w:szCs w:val="18"/>
                <w:color w:val="auto"/>
                <w:w w:val="85"/>
              </w:rPr>
              <w:t>3.03</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3180" w:type="dxa"/>
            <w:vAlign w:val="bottom"/>
            <w:gridSpan w:val="2"/>
          </w:tcPr>
          <w:p>
            <w:pPr>
              <w:jc w:val="center"/>
              <w:ind w:left="2310"/>
              <w:spacing w:after="0"/>
              <w:rPr>
                <w:sz w:val="20"/>
                <w:szCs w:val="20"/>
                <w:color w:val="auto"/>
              </w:rPr>
            </w:pPr>
            <w:r>
              <w:rPr>
                <w:rFonts w:ascii="Arial" w:cs="Arial" w:eastAsia="Arial" w:hAnsi="Arial"/>
                <w:sz w:val="18"/>
                <w:szCs w:val="18"/>
                <w:color w:val="auto"/>
                <w:w w:val="85"/>
              </w:rPr>
              <w:t>3.03</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Joinder Agreement</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4.01(b)</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Lock-Up Period</w:t>
            </w:r>
          </w:p>
        </w:tc>
        <w:tc>
          <w:tcPr>
            <w:tcW w:w="3180" w:type="dxa"/>
            <w:vAlign w:val="bottom"/>
            <w:gridSpan w:val="2"/>
          </w:tcPr>
          <w:p>
            <w:pPr>
              <w:jc w:val="center"/>
              <w:ind w:left="2310"/>
              <w:spacing w:after="0"/>
              <w:rPr>
                <w:sz w:val="20"/>
                <w:szCs w:val="20"/>
                <w:color w:val="auto"/>
              </w:rPr>
            </w:pPr>
            <w:r>
              <w:rPr>
                <w:rFonts w:ascii="Arial" w:cs="Arial" w:eastAsia="Arial" w:hAnsi="Arial"/>
                <w:sz w:val="18"/>
                <w:szCs w:val="18"/>
                <w:color w:val="auto"/>
                <w:w w:val="85"/>
              </w:rPr>
              <w:t>2.04</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Maximum Offering Size</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2.01(e)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Notice</w:t>
            </w:r>
          </w:p>
        </w:tc>
        <w:tc>
          <w:tcPr>
            <w:tcW w:w="3180" w:type="dxa"/>
            <w:vAlign w:val="bottom"/>
            <w:gridSpan w:val="2"/>
          </w:tcPr>
          <w:p>
            <w:pPr>
              <w:jc w:val="center"/>
              <w:ind w:left="2310"/>
              <w:spacing w:after="0"/>
              <w:rPr>
                <w:sz w:val="20"/>
                <w:szCs w:val="20"/>
                <w:color w:val="auto"/>
              </w:rPr>
            </w:pPr>
            <w:r>
              <w:rPr>
                <w:rFonts w:ascii="Arial" w:cs="Arial" w:eastAsia="Arial" w:hAnsi="Arial"/>
                <w:sz w:val="18"/>
                <w:szCs w:val="18"/>
                <w:color w:val="auto"/>
                <w:w w:val="85"/>
              </w:rPr>
              <w:t>4.02</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Piggyback Registration</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2.02(a)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Registering Shareholders</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2.01(a)(ii)</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Requesting Shareholder</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2.01(a)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Shelf Registration</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2.03(a)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Shelf Requesting Shareholder</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2.03(a)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Shelf Registering Shareholder</w:t>
            </w:r>
          </w:p>
        </w:tc>
        <w:tc>
          <w:tcPr>
            <w:tcW w:w="3180" w:type="dxa"/>
            <w:vAlign w:val="bottom"/>
            <w:gridSpan w:val="2"/>
          </w:tcPr>
          <w:p>
            <w:pPr>
              <w:jc w:val="center"/>
              <w:ind w:left="2310"/>
              <w:spacing w:after="0"/>
              <w:rPr>
                <w:sz w:val="20"/>
                <w:szCs w:val="20"/>
                <w:color w:val="auto"/>
              </w:rPr>
            </w:pPr>
            <w:r>
              <w:rPr>
                <w:rFonts w:ascii="Arial" w:cs="Arial" w:eastAsia="Arial" w:hAnsi="Arial"/>
                <w:sz w:val="18"/>
                <w:szCs w:val="18"/>
                <w:color w:val="auto"/>
                <w:w w:val="96"/>
              </w:rPr>
              <w:t>2.03(b)(ii)</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Underwritten Takedown</w:t>
            </w:r>
          </w:p>
        </w:tc>
        <w:tc>
          <w:tcPr>
            <w:tcW w:w="24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2.03(a)</w:t>
            </w:r>
          </w:p>
        </w:tc>
      </w:tr>
    </w:tbl>
    <w:p>
      <w:pPr>
        <w:spacing w:after="0" w:line="20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Other Definitional and Interpretative Provisions.</w:t>
      </w:r>
      <w:r>
        <w:rPr>
          <w:rFonts w:ascii="Arial" w:cs="Arial" w:eastAsia="Arial" w:hAnsi="Arial"/>
          <w:sz w:val="17"/>
          <w:szCs w:val="17"/>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or Exhibits are to Articles, Sections and Exhibits of this Agreement unless otherwise specified. All Exhibits annexed hereto or referred to herein are hereby incorporated in and made a part of this Agreement as if set forth in full herein. Any capitalized term used in any Exhibit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269" w:right="419" w:bottom="1440" w:gutter="0" w:footer="0" w:header="0"/>
        </w:sectPr>
      </w:pPr>
    </w:p>
    <w:bookmarkStart w:id="323" w:name="page324"/>
    <w:bookmarkEnd w:id="323"/>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References to any Person include the successors and permitted assigns of that Person. References from or through any date mean, unless otherwise specified, from and including or through and including, respectively.</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EGISTRATION</w:t>
      </w:r>
      <w:r>
        <w:rPr>
          <w:rFonts w:ascii="Arial" w:cs="Arial" w:eastAsia="Arial" w:hAnsi="Arial"/>
          <w:sz w:val="18"/>
          <w:szCs w:val="18"/>
          <w:color w:val="auto"/>
        </w:rPr>
        <w:t xml:space="preserve"> R</w:t>
      </w:r>
      <w:r>
        <w:rPr>
          <w:rFonts w:ascii="Arial" w:cs="Arial" w:eastAsia="Arial" w:hAnsi="Arial"/>
          <w:sz w:val="15"/>
          <w:szCs w:val="15"/>
          <w:color w:val="auto"/>
        </w:rPr>
        <w:t>IGHTS</w:t>
      </w:r>
    </w:p>
    <w:p>
      <w:pPr>
        <w:spacing w:after="0" w:line="2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Demand Registration.</w:t>
      </w:r>
      <w:r>
        <w:rPr>
          <w:rFonts w:ascii="Arial" w:cs="Arial" w:eastAsia="Arial" w:hAnsi="Arial"/>
          <w:sz w:val="16"/>
          <w:szCs w:val="16"/>
          <w:color w:val="auto"/>
        </w:rPr>
        <w:t xml:space="preserve"> (a) At any time after the Trigger Date, if the Company shall receive a request from a Shareholder or group of Shareholders, in each case holding at least 10% of the outstanding Company Securities (the requesting Shareholder(s) shall be referred to herein as the “</w:t>
      </w:r>
      <w:r>
        <w:rPr>
          <w:rFonts w:ascii="Arial" w:cs="Arial" w:eastAsia="Arial" w:hAnsi="Arial"/>
          <w:sz w:val="16"/>
          <w:szCs w:val="16"/>
          <w:b w:val="1"/>
          <w:bCs w:val="1"/>
          <w:color w:val="auto"/>
        </w:rPr>
        <w:t>Requesting Shareholder</w:t>
      </w:r>
      <w:r>
        <w:rPr>
          <w:rFonts w:ascii="Arial" w:cs="Arial" w:eastAsia="Arial" w:hAnsi="Arial"/>
          <w:sz w:val="16"/>
          <w:szCs w:val="16"/>
          <w:color w:val="auto"/>
        </w:rPr>
        <w:t>”) that the Company effect the registration under the Securities Act of all or any portion of the Requesting Shareholder’s Registrable Securities, and specifying the intended method of disposition thereof, then the Company shall as promptly as practicable following the date of receipt by the Company of such request give notice of such requested registration (each such request shall be referred to herein as a “</w:t>
      </w:r>
      <w:r>
        <w:rPr>
          <w:rFonts w:ascii="Arial" w:cs="Arial" w:eastAsia="Arial" w:hAnsi="Arial"/>
          <w:sz w:val="16"/>
          <w:szCs w:val="16"/>
          <w:b w:val="1"/>
          <w:bCs w:val="1"/>
          <w:color w:val="auto"/>
        </w:rPr>
        <w:t>Demand Registration</w:t>
      </w:r>
      <w:r>
        <w:rPr>
          <w:rFonts w:ascii="Arial" w:cs="Arial" w:eastAsia="Arial" w:hAnsi="Arial"/>
          <w:sz w:val="16"/>
          <w:szCs w:val="16"/>
          <w:color w:val="auto"/>
        </w:rPr>
        <w:t>”) at least 10 Business Days prior to the anticipated filing date of the registration statement relating to such Demand Registration to the other Shareholders and thereupon shall use its commercially reasonable efforts to effect, as expeditiously as possible, the registration under the Securities Act of:</w:t>
      </w:r>
    </w:p>
    <w:p>
      <w:pPr>
        <w:spacing w:after="0" w:line="59" w:lineRule="exact"/>
        <w:rPr>
          <w:sz w:val="20"/>
          <w:szCs w:val="20"/>
          <w:color w:val="auto"/>
        </w:rPr>
      </w:pPr>
    </w:p>
    <w:p>
      <w:pPr>
        <w:ind w:left="460" w:right="740" w:firstLine="443"/>
        <w:spacing w:after="0" w:line="277" w:lineRule="auto"/>
        <w:tabs>
          <w:tab w:leader="none" w:pos="111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subject to the restrictions set forth in Sections 2.01(e), all Registrable Securities for which the Requesting Shareholder has requested registration under this Section 2.01, and</w:t>
      </w:r>
    </w:p>
    <w:p>
      <w:pPr>
        <w:spacing w:after="0" w:line="62" w:lineRule="exact"/>
        <w:rPr>
          <w:rFonts w:ascii="Arial" w:cs="Arial" w:eastAsia="Arial" w:hAnsi="Arial"/>
          <w:sz w:val="18"/>
          <w:szCs w:val="18"/>
          <w:color w:val="auto"/>
        </w:rPr>
      </w:pPr>
    </w:p>
    <w:p>
      <w:pPr>
        <w:ind w:left="460" w:right="380" w:firstLine="443"/>
        <w:spacing w:after="0" w:line="302" w:lineRule="auto"/>
        <w:tabs>
          <w:tab w:leader="none" w:pos="1163" w:val="left"/>
        </w:tabs>
        <w:numPr>
          <w:ilvl w:val="0"/>
          <w:numId w:val="272"/>
        </w:numPr>
        <w:rPr>
          <w:rFonts w:ascii="Arial" w:cs="Arial" w:eastAsia="Arial" w:hAnsi="Arial"/>
          <w:sz w:val="16"/>
          <w:szCs w:val="16"/>
          <w:color w:val="auto"/>
        </w:rPr>
      </w:pPr>
      <w:r>
        <w:rPr>
          <w:rFonts w:ascii="Arial" w:cs="Arial" w:eastAsia="Arial" w:hAnsi="Arial"/>
          <w:sz w:val="16"/>
          <w:szCs w:val="16"/>
          <w:color w:val="auto"/>
        </w:rPr>
        <w:t>subject to the restrictions set forth in Sections 2.01(e) and 2.02, all other Registrable Securities of the same class as those requested to be registered by the Requesting Shareholder that any other Shareholders (all such other Shareholders, together with the Requesting Shareholder, the “</w:t>
      </w:r>
      <w:r>
        <w:rPr>
          <w:rFonts w:ascii="Arial" w:cs="Arial" w:eastAsia="Arial" w:hAnsi="Arial"/>
          <w:sz w:val="16"/>
          <w:szCs w:val="16"/>
          <w:b w:val="1"/>
          <w:bCs w:val="1"/>
          <w:color w:val="auto"/>
        </w:rPr>
        <w:t>Registering Shareholders</w:t>
      </w:r>
      <w:r>
        <w:rPr>
          <w:rFonts w:ascii="Arial" w:cs="Arial" w:eastAsia="Arial" w:hAnsi="Arial"/>
          <w:sz w:val="16"/>
          <w:szCs w:val="16"/>
          <w:color w:val="auto"/>
        </w:rPr>
        <w:t>”) have requested the Company to register pursuant to Section 2.02, by request received by the Company within five Business Days after such other Shareholders received the Company’s notice of the Demand Registration,</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all to the extent necessary to permit the disposition (in accordance with the intended methods thereof as aforesaid) of the Registrable Securities so to be registered,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obligated to effect a Demand Registration unless the aggregate proceeds expected to be received from the sale of the Registrable Securities requested to be included in such Demand Registration equals or exceeds $10,000,000 or such lesser amount that constitutes all of the Requesting Shareholder’s Registrable Securities (provided that such lesser amount is at least $5,000,000). In no event shall the Company be required to effect more than two Demand Registrations or Underwritten Takedowns hereunder.</w:t>
      </w:r>
    </w:p>
    <w:p>
      <w:pPr>
        <w:spacing w:after="0" w:line="173" w:lineRule="exact"/>
        <w:rPr>
          <w:sz w:val="20"/>
          <w:szCs w:val="20"/>
          <w:color w:val="auto"/>
        </w:rPr>
      </w:pPr>
    </w:p>
    <w:p>
      <w:pPr>
        <w:ind w:left="720" w:hanging="256"/>
        <w:spacing w:after="0"/>
        <w:tabs>
          <w:tab w:leader="none" w:pos="7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Promptly after the expiration of the five-Business Day period referred to in Section 2.01(a)(ii), the Company will notify all Registering</w:t>
      </w:r>
    </w:p>
    <w:p>
      <w:pPr>
        <w:spacing w:after="0" w:line="23" w:lineRule="exact"/>
        <w:rPr>
          <w:rFonts w:ascii="Arial" w:cs="Arial" w:eastAsia="Arial" w:hAnsi="Arial"/>
          <w:sz w:val="18"/>
          <w:szCs w:val="18"/>
          <w:color w:val="auto"/>
        </w:rPr>
      </w:pPr>
    </w:p>
    <w:p>
      <w:pPr>
        <w:ind w:right="260"/>
        <w:spacing w:after="0" w:line="261" w:lineRule="auto"/>
        <w:rPr>
          <w:rFonts w:ascii="Arial" w:cs="Arial" w:eastAsia="Arial" w:hAnsi="Arial"/>
          <w:sz w:val="18"/>
          <w:szCs w:val="18"/>
          <w:color w:val="auto"/>
        </w:rPr>
      </w:pPr>
      <w:r>
        <w:rPr>
          <w:rFonts w:ascii="Arial" w:cs="Arial" w:eastAsia="Arial" w:hAnsi="Arial"/>
          <w:sz w:val="18"/>
          <w:szCs w:val="18"/>
          <w:color w:val="auto"/>
        </w:rPr>
        <w:t>Shareholders of the identities of the other Registering Shareholders and the number of shares of Registrable Securities requested to be included therein. At any time prior to the effective date of the registration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3" w:right="279" w:bottom="1440" w:gutter="0" w:footer="0" w:header="0"/>
        </w:sectPr>
      </w:pPr>
    </w:p>
    <w:bookmarkStart w:id="324" w:name="page325"/>
    <w:bookmarkEnd w:id="32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relating to such registration, the Requesting Shareholder may revoke such request, without liability to any of the other Registering Shareholders, by providing a notice to the Company revoking such request. A request, so revoked, shall be considered to be a Demand Registration unless (i) such revocation arose out of the fault of the Company (in which case the Company shall be obligated to pay all Registration Expenses in connection with such revoked request), including without limitation if the Requesting Shareholder shall have learned of a material adverse change, or any development or event involving a prospective material adverse change, in the condition (financial or otherwise), results of operations, business or properties of the Company from that known to the Requesting Shareholder at the time of its request and have withdrawn the request with reasonable promptness after learning of such information, or (ii) the Requesting Shareholder reimburses the Company for all Registration Expenses incurred by it as a result of such revoked request.</w:t>
      </w:r>
    </w:p>
    <w:p>
      <w:pPr>
        <w:spacing w:after="0" w:line="167" w:lineRule="exact"/>
        <w:rPr>
          <w:sz w:val="20"/>
          <w:szCs w:val="20"/>
          <w:color w:val="auto"/>
        </w:rPr>
      </w:pPr>
    </w:p>
    <w:p>
      <w:pPr>
        <w:ind w:right="240" w:firstLine="464"/>
        <w:spacing w:after="0" w:line="342" w:lineRule="auto"/>
        <w:tabs>
          <w:tab w:leader="none" w:pos="701"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Company shall be liable for and shall pay all Registration Expenses in connection with any Demand Registration, regardless of whether such registration is effected, unless the Requesting Shareholder elects to pay such Registration Expenses as described in the last sentence of Section 2.01(b).</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Demand Registration shall not be deemed to have occurred:</w:t>
      </w:r>
    </w:p>
    <w:p>
      <w:pPr>
        <w:spacing w:after="0" w:line="117" w:lineRule="exact"/>
        <w:rPr>
          <w:rFonts w:ascii="Arial" w:cs="Arial" w:eastAsia="Arial" w:hAnsi="Arial"/>
          <w:sz w:val="18"/>
          <w:szCs w:val="18"/>
          <w:color w:val="auto"/>
        </w:rPr>
      </w:pPr>
    </w:p>
    <w:p>
      <w:pPr>
        <w:ind w:left="460" w:right="40" w:firstLine="443"/>
        <w:spacing w:after="0" w:line="297" w:lineRule="auto"/>
        <w:tabs>
          <w:tab w:leader="none" w:pos="1113" w:val="left"/>
        </w:tabs>
        <w:numPr>
          <w:ilvl w:val="1"/>
          <w:numId w:val="274"/>
        </w:numPr>
        <w:rPr>
          <w:rFonts w:ascii="Arial" w:cs="Arial" w:eastAsia="Arial" w:hAnsi="Arial"/>
          <w:sz w:val="16"/>
          <w:szCs w:val="16"/>
          <w:color w:val="auto"/>
        </w:rPr>
      </w:pPr>
      <w:r>
        <w:rPr>
          <w:rFonts w:ascii="Arial" w:cs="Arial" w:eastAsia="Arial" w:hAnsi="Arial"/>
          <w:sz w:val="16"/>
          <w:szCs w:val="16"/>
          <w:color w:val="auto"/>
        </w:rPr>
        <w:t xml:space="preserve">unless the registration statement relating thereto (A) has become effective under the Securities Act and (B) has remained effective for a period of at least 180 days (or such shorter period in which all Registrable Securities of the Registering Shareholders included in such registration have actually been sold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Demand Registration shall not be deemed to have occurred if, after such registration statement becomes effective, (1) such registration statement is interfered with by any stop order, injunction or other order or requirement of the SEC or other governmental agency or court and (2) less than 75% of the Registrable Securities included in such registration statement have been sold thereunder; or</w:t>
      </w:r>
    </w:p>
    <w:p>
      <w:pPr>
        <w:spacing w:after="0" w:line="50" w:lineRule="exact"/>
        <w:rPr>
          <w:rFonts w:ascii="Arial" w:cs="Arial" w:eastAsia="Arial" w:hAnsi="Arial"/>
          <w:sz w:val="16"/>
          <w:szCs w:val="16"/>
          <w:color w:val="auto"/>
        </w:rPr>
      </w:pPr>
    </w:p>
    <w:p>
      <w:pPr>
        <w:ind w:left="460" w:right="460" w:firstLine="443"/>
        <w:spacing w:after="0" w:line="277" w:lineRule="auto"/>
        <w:tabs>
          <w:tab w:leader="none" w:pos="1163"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if the Maximum Offering Size is reduced in accordance with Section 2.01(e) such that less than 50% of the Registrable Securities of the Requesting Shareholder sought to be included in such registration are included.</w:t>
      </w:r>
    </w:p>
    <w:p>
      <w:pPr>
        <w:spacing w:after="0" w:line="170" w:lineRule="exact"/>
        <w:rPr>
          <w:rFonts w:ascii="Arial" w:cs="Arial" w:eastAsia="Arial" w:hAnsi="Arial"/>
          <w:sz w:val="18"/>
          <w:szCs w:val="18"/>
          <w:color w:val="auto"/>
        </w:rPr>
      </w:pPr>
    </w:p>
    <w:p>
      <w:pPr>
        <w:ind w:right="20" w:firstLine="464"/>
        <w:spacing w:after="0" w:line="257" w:lineRule="auto"/>
        <w:tabs>
          <w:tab w:leader="none" w:pos="70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If a Demand Registration involves an underwritten Public Offering and the managing underwriter advises the Company and the Requesting Shareholder that, in its view, the number of shares of Registrable Securities requested to be included in such registration (including any securities that the Company proposes to be included that are not Registrable Securities) exceeds the largest number of shares that can be sold without having an adverse effect on such offering, including the price at which such shares can be sold (the “</w:t>
      </w:r>
      <w:r>
        <w:rPr>
          <w:rFonts w:ascii="Arial" w:cs="Arial" w:eastAsia="Arial" w:hAnsi="Arial"/>
          <w:sz w:val="18"/>
          <w:szCs w:val="18"/>
          <w:b w:val="1"/>
          <w:bCs w:val="1"/>
          <w:color w:val="auto"/>
        </w:rPr>
        <w:t>Maximum Offering Size</w:t>
      </w:r>
      <w:r>
        <w:rPr>
          <w:rFonts w:ascii="Arial" w:cs="Arial" w:eastAsia="Arial" w:hAnsi="Arial"/>
          <w:sz w:val="18"/>
          <w:szCs w:val="18"/>
          <w:color w:val="auto"/>
        </w:rPr>
        <w:t>”), the Company shall include in such registration, in the priority listed below, up to the Maximum Offering Size:</w:t>
      </w:r>
    </w:p>
    <w:p>
      <w:pPr>
        <w:spacing w:after="0" w:line="80" w:lineRule="exact"/>
        <w:rPr>
          <w:rFonts w:ascii="Arial" w:cs="Arial" w:eastAsia="Arial" w:hAnsi="Arial"/>
          <w:sz w:val="18"/>
          <w:szCs w:val="18"/>
          <w:color w:val="auto"/>
        </w:rPr>
      </w:pPr>
    </w:p>
    <w:p>
      <w:pPr>
        <w:ind w:left="1120" w:hanging="217"/>
        <w:spacing w:after="0"/>
        <w:tabs>
          <w:tab w:leader="none" w:pos="1120" w:val="left"/>
        </w:tabs>
        <w:numPr>
          <w:ilvl w:val="1"/>
          <w:numId w:val="274"/>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all Registrable Securities requested to be included in such registration by all Registering Shareholders (allocated, if necessary for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25" w:name="page326"/>
    <w:bookmarkEnd w:id="325"/>
    <w:p>
      <w:pPr>
        <w:ind w:lef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offering not to exceed the Maximum Offering Size,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such Shareholders on the basis of the relative number of Registrable Securities held by each such Shareholder); and</w:t>
      </w:r>
    </w:p>
    <w:p>
      <w:pPr>
        <w:spacing w:after="0" w:line="62" w:lineRule="exact"/>
        <w:rPr>
          <w:sz w:val="20"/>
          <w:szCs w:val="20"/>
          <w:color w:val="auto"/>
        </w:rPr>
      </w:pPr>
    </w:p>
    <w:p>
      <w:pPr>
        <w:ind w:left="1160" w:hanging="257"/>
        <w:spacing w:after="0"/>
        <w:tabs>
          <w:tab w:leader="none" w:pos="1160" w:val="left"/>
        </w:tabs>
        <w:numPr>
          <w:ilvl w:val="1"/>
          <w:numId w:val="275"/>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any securities proposed to be registered by the Company (including for the benefit of any other Persons not party to this Agreement).</w:t>
      </w:r>
    </w:p>
    <w:p>
      <w:pPr>
        <w:spacing w:after="0" w:line="248" w:lineRule="exact"/>
        <w:rPr>
          <w:rFonts w:ascii="Arial" w:cs="Arial" w:eastAsia="Arial" w:hAnsi="Arial"/>
          <w:sz w:val="16"/>
          <w:szCs w:val="16"/>
          <w:color w:val="auto"/>
        </w:rPr>
      </w:pPr>
    </w:p>
    <w:p>
      <w:pPr>
        <w:ind w:right="20" w:firstLine="464"/>
        <w:spacing w:after="0" w:line="297" w:lineRule="auto"/>
        <w:tabs>
          <w:tab w:leader="none" w:pos="68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Upon notice to the Requesting Shareholder, the Company may postpone effecting a registration pursuant to this Section 2.01 on two occasions during any period of twelve consecutive months for a reasonable time specified in the notice but not exceeding 90 days (which period may not be extended or renewed), if (i) the Company reasonably determines that effecting the registration would materially and adversely affect an offering of securities of the Company the preparation of which had then been commenced, or (ii) the Company is in possession of material non-public information the disclosure of which during the period specified in such notice the Company reasonably believes would not be in the best interests of the Company.</w:t>
      </w:r>
    </w:p>
    <w:p>
      <w:pPr>
        <w:spacing w:after="0" w:line="15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Piggyback Registration.</w:t>
      </w:r>
      <w:r>
        <w:rPr>
          <w:rFonts w:ascii="Arial" w:cs="Arial" w:eastAsia="Arial" w:hAnsi="Arial"/>
          <w:sz w:val="16"/>
          <w:szCs w:val="16"/>
          <w:color w:val="auto"/>
        </w:rPr>
        <w:t xml:space="preserve"> (a) At any time after the Trigger Date, if the Company proposes to register any Company Securities under the Securities Act (other than (i) a Shelf Registration, which will be subject to the provisions of Section 2.03;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Underwritten Takedown will be subject to this Section 2.02, or (ii) a registration on Form S-8, F-4 or S-4, or any successor or similar form), whether or not for sale for its own account, the Company shall each such time give prompt notice at least two Business Days prior to the anticipated filing date of the registration statement relating to such registration to each Shareholder, which notice shall set forth such Shareholder’s rights under this Section 2.02 and shall offer such Shareholder the opportunity to include in such registration statement the number of Registrable Securities of the same class or series as those proposed to be registered as each such Shareholder may request (a “</w:t>
      </w:r>
      <w:r>
        <w:rPr>
          <w:rFonts w:ascii="Arial" w:cs="Arial" w:eastAsia="Arial" w:hAnsi="Arial"/>
          <w:sz w:val="16"/>
          <w:szCs w:val="16"/>
          <w:b w:val="1"/>
          <w:bCs w:val="1"/>
          <w:color w:val="auto"/>
        </w:rPr>
        <w:t>Piggyback Registration</w:t>
      </w:r>
      <w:r>
        <w:rPr>
          <w:rFonts w:ascii="Arial" w:cs="Arial" w:eastAsia="Arial" w:hAnsi="Arial"/>
          <w:sz w:val="16"/>
          <w:szCs w:val="16"/>
          <w:color w:val="auto"/>
        </w:rPr>
        <w:t xml:space="preserve">”), subject to the provisions of Section 2.02(b). Upon the request of any such Shareholder made within two Business Days after the receipt of notice from the Company (which request shall specify the number of Registrable Securities intended to be registered by such Shareholder), the Company shall use all commercially reasonable efforts to effect the registration under the Securities Act of all Registrable Securities that the Company has been so requested to register by all such Shareholders, to the extent required to permit the disposition of the Registrable Securities so to be registered,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such registration involves an underwritten Public Offering, all such Shareholders requesting to be included in the Company’s registration must sell their Registrable Securities to the underwriters selected as provided in Section 2.05(f) on the same terms and conditions as apply to the Company or the Requesting Shareholder, as applicable, and (B) if, at any time after giving notice of its intention to register any Company Securities pursuant to this Section 2.02(a) and prior to the effective date of the registration statement filed in connection with such registration, the Company shall determine for any reason not to register such securities, the Company shall give notice to all such Shareholders and, thereupon, shall be relieved of its obligation to register any Registrable Securities in connection with such registration. No registration effected under this Section 2.02 shall relieve the Company of its obligations to effect a Demand Registration to the extent required by Section 2.01 or a Shelf Registration to the extent required by Section 2.03. The Company shall pay all Registration Expenses in connection with each Piggyback Registration.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326" w:name="page327"/>
    <w:bookmarkEnd w:id="326"/>
    <w:p>
      <w:pPr>
        <w:ind w:right="60" w:firstLine="464"/>
        <w:spacing w:after="0" w:line="259" w:lineRule="auto"/>
        <w:tabs>
          <w:tab w:leader="none" w:pos="711" w:val="left"/>
        </w:tabs>
        <w:numPr>
          <w:ilvl w:val="0"/>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Piggyback Registration involves an underwritten Public Offering (other than any Demand Registration, in which case the provisions with respect to priority of inclusion in such offering set forth in Section 2.01(e) shall apply) and the managing underwriter advises the Company that, in its view, the number of Shares that the Company and such Shareholders intend to include in such registration exceeds the Maximum Offering Size, the Company shall include in such registration, in the following priority, up to the Maximum Offering Size:</w:t>
      </w:r>
    </w:p>
    <w:p>
      <w:pPr>
        <w:spacing w:after="0" w:line="78" w:lineRule="exact"/>
        <w:rPr>
          <w:rFonts w:ascii="Arial" w:cs="Arial" w:eastAsia="Arial" w:hAnsi="Arial"/>
          <w:sz w:val="18"/>
          <w:szCs w:val="18"/>
          <w:color w:val="auto"/>
        </w:rPr>
      </w:pPr>
    </w:p>
    <w:p>
      <w:pPr>
        <w:ind w:left="460" w:right="200" w:firstLine="443"/>
        <w:spacing w:after="0" w:line="264" w:lineRule="auto"/>
        <w:tabs>
          <w:tab w:leader="none" w:pos="1113" w:val="left"/>
        </w:tabs>
        <w:numPr>
          <w:ilvl w:val="1"/>
          <w:numId w:val="27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so much of the Company Securities proposed to be registered for the account of the Company (or, if such registration is pursuant to a</w:t>
      </w:r>
      <w:r>
        <w:rPr>
          <w:rFonts w:ascii="Arial" w:cs="Arial" w:eastAsia="Arial" w:hAnsi="Arial"/>
          <w:sz w:val="18"/>
          <w:szCs w:val="18"/>
          <w:i w:val="1"/>
          <w:iCs w:val="1"/>
          <w:color w:val="auto"/>
        </w:rPr>
        <w:t xml:space="preserve"> </w:t>
      </w:r>
      <w:r>
        <w:rPr>
          <w:rFonts w:ascii="Arial" w:cs="Arial" w:eastAsia="Arial" w:hAnsi="Arial"/>
          <w:sz w:val="18"/>
          <w:szCs w:val="18"/>
          <w:color w:val="auto"/>
        </w:rPr>
        <w:t>demand by a Person that is not a Shareholder, for the account of such other Person) as would not cause the offering to exceed the Maximum Offering Size,</w:t>
      </w:r>
    </w:p>
    <w:p>
      <w:pPr>
        <w:spacing w:after="0" w:line="73" w:lineRule="exact"/>
        <w:rPr>
          <w:rFonts w:ascii="Arial" w:cs="Arial" w:eastAsia="Arial" w:hAnsi="Arial"/>
          <w:sz w:val="18"/>
          <w:szCs w:val="18"/>
          <w:color w:val="auto"/>
        </w:rPr>
      </w:pPr>
    </w:p>
    <w:p>
      <w:pPr>
        <w:jc w:val="both"/>
        <w:ind w:left="460" w:right="60" w:firstLine="443"/>
        <w:spacing w:after="0" w:line="264" w:lineRule="auto"/>
        <w:tabs>
          <w:tab w:leader="none" w:pos="1163" w:val="left"/>
        </w:tabs>
        <w:numPr>
          <w:ilvl w:val="1"/>
          <w:numId w:val="277"/>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all Registrable Securities requested to be included in such registration by any Shareholders pursuant to this Section 2.02 (allocated, if</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for the offering not to exceed the Maximum Offering Size, pro rata among such Shareholders on the basis of the relative number of shares of Registrable Securities so requested to be included in such registration by each), and</w:t>
      </w:r>
    </w:p>
    <w:p>
      <w:pPr>
        <w:spacing w:after="0" w:line="73" w:lineRule="exact"/>
        <w:rPr>
          <w:rFonts w:ascii="Arial" w:cs="Arial" w:eastAsia="Arial" w:hAnsi="Arial"/>
          <w:sz w:val="18"/>
          <w:szCs w:val="18"/>
          <w:color w:val="auto"/>
        </w:rPr>
      </w:pPr>
    </w:p>
    <w:p>
      <w:pPr>
        <w:ind w:left="460" w:right="300" w:firstLine="443"/>
        <w:spacing w:after="0" w:line="277" w:lineRule="auto"/>
        <w:tabs>
          <w:tab w:leader="none" w:pos="1213" w:val="left"/>
        </w:tabs>
        <w:numPr>
          <w:ilvl w:val="1"/>
          <w:numId w:val="277"/>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any securities proposed to be registered for the account of any other Persons with such priorities among them as the Company shall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Shelf Registration.</w:t>
      </w:r>
      <w:r>
        <w:rPr>
          <w:rFonts w:ascii="Arial" w:cs="Arial" w:eastAsia="Arial" w:hAnsi="Arial"/>
          <w:sz w:val="16"/>
          <w:szCs w:val="16"/>
          <w:color w:val="auto"/>
        </w:rPr>
        <w:t xml:space="preserve"> (a) At any time after the first anniversary of the First Public Offering, if the Company is eligible to use Form F-3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Form S-3, a Shareholder or group of Shareholders, in each case holding at least 10% of the outstanding Company Securities (the requesting Shareholder(s)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referred to herein as the “</w:t>
      </w:r>
      <w:r>
        <w:rPr>
          <w:rFonts w:ascii="Arial" w:cs="Arial" w:eastAsia="Arial" w:hAnsi="Arial"/>
          <w:sz w:val="17"/>
          <w:szCs w:val="17"/>
          <w:b w:val="1"/>
          <w:bCs w:val="1"/>
          <w:color w:val="auto"/>
        </w:rPr>
        <w:t>Shelf Requesting Shareholder</w:t>
      </w:r>
      <w:r>
        <w:rPr>
          <w:rFonts w:ascii="Arial" w:cs="Arial" w:eastAsia="Arial" w:hAnsi="Arial"/>
          <w:sz w:val="17"/>
          <w:szCs w:val="17"/>
          <w:color w:val="auto"/>
        </w:rPr>
        <w:t>”) may request the Company to effect a registration of some or all of the Registrable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such Shelf Requesting Shareholder under a Registration Statement pursuant to Rule 415 under the Securities Act (or any successor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similar rule) (a “</w:t>
      </w:r>
      <w:r>
        <w:rPr>
          <w:rFonts w:ascii="Arial" w:cs="Arial" w:eastAsia="Arial" w:hAnsi="Arial"/>
          <w:sz w:val="18"/>
          <w:szCs w:val="18"/>
          <w:b w:val="1"/>
          <w:bCs w:val="1"/>
          <w:color w:val="auto"/>
        </w:rPr>
        <w:t>Shelf Registration</w:t>
      </w:r>
      <w:r>
        <w:rPr>
          <w:rFonts w:ascii="Arial" w:cs="Arial" w:eastAsia="Arial" w:hAnsi="Arial"/>
          <w:sz w:val="18"/>
          <w:szCs w:val="18"/>
          <w:color w:val="auto"/>
        </w:rPr>
        <w:t>”). The Company shall only be required to effectuate one Public Offering from such Shelf Registration (an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Underwritten Takedown</w:t>
      </w:r>
      <w:r>
        <w:rPr>
          <w:rFonts w:ascii="Arial" w:cs="Arial" w:eastAsia="Arial" w:hAnsi="Arial"/>
          <w:sz w:val="16"/>
          <w:szCs w:val="16"/>
          <w:color w:val="auto"/>
        </w:rPr>
        <w:t>”) within any six-month period, which offering shall be deemed a Demand Registration. The provisions of Section 2.01 shall apply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mutatis mutandis </w:t>
      </w:r>
      <w:r>
        <w:rPr>
          <w:rFonts w:ascii="Arial" w:cs="Arial" w:eastAsia="Arial" w:hAnsi="Arial"/>
          <w:sz w:val="16"/>
          <w:szCs w:val="16"/>
          <w:color w:val="auto"/>
        </w:rPr>
        <w:t>to each Underwritten Takedown except as otherwise provided in this Section 2.03, with references to “</w:t>
      </w:r>
      <w:r>
        <w:rPr>
          <w:rFonts w:ascii="Arial" w:cs="Arial" w:eastAsia="Arial" w:hAnsi="Arial"/>
          <w:sz w:val="16"/>
          <w:szCs w:val="16"/>
          <w:b w:val="1"/>
          <w:bCs w:val="1"/>
          <w:color w:val="auto"/>
        </w:rPr>
        <w:t>filing of the registration statement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w:t>
      </w:r>
      <w:r>
        <w:rPr>
          <w:rFonts w:ascii="Arial" w:cs="Arial" w:eastAsia="Arial" w:hAnsi="Arial"/>
          <w:sz w:val="16"/>
          <w:szCs w:val="16"/>
          <w:b w:val="1"/>
          <w:bCs w:val="1"/>
          <w:color w:val="auto"/>
        </w:rPr>
        <w:t>effective date</w:t>
      </w:r>
      <w:r>
        <w:rPr>
          <w:rFonts w:ascii="Arial" w:cs="Arial" w:eastAsia="Arial" w:hAnsi="Arial"/>
          <w:sz w:val="16"/>
          <w:szCs w:val="16"/>
          <w:color w:val="auto"/>
        </w:rPr>
        <w:t>” being deemed references to filing of a prospectus or supplement for such offering, references to “</w:t>
      </w:r>
      <w:r>
        <w:rPr>
          <w:rFonts w:ascii="Arial" w:cs="Arial" w:eastAsia="Arial" w:hAnsi="Arial"/>
          <w:sz w:val="16"/>
          <w:szCs w:val="16"/>
          <w:b w:val="1"/>
          <w:bCs w:val="1"/>
          <w:color w:val="auto"/>
        </w:rPr>
        <w:t>registration</w:t>
      </w:r>
      <w:r>
        <w:rPr>
          <w:rFonts w:ascii="Arial" w:cs="Arial" w:eastAsia="Arial" w:hAnsi="Arial"/>
          <w:sz w:val="16"/>
          <w:szCs w:val="16"/>
          <w:color w:val="auto"/>
        </w:rPr>
        <w:t>” being deemed references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offering, references to “</w:t>
      </w:r>
      <w:r>
        <w:rPr>
          <w:rFonts w:ascii="Arial" w:cs="Arial" w:eastAsia="Arial" w:hAnsi="Arial"/>
          <w:sz w:val="16"/>
          <w:szCs w:val="16"/>
          <w:b w:val="1"/>
          <w:bCs w:val="1"/>
          <w:color w:val="auto"/>
        </w:rPr>
        <w:t>Demand Registration</w:t>
      </w:r>
      <w:r>
        <w:rPr>
          <w:rFonts w:ascii="Arial" w:cs="Arial" w:eastAsia="Arial" w:hAnsi="Arial"/>
          <w:sz w:val="16"/>
          <w:szCs w:val="16"/>
          <w:color w:val="auto"/>
        </w:rPr>
        <w:t>” being deemed references to “</w:t>
      </w:r>
      <w:r>
        <w:rPr>
          <w:rFonts w:ascii="Arial" w:cs="Arial" w:eastAsia="Arial" w:hAnsi="Arial"/>
          <w:sz w:val="16"/>
          <w:szCs w:val="16"/>
          <w:b w:val="1"/>
          <w:bCs w:val="1"/>
          <w:color w:val="auto"/>
        </w:rPr>
        <w:t>Shelf Registration</w:t>
      </w:r>
      <w:r>
        <w:rPr>
          <w:rFonts w:ascii="Arial" w:cs="Arial" w:eastAsia="Arial" w:hAnsi="Arial"/>
          <w:sz w:val="16"/>
          <w:szCs w:val="16"/>
          <w:color w:val="auto"/>
        </w:rPr>
        <w:t>” or “</w:t>
      </w:r>
      <w:r>
        <w:rPr>
          <w:rFonts w:ascii="Arial" w:cs="Arial" w:eastAsia="Arial" w:hAnsi="Arial"/>
          <w:sz w:val="16"/>
          <w:szCs w:val="16"/>
          <w:b w:val="1"/>
          <w:bCs w:val="1"/>
          <w:color w:val="auto"/>
        </w:rPr>
        <w:t>Underwritten Takedown</w:t>
      </w:r>
      <w:r>
        <w:rPr>
          <w:rFonts w:ascii="Arial" w:cs="Arial" w:eastAsia="Arial" w:hAnsi="Arial"/>
          <w:sz w:val="16"/>
          <w:szCs w:val="16"/>
          <w:color w:val="auto"/>
        </w:rPr>
        <w:t>,” as applicable,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references to “</w:t>
      </w:r>
      <w:r>
        <w:rPr>
          <w:rFonts w:ascii="Arial" w:cs="Arial" w:eastAsia="Arial" w:hAnsi="Arial"/>
          <w:sz w:val="16"/>
          <w:szCs w:val="16"/>
          <w:b w:val="1"/>
          <w:bCs w:val="1"/>
          <w:color w:val="auto"/>
        </w:rPr>
        <w:t>Registering Shareholders</w:t>
      </w:r>
      <w:r>
        <w:rPr>
          <w:rFonts w:ascii="Arial" w:cs="Arial" w:eastAsia="Arial" w:hAnsi="Arial"/>
          <w:sz w:val="16"/>
          <w:szCs w:val="16"/>
          <w:color w:val="auto"/>
        </w:rPr>
        <w:t>” being deemed references to “</w:t>
      </w:r>
      <w:r>
        <w:rPr>
          <w:rFonts w:ascii="Arial" w:cs="Arial" w:eastAsia="Arial" w:hAnsi="Arial"/>
          <w:sz w:val="16"/>
          <w:szCs w:val="16"/>
          <w:b w:val="1"/>
          <w:bCs w:val="1"/>
          <w:color w:val="auto"/>
        </w:rPr>
        <w:t>Shelf Registering Shareholders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Shelf Registering Shareholders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include Shareholders whose Registrable Securities are included in such Shelf Registration or may be included therein without the need for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amendment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27" w:name="page328"/>
    <w:bookmarkEnd w:id="327"/>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such Shelf Registration (other than an automatically effective amendment). So long as the Shelf Registration is effective, no Shareholder may request any Demand Registration pursuant to Section 2.01 with respect to Registrable Securities that are registered or registrable without the need for an amendment (other than an automatically effective amendment) on such Shelf Registration.</w:t>
      </w:r>
    </w:p>
    <w:p>
      <w:pPr>
        <w:spacing w:after="0" w:line="181" w:lineRule="exact"/>
        <w:rPr>
          <w:sz w:val="20"/>
          <w:szCs w:val="20"/>
          <w:color w:val="auto"/>
        </w:rPr>
      </w:pPr>
    </w:p>
    <w:p>
      <w:pPr>
        <w:jc w:val="both"/>
        <w:ind w:right="120" w:firstLine="464"/>
        <w:spacing w:after="0" w:line="279" w:lineRule="auto"/>
        <w:tabs>
          <w:tab w:leader="none" w:pos="711"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If the Company shall receive a request from a Shelf Requesting Shareholder that the Company effect a Shelf Registration, then the Company shall as promptly as practicable following the date of receipt by the Company of such request give notice of such requested registration at least ten Business Days prior to the anticipated filing date of the registration statement relating to such Shelf Registration to the other Shareholders and thereupon shall use its reasonable best efforts to effect, as expeditiously as possible, the registration under the Securities Act of:</w:t>
      </w:r>
    </w:p>
    <w:p>
      <w:pPr>
        <w:spacing w:after="0" w:line="63" w:lineRule="exact"/>
        <w:rPr>
          <w:rFonts w:ascii="Arial" w:cs="Arial" w:eastAsia="Arial" w:hAnsi="Arial"/>
          <w:sz w:val="17"/>
          <w:szCs w:val="17"/>
          <w:color w:val="auto"/>
        </w:rPr>
      </w:pPr>
    </w:p>
    <w:p>
      <w:pPr>
        <w:ind w:left="1120" w:hanging="217"/>
        <w:spacing w:after="0"/>
        <w:tabs>
          <w:tab w:leader="none" w:pos="112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all Registrable Securities for which the Shelf Requesting Shareholder has requested registration under this Section 2.03, and</w:t>
      </w:r>
    </w:p>
    <w:p>
      <w:pPr>
        <w:spacing w:after="0" w:line="117" w:lineRule="exact"/>
        <w:rPr>
          <w:rFonts w:ascii="Arial" w:cs="Arial" w:eastAsia="Arial" w:hAnsi="Arial"/>
          <w:sz w:val="18"/>
          <w:szCs w:val="18"/>
          <w:color w:val="auto"/>
        </w:rPr>
      </w:pPr>
    </w:p>
    <w:p>
      <w:pPr>
        <w:ind w:left="460" w:right="40" w:firstLine="443"/>
        <w:spacing w:after="0" w:line="259" w:lineRule="auto"/>
        <w:tabs>
          <w:tab w:leader="none" w:pos="1163"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all other Registrable Securities of the same class as those requested to be registered by the Shelf Requesting Shareholder that any Shareholders (all such Shareholders, together with the Shelf Requesting Shareholder, the “</w:t>
      </w:r>
      <w:r>
        <w:rPr>
          <w:rFonts w:ascii="Arial" w:cs="Arial" w:eastAsia="Arial" w:hAnsi="Arial"/>
          <w:sz w:val="18"/>
          <w:szCs w:val="18"/>
          <w:b w:val="1"/>
          <w:bCs w:val="1"/>
          <w:color w:val="auto"/>
        </w:rPr>
        <w:t>Shelf Registering Shareholders</w:t>
      </w:r>
      <w:r>
        <w:rPr>
          <w:rFonts w:ascii="Arial" w:cs="Arial" w:eastAsia="Arial" w:hAnsi="Arial"/>
          <w:sz w:val="18"/>
          <w:szCs w:val="18"/>
          <w:color w:val="auto"/>
        </w:rPr>
        <w:t>”) have requested the Company to register by request received by the Company within two Business Days after such Shareholders receive the Company’s notice of the Shelf Registration,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to the extent necessary to permit the registration of the Registrable Securities so to be registered on such Shelf Registration.</w:t>
      </w:r>
    </w:p>
    <w:p>
      <w:pPr>
        <w:spacing w:after="0" w:line="225" w:lineRule="exact"/>
        <w:rPr>
          <w:sz w:val="20"/>
          <w:szCs w:val="20"/>
          <w:color w:val="auto"/>
        </w:rPr>
      </w:pPr>
    </w:p>
    <w:p>
      <w:pPr>
        <w:ind w:firstLine="464"/>
        <w:spacing w:after="0" w:line="308" w:lineRule="auto"/>
        <w:tabs>
          <w:tab w:leader="none" w:pos="701"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At any time prior to the effective date of the registration statement relating to such Shelf Registration, the Shelf Requesting Shareholder may revoke such request, without liability to any of the other Shelf Registering Shareholders, by providing a notice to the Company revoking such request.</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Company shall be liable for and pay all Registration Expenses in connection with any Shelf Registration.</w:t>
      </w:r>
    </w:p>
    <w:p>
      <w:pPr>
        <w:spacing w:after="0" w:line="225" w:lineRule="exact"/>
        <w:rPr>
          <w:rFonts w:ascii="Arial" w:cs="Arial" w:eastAsia="Arial" w:hAnsi="Arial"/>
          <w:sz w:val="18"/>
          <w:szCs w:val="18"/>
          <w:color w:val="auto"/>
        </w:rPr>
      </w:pPr>
    </w:p>
    <w:p>
      <w:pPr>
        <w:ind w:right="60" w:firstLine="464"/>
        <w:spacing w:after="0" w:line="276" w:lineRule="auto"/>
        <w:tabs>
          <w:tab w:leader="none" w:pos="701" w:val="left"/>
        </w:tabs>
        <w:numPr>
          <w:ilvl w:val="0"/>
          <w:numId w:val="279"/>
        </w:numPr>
        <w:rPr>
          <w:rFonts w:ascii="Arial" w:cs="Arial" w:eastAsia="Arial" w:hAnsi="Arial"/>
          <w:sz w:val="17"/>
          <w:szCs w:val="17"/>
          <w:color w:val="auto"/>
        </w:rPr>
      </w:pPr>
      <w:r>
        <w:rPr>
          <w:rFonts w:ascii="Arial" w:cs="Arial" w:eastAsia="Arial" w:hAnsi="Arial"/>
          <w:sz w:val="17"/>
          <w:szCs w:val="17"/>
          <w:color w:val="auto"/>
        </w:rPr>
        <w:t>Upon notice to the Shelf Requesting Shareholder, the Company may postpone effecting a registration pursuant to this Section 2.03 on one occasion during any period of six consecutive months for a reasonable time specified in the notice but not exceeding 90 days (which period may not be extended or renewed), if the Company determines that effecting the registration would materially and adversely affect an offering of securities of the Company the preparation of which had then been commenced, or the Company is in possession of material non-public information the disclosure of which during the period specified in such notice the Company reasonably believes would not be in the best interests of the Company.</w:t>
      </w:r>
    </w:p>
    <w:p>
      <w:pPr>
        <w:spacing w:after="0" w:line="17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Lock-Up Agreements</w:t>
      </w:r>
      <w:r>
        <w:rPr>
          <w:rFonts w:ascii="Arial" w:cs="Arial" w:eastAsia="Arial" w:hAnsi="Arial"/>
          <w:sz w:val="18"/>
          <w:szCs w:val="18"/>
          <w:color w:val="auto"/>
        </w:rPr>
        <w:t>. If requested by the managing underwriter of the First Public Offering, each Shareholder hereby agrees that it will not, without the prior written consent of such managing underwriter, during the period commencing 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3" w:right="279" w:bottom="1440" w:gutter="0" w:footer="0" w:header="0"/>
        </w:sectPr>
      </w:pPr>
    </w:p>
    <w:bookmarkStart w:id="328" w:name="page329"/>
    <w:bookmarkEnd w:id="32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of the final prospectus relating to the First Public Offering and ending on the date specified by the Company and the managing underwriter (such period not to exceed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(the “</w:t>
      </w:r>
      <w:r>
        <w:rPr>
          <w:rFonts w:ascii="Arial" w:cs="Arial" w:eastAsia="Arial" w:hAnsi="Arial"/>
          <w:sz w:val="16"/>
          <w:szCs w:val="16"/>
          <w:b w:val="1"/>
          <w:bCs w:val="1"/>
          <w:color w:val="auto"/>
        </w:rPr>
        <w:t>Lock-Up Period</w:t>
      </w:r>
      <w:r>
        <w:rPr>
          <w:rFonts w:ascii="Arial" w:cs="Arial" w:eastAsia="Arial" w:hAnsi="Arial"/>
          <w:sz w:val="16"/>
          <w:szCs w:val="16"/>
          <w:color w:val="auto"/>
        </w:rPr>
        <w:t>”)): (i) lend; offer; pledge; sell; contract to sell; sell any option or contract to purchase; purchase any option or contract to sell; grant any option, right, or warrant to purchase; or otherwise transfer or dispose of, directly or indirectly, any Common Shares or any securities convertible into or exercisable or exchangeable (directly or indirectly) for Common Shares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w:t>
      </w:r>
    </w:p>
    <w:p>
      <w:pPr>
        <w:spacing w:after="0" w:line="1" w:lineRule="exact"/>
        <w:rPr>
          <w:sz w:val="20"/>
          <w:szCs w:val="20"/>
          <w:color w:val="auto"/>
        </w:rPr>
      </w:pPr>
    </w:p>
    <w:p>
      <w:pPr>
        <w:ind w:right="40" w:firstLine="8"/>
        <w:spacing w:after="0" w:line="284" w:lineRule="auto"/>
        <w:tabs>
          <w:tab w:leader="none" w:pos="215"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or (ii) above is to be settled by delivery of Common Shares or other securities, in cash, or otherwise. The foregoing provisions of this Section 2.04 shall apply only to the First Public Offering, shall not apply to the sale of any shares to an underwriter pursuant to an underwriting agreement, and shall be applicable to the Shareholders only if all officers, directors, and stockholders individually owning more than one percent (1%) of the Company’s outstanding Common Shares are subject to the same restrictions (after giving effect to conversion into Common Shares of all outstanding Series A Preferred Shares, Series B Preferred Shares, Series C Preferred Shares, Series D Preferred Shares and Series E Preferred Shares). The foregoing provisions of this Section 2.04 shall not limit the ability of a Shareholder to otherwise sell, transfer, make any short sale of, grant any option for the purchase of, or enter into any hedging or similar transaction with the same economic effect as a sale, any securities of the Company purchased directly or indirectly by such Shareholder in the First Public Offering or following the First Public Offering in the secondary market. To the extent that any person who is subject to market stand-off obligations pursuant to this Section 2.04 is released by the managing underwriter from such market stand-off obligations earlier than the end of the Lock-Up Period, then each Shareholder shall also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release from their respective market stand-off obligations. The underwriters in connection with the First Public Offering are intended to be third-party beneficiaries of this Section 2.04 and shall have the right, power, and authority to enforce the provisions hereof as though they were a party hereto. Each Shareholder further agrees to execute such agreements as may be reasonably requested by the underwriters in the First Public Offering that are consistent with this Section 2.04 or that are necessary to give further effect thereto. The Company agrees that any lock-up agreement executed for the benefit of the underwriters for the First Public Offering shall supersede the lock-up agreement contained in this Section 2.04, but only with respect to each Shareholder that executes such underwriter lock-up agreement.</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i w:val="1"/>
          <w:iCs w:val="1"/>
          <w:color w:val="auto"/>
        </w:rPr>
        <w:t>Registration Procedures.</w:t>
      </w:r>
      <w:r>
        <w:rPr>
          <w:rFonts w:ascii="Arial" w:cs="Arial" w:eastAsia="Arial" w:hAnsi="Arial"/>
          <w:sz w:val="17"/>
          <w:szCs w:val="17"/>
          <w:color w:val="auto"/>
        </w:rPr>
        <w:t xml:space="preserve"> Whenever Shareholders request that any Registrable Securities be registered pursuant to Section 2.01 or 2.02, or the Company prepares a Shelf Registration pursuant to Section 2.03, subject to the provisions of such Sections, the Company shall use all commercially reasonable efforts to effect the registration and the sale of such Registrable Securities in accordance with the intended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3" w:right="27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 of disposition thereof as quickly as practicable, and, in connection with any such request:</w:t>
      </w:r>
    </w:p>
    <w:p>
      <w:pPr>
        <w:spacing w:after="0" w:line="225" w:lineRule="exact"/>
        <w:rPr>
          <w:sz w:val="20"/>
          <w:szCs w:val="20"/>
          <w:color w:val="auto"/>
        </w:rPr>
      </w:pPr>
    </w:p>
    <w:p>
      <w:pPr>
        <w:ind w:right="40" w:firstLine="464"/>
        <w:spacing w:after="0" w:line="255" w:lineRule="auto"/>
        <w:tabs>
          <w:tab w:leader="none" w:pos="70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Company shall as expeditiously as possible prepare and file with the SEC a registration statement on any form for which the Company then qualifies or that counsel for the Company shall deem appropriate and which form shall be available for the sale of the Registrable Securities to be registered thereunder in accordance with the intended method of distribution thereof, and use all commercially reasonable efforts to cause such filed registration statement to become and remain effective for a period of not less than 180 days, or in the case of a Shelf Registration, three years (or such shorter period in which all of the Registrable Securities of the Shareholders included in such registration statement shall have actually been sold thereunder or cease to be Registrable Securities). Any such registration statement shall be an automatically effective registration statement to the extent permitted by the SEC’s rules and regulations.</w:t>
      </w:r>
    </w:p>
    <w:p>
      <w:pPr>
        <w:spacing w:after="0" w:line="189" w:lineRule="exact"/>
        <w:rPr>
          <w:rFonts w:ascii="Arial" w:cs="Arial" w:eastAsia="Arial" w:hAnsi="Arial"/>
          <w:sz w:val="18"/>
          <w:szCs w:val="18"/>
          <w:color w:val="auto"/>
        </w:rPr>
      </w:pPr>
    </w:p>
    <w:p>
      <w:pPr>
        <w:ind w:firstLine="464"/>
        <w:spacing w:after="0" w:line="271" w:lineRule="auto"/>
        <w:tabs>
          <w:tab w:leader="none" w:pos="711" w:val="left"/>
        </w:tabs>
        <w:numPr>
          <w:ilvl w:val="0"/>
          <w:numId w:val="281"/>
        </w:numPr>
        <w:rPr>
          <w:rFonts w:ascii="Arial" w:cs="Arial" w:eastAsia="Arial" w:hAnsi="Arial"/>
          <w:sz w:val="17"/>
          <w:szCs w:val="17"/>
          <w:color w:val="auto"/>
        </w:rPr>
      </w:pPr>
      <w:r>
        <w:rPr>
          <w:rFonts w:ascii="Arial" w:cs="Arial" w:eastAsia="Arial" w:hAnsi="Arial"/>
          <w:sz w:val="17"/>
          <w:szCs w:val="17"/>
          <w:color w:val="auto"/>
        </w:rPr>
        <w:t>Prior to filing a registration statement or prospectus or any amendment or supplement thereto (other than any report filed pursuant to the Exchange Act that is incorporated by reference therein), the Company shall, if requested, furnish to each participating Shareholder and each underwriter, if any, of the Registrable Securities covered by such registration statement copies of such registration statement as proposed to be filed, and thereafter the Company shall furnish to such Shareholder and underwriter, if any, such number of copies of such registration statement, each amendment and supplement thereto (in each case including all exhibits thereto and documents incorporated by reference therein), the prospectus included in such registration statement (including each preliminary prospectus and any summary prospectus) and any other prospectus filed under Rule 424, Rule 430A, Rule 430B or Rule 430C under the Securities Act and such other documents as such Shareholder or underwriter may reasonably request in order to facilitate the disposition of the Registrable Securities owned by such Shareholder.</w:t>
      </w:r>
    </w:p>
    <w:p>
      <w:pPr>
        <w:spacing w:after="0" w:line="178" w:lineRule="exact"/>
        <w:rPr>
          <w:rFonts w:ascii="Arial" w:cs="Arial" w:eastAsia="Arial" w:hAnsi="Arial"/>
          <w:sz w:val="17"/>
          <w:szCs w:val="17"/>
          <w:color w:val="auto"/>
        </w:rPr>
      </w:pPr>
    </w:p>
    <w:p>
      <w:pPr>
        <w:jc w:val="both"/>
        <w:ind w:right="160" w:firstLine="464"/>
        <w:spacing w:after="0" w:line="293" w:lineRule="auto"/>
        <w:tabs>
          <w:tab w:leader="none" w:pos="701"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After the filing of the registration statement, the Company shall (i) cause the related prospectus to be supplemented by any required prospectus supplement and, as so supplemented, to be filed pursuant to Rule 424 under the Securities Act, (ii) comply with the provisions of the Securities Act with respect to the disposition of all Registrable Securities covered by such registration statement during the applicable period in accordance with the intended methods of disposition by the Shareholders thereof set forth in such registration statement or supplement to such prospectus and (iii) promptly notify each Shareholder holding Registrable Securities covered by such registration statement of any stop order issued or threatened by the SEC or any state securities commission and take all reasonable actions required to prevent the entry of such stop order or to remove it if entered.</w:t>
      </w:r>
    </w:p>
    <w:p>
      <w:pPr>
        <w:spacing w:after="0" w:line="164" w:lineRule="exact"/>
        <w:rPr>
          <w:rFonts w:ascii="Arial" w:cs="Arial" w:eastAsia="Arial" w:hAnsi="Arial"/>
          <w:sz w:val="16"/>
          <w:szCs w:val="16"/>
          <w:color w:val="auto"/>
        </w:rPr>
      </w:pPr>
    </w:p>
    <w:p>
      <w:pPr>
        <w:ind w:right="140" w:firstLine="464"/>
        <w:spacing w:after="0" w:line="286" w:lineRule="auto"/>
        <w:tabs>
          <w:tab w:leader="none" w:pos="711"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Company shall use all commercially reasonable efforts to (i) register or qualify the Registrable Securities covered by such registration statement under such other securities or “blue sky” laws of such jurisdictions in the United States as any Registering Shareholder holding such Registrable Securities reasonably (in light of such Shareholder’s intended plan of distribution) requests and (ii) cause such Registrable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274" w:right="379" w:bottom="1440" w:gutter="0" w:footer="0" w:header="0"/>
        </w:sectPr>
      </w:pPr>
    </w:p>
    <w:bookmarkStart w:id="330" w:name="page331"/>
    <w:bookmarkEnd w:id="330"/>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Securities to be registered with or approved by such other governmental agencies or authorities as may be necessary by virtue of the business and operations of the Company and do any and all other acts and things that may be reasonably necessary or advisable to enable such Shareholder to consummate the disposition of the Registrable Securities owned by such Shareholder,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to (A) qualify generally to do business in any jurisdiction where it would not otherwise be required to qualify but for this Section 2.05(d), (B) subject itself to taxation in any such jurisdiction or</w:t>
      </w:r>
    </w:p>
    <w:p>
      <w:pPr>
        <w:spacing w:after="0" w:line="2" w:lineRule="exact"/>
        <w:rPr>
          <w:sz w:val="20"/>
          <w:szCs w:val="20"/>
          <w:color w:val="auto"/>
        </w:rPr>
      </w:pPr>
    </w:p>
    <w:p>
      <w:pPr>
        <w:ind w:left="300" w:hanging="292"/>
        <w:spacing w:after="0"/>
        <w:tabs>
          <w:tab w:leader="none" w:pos="3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consent to general service of process in any such jurisdiction.</w:t>
      </w:r>
    </w:p>
    <w:p>
      <w:pPr>
        <w:spacing w:after="0" w:line="210" w:lineRule="exact"/>
        <w:rPr>
          <w:rFonts w:ascii="Arial" w:cs="Arial" w:eastAsia="Arial" w:hAnsi="Arial"/>
          <w:sz w:val="18"/>
          <w:szCs w:val="18"/>
          <w:color w:val="auto"/>
        </w:rPr>
      </w:pPr>
    </w:p>
    <w:p>
      <w:pPr>
        <w:ind w:firstLine="464"/>
        <w:spacing w:after="0" w:line="276" w:lineRule="auto"/>
        <w:tabs>
          <w:tab w:leader="none" w:pos="701" w:val="left"/>
        </w:tabs>
        <w:numPr>
          <w:ilvl w:val="1"/>
          <w:numId w:val="282"/>
        </w:numPr>
        <w:rPr>
          <w:rFonts w:ascii="Arial" w:cs="Arial" w:eastAsia="Arial" w:hAnsi="Arial"/>
          <w:sz w:val="17"/>
          <w:szCs w:val="17"/>
          <w:color w:val="auto"/>
        </w:rPr>
      </w:pPr>
      <w:r>
        <w:rPr>
          <w:rFonts w:ascii="Arial" w:cs="Arial" w:eastAsia="Arial" w:hAnsi="Arial"/>
          <w:sz w:val="17"/>
          <w:szCs w:val="17"/>
          <w:color w:val="auto"/>
        </w:rPr>
        <w:t>The Company shall immediately notify each Shareholder holding such Registrable Securities covered by such registration statement, at any time when a prospectus relating thereto is required to be delivered under the Securities Act, of the occurrence of an event requiring the preparation of a supplement or amendment to such prospectus so that, as thereafter delivered to the purchasers of such Registrable Securities, such prospectus will not contain an untrue statement of a material fact or omit to state any material fact required to be stated therein or necessary to make the statements therein not misleading and promptly prepare and make available to each such Shareholder and file with the SEC any such supplement or amendment.</w:t>
      </w:r>
    </w:p>
    <w:p>
      <w:pPr>
        <w:spacing w:after="0" w:line="172" w:lineRule="exact"/>
        <w:rPr>
          <w:rFonts w:ascii="Arial" w:cs="Arial" w:eastAsia="Arial" w:hAnsi="Arial"/>
          <w:sz w:val="17"/>
          <w:szCs w:val="17"/>
          <w:color w:val="auto"/>
        </w:rPr>
      </w:pPr>
    </w:p>
    <w:p>
      <w:pPr>
        <w:ind w:right="40" w:firstLine="464"/>
        <w:spacing w:after="0" w:line="255" w:lineRule="auto"/>
        <w:tabs>
          <w:tab w:leader="none" w:pos="681"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Company shall have the right to select an underwriter or underwriters in connection with any Public Offering resulting from any exercise of a Demand Registration (including any Underwritten Takedown), which underwriter or underwriters shall be reasonably acceptable to the Requesting Shareholder. In connection with any Public Offering, the Company shall enter into customary agreements (including an underwriting agreement in customary form) and take such all other actions as are reasonably required in order to expedite or facilitate the disposition of such Registrable Securities in any such Public Offering, including the engagement of a “qualified independent underwriter” in connection with the qualification of the underwriting arrangements with FINRA.</w:t>
      </w:r>
    </w:p>
    <w:p>
      <w:pPr>
        <w:spacing w:after="0" w:line="193" w:lineRule="exact"/>
        <w:rPr>
          <w:rFonts w:ascii="Arial" w:cs="Arial" w:eastAsia="Arial" w:hAnsi="Arial"/>
          <w:sz w:val="18"/>
          <w:szCs w:val="18"/>
          <w:color w:val="auto"/>
        </w:rPr>
      </w:pPr>
    </w:p>
    <w:p>
      <w:pPr>
        <w:ind w:firstLine="464"/>
        <w:spacing w:after="0" w:line="279" w:lineRule="auto"/>
        <w:tabs>
          <w:tab w:leader="none" w:pos="711" w:val="left"/>
        </w:tabs>
        <w:numPr>
          <w:ilvl w:val="1"/>
          <w:numId w:val="282"/>
        </w:numPr>
        <w:rPr>
          <w:rFonts w:ascii="Arial" w:cs="Arial" w:eastAsia="Arial" w:hAnsi="Arial"/>
          <w:sz w:val="17"/>
          <w:szCs w:val="17"/>
          <w:color w:val="auto"/>
        </w:rPr>
      </w:pPr>
      <w:r>
        <w:rPr>
          <w:rFonts w:ascii="Arial" w:cs="Arial" w:eastAsia="Arial" w:hAnsi="Arial"/>
          <w:sz w:val="17"/>
          <w:szCs w:val="17"/>
          <w:color w:val="auto"/>
        </w:rPr>
        <w:t>In connection with any Public Offering, the Company shall use commercially reasonable efforts to furnish to each Registering Shareholder and to each such underwriter, if any, a signed counterpart, addressed to such Shareholder or underwriter, of (i) an opinion or opinions of counsel to the Company and (ii) a comfort letter or comfort letters from the Company’s independent public accountants, each in customary form and covering such matters of the kind customarily covered by opinions or comfort letters, as the case may be, as the managing underwriter therefor reasonably requests.</w:t>
      </w:r>
    </w:p>
    <w:p>
      <w:pPr>
        <w:spacing w:after="0" w:line="171" w:lineRule="exact"/>
        <w:rPr>
          <w:rFonts w:ascii="Arial" w:cs="Arial" w:eastAsia="Arial" w:hAnsi="Arial"/>
          <w:sz w:val="17"/>
          <w:szCs w:val="17"/>
          <w:color w:val="auto"/>
        </w:rPr>
      </w:pPr>
    </w:p>
    <w:p>
      <w:pPr>
        <w:ind w:right="140" w:firstLine="464"/>
        <w:spacing w:after="0" w:line="259" w:lineRule="auto"/>
        <w:tabs>
          <w:tab w:leader="none" w:pos="711"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Company shall otherwise use all commercially reasonable efforts to comply with all applicable rules and regulations of the SEC, and make available to its security holders, as soon as reasonably practicable, an earning statement or such other document covering a period of 12 months, beginning within three months after the effective date of the registration statement, which earning statement satisfies the requirements of Rule 158 under the Securities Act.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331" w:name="page332"/>
    <w:bookmarkEnd w:id="331"/>
    <w:p>
      <w:pPr>
        <w:ind w:right="120" w:firstLine="464"/>
        <w:spacing w:after="0" w:line="255" w:lineRule="auto"/>
        <w:tabs>
          <w:tab w:leader="none" w:pos="671" w:val="left"/>
        </w:tabs>
        <w:numPr>
          <w:ilvl w:val="0"/>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may require each Shareholder promptly to furnish in writing to the Company such information regarding the distribution of the Registrable Securities as the Company may from time to time reasonably request and such other information as may be legally required in connection with such registration. In connection with a Shelf Registration, any Shareholder that does not provide such information within two Business Days of a request by the Company (which request is made before filing of the Shelf Registration) may have its Registrable Securities excluded from such Shelf Registration;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securities shall be added within fifteen Business Days after the Shareholder provides such information if the Company may add such</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to such Shelf Registration without the need for a post-effective amendment (other than an automatically effective amendment) to the Shelf Registration.</w:t>
      </w:r>
    </w:p>
    <w:p>
      <w:pPr>
        <w:spacing w:after="0" w:line="189" w:lineRule="exact"/>
        <w:rPr>
          <w:rFonts w:ascii="Arial" w:cs="Arial" w:eastAsia="Arial" w:hAnsi="Arial"/>
          <w:sz w:val="18"/>
          <w:szCs w:val="18"/>
          <w:color w:val="auto"/>
        </w:rPr>
      </w:pPr>
    </w:p>
    <w:p>
      <w:pPr>
        <w:ind w:right="60" w:firstLine="464"/>
        <w:spacing w:after="0" w:line="290" w:lineRule="auto"/>
        <w:tabs>
          <w:tab w:leader="none" w:pos="671" w:val="left"/>
        </w:tabs>
        <w:numPr>
          <w:ilvl w:val="0"/>
          <w:numId w:val="283"/>
        </w:numPr>
        <w:rPr>
          <w:rFonts w:ascii="Arial" w:cs="Arial" w:eastAsia="Arial" w:hAnsi="Arial"/>
          <w:sz w:val="16"/>
          <w:szCs w:val="16"/>
          <w:color w:val="auto"/>
        </w:rPr>
      </w:pPr>
      <w:r>
        <w:rPr>
          <w:rFonts w:ascii="Arial" w:cs="Arial" w:eastAsia="Arial" w:hAnsi="Arial"/>
          <w:sz w:val="16"/>
          <w:szCs w:val="16"/>
          <w:color w:val="auto"/>
        </w:rPr>
        <w:t>Each Shareholder agrees that, upon receipt of any notice from the Company of the happening of any event of the kind described in Section 2.05(e), such Shareholder shall forthwith discontinue disposition of Registrable Securities pursuant to the registration statement covering such Registrable Securities until such Shareholder’s receipt of the copies of the supplemented or amended prospectus contemplated by Section 2.05(e), and, if so directed by the Company, such Shareholder shall deliver to the Company all copies, other than any permanent file copies then in such Shareholder’s possession, of the most recent prospectus covering such Registrable Securities at the time of receipt of such notice. If the Company shall give such notice, the Company shall extend the period during which such registration statement shall be maintained effective (including the period referred to in Section 2.05(a)) by the number of days during the period from and including the date of the giving of notice pursuant to Section 2.05(e) to the date when the Company shall make available to such Shareholder a prospectus supplemented or amended to conform with the requirements of Section 2.05(e).</w:t>
      </w:r>
    </w:p>
    <w:p>
      <w:pPr>
        <w:spacing w:after="0" w:line="166" w:lineRule="exact"/>
        <w:rPr>
          <w:rFonts w:ascii="Arial" w:cs="Arial" w:eastAsia="Arial" w:hAnsi="Arial"/>
          <w:sz w:val="16"/>
          <w:szCs w:val="16"/>
          <w:color w:val="auto"/>
        </w:rPr>
      </w:pPr>
    </w:p>
    <w:p>
      <w:pPr>
        <w:ind w:firstLine="464"/>
        <w:spacing w:after="0" w:line="277" w:lineRule="auto"/>
        <w:tabs>
          <w:tab w:leader="none" w:pos="71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Company shall use all commercially reasonable efforts to list all Registrable Securities covered by such registration statement on any securities exchange or quotation system on which the Common Shares are then listed or traded.</w:t>
      </w:r>
    </w:p>
    <w:p>
      <w:pPr>
        <w:spacing w:after="0" w:line="170" w:lineRule="exact"/>
        <w:rPr>
          <w:rFonts w:ascii="Arial" w:cs="Arial" w:eastAsia="Arial" w:hAnsi="Arial"/>
          <w:sz w:val="18"/>
          <w:szCs w:val="18"/>
          <w:color w:val="auto"/>
        </w:rPr>
      </w:pPr>
    </w:p>
    <w:p>
      <w:pPr>
        <w:ind w:right="40" w:firstLine="464"/>
        <w:spacing w:after="0" w:line="264" w:lineRule="auto"/>
        <w:tabs>
          <w:tab w:leader="none" w:pos="67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In any Public Offering pursuant to a Demand Registration, the Company shall have appropriate officers of the Company (i) prepare and make presentations at any “road shows” and before analysts and (ii) otherwise use their reasonable efforts to cooperate as reasonably requested by the underwriters in the offering, marketing or selling of the Registrable Securities.</w:t>
      </w:r>
    </w:p>
    <w:p>
      <w:pPr>
        <w:spacing w:after="0" w:line="181" w:lineRule="exact"/>
        <w:rPr>
          <w:rFonts w:ascii="Arial" w:cs="Arial" w:eastAsia="Arial" w:hAnsi="Arial"/>
          <w:sz w:val="18"/>
          <w:szCs w:val="18"/>
          <w:color w:val="auto"/>
        </w:rPr>
      </w:pPr>
    </w:p>
    <w:p>
      <w:pPr>
        <w:ind w:right="200" w:firstLine="464"/>
        <w:spacing w:after="0" w:line="279" w:lineRule="auto"/>
        <w:tabs>
          <w:tab w:leader="none" w:pos="761" w:val="left"/>
        </w:tabs>
        <w:numPr>
          <w:ilvl w:val="0"/>
          <w:numId w:val="283"/>
        </w:numPr>
        <w:rPr>
          <w:rFonts w:ascii="Arial" w:cs="Arial" w:eastAsia="Arial" w:hAnsi="Arial"/>
          <w:sz w:val="17"/>
          <w:szCs w:val="17"/>
          <w:color w:val="auto"/>
        </w:rPr>
      </w:pPr>
      <w:r>
        <w:rPr>
          <w:rFonts w:ascii="Arial" w:cs="Arial" w:eastAsia="Arial" w:hAnsi="Arial"/>
          <w:sz w:val="17"/>
          <w:szCs w:val="17"/>
          <w:color w:val="auto"/>
        </w:rPr>
        <w:t>Each Shareholder agrees that, in connection with any offering pursuant to this Agreement, it will not prepare or use or refer to, any “free writing prospectus” (as defined in Rule 405 of the Securities Act) without the prior written authorization of the Company (which authorization shall not be unreasonably withheld), and will not distribute any written materials in connection with the offer or sale of the Registrable Securities pursuant to any registration statement hereunder other than the Prospectus and any such free writing prospectus so authorized.</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Participation In Public Offering.</w:t>
      </w:r>
      <w:r>
        <w:rPr>
          <w:rFonts w:ascii="Arial" w:cs="Arial" w:eastAsia="Arial" w:hAnsi="Arial"/>
          <w:sz w:val="18"/>
          <w:szCs w:val="18"/>
          <w:color w:val="auto"/>
        </w:rPr>
        <w:t xml:space="preserve"> No Shareholder may participate in any Public Offering hereunder unless such Shareholder (a) agrees to sell such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332" w:name="page333"/>
    <w:bookmarkEnd w:id="332"/>
    <w:p>
      <w:pPr>
        <w:ind w:right="2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Shareholder’s Registrable Securities on the basis provided in any underwriting arrangements approved by the Persons entitled hereunder to approve such arrangements and (b) completes and executes all questionnaires, powers of attorney, indemnities, underwriting agreements and other documents reasonably required under the terms of such underwriting arrangements and the provisions of this Agreement in respect of registration rights.</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Rule 144 Sales; Cooperation By The Company.</w:t>
      </w:r>
      <w:r>
        <w:rPr>
          <w:rFonts w:ascii="Arial" w:cs="Arial" w:eastAsia="Arial" w:hAnsi="Arial"/>
          <w:sz w:val="16"/>
          <w:szCs w:val="16"/>
          <w:color w:val="auto"/>
        </w:rPr>
        <w:t xml:space="preserve"> If any Shareholder shall transfer any Registrable Securities pursuant to Rule 144, the Company shall cooperate, to the extent commercially reasonable, with such Shareholder and shall provide to such Shareholder such information as such Shareholder shall reasonably request, including, without limitation, (i) to the extent accurate, a written statement by the Company that it has complied with the reporting requirements of Rule 144 (at any time after 90 days after the effective date of the registration statement filed by the Company for the First Public Offering), the Securities Act, and the Exchange Act (at any time after the Company has become subject to such reporting requirements), or that it qualifies as a registrant whose securities may be resold pursuant to Form F-3 (at any time after the Company so qualifies); (ii) a copy of the most recent annual or quarterly report of the Company and such other reports and documents so filed by the Company; and (iii) such other information as may be reasonably requested in availing any Shareholder of any rule or regulation of the SEC that permits the selling of any such securities without registration (at any time after the Company has become subject to the reporting requirements under the Exchange Act) or pursuant to Form F-3 (at any time after the Company so qualifies to use such form). Without limiting the foregoing, the Company shall at any time after any of the Company’s shares are registered under the Securities Act or the Exchange Act: (i) make and keep available public information, as those terms are contemplated by Rule 144; (ii) timely file with the SEC all reports and other documents required to be filed under the Securities Act and the Exchange Act; and (iii) furnish to each Shareholder forthwith upon request a written statement by the Company as to its compliance with the reporting requirements of the Securities Act and the Exchange Act, a copy of the most recent annual or quarterly report of the Company, and such other information as such Shareholder may reasonably request in order to avail itself of any rule or regulation of the SEC allowing such Shareholder to sell any Registrable Securities without registration.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NDEMNIFICATION AND</w:t>
      </w:r>
      <w:r>
        <w:rPr>
          <w:rFonts w:ascii="Arial" w:cs="Arial" w:eastAsia="Arial" w:hAnsi="Arial"/>
          <w:sz w:val="18"/>
          <w:szCs w:val="18"/>
          <w:color w:val="auto"/>
        </w:rPr>
        <w:t xml:space="preserve"> C</w:t>
      </w:r>
      <w:r>
        <w:rPr>
          <w:rFonts w:ascii="Arial" w:cs="Arial" w:eastAsia="Arial" w:hAnsi="Arial"/>
          <w:sz w:val="15"/>
          <w:szCs w:val="15"/>
          <w:color w:val="auto"/>
        </w:rPr>
        <w:t>ONTRIBUTION</w:t>
      </w:r>
    </w:p>
    <w:p>
      <w:pPr>
        <w:spacing w:after="0" w:line="21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Indemnification by the Company.</w:t>
      </w:r>
      <w:r>
        <w:rPr>
          <w:rFonts w:ascii="Arial" w:cs="Arial" w:eastAsia="Arial" w:hAnsi="Arial"/>
          <w:sz w:val="16"/>
          <w:szCs w:val="16"/>
          <w:color w:val="auto"/>
        </w:rPr>
        <w:t xml:space="preserve"> The Company agrees to indemnify and hold harmless each Shareholder beneficially owning any Registrable Securities covered by a registration statement, its officers, directors, employees, partners and agents, and each Person, if any, who controls such Shareholder within the meaning of Section 15 of the Securities Act or Section 20 of the Exchange Act from and against any and all losses, claims, damages, liabilities and expenses (including reasonable expenses of investigation and reasonable attorneys’ fees and expenses) (collectively, “</w:t>
      </w:r>
      <w:r>
        <w:rPr>
          <w:rFonts w:ascii="Arial" w:cs="Arial" w:eastAsia="Arial" w:hAnsi="Arial"/>
          <w:sz w:val="16"/>
          <w:szCs w:val="16"/>
          <w:b w:val="1"/>
          <w:bCs w:val="1"/>
          <w:color w:val="auto"/>
        </w:rPr>
        <w:t>Damages</w:t>
      </w:r>
      <w:r>
        <w:rPr>
          <w:rFonts w:ascii="Arial" w:cs="Arial" w:eastAsia="Arial" w:hAnsi="Arial"/>
          <w:sz w:val="16"/>
          <w:szCs w:val="16"/>
          <w:color w:val="auto"/>
        </w:rPr>
        <w:t>”) caused by or relating to any untrue statement or alleged untrue statement of a material fact contained in any registration statement or prospectus relating to the Registrable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3" w:right="239" w:bottom="1440" w:gutter="0" w:footer="0" w:header="0"/>
        </w:sectPr>
      </w:pPr>
    </w:p>
    <w:bookmarkStart w:id="333" w:name="page334"/>
    <w:bookmarkEnd w:id="333"/>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(as amended or supplemented if the Company shall have furnished any amendments or supplements thereto) or any preliminary prospectus or free-writing prospectus (as defined in Rule 405 under the Securities Act), or caused by or relating to any omission or alleged omission to state therein a material fact required to be stated therein or necessary to make the statements therein not misleading, except insofar as such Damages are caused by or related to any such untrue statement or omission or alleged untrue statement or omission so made based upon information furnished in writing to the Company by such Shareholder or on such Shareholder’s behalf expressly for use therein. The Company also agrees to indemnify any underwriters of the Registrable Securities, their officers and directors and each Person who controls such underwriters within the meaning of Section 15 of the Securities Act or Section 20 of the Exchange Act on substantially the same basis as that of the indemnification of the Shareholders provided in this Section 3.01.</w:t>
      </w:r>
    </w:p>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Indemnification by Participating Shareholders.</w:t>
      </w:r>
      <w:r>
        <w:rPr>
          <w:rFonts w:ascii="Arial" w:cs="Arial" w:eastAsia="Arial" w:hAnsi="Arial"/>
          <w:sz w:val="16"/>
          <w:szCs w:val="16"/>
          <w:color w:val="auto"/>
        </w:rPr>
        <w:t xml:space="preserve"> Each Shareholder holding Registrable Securities included in any registration statement agrees, severally but not jointly, to indemnify and hold harmless the Company, its officers, directors and agents and each Person, if any, who controls the Company within the meaning of Section 15 of the Securities Act or Section 20 of the Exchange Act to the same extent as the indemnity from the Company to such Shareholder provided in Section 3.01, but only with respect to information furnished in writing by such Shareholder or on such Shareholder’s behalf expressly for use in any registration statement or prospectus relating to the Registrable Securities, or any amendment or supplement thereto, or any preliminary prospectus or free-writing prospectus. Each such Shareholder also agrees to indemnify and hold harmless underwriters of the Registrable Securities, their officers and directors and each Person who controls such underwriters within the meaning of Section 15 of the Securities Act or Section 20 of the Exchange Act on substantially the same basis as that of the indemnification of the Company provided in this Section 3.02. As a condition to including Registrable Securities in any registration statement filed in accordance with Article 2, the Company may require that it shall have received an undertaking reasonably satisfactory to it from any underwriter to indemnify and hold it harmless to the extent customarily provided by underwriters with respect to similar securities. No Shareholder shall be liable under this Section 3.02 for any Damages in excess of, together with any contribution under Section 3.04 below, the net proceeds realized by such Shareholder in the sale of Registrable Securities of such Shareholder to which such Damages relate.</w:t>
      </w:r>
    </w:p>
    <w:p>
      <w:pPr>
        <w:spacing w:after="0" w:line="16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Conduct of Indemnification Proceedings.</w:t>
      </w:r>
      <w:r>
        <w:rPr>
          <w:rFonts w:ascii="Arial" w:cs="Arial" w:eastAsia="Arial" w:hAnsi="Arial"/>
          <w:sz w:val="18"/>
          <w:szCs w:val="18"/>
          <w:color w:val="auto"/>
        </w:rPr>
        <w:t xml:space="preserve"> If any proceeding (including any governmental investigation) shall be brought or asserted against any Person in respect of which indemnity may be sought pursuant to this Article 3, such Person (an “</w:t>
      </w:r>
      <w:r>
        <w:rPr>
          <w:rFonts w:ascii="Arial" w:cs="Arial" w:eastAsia="Arial" w:hAnsi="Arial"/>
          <w:sz w:val="18"/>
          <w:szCs w:val="18"/>
          <w:b w:val="1"/>
          <w:bCs w:val="1"/>
          <w:color w:val="auto"/>
        </w:rPr>
        <w:t>Indemnified Party</w:t>
      </w:r>
      <w:r>
        <w:rPr>
          <w:rFonts w:ascii="Arial" w:cs="Arial" w:eastAsia="Arial" w:hAnsi="Arial"/>
          <w:sz w:val="18"/>
          <w:szCs w:val="18"/>
          <w:color w:val="auto"/>
        </w:rPr>
        <w:t>”) shall promptly notify the Person against whom such indemnity may be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in writing and the Indemnifying Party shall assume the defense thereof, including the employment of counsel reasonably satisfactory to such Indemnified Party, and shall assume the payment of all fees and expenses,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of any Indemnified Party so to notify the Indemnifying Party shall not relieve the Indemnifying Party of its obligations hereunder except to the extent that the Indemnifying Party is materially prejudiced by such failure to notify. In any such proceeding, any Indemnified Party shall have the right to retain its own counsel,</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3" w:right="259" w:bottom="1440" w:gutter="0" w:footer="0" w:header="0"/>
        </w:sectPr>
      </w:pPr>
    </w:p>
    <w:bookmarkStart w:id="334" w:name="page335"/>
    <w:bookmarkEnd w:id="33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but the fees and expenses of such counsel shall be at the expense of such Indemnified Party unless (a) the Indemnifying Party and the Indemnified Party shall have mutually agreed to the retention of such counsel, (b) in the reasonable judgment of such Indemnified Party representation of both parties by the same counsel would be inappropriate due to actual or potential differing interests between them, including one or more defenses or counterclaims that are different from or in addition to those available to the Indemnifying Party, or (c) the Indemnifying Party shall have failed to assume the defense within 60 days of notice pursuant to this Section 3.03. It is understood that, in connection with any proceeding or related proceedings in the same jurisdiction, the Indemnifying Party shall not be liable for the reasonable fees and expenses of more than one separate firm of attorneys (in addition to one local counsel per jurisdiction) at any time for all such Indemnified Parties, and that all such fees and expenses shall be reimbursed as they are incurred. In the case of any such separate firm for the Indemnified Parties, such firm shall be designated in writing by the Indemnified Parties. The Indemnifying Party shall not be liable for any settlement of any proceeding effected without its written consent, but if settled with such consent, or if there be a final judgment for the plaintiff, the Indemnifying Party shall indemnify and hold harmless such Indemnified Parties from and against any loss or liability (to the extent stated above) by reason of such settlement or judgment. Without the prior written consent of the Indemnified Party, no Indemnifying Party shall effect any settlement of any pending or threatened proceeding in respect of which any Indemnified Party is or could have been a party and indemnity could have been sought hereunder by such Indemnified Party, unless such settlement (A) includes an unconditional release of such Indemnified Party from all liability arising out of such proceeding, and (B) does not include any injunctive or other equitable or non-monetary relief applicable to or affecting such Indemnified Person.</w:t>
      </w:r>
    </w:p>
    <w:p>
      <w:pPr>
        <w:spacing w:after="0" w:line="17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Contribution.</w:t>
      </w:r>
      <w:r>
        <w:rPr>
          <w:rFonts w:ascii="Arial" w:cs="Arial" w:eastAsia="Arial" w:hAnsi="Arial"/>
          <w:sz w:val="16"/>
          <w:szCs w:val="16"/>
          <w:color w:val="auto"/>
        </w:rPr>
        <w:t xml:space="preserve"> If the indemnification provided for in this Article 3 is unavailable to the Indemnified Parties in respect of any Damages, then each Indemnifying Party, in lieu of indemnifying the Indemnified Parties, shall contribute to the amount paid or payable by such Indemnified Party, in such proportion as is appropriate to reflect the relative fault of the Indemnifying Party and Indemnified Party in connection with the actions, statements or omissions that resulted in such Damages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Damages shall be deemed to include, subject to the limitations set forth in this Agreement, any reasonable attorneys’ or other reasonable fees or expenses incurred by such party in connection with any proceeding to the extent such party would have been indemnified for such fees or expenses if the indemnification provided for in this Article 3 was available to such party in accordance with its terms.</w:t>
      </w:r>
    </w:p>
    <w:p>
      <w:pPr>
        <w:spacing w:after="0" w:line="16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parties hereto agree that it would not be just and equitable if contribution pursuant to this Section 3.04 were determined by pro rata allocation or by any 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335" w:name="page336"/>
    <w:bookmarkEnd w:id="335"/>
    <w:p>
      <w:pPr>
        <w:ind w:right="2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 of allocation that does not take into account the equitable considerations referred to in the immediately preceding paragraph. Notwithstanding the provisions of this Section 3.04, no Shareholder shall be required to contribute, in the aggregate, any amount in excess of the amount by which the proceeds actually received by such Shareholder from the sale of the Registrable Securities subject to the proceeding exceeds the amount of any damages that such Shareholder has otherwise been required to pay by reason of such untrue or alleged untrue statement or omission or alleged omission, except in the case of fraud by such Shareholder. Each Shareholder’s obligation to contribute pursuant to this Section 3.03 is several in the proportion that the proceeds of the offering received by such Shareholder bears to the total proceeds of the offering received by all such Shareholders and not joint.</w:t>
      </w:r>
    </w:p>
    <w:p>
      <w:pPr>
        <w:spacing w:after="0" w:line="16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No Person guilty of fraudulent misrepresentation (within the meaning of Section 11(f) of the Securities Act) shall be entitled to contribution from any Person who was not guilty of such fraudulent misrepresentation. The indemnity and contribution agreements contained in this Article 3 are in addition to any liability that the Indemnifying Parties may have to the Indemnified Parties.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Other Indemnification.</w:t>
      </w:r>
      <w:r>
        <w:rPr>
          <w:rFonts w:ascii="Arial" w:cs="Arial" w:eastAsia="Arial" w:hAnsi="Arial"/>
          <w:sz w:val="18"/>
          <w:szCs w:val="18"/>
          <w:color w:val="auto"/>
        </w:rPr>
        <w:t xml:space="preserve"> Indemnification similar to that provided in this Article 3 (with appropriate modifications) shall be given by the Company and each Shareholder participating therein with respect to any required registration or other qualification of securities under any foreign, federal or state law or regulation or governmental authority other than the Securities 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p>
      <w:pPr>
        <w:spacing w:after="0" w:line="211" w:lineRule="exact"/>
        <w:rPr>
          <w:sz w:val="20"/>
          <w:szCs w:val="20"/>
          <w:color w:val="auto"/>
        </w:rPr>
      </w:pPr>
    </w:p>
    <w:p>
      <w:pPr>
        <w:jc w:val="both"/>
        <w:ind w:right="300" w:firstLine="456"/>
        <w:spacing w:after="0" w:line="27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Binding Effect; Assignability; Benefit.</w:t>
      </w:r>
      <w:r>
        <w:rPr>
          <w:rFonts w:ascii="Arial" w:cs="Arial" w:eastAsia="Arial" w:hAnsi="Arial"/>
          <w:sz w:val="17"/>
          <w:szCs w:val="17"/>
          <w:color w:val="auto"/>
        </w:rPr>
        <w:t xml:space="preserve"> (a) This Agreement shall inure to the benefit of and be binding upon the parties hereto and their respective heirs, successors, legal representatives and permitted assigns. Any Shareholder that ceases to own beneficially any Registrable Securities shall cease to be bound by the terms hereof (other than (i) the provisions of Article 3 applicable to such Shareholder with respect to any offering of Registrable Securities completed before the date such Shareholder ceased to own any Registrable Securities and (ii) this Article 4).</w:t>
      </w:r>
    </w:p>
    <w:p>
      <w:pPr>
        <w:spacing w:after="0" w:line="171" w:lineRule="exact"/>
        <w:rPr>
          <w:sz w:val="20"/>
          <w:szCs w:val="20"/>
          <w:color w:val="auto"/>
        </w:rPr>
      </w:pPr>
    </w:p>
    <w:p>
      <w:pPr>
        <w:ind w:firstLine="464"/>
        <w:spacing w:after="0" w:line="285" w:lineRule="auto"/>
        <w:tabs>
          <w:tab w:leader="none" w:pos="711"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Neither this Agreement nor any right, remedy, obligation or liability arising hereunder or by reason hereof shall be assignable by any party hereto pursuant to any Transfer of Registrable Securities or otherwise, except that each Shareholder may assign all or any portion of its rights hereunder to any Permitted Transferee of such Shareholder with respect to not less than 5% of the outstanding Company Securities at the time of such transfer;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minimum share assignment requirement shall be necessary for an assignment by a Shareholder which is a (i) partnership to its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in accordance with their partnership interests, (ii) a limited liability company to its members in accordance with their interests in the limited liability company,</w:t>
      </w:r>
    </w:p>
    <w:p>
      <w:pPr>
        <w:spacing w:after="0" w:line="2" w:lineRule="exact"/>
        <w:rPr>
          <w:rFonts w:ascii="Arial" w:cs="Arial" w:eastAsia="Arial" w:hAnsi="Arial"/>
          <w:sz w:val="16"/>
          <w:szCs w:val="16"/>
          <w:color w:val="auto"/>
        </w:rPr>
      </w:pPr>
    </w:p>
    <w:p>
      <w:pPr>
        <w:ind w:right="340" w:firstLine="8"/>
        <w:spacing w:after="0" w:line="255" w:lineRule="auto"/>
        <w:tabs>
          <w:tab w:leader="none" w:pos="31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 corporation to its stockholders in accordance with their interests in the corporation or (iv) to an Affiliate of such Shareholder. Any such Permitted Transferee shall (unless already bound hereby) execute and deliver to the Company an agreement to be bound by this Agreement in the form of Exhibit A hereto (a “</w:t>
      </w:r>
      <w:r>
        <w:rPr>
          <w:rFonts w:ascii="Arial" w:cs="Arial" w:eastAsia="Arial" w:hAnsi="Arial"/>
          <w:sz w:val="18"/>
          <w:szCs w:val="18"/>
          <w:b w:val="1"/>
          <w:bCs w:val="1"/>
          <w:color w:val="auto"/>
        </w:rPr>
        <w:t>Joinder Agreement</w:t>
      </w:r>
      <w:r>
        <w:rPr>
          <w:rFonts w:ascii="Arial" w:cs="Arial" w:eastAsia="Arial" w:hAnsi="Arial"/>
          <w:sz w:val="18"/>
          <w:szCs w:val="18"/>
          <w:color w:val="auto"/>
        </w:rPr>
        <w:t>”) and shall thenceforth be a “</w:t>
      </w:r>
      <w:r>
        <w:rPr>
          <w:rFonts w:ascii="Arial" w:cs="Arial" w:eastAsia="Arial" w:hAnsi="Arial"/>
          <w:sz w:val="18"/>
          <w:szCs w:val="18"/>
          <w:b w:val="1"/>
          <w:bCs w:val="1"/>
          <w:color w:val="auto"/>
        </w:rPr>
        <w:t>Shareholder</w:t>
      </w:r>
      <w:r>
        <w:rPr>
          <w:rFonts w:ascii="Arial" w:cs="Arial" w:eastAsia="Arial" w:hAnsi="Arial"/>
          <w:sz w:val="18"/>
          <w:szCs w:val="18"/>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36" w:name="page337"/>
    <w:bookmarkEnd w:id="336"/>
    <w:p>
      <w:pPr>
        <w:ind w:right="560" w:firstLine="464"/>
        <w:spacing w:after="0" w:line="342" w:lineRule="auto"/>
        <w:tabs>
          <w:tab w:leader="none" w:pos="701" w:val="left"/>
        </w:tabs>
        <w:numPr>
          <w:ilvl w:val="0"/>
          <w:numId w:val="2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in this Agreement, expressed or implied, is intended to confer on any Person other than the parties hereto, and their respective heirs, successors, legal representatives and permitted assigns, any rights, remedies, obligations or liabilities under or by reason of this Agreement.</w:t>
      </w:r>
    </w:p>
    <w:p>
      <w:pPr>
        <w:spacing w:after="0" w:line="12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and other communications (each, a “</w:t>
      </w:r>
      <w:r>
        <w:rPr>
          <w:rFonts w:ascii="Arial" w:cs="Arial" w:eastAsia="Arial" w:hAnsi="Arial"/>
          <w:sz w:val="18"/>
          <w:szCs w:val="18"/>
          <w:b w:val="1"/>
          <w:bCs w:val="1"/>
          <w:color w:val="auto"/>
        </w:rPr>
        <w:t>Notice</w:t>
      </w:r>
      <w:r>
        <w:rPr>
          <w:rFonts w:ascii="Arial" w:cs="Arial" w:eastAsia="Arial" w:hAnsi="Arial"/>
          <w:sz w:val="18"/>
          <w:szCs w:val="18"/>
          <w:color w:val="auto"/>
        </w:rPr>
        <w:t>”) to any party shall be in writing and shall be delivered in person, mailed by certified or registered mail, return receipt requested, or sent by facsimile transmission or email transmission so long as receipt of such email is requested and received,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CH-1015 Lausanne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+41 21 693 91 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George Pavey, Chief Financial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george.pavey@acimmune.com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copies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Richard D. Truesdell, Jr.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(212) 701-5674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richard.truesdell@davispolk.com</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Vischer AG</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 4051 Basel, Switzerland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Dr. Matthias Staehelin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+41 58 211 33 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MStaehelin@vischer.com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any Shareholder, at the address for such Shareholder listed on the signature pages below or otherwise provided to the Company as set forth below.</w:t>
      </w:r>
    </w:p>
    <w:p>
      <w:pPr>
        <w:spacing w:after="0" w:line="248"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Any Notice shall be deemed received on the date of receipt by the recipient thereof if received prior to 5:00 p.m. in the place of receipt and such day is a Business Day in the place of receipt. Otherwise, such Notice shall be deemed not to have been received until the next succeeding Business Day in the place of receipt. Any Notice sent by facsimile transmission also shall be confirmed by certified or registered mail, return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337" w:name="page338"/>
    <w:bookmarkEnd w:id="337"/>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 requested, posted within one Business Day after the date of the sending of such facsimile transmission, or by personal delivery, whether courier or otherwise, made within two Business Days after the date of such facsimile transmission.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Person that becomes a Shareholder after the date hereof shall provide its address, fax number and email address to the Company.</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i w:val="1"/>
          <w:iCs w:val="1"/>
          <w:color w:val="auto"/>
        </w:rPr>
        <w:t>Waiver; Amendment; Termination.</w:t>
      </w:r>
      <w:r>
        <w:rPr>
          <w:rFonts w:ascii="Arial" w:cs="Arial" w:eastAsia="Arial" w:hAnsi="Arial"/>
          <w:sz w:val="17"/>
          <w:szCs w:val="17"/>
          <w:color w:val="auto"/>
        </w:rPr>
        <w:t xml:space="preserve"> (a) The provisions of this Agreement, including the provisions of this sentence, may not be amended, modified or supplemented, and waivers or consents to departures from the provisions hereof may not be given without the written consent of the Company and holders of at least a majority of the Registrable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the obligations of any holder of Registrable Securities be materially increased or the rights of any Shareholder be adversely affected (without similarly adversely affecting the rights of all Shareholders), except upon the written consent of such holder. Notwithstanding the foregoing, a waiver or consent to depart from the provisions hereof with respect to a matter that relates exclusively to the rights of holders of Registrable Securities whose securities are being sold pursuant to a Registration Statement and that does not directly or indirectly affect the rights of other holders of Registrable Securities may be given by holders of at least a majority of the Registrable Securities being sold by such holders pursuant to such Registration Statement.</w:t>
      </w:r>
    </w:p>
    <w:p>
      <w:pPr>
        <w:spacing w:after="0" w:line="179" w:lineRule="exact"/>
        <w:rPr>
          <w:sz w:val="20"/>
          <w:szCs w:val="20"/>
          <w:color w:val="auto"/>
        </w:rPr>
      </w:pPr>
    </w:p>
    <w:p>
      <w:pPr>
        <w:jc w:val="both"/>
        <w:ind w:right="380" w:firstLine="464"/>
        <w:spacing w:after="0" w:line="264" w:lineRule="auto"/>
        <w:tabs>
          <w:tab w:leader="none" w:pos="71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right of any Shareholder to request registration or inclusion of Registrable Securities in any registration hereunder shall terminate upon the earlier to occur of (i) the fifth anniversary of the First Public Offering and (ii) the date on which there are no remaining Registrable Securities held by the Shareholders party hereto.</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Agreement shall be governed by, and construed and enforced in accordance with, the laws of the State of New York, without regard to the conflicts of laws rules of such state.</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Jurisdiction.</w:t>
      </w:r>
      <w:r>
        <w:rPr>
          <w:rFonts w:ascii="Arial" w:cs="Arial" w:eastAsia="Arial" w:hAnsi="Arial"/>
          <w:sz w:val="18"/>
          <w:szCs w:val="18"/>
          <w:color w:val="auto"/>
        </w:rPr>
        <w:t xml:space="preserve"> The parties hereby agree that any suit, action or proceeding seeking to enforce any provision of, or based on any matter arising out of or in connection with, this Agreement or the transactions contemplated hereby shall be brought in any state or federal court in The City of New York, Borough of Manhattan, so long as one of such courts shall have subject matter jurisdiction over such suit, action or proceeding, and that any cause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4.02 shall be deemed effective service of process on such party.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3" w:right="239" w:bottom="1440" w:gutter="0" w:footer="0" w:header="0"/>
        </w:sectPr>
      </w:pPr>
    </w:p>
    <w:bookmarkStart w:id="338" w:name="page339"/>
    <w:bookmarkEnd w:id="338"/>
    <w:p>
      <w:pPr>
        <w:ind w:right="3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4.06. </w:t>
      </w:r>
      <w:r>
        <w:rPr>
          <w:rFonts w:ascii="Arial" w:cs="Arial" w:eastAsia="Arial" w:hAnsi="Arial"/>
          <w:sz w:val="18"/>
          <w:szCs w:val="18"/>
          <w:i w:val="1"/>
          <w:iCs w:val="1"/>
          <w:color w:val="auto"/>
        </w:rPr>
        <w:t>WAIVER OF JURY TRIAL.</w:t>
      </w:r>
      <w:r>
        <w:rPr>
          <w:rFonts w:ascii="Arial" w:cs="Arial" w:eastAsia="Arial" w:hAnsi="Arial"/>
          <w:sz w:val="18"/>
          <w:szCs w:val="18"/>
          <w:color w:val="auto"/>
        </w:rPr>
        <w:t xml:space="preserve"> EACH OF THE PARTIES HERETO HEREBY IRREVOCABLY WAIVES ANY AND ALL RIGHT TO TRIAL BY JURY IN ANY LEGAL PROCEEDING ARISING OUT OF OR RELATED TO THIS AGREEMENT OR THE TRANSACTIONS CONTEMPLATED HEREBY.</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i w:val="1"/>
          <w:iCs w:val="1"/>
          <w:color w:val="auto"/>
        </w:rPr>
        <w:t>Specific Enforcement.</w:t>
      </w:r>
      <w:r>
        <w:rPr>
          <w:rFonts w:ascii="Arial" w:cs="Arial" w:eastAsia="Arial" w:hAnsi="Arial"/>
          <w:sz w:val="17"/>
          <w:szCs w:val="17"/>
          <w:color w:val="auto"/>
        </w:rPr>
        <w:t xml:space="preserve"> Each party hereto acknowledges that the remedies at law of the other parties for a breach or threatened breach of this Agreement would be inadequate and, in recognition of this fact, any party to this Agreement, without posting any bond or furnishing other security,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Counterparts; Effectiveness.</w:t>
      </w:r>
      <w:r>
        <w:rPr>
          <w:rFonts w:ascii="Arial" w:cs="Arial" w:eastAsia="Arial" w:hAnsi="Arial"/>
          <w:sz w:val="18"/>
          <w:szCs w:val="18"/>
          <w:color w:val="auto"/>
        </w:rPr>
        <w:t xml:space="preserve"> This Agreement may be executed (including by facsimile or other electronic image scan transmission) with counterpart signature pages or in any number of counterparts, each of which shall be deemed to be an original, and all of which shall, taken together, be considered one and the same agreement, it being understood that each party need not sign the same counterpart. This Agreement shall become effective when each party hereto shall have executed and delivered this Agreement. Until and unless each party has executed and delivered this Agreement, this Agreement shall have no effect and no party shall have any right or obligation hereunder (whether by virtue of any other oral or written agreement or other communication).</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constitutes the entire agreement and understanding among the parties hereto with respect to the subject matter of this Agreement and supersedes all prior and contemporaneous agreements and understandings, both oral and written, among the parties hereto with respect to the subject matter hereof.</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9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Confidentiality.</w:t>
      </w:r>
      <w:r>
        <w:rPr>
          <w:rFonts w:ascii="Arial" w:cs="Arial" w:eastAsia="Arial" w:hAnsi="Arial"/>
          <w:sz w:val="18"/>
          <w:szCs w:val="18"/>
          <w:color w:val="auto"/>
        </w:rPr>
        <w:t xml:space="preserve"> Each Shareholder agrees that it will use, and will cause each of its affiliates, and each of its and their respective partners, members, managers, shareholders, directors, officers, employees and agents (collectively,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3" w:right="239" w:bottom="1440" w:gutter="0" w:footer="0" w:header="0"/>
        </w:sectPr>
      </w:pPr>
    </w:p>
    <w:bookmarkStart w:id="339" w:name="page340"/>
    <w:bookmarkEnd w:id="33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Agents</w:t>
      </w:r>
      <w:r>
        <w:rPr>
          <w:rFonts w:ascii="Arial" w:cs="Arial" w:eastAsia="Arial" w:hAnsi="Arial"/>
          <w:sz w:val="16"/>
          <w:szCs w:val="16"/>
          <w:color w:val="auto"/>
        </w:rPr>
        <w:t xml:space="preserve">”) to use, all commercially reasonable efforts to maintain the confidentiality of all confidential information disclosed to it by the Company and identified in writing as confidential and will not, without the prior written consent of the Company, use such confidential information other than in connection with the transactions contemplated herein. The foregoing shall not apply to confidential information that (a) is known or becomes known to the public in general (other than as a result of a breach of this Section 4.11 by such Shareholder), (b) is or has been independently developed or conceived by the Shareholder without use of the Company’s confidential information, or (c) is or has been made known or disclosed to the Shareholder by a third party without a breach of any obligation of confidentiality such third party may have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Shareholder may disclose confidential information (i) to its attorneys, accountants, consultants, and other professionals to the extent necessary to obtain their services in connection with monitoring its investment in the Company and for the purpose of evaluating its investment in the Company; (ii) to any prospective purchaser of any Registrable Securities from such Shareholder, if such prospective purchaser is not a competitor to the Company (as determined in good faith by the Company’s Board of Directors) and agrees to be bound by the provisions of this Section 4.11; (iii) to a member, partner, stockholder or wholly owned subsidiary of such Shareholder in the ordinary course of business, provided that such Shareholder informs such Person that such information is confidential and directs such Person to maintain the confidentiality of such information; or (iv) as may otherwise be required by law. Each Shareholder further agrees that any notice received pursuant to this Agreement, including any notice of a proposed public offering, postponement of an offering or other similar notice regarding the Company’s securities, is confidential information and that any trading in securities of the Company following receipt of such information may only be done in compliance with all applicable securities laws. Notwithstanding anything to the contrary contained in this Section 4.11, any Shareholder or any Shareholder’s partner, member, investment manager, subsidiary or parent may identify only the Company and the value of such Shareholder’s security holdings in the Company (and not, for the avoidance of doubt, other confidential information with respect to the Company’s business) without prior notice to or consent from the Company and such Shareholder shall otherwise comply with the confidentiality obligations set forth in this Section 4.11.</w:t>
      </w:r>
    </w:p>
    <w:p>
      <w:pPr>
        <w:spacing w:after="0" w:line="17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i w:val="1"/>
          <w:iCs w:val="1"/>
          <w:color w:val="auto"/>
        </w:rPr>
        <w:t>Independent Nature of Shareholders’ Obligations and Rights.</w:t>
      </w:r>
      <w:r>
        <w:rPr>
          <w:rFonts w:ascii="Arial" w:cs="Arial" w:eastAsia="Arial" w:hAnsi="Arial"/>
          <w:sz w:val="17"/>
          <w:szCs w:val="17"/>
          <w:color w:val="auto"/>
        </w:rPr>
        <w:t xml:space="preserve"> The obligations of each Shareholder hereunder are several and not joint with the obligations of any other Shareholder hereunder, and no Shareholder shall be responsible in any way for the performance of the obligations of any other Shareholder hereunder. Nothing contained herein or in any other agreement or document delivered at any closing, and no action taken by any Shareholder pursuant hereto or thereto, shall be deemed to constitute the Shareholders as a partnership, an association, a joint venture or any other kind of entity, or create a presumption that the Shareholders are in any way acting in concert with respect to such obligations or the transactions contemplated by this Agreement. Each Shareholder shall be entitled to protect and enforce its rights, including the rights arising out of this Agreement, and it shall not be necessary for any other Shareholder to be joined as an additional party in any proceeding for such purpose.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340" w:name="page341"/>
    <w:bookmarkEnd w:id="340"/>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this Agreement or have caused this Agreement to be duly executed by their respective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 IMMUNE SA</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Velasco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Martin Velasco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Matthias Staehelin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Matthias Staehelin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Secretary of the Board (Non-Member)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the Registration Rights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41" w:name="page342"/>
    <w:bookmarkEnd w:id="341"/>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Fidelity Select Portfolios: Biotechnology Portfolio</w:t>
      </w:r>
    </w:p>
    <w:p>
      <w:pPr>
        <w:spacing w:after="0" w:line="25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Kenneth B Robins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Brown Brothers Harriman &amp; Co.</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525 Washington Blvd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Jersey City NJ 07310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Attn: Michael Lerman 15th Floor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Corporate Actions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michael.lerman@bbh.com</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number: 617 772-2418</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9460"/>
          </w:cols>
          <w:pgMar w:left="1440" w:top="270" w:right="999" w:bottom="1440" w:gutter="0" w:footer="0" w:header="0"/>
        </w:sectPr>
      </w:pPr>
    </w:p>
    <w:bookmarkStart w:id="342" w:name="page343"/>
    <w:bookmarkEnd w:id="342"/>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Fidelity Advisor Series VII: Fidelity Advisor Biotechnology</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Fund</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Kenneth B Robins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State Street Bank &amp; Trust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PO Box 5756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Boston, Massachusetts 02206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Attn: Bangle &amp; Co fbo Fidelity Advisor Series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VII: Fidelity Advisor Biotechnology Fund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SSBCORPACTIONS@StateStreet.com</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number: 617-988-9110</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200"/>
          </w:cols>
          <w:pgMar w:left="1440" w:top="269" w:right="259" w:bottom="1440" w:gutter="0" w:footer="0" w:header="0"/>
        </w:sectPr>
      </w:pPr>
    </w:p>
    <w:bookmarkStart w:id="343" w:name="page344"/>
    <w:bookmarkEnd w:id="343"/>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Fidelity Securities Fund: Fidelity Series Blue Chip Growth</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Fund</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Kenneth B Robins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State Street Bank &amp; Trust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PO Box 5756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Boston, Massachusetts 02206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Attn: Wavechart &amp; Co fbo Fidelity Securities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Fund: Fidelity Series Blue Chip Growth Fund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SSBCORPACTIONS@StateStreet.com</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number: 617-988-9110</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160"/>
          </w:cols>
          <w:pgMar w:left="1440" w:top="269" w:right="299" w:bottom="1440" w:gutter="0" w:footer="0" w:header="0"/>
        </w:sectPr>
      </w:pPr>
    </w:p>
    <w:bookmarkStart w:id="344" w:name="page345"/>
    <w:bookmarkEnd w:id="344"/>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Fidelity Blue Chip Growth Commingled Pool</w:t>
      </w:r>
    </w:p>
    <w:p>
      <w:pPr>
        <w:spacing w:after="0" w:line="27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by Fidelity Management &amp; Trust Co.</w:t>
      </w:r>
    </w:p>
    <w:p>
      <w:pPr>
        <w:spacing w:after="0" w:line="24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Kenneth B Robins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Brown Brothers Harriman &amp; Co.</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525 Washington Blvd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Jersey CityNJ 07310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Attn: Michael Lerman 15th Floor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Corporate Actions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michael.Ierman@bbh.com</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number: 617 772-2418</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[Signature page to the Registration Rights Agreement]</w:t>
      </w:r>
    </w:p>
    <w:p>
      <w:pPr>
        <w:sectPr>
          <w:pgSz w:w="11900" w:h="16838" w:orient="portrait"/>
          <w:cols w:equalWidth="0" w:num="1">
            <w:col w:w="9120"/>
          </w:cols>
          <w:pgMar w:left="1440" w:top="270" w:right="1339" w:bottom="1440" w:gutter="0" w:footer="0" w:header="0"/>
        </w:sectPr>
      </w:pPr>
    </w:p>
    <w:bookmarkStart w:id="345" w:name="page346"/>
    <w:bookmarkEnd w:id="345"/>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Pyramis Lifecycle Blue Chip Growth Commingled Pool</w:t>
      </w:r>
    </w:p>
    <w:p>
      <w:pPr>
        <w:spacing w:after="0" w:line="275"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By Pyramis Global Advisors Trust Company, as Trustee</w:t>
      </w:r>
    </w:p>
    <w:p>
      <w:pPr>
        <w:spacing w:after="0" w:line="266"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[illegible]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State Street Bank &amp; Trust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PO Box 5756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Boston, Massachusetts 02206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Attn. FLAPPER CO fbo Pyramis Lifecycle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Blue Chip Growth Commingled Pool</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SSBCORPACTIONS@StateStreet.com</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number: 617-988-9110</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9960"/>
          </w:cols>
          <w:pgMar w:left="1440" w:top="270" w:right="499" w:bottom="1440" w:gutter="0" w:footer="0" w:header="0"/>
        </w:sectPr>
      </w:pPr>
    </w:p>
    <w:bookmarkStart w:id="346" w:name="page347"/>
    <w:bookmarkEnd w:id="346"/>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Fidelity Securities Fund: Fidelity Blue Chip Growth Fund</w:t>
      </w:r>
    </w:p>
    <w:p>
      <w:pPr>
        <w:spacing w:after="0" w:line="25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Kenneth B Robins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M.Gardiner &amp; Co</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JPMorgan Chase Bank, N.A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P.O. Box 35308</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Newark, NJ 07101-8006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Fidelity.cres@jpmorgan.com</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Jpmorganinformation.services@jpmorgan.com</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number: 469-477-1510</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100"/>
          </w:cols>
          <w:pgMar w:left="1440" w:top="270" w:right="359" w:bottom="1440" w:gutter="0" w:footer="0" w:header="0"/>
        </w:sectPr>
      </w:pPr>
    </w:p>
    <w:bookmarkStart w:id="347" w:name="page348"/>
    <w:bookmarkEnd w:id="347"/>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Hansjoerg Wyss Revocable Trust dated 12/16,94 as</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amended</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Hansjoerg Wyss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Hansjoerg Wyss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Trustee</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Loreda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138 Mt. Auburn St.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Cambridge, MA USA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02138</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9560"/>
          </w:cols>
          <w:pgMar w:left="1440" w:top="269" w:right="899" w:bottom="1440" w:gutter="0" w:footer="0" w:header="0"/>
        </w:sectPr>
      </w:pPr>
    </w:p>
    <w:bookmarkStart w:id="348" w:name="page349"/>
    <w:bookmarkEnd w:id="348"/>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V-Sciences Investments Pte Ltd.</w:t>
      </w:r>
    </w:p>
    <w:p>
      <w:pPr>
        <w:spacing w:after="0" w:line="24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[illegible]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Authorised Signatory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Khoo Shih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Temasek Holdings (Private) Limited</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60B Orchard Road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#06-18 Tower 2</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Atrium@Orehard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Singapore 238891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the Registration Rights Agreement]</w:t>
      </w:r>
    </w:p>
    <w:p>
      <w:pPr>
        <w:sectPr>
          <w:pgSz w:w="11900" w:h="16838" w:orient="portrait"/>
          <w:cols w:equalWidth="0" w:num="1">
            <w:col w:w="9019"/>
          </w:cols>
          <w:pgMar w:left="1440" w:top="270" w:right="1440" w:bottom="1440" w:gutter="0" w:footer="0" w:header="0"/>
        </w:sectPr>
      </w:pPr>
    </w:p>
    <w:bookmarkStart w:id="349" w:name="page350"/>
    <w:bookmarkEnd w:id="3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Joinder to Registration Rights Agreement</w:t>
      </w:r>
    </w:p>
    <w:p>
      <w:pPr>
        <w:spacing w:after="0" w:line="20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This Joinder Agreement (this “</w:t>
      </w:r>
      <w:r>
        <w:rPr>
          <w:rFonts w:ascii="Arial" w:cs="Arial" w:eastAsia="Arial" w:hAnsi="Arial"/>
          <w:sz w:val="18"/>
          <w:szCs w:val="18"/>
          <w:b w:val="1"/>
          <w:bCs w:val="1"/>
          <w:color w:val="auto"/>
        </w:rPr>
        <w:t>Joinder Agreement</w:t>
      </w:r>
      <w:r>
        <w:rPr>
          <w:rFonts w:ascii="Arial" w:cs="Arial" w:eastAsia="Arial" w:hAnsi="Arial"/>
          <w:sz w:val="18"/>
          <w:szCs w:val="18"/>
          <w:color w:val="auto"/>
        </w:rPr>
        <w:t>”) is made as of the date written below by the undersigned (the “</w:t>
      </w:r>
      <w:r>
        <w:rPr>
          <w:rFonts w:ascii="Arial" w:cs="Arial" w:eastAsia="Arial" w:hAnsi="Arial"/>
          <w:sz w:val="18"/>
          <w:szCs w:val="18"/>
          <w:b w:val="1"/>
          <w:bCs w:val="1"/>
          <w:color w:val="auto"/>
        </w:rPr>
        <w:t>Joining Party</w:t>
      </w:r>
      <w:r>
        <w:rPr>
          <w:rFonts w:ascii="Arial" w:cs="Arial" w:eastAsia="Arial" w:hAnsi="Arial"/>
          <w:sz w:val="18"/>
          <w:szCs w:val="18"/>
          <w:color w:val="auto"/>
        </w:rPr>
        <w:t>”) in accordance with the Registration Rights Agreement dated as of October 23, 2015 (as the same may be amended from time to time,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among AC Immune SA and the Shareholders party thereto. Capitalized terms used, but not defined, herein shall have the meaning ascribed to such terms in the Registration Rights Agreement.</w:t>
      </w:r>
    </w:p>
    <w:p>
      <w:pPr>
        <w:spacing w:after="0" w:line="184"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Joining Party hereby acknowledges, agrees and confirms that, by its execution of this Joinder Agreement, the Joining Party shall be deemed to be a party to the Registration Rights Agreement as of the date hereof as a “</w:t>
      </w:r>
      <w:r>
        <w:rPr>
          <w:rFonts w:ascii="Arial" w:cs="Arial" w:eastAsia="Arial" w:hAnsi="Arial"/>
          <w:sz w:val="17"/>
          <w:szCs w:val="17"/>
          <w:b w:val="1"/>
          <w:bCs w:val="1"/>
          <w:color w:val="auto"/>
        </w:rPr>
        <w:t>Permitted Transferee</w:t>
      </w:r>
      <w:r>
        <w:rPr>
          <w:rFonts w:ascii="Arial" w:cs="Arial" w:eastAsia="Arial" w:hAnsi="Arial"/>
          <w:sz w:val="17"/>
          <w:szCs w:val="17"/>
          <w:color w:val="auto"/>
        </w:rPr>
        <w:t>” of a Shareholder thereto, and shall have all of the rights and obligations of a “</w:t>
      </w:r>
      <w:r>
        <w:rPr>
          <w:rFonts w:ascii="Arial" w:cs="Arial" w:eastAsia="Arial" w:hAnsi="Arial"/>
          <w:sz w:val="17"/>
          <w:szCs w:val="17"/>
          <w:b w:val="1"/>
          <w:bCs w:val="1"/>
          <w:color w:val="auto"/>
        </w:rPr>
        <w:t>Shareholder</w:t>
      </w:r>
      <w:r>
        <w:rPr>
          <w:rFonts w:ascii="Arial" w:cs="Arial" w:eastAsia="Arial" w:hAnsi="Arial"/>
          <w:sz w:val="17"/>
          <w:szCs w:val="17"/>
          <w:color w:val="auto"/>
        </w:rPr>
        <w:t>” thereunder as if it had executed the Registration Rights Agreement. The Joining Party hereby ratifies, as of the date hereof, and agrees to be bound by, all of the terms, provisions and conditions contained in the Registration Rights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Joinder Agreement as of the date written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JOINING PARTY]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Address for Notices: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[Fax number]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[Email address]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70" w:right="259" w:bottom="1440" w:gutter="0" w:footer="0" w:header="0"/>
        </w:sectPr>
      </w:pPr>
    </w:p>
    <w:bookmarkStart w:id="350" w:name="page351"/>
    <w:bookmarkEnd w:id="3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VISCHER Ltd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Basel</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Aeschenvorstadt 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CH-4010 Basel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+41 58 211 33 00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Fax +41 58 211 33 10</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Zurich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Schützengasse 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CH-8021 Zurich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+41 58 211 34 00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Fax +41 58 211 34 10</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Civil Law Notaries in Basel-City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1015 Lausanne</w:t>
      </w:r>
    </w:p>
    <w:p>
      <w:pPr>
        <w:spacing w:after="0" w:line="319" w:lineRule="exact"/>
        <w:rPr>
          <w:sz w:val="20"/>
          <w:szCs w:val="20"/>
          <w:color w:val="auto"/>
        </w:rPr>
      </w:pPr>
    </w:p>
    <w:p>
      <w:pPr>
        <w:ind w:left="2"/>
        <w:spacing w:after="0"/>
        <w:rPr>
          <w:sz w:val="20"/>
          <w:szCs w:val="20"/>
          <w:color w:val="auto"/>
        </w:rPr>
      </w:pPr>
      <w:r>
        <w:rPr>
          <w:rFonts w:ascii="Arial" w:cs="Arial" w:eastAsia="Arial" w:hAnsi="Arial"/>
          <w:sz w:val="18"/>
          <w:szCs w:val="18"/>
          <w:color w:val="auto"/>
        </w:rPr>
        <w:t>Basel, 31 May 2016</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AC Immune SA – Registration Statement on Form F-1</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8"/>
          <w:szCs w:val="18"/>
          <w:color w:val="auto"/>
        </w:rPr>
        <w:t>Dear Sir or Madam,</w:t>
      </w:r>
    </w:p>
    <w:p>
      <w:pPr>
        <w:spacing w:after="0" w:line="113" w:lineRule="exact"/>
        <w:rPr>
          <w:sz w:val="20"/>
          <w:szCs w:val="20"/>
          <w:color w:val="auto"/>
        </w:rPr>
      </w:pPr>
    </w:p>
    <w:p>
      <w:pPr>
        <w:ind w:left="2" w:right="80"/>
        <w:spacing w:after="0" w:line="255" w:lineRule="auto"/>
        <w:rPr>
          <w:sz w:val="20"/>
          <w:szCs w:val="20"/>
          <w:color w:val="auto"/>
        </w:rPr>
      </w:pPr>
      <w:r>
        <w:rPr>
          <w:rFonts w:ascii="Arial" w:cs="Arial" w:eastAsia="Arial" w:hAnsi="Arial"/>
          <w:sz w:val="18"/>
          <w:szCs w:val="18"/>
          <w:color w:val="auto"/>
        </w:rPr>
        <w:t>This opinion is being rendered at the request of AC Immune SA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of a registration statement on Form F-1 on 31 May 2016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purpose of registering under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the offer and sale of such number of common shares of CHF 0.02 par value each of the Company as authorized by the Shareholders Resolution (as defined below), including any additional shares with a nominal value of CHF 0.02 sold or, if and to the extent such option is exercised, to be sold to the underwriters pursuant to the over-allotment option granted by the Company to the underwriters (together the “</w:t>
      </w:r>
      <w:r>
        <w:rPr>
          <w:rFonts w:ascii="Arial" w:cs="Arial" w:eastAsia="Arial" w:hAnsi="Arial"/>
          <w:sz w:val="18"/>
          <w:szCs w:val="18"/>
          <w:b w:val="1"/>
          <w:bCs w:val="1"/>
          <w:color w:val="auto"/>
        </w:rPr>
        <w:t>Shares</w:t>
      </w:r>
      <w:r>
        <w:rPr>
          <w:rFonts w:ascii="Arial" w:cs="Arial" w:eastAsia="Arial" w:hAnsi="Arial"/>
          <w:sz w:val="18"/>
          <w:szCs w:val="18"/>
          <w:color w:val="auto"/>
        </w:rPr>
        <w:t>”). As such counsel, we have been requested to render an opinion as to certain matters of Swiss law.</w:t>
      </w:r>
    </w:p>
    <w:p>
      <w:pPr>
        <w:spacing w:after="0" w:line="334" w:lineRule="exact"/>
        <w:rPr>
          <w:sz w:val="20"/>
          <w:szCs w:val="20"/>
          <w:color w:val="auto"/>
        </w:rPr>
      </w:pPr>
    </w:p>
    <w:p>
      <w:pPr>
        <w:ind w:left="362" w:hanging="362"/>
        <w:spacing w:after="0"/>
        <w:tabs>
          <w:tab w:leader="none" w:pos="362"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OPINION</w:t>
      </w:r>
    </w:p>
    <w:p>
      <w:pPr>
        <w:spacing w:after="0" w:line="121" w:lineRule="exact"/>
        <w:rPr>
          <w:sz w:val="20"/>
          <w:szCs w:val="20"/>
          <w:color w:val="auto"/>
        </w:rPr>
      </w:pPr>
    </w:p>
    <w:p>
      <w:pPr>
        <w:ind w:left="2" w:right="180"/>
        <w:spacing w:after="0" w:line="264" w:lineRule="auto"/>
        <w:rPr>
          <w:sz w:val="20"/>
          <w:szCs w:val="20"/>
          <w:color w:val="auto"/>
        </w:rPr>
      </w:pPr>
      <w:r>
        <w:rPr>
          <w:rFonts w:ascii="Arial" w:cs="Arial" w:eastAsia="Arial" w:hAnsi="Arial"/>
          <w:sz w:val="18"/>
          <w:szCs w:val="18"/>
          <w:color w:val="auto"/>
        </w:rPr>
        <w:t>This opinion is confined to and given on the basis of the laws of Switzerland in force at the date hereof and as currently applied by Swiss courts. In the absence of statutory or established case law, we base our opinion on our independent professional judgement.</w:t>
      </w:r>
    </w:p>
    <w:p>
      <w:pPr>
        <w:spacing w:after="0" w:line="181" w:lineRule="exact"/>
        <w:rPr>
          <w:sz w:val="20"/>
          <w:szCs w:val="20"/>
          <w:color w:val="auto"/>
        </w:rPr>
      </w:pPr>
    </w:p>
    <w:p>
      <w:pPr>
        <w:ind w:left="2" w:right="140"/>
        <w:spacing w:after="0" w:line="277" w:lineRule="auto"/>
        <w:rPr>
          <w:sz w:val="20"/>
          <w:szCs w:val="20"/>
          <w:color w:val="auto"/>
        </w:rPr>
      </w:pPr>
      <w:r>
        <w:rPr>
          <w:rFonts w:ascii="Arial" w:cs="Arial" w:eastAsia="Arial" w:hAnsi="Arial"/>
          <w:sz w:val="18"/>
          <w:szCs w:val="18"/>
          <w:color w:val="auto"/>
        </w:rPr>
        <w:t>This opinion is also confined to the matters stated herein and is not to be read as extending, by implication or otherwise, to any other matter.</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color w:val="auto"/>
        </w:rPr>
        <w:t>For the purpose of giving this opinion, we have only examined the following documents:</w:t>
      </w:r>
    </w:p>
    <w:p>
      <w:pPr>
        <w:spacing w:after="0" w:line="131" w:lineRule="exact"/>
        <w:rPr>
          <w:sz w:val="20"/>
          <w:szCs w:val="20"/>
          <w:color w:val="auto"/>
        </w:rPr>
      </w:pPr>
    </w:p>
    <w:p>
      <w:pPr>
        <w:ind w:left="362" w:hanging="362"/>
        <w:spacing w:after="0"/>
        <w:tabs>
          <w:tab w:leader="none" w:pos="36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 pdf copy of the Registration Statement;</w:t>
      </w:r>
    </w:p>
    <w:p>
      <w:pPr>
        <w:spacing w:after="0" w:line="130" w:lineRule="exact"/>
        <w:rPr>
          <w:rFonts w:ascii="Arial" w:cs="Arial" w:eastAsia="Arial" w:hAnsi="Arial"/>
          <w:sz w:val="18"/>
          <w:szCs w:val="18"/>
          <w:color w:val="auto"/>
        </w:rPr>
      </w:pPr>
    </w:p>
    <w:p>
      <w:pPr>
        <w:ind w:left="362" w:right="740" w:hanging="362"/>
        <w:spacing w:after="0" w:line="277" w:lineRule="auto"/>
        <w:tabs>
          <w:tab w:leader="none" w:pos="36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 original copy of the notarized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of the Company dated 25 May 2016 (the “</w:t>
      </w:r>
      <w:r>
        <w:rPr>
          <w:rFonts w:ascii="Arial" w:cs="Arial" w:eastAsia="Arial" w:hAnsi="Arial"/>
          <w:sz w:val="18"/>
          <w:szCs w:val="18"/>
          <w:b w:val="1"/>
          <w:bCs w:val="1"/>
          <w:color w:val="auto"/>
        </w:rPr>
        <w:t>Articles</w:t>
      </w:r>
      <w:r>
        <w:rPr>
          <w:rFonts w:ascii="Arial" w:cs="Arial" w:eastAsia="Arial" w:hAnsi="Arial"/>
          <w:sz w:val="18"/>
          <w:szCs w:val="18"/>
          <w:color w:val="auto"/>
        </w:rPr>
        <w:t>”), as filed with the</w:t>
      </w:r>
    </w:p>
    <w:p>
      <w:pPr>
        <w:sectPr>
          <w:pgSz w:w="11900" w:h="16838" w:orient="portrait"/>
          <w:cols w:equalWidth="0" w:num="2">
            <w:col w:w="2160" w:space="358"/>
            <w:col w:w="8782"/>
          </w:cols>
          <w:pgMar w:left="240" w:top="175" w:right="359" w:bottom="1440" w:gutter="0" w:footer="0" w:header="0"/>
        </w:sectPr>
      </w:pPr>
    </w:p>
    <w:bookmarkStart w:id="351" w:name="page352"/>
    <w:bookmarkEnd w:id="351"/>
    <w:p>
      <w:pPr>
        <w:ind w:left="880"/>
        <w:spacing w:after="0"/>
        <w:tabs>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 May 2016</w:t>
      </w:r>
      <w:r>
        <w:rPr>
          <w:sz w:val="20"/>
          <w:szCs w:val="20"/>
          <w:color w:val="auto"/>
        </w:rPr>
        <w:tab/>
      </w:r>
      <w:r>
        <w:rPr>
          <w:rFonts w:ascii="Arial" w:cs="Arial" w:eastAsia="Arial" w:hAnsi="Arial"/>
          <w:sz w:val="14"/>
          <w:szCs w:val="14"/>
          <w:color w:val="auto"/>
        </w:rPr>
        <w:t>2</w:t>
      </w:r>
    </w:p>
    <w:p>
      <w:pPr>
        <w:sectPr>
          <w:pgSz w:w="11900" w:h="16838" w:orient="portrait"/>
          <w:cols w:equalWidth="0" w:num="1">
            <w:col w:w="10220"/>
          </w:cols>
          <w:pgMar w:left="1440" w:top="274" w:right="239" w:bottom="1440" w:gutter="0" w:footer="0" w:header="0"/>
        </w:sectPr>
      </w:pPr>
    </w:p>
    <w:p>
      <w:pPr>
        <w:spacing w:after="0" w:line="21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Commercial Register of the Canton of Vaud;</w:t>
      </w:r>
    </w:p>
    <w:p>
      <w:pPr>
        <w:spacing w:after="0" w:line="252" w:lineRule="exact"/>
        <w:rPr>
          <w:sz w:val="20"/>
          <w:szCs w:val="20"/>
          <w:color w:val="auto"/>
        </w:rPr>
      </w:pPr>
    </w:p>
    <w:p>
      <w:pPr>
        <w:ind w:left="1680" w:right="700" w:hanging="360"/>
        <w:spacing w:after="0" w:line="277" w:lineRule="auto"/>
        <w:tabs>
          <w:tab w:leader="none" w:pos="16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 excerpt from the Commercial Register of the Canton of Vaud in respect of the Company, certified by such Commercial Register to be up-to-date as of 20 April 2016 (the “</w:t>
      </w:r>
      <w:r>
        <w:rPr>
          <w:rFonts w:ascii="Arial" w:cs="Arial" w:eastAsia="Arial" w:hAnsi="Arial"/>
          <w:sz w:val="18"/>
          <w:szCs w:val="18"/>
          <w:b w:val="1"/>
          <w:bCs w:val="1"/>
          <w:color w:val="auto"/>
        </w:rPr>
        <w:t>Excerpt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680" w:right="160" w:hanging="360"/>
        <w:spacing w:after="0" w:line="255" w:lineRule="auto"/>
        <w:tabs>
          <w:tab w:leader="none" w:pos="16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pdf copy of the notarized resolution of the general meetings of the shareholders and of the holders of preferred shares of the Company, both dated 21 October 2015, as amended on 25 May 2016 (the “</w:t>
      </w:r>
      <w:r>
        <w:rPr>
          <w:rFonts w:ascii="Arial" w:cs="Arial" w:eastAsia="Arial" w:hAnsi="Arial"/>
          <w:sz w:val="18"/>
          <w:szCs w:val="18"/>
          <w:b w:val="1"/>
          <w:bCs w:val="1"/>
          <w:color w:val="auto"/>
        </w:rPr>
        <w:t>Shareholders Resolution</w:t>
      </w:r>
      <w:r>
        <w:rPr>
          <w:rFonts w:ascii="Arial" w:cs="Arial" w:eastAsia="Arial" w:hAnsi="Arial"/>
          <w:sz w:val="18"/>
          <w:szCs w:val="18"/>
          <w:color w:val="auto"/>
        </w:rPr>
        <w:t>”) and regarding, among others, the authorization (the “</w:t>
      </w:r>
      <w:r>
        <w:rPr>
          <w:rFonts w:ascii="Arial" w:cs="Arial" w:eastAsia="Arial" w:hAnsi="Arial"/>
          <w:sz w:val="18"/>
          <w:szCs w:val="18"/>
          <w:b w:val="1"/>
          <w:bCs w:val="1"/>
          <w:color w:val="auto"/>
        </w:rPr>
        <w:t>Authorization</w:t>
      </w:r>
      <w:r>
        <w:rPr>
          <w:rFonts w:ascii="Arial" w:cs="Arial" w:eastAsia="Arial" w:hAnsi="Arial"/>
          <w:sz w:val="18"/>
          <w:szCs w:val="18"/>
          <w:color w:val="auto"/>
        </w:rPr>
        <w:t>”) granted to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to (i) increase the share capital of the Company by an amount up to CHF 426’950 (the “</w:t>
      </w:r>
      <w:r>
        <w:rPr>
          <w:rFonts w:ascii="Arial" w:cs="Arial" w:eastAsia="Arial" w:hAnsi="Arial"/>
          <w:sz w:val="18"/>
          <w:szCs w:val="18"/>
          <w:b w:val="1"/>
          <w:bCs w:val="1"/>
          <w:color w:val="auto"/>
        </w:rPr>
        <w:t>Capital Increase</w:t>
      </w:r>
      <w:r>
        <w:rPr>
          <w:rFonts w:ascii="Arial" w:cs="Arial" w:eastAsia="Arial" w:hAnsi="Arial"/>
          <w:sz w:val="18"/>
          <w:szCs w:val="18"/>
          <w:color w:val="auto"/>
        </w:rPr>
        <w:t>”), (ii) issue up to 21’347’500 shares of a nominal value of CHF 0.02 each and (iii) adapt the Articles accordingly;</w:t>
      </w:r>
    </w:p>
    <w:p>
      <w:pPr>
        <w:spacing w:after="0" w:line="94" w:lineRule="exact"/>
        <w:rPr>
          <w:rFonts w:ascii="Arial" w:cs="Arial" w:eastAsia="Arial" w:hAnsi="Arial"/>
          <w:sz w:val="18"/>
          <w:szCs w:val="18"/>
          <w:color w:val="auto"/>
        </w:rPr>
      </w:pPr>
    </w:p>
    <w:p>
      <w:pPr>
        <w:ind w:left="1680" w:right="320" w:hanging="360"/>
        <w:spacing w:after="0" w:line="256" w:lineRule="auto"/>
        <w:tabs>
          <w:tab w:leader="none" w:pos="16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pdf copy of the resolution of the Board dated 25 May 2016 (the “</w:t>
      </w:r>
      <w:r>
        <w:rPr>
          <w:rFonts w:ascii="Arial" w:cs="Arial" w:eastAsia="Arial" w:hAnsi="Arial"/>
          <w:sz w:val="18"/>
          <w:szCs w:val="18"/>
          <w:b w:val="1"/>
          <w:bCs w:val="1"/>
          <w:color w:val="auto"/>
        </w:rPr>
        <w:t>Capital Increase Board Resolutions</w:t>
      </w:r>
      <w:r>
        <w:rPr>
          <w:rFonts w:ascii="Arial" w:cs="Arial" w:eastAsia="Arial" w:hAnsi="Arial"/>
          <w:sz w:val="18"/>
          <w:szCs w:val="18"/>
          <w:color w:val="auto"/>
        </w:rPr>
        <w:t>”) resolving, among other things, (i) the approval of the execution of the Capital Increase based on the Authorization through the issuance of the Shares (</w:t>
      </w:r>
      <w:r>
        <w:rPr>
          <w:rFonts w:ascii="Arial" w:cs="Arial" w:eastAsia="Arial" w:hAnsi="Arial"/>
          <w:sz w:val="18"/>
          <w:szCs w:val="18"/>
          <w:i w:val="1"/>
          <w:iCs w:val="1"/>
          <w:color w:val="auto"/>
        </w:rPr>
        <w:t>Erhöhungsbeschluss</w:t>
      </w:r>
      <w:r>
        <w:rPr>
          <w:rFonts w:ascii="Arial" w:cs="Arial" w:eastAsia="Arial" w:hAnsi="Arial"/>
          <w:sz w:val="18"/>
          <w:szCs w:val="18"/>
          <w:color w:val="auto"/>
        </w:rPr>
        <w:t>), (ii) the appointment of certain members of the Board to take certain actions and pass certain resolutions for the execution of the Capital Increase, (iii) the exclusion of the preemptive rights in connection with the issuance of the Shares and (iv) the approval of the Board Report (as defined below);</w:t>
      </w:r>
    </w:p>
    <w:p>
      <w:pPr>
        <w:spacing w:after="0" w:line="93" w:lineRule="exact"/>
        <w:rPr>
          <w:rFonts w:ascii="Arial" w:cs="Arial" w:eastAsia="Arial" w:hAnsi="Arial"/>
          <w:sz w:val="18"/>
          <w:szCs w:val="18"/>
          <w:color w:val="auto"/>
        </w:rPr>
      </w:pPr>
    </w:p>
    <w:p>
      <w:pPr>
        <w:ind w:left="1680" w:right="320" w:hanging="360"/>
        <w:spacing w:after="0" w:line="261" w:lineRule="auto"/>
        <w:tabs>
          <w:tab w:leader="none" w:pos="16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pdf copy of the notarized resolutions of the Board dated 25 May 2016 (the “</w:t>
      </w:r>
      <w:r>
        <w:rPr>
          <w:rFonts w:ascii="Arial" w:cs="Arial" w:eastAsia="Arial" w:hAnsi="Arial"/>
          <w:sz w:val="18"/>
          <w:szCs w:val="18"/>
          <w:b w:val="1"/>
          <w:bCs w:val="1"/>
          <w:color w:val="auto"/>
        </w:rPr>
        <w:t>Notarized Board Resolutions</w:t>
      </w:r>
      <w:r>
        <w:rPr>
          <w:rFonts w:ascii="Arial" w:cs="Arial" w:eastAsia="Arial" w:hAnsi="Arial"/>
          <w:sz w:val="18"/>
          <w:szCs w:val="18"/>
          <w:color w:val="auto"/>
        </w:rPr>
        <w:t>” and together with the Capital Increase Board Resolutions, the “</w:t>
      </w:r>
      <w:r>
        <w:rPr>
          <w:rFonts w:ascii="Arial" w:cs="Arial" w:eastAsia="Arial" w:hAnsi="Arial"/>
          <w:sz w:val="18"/>
          <w:szCs w:val="18"/>
          <w:b w:val="1"/>
          <w:bCs w:val="1"/>
          <w:color w:val="auto"/>
        </w:rPr>
        <w:t>Board Resolutions</w:t>
      </w:r>
      <w:r>
        <w:rPr>
          <w:rFonts w:ascii="Arial" w:cs="Arial" w:eastAsia="Arial" w:hAnsi="Arial"/>
          <w:sz w:val="18"/>
          <w:szCs w:val="18"/>
          <w:color w:val="auto"/>
        </w:rPr>
        <w:t>”) (i) noting the execution of the Capital Increase as per the Capital Increase Board Resolutions and (ii) adapting the Articles accordingly (</w:t>
      </w:r>
      <w:r>
        <w:rPr>
          <w:rFonts w:ascii="Arial" w:cs="Arial" w:eastAsia="Arial" w:hAnsi="Arial"/>
          <w:sz w:val="18"/>
          <w:szCs w:val="18"/>
          <w:i w:val="1"/>
          <w:iCs w:val="1"/>
          <w:color w:val="auto"/>
        </w:rPr>
        <w:t>Feststellungs- und Statutenänderungsbeschluss</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1680" w:right="840" w:hanging="360"/>
        <w:spacing w:after="0" w:line="313" w:lineRule="auto"/>
        <w:tabs>
          <w:tab w:leader="none" w:pos="168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 pdf copy of the report (</w:t>
      </w:r>
      <w:r>
        <w:rPr>
          <w:rFonts w:ascii="Arial" w:cs="Arial" w:eastAsia="Arial" w:hAnsi="Arial"/>
          <w:sz w:val="17"/>
          <w:szCs w:val="17"/>
          <w:i w:val="1"/>
          <w:iCs w:val="1"/>
          <w:color w:val="auto"/>
        </w:rPr>
        <w:t>Kapitalerhöhungsbericht</w:t>
      </w:r>
      <w:r>
        <w:rPr>
          <w:rFonts w:ascii="Arial" w:cs="Arial" w:eastAsia="Arial" w:hAnsi="Arial"/>
          <w:sz w:val="17"/>
          <w:szCs w:val="17"/>
          <w:color w:val="auto"/>
        </w:rPr>
        <w:t>) of the Board dated 25 May 2016 (the “</w:t>
      </w:r>
      <w:r>
        <w:rPr>
          <w:rFonts w:ascii="Arial" w:cs="Arial" w:eastAsia="Arial" w:hAnsi="Arial"/>
          <w:sz w:val="17"/>
          <w:szCs w:val="17"/>
          <w:b w:val="1"/>
          <w:bCs w:val="1"/>
          <w:color w:val="auto"/>
        </w:rPr>
        <w:t>Board Report</w:t>
      </w:r>
      <w:r>
        <w:rPr>
          <w:rFonts w:ascii="Arial" w:cs="Arial" w:eastAsia="Arial" w:hAnsi="Arial"/>
          <w:sz w:val="17"/>
          <w:szCs w:val="17"/>
          <w:color w:val="auto"/>
        </w:rPr>
        <w:t>”) regarding the increase of the Company’s share capital through the issuance of the Shares;</w:t>
      </w:r>
    </w:p>
    <w:p>
      <w:pPr>
        <w:spacing w:after="0" w:line="47" w:lineRule="exact"/>
        <w:rPr>
          <w:rFonts w:ascii="Arial" w:cs="Arial" w:eastAsia="Arial" w:hAnsi="Arial"/>
          <w:sz w:val="17"/>
          <w:szCs w:val="17"/>
          <w:color w:val="auto"/>
        </w:rPr>
      </w:pPr>
    </w:p>
    <w:p>
      <w:pPr>
        <w:ind w:left="1680" w:right="420" w:hanging="360"/>
        <w:spacing w:after="0" w:line="277" w:lineRule="auto"/>
        <w:tabs>
          <w:tab w:leader="none" w:pos="16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pdf copy of certain declarations of the Company vis-à-vis the Commercial Register of the Canton of Vaud (</w:t>
      </w:r>
      <w:r>
        <w:rPr>
          <w:rFonts w:ascii="Arial" w:cs="Arial" w:eastAsia="Arial" w:hAnsi="Arial"/>
          <w:sz w:val="18"/>
          <w:szCs w:val="18"/>
          <w:i w:val="1"/>
          <w:iCs w:val="1"/>
          <w:color w:val="auto"/>
        </w:rPr>
        <w:t>Lex</w:t>
      </w:r>
      <w:r>
        <w:rPr>
          <w:rFonts w:ascii="Arial" w:cs="Arial" w:eastAsia="Arial" w:hAnsi="Arial"/>
          <w:sz w:val="18"/>
          <w:szCs w:val="18"/>
          <w:color w:val="auto"/>
        </w:rPr>
        <w:t xml:space="preserve"> </w:t>
      </w:r>
      <w:r>
        <w:rPr>
          <w:rFonts w:ascii="Arial" w:cs="Arial" w:eastAsia="Arial" w:hAnsi="Arial"/>
          <w:sz w:val="18"/>
          <w:szCs w:val="18"/>
          <w:i w:val="1"/>
          <w:iCs w:val="1"/>
          <w:color w:val="auto"/>
        </w:rPr>
        <w:t>Friedrich- und Stampa-Erklärungen</w:t>
      </w:r>
      <w:r>
        <w:rPr>
          <w:rFonts w:ascii="Arial" w:cs="Arial" w:eastAsia="Arial" w:hAnsi="Arial"/>
          <w:sz w:val="18"/>
          <w:szCs w:val="18"/>
          <w:color w:val="auto"/>
        </w:rPr>
        <w:t>) dated 25 May 2016 (the “</w:t>
      </w:r>
      <w:r>
        <w:rPr>
          <w:rFonts w:ascii="Arial" w:cs="Arial" w:eastAsia="Arial" w:hAnsi="Arial"/>
          <w:sz w:val="18"/>
          <w:szCs w:val="18"/>
          <w:b w:val="1"/>
          <w:bCs w:val="1"/>
          <w:color w:val="auto"/>
        </w:rPr>
        <w:t>Declarations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680" w:right="420" w:hanging="360"/>
        <w:spacing w:after="0" w:line="264" w:lineRule="auto"/>
        <w:tabs>
          <w:tab w:leader="none" w:pos="16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pdf copy of the capital payment confirmation issued by the relevant bank (</w:t>
      </w:r>
      <w:r>
        <w:rPr>
          <w:rFonts w:ascii="Arial" w:cs="Arial" w:eastAsia="Arial" w:hAnsi="Arial"/>
          <w:sz w:val="18"/>
          <w:szCs w:val="18"/>
          <w:i w:val="1"/>
          <w:iCs w:val="1"/>
          <w:color w:val="auto"/>
        </w:rPr>
        <w:t>Kapitaleinzahlungsbestätigung</w:t>
      </w:r>
      <w:r>
        <w:rPr>
          <w:rFonts w:ascii="Arial" w:cs="Arial" w:eastAsia="Arial" w:hAnsi="Arial"/>
          <w:sz w:val="18"/>
          <w:szCs w:val="18"/>
          <w:color w:val="auto"/>
        </w:rPr>
        <w:t>) regarding the transfer of the amount corresponding to the purchase price of the Shares to a blocked bank account dated 25 May 2016 (the “</w:t>
      </w:r>
      <w:r>
        <w:rPr>
          <w:rFonts w:ascii="Arial" w:cs="Arial" w:eastAsia="Arial" w:hAnsi="Arial"/>
          <w:sz w:val="18"/>
          <w:szCs w:val="18"/>
          <w:b w:val="1"/>
          <w:bCs w:val="1"/>
          <w:color w:val="auto"/>
        </w:rPr>
        <w:t>Bank Confirmation</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680" w:right="420" w:hanging="360"/>
        <w:spacing w:after="0" w:line="277" w:lineRule="auto"/>
        <w:tabs>
          <w:tab w:leader="none" w:pos="16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pdf copy of the subscription form (</w:t>
      </w:r>
      <w:r>
        <w:rPr>
          <w:rFonts w:ascii="Arial" w:cs="Arial" w:eastAsia="Arial" w:hAnsi="Arial"/>
          <w:sz w:val="18"/>
          <w:szCs w:val="18"/>
          <w:i w:val="1"/>
          <w:iCs w:val="1"/>
          <w:color w:val="auto"/>
        </w:rPr>
        <w:t>Zeichnungsschein</w:t>
      </w:r>
      <w:r>
        <w:rPr>
          <w:rFonts w:ascii="Arial" w:cs="Arial" w:eastAsia="Arial" w:hAnsi="Arial"/>
          <w:sz w:val="18"/>
          <w:szCs w:val="18"/>
          <w:color w:val="auto"/>
        </w:rPr>
        <w:t>) dated 25 May 2016 and signed by Credit Suisse AG (the “</w:t>
      </w:r>
      <w:r>
        <w:rPr>
          <w:rFonts w:ascii="Arial" w:cs="Arial" w:eastAsia="Arial" w:hAnsi="Arial"/>
          <w:sz w:val="18"/>
          <w:szCs w:val="18"/>
          <w:b w:val="1"/>
          <w:bCs w:val="1"/>
          <w:color w:val="auto"/>
        </w:rPr>
        <w:t>Subscription Form</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680" w:right="380" w:hanging="360"/>
        <w:spacing w:after="0" w:line="277" w:lineRule="auto"/>
        <w:tabs>
          <w:tab w:leader="none" w:pos="16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pdf copy of the audit confirmation by Ernst &amp; Young on the Board Report (</w:t>
      </w:r>
      <w:r>
        <w:rPr>
          <w:rFonts w:ascii="Arial" w:cs="Arial" w:eastAsia="Arial" w:hAnsi="Arial"/>
          <w:sz w:val="18"/>
          <w:szCs w:val="18"/>
          <w:i w:val="1"/>
          <w:iCs w:val="1"/>
          <w:color w:val="auto"/>
        </w:rPr>
        <w:t>Prüfungsbestätigung</w:t>
      </w:r>
      <w:r>
        <w:rPr>
          <w:rFonts w:ascii="Arial" w:cs="Arial" w:eastAsia="Arial" w:hAnsi="Arial"/>
          <w:sz w:val="18"/>
          <w:szCs w:val="18"/>
          <w:color w:val="auto"/>
        </w:rPr>
        <w:t>) dated 25 May 2016 (the “</w:t>
      </w:r>
      <w:r>
        <w:rPr>
          <w:rFonts w:ascii="Arial" w:cs="Arial" w:eastAsia="Arial" w:hAnsi="Arial"/>
          <w:sz w:val="18"/>
          <w:szCs w:val="18"/>
          <w:b w:val="1"/>
          <w:bCs w:val="1"/>
          <w:color w:val="auto"/>
        </w:rPr>
        <w:t>Audit Confirmation</w:t>
      </w:r>
      <w:r>
        <w:rPr>
          <w:rFonts w:ascii="Arial" w:cs="Arial" w:eastAsia="Arial" w:hAnsi="Arial"/>
          <w:sz w:val="18"/>
          <w:szCs w:val="18"/>
          <w:color w:val="auto"/>
        </w:rPr>
        <w:t>”).</w:t>
      </w:r>
    </w:p>
    <w:p>
      <w:pPr>
        <w:sectPr>
          <w:pgSz w:w="11900" w:h="16838" w:orient="portrait"/>
          <w:cols w:equalWidth="0" w:num="1">
            <w:col w:w="10220"/>
          </w:cols>
          <w:pgMar w:left="1440" w:top="274" w:right="239" w:bottom="1440" w:gutter="0" w:footer="0" w:header="0"/>
          <w:type w:val="continuous"/>
        </w:sectPr>
      </w:pPr>
    </w:p>
    <w:bookmarkStart w:id="352" w:name="page353"/>
    <w:bookmarkEnd w:id="352"/>
    <w:p>
      <w:pPr>
        <w:ind w:left="880"/>
        <w:spacing w:after="0"/>
        <w:tabs>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 May 2016</w:t>
      </w:r>
      <w:r>
        <w:rPr>
          <w:sz w:val="20"/>
          <w:szCs w:val="20"/>
          <w:color w:val="auto"/>
        </w:rPr>
        <w:tab/>
      </w:r>
      <w:r>
        <w:rPr>
          <w:rFonts w:ascii="Arial" w:cs="Arial" w:eastAsia="Arial" w:hAnsi="Arial"/>
          <w:sz w:val="14"/>
          <w:szCs w:val="14"/>
          <w:color w:val="auto"/>
        </w:rPr>
        <w:t>3</w:t>
      </w:r>
    </w:p>
    <w:p>
      <w:pPr>
        <w:sectPr>
          <w:pgSz w:w="11900" w:h="16838" w:orient="portrait"/>
          <w:cols w:equalWidth="0" w:num="1">
            <w:col w:w="10220"/>
          </w:cols>
          <w:pgMar w:left="1440" w:top="273" w:right="239" w:bottom="1440" w:gutter="0" w:footer="0" w:header="0"/>
        </w:sectPr>
      </w:pPr>
    </w:p>
    <w:p>
      <w:pPr>
        <w:spacing w:after="0" w:line="20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documents referred to above in paragraphs a) to k) are referred to together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9"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No documents have been reviewed by ourselves in connection with this opinion other than those listed above.</w:t>
      </w:r>
    </w:p>
    <w:p>
      <w:pPr>
        <w:spacing w:after="0" w:line="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Accordingly, our opinion is limited to the above Documents and their legal implications under Swiss law.</w:t>
      </w:r>
    </w:p>
    <w:p>
      <w:pPr>
        <w:spacing w:after="0" w:line="211" w:lineRule="exact"/>
        <w:rPr>
          <w:sz w:val="20"/>
          <w:szCs w:val="20"/>
          <w:color w:val="auto"/>
        </w:rPr>
      </w:pPr>
    </w:p>
    <w:p>
      <w:pPr>
        <w:ind w:left="1320" w:right="300"/>
        <w:spacing w:after="0" w:line="277" w:lineRule="auto"/>
        <w:rPr>
          <w:sz w:val="20"/>
          <w:szCs w:val="20"/>
          <w:color w:val="auto"/>
        </w:rPr>
      </w:pPr>
      <w:r>
        <w:rPr>
          <w:rFonts w:ascii="Arial" w:cs="Arial" w:eastAsia="Arial" w:hAnsi="Arial"/>
          <w:sz w:val="18"/>
          <w:szCs w:val="18"/>
          <w:color w:val="auto"/>
        </w:rPr>
        <w:t>All terms used in this opinion in uppercase form shall have the meaning ascribed to them in the Registration Statement, unless otherwise defined herein.</w:t>
      </w:r>
    </w:p>
    <w:p>
      <w:pPr>
        <w:spacing w:after="0" w:line="315" w:lineRule="exact"/>
        <w:rPr>
          <w:sz w:val="20"/>
          <w:szCs w:val="20"/>
          <w:color w:val="auto"/>
        </w:rPr>
      </w:pPr>
    </w:p>
    <w:p>
      <w:pPr>
        <w:ind w:left="1320"/>
        <w:spacing w:after="0"/>
        <w:tabs>
          <w:tab w:leader="none" w:pos="166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7"/>
          <w:szCs w:val="17"/>
          <w:b w:val="1"/>
          <w:bCs w:val="1"/>
          <w:color w:val="auto"/>
        </w:rPr>
        <w:t>ASSUMPTIONS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 rendering the opinion below, we have assumed:</w:t>
      </w:r>
    </w:p>
    <w:p>
      <w:pPr>
        <w:spacing w:after="0" w:line="131" w:lineRule="exact"/>
        <w:rPr>
          <w:sz w:val="20"/>
          <w:szCs w:val="20"/>
          <w:color w:val="auto"/>
        </w:rPr>
      </w:pPr>
    </w:p>
    <w:p>
      <w:pPr>
        <w:ind w:left="1680" w:right="380" w:hanging="362"/>
        <w:spacing w:after="0" w:line="277" w:lineRule="auto"/>
        <w:tabs>
          <w:tab w:leader="none" w:pos="16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conformity to the Documents of all documents produced to us as copies, fax copies or via e-mail, and that the original was executed in the manner appearing on the copy of the draft;</w:t>
      </w:r>
    </w:p>
    <w:p>
      <w:pPr>
        <w:spacing w:after="0" w:line="75" w:lineRule="exact"/>
        <w:rPr>
          <w:rFonts w:ascii="Arial" w:cs="Arial" w:eastAsia="Arial" w:hAnsi="Arial"/>
          <w:sz w:val="18"/>
          <w:szCs w:val="18"/>
          <w:color w:val="auto"/>
        </w:rPr>
      </w:pPr>
    </w:p>
    <w:p>
      <w:pPr>
        <w:ind w:left="1680" w:right="400" w:hanging="362"/>
        <w:spacing w:after="0" w:line="277" w:lineRule="auto"/>
        <w:tabs>
          <w:tab w:leader="none" w:pos="16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genuineness and authenticity of the signatures on all copies of the original Documents thereof which we have examined;</w:t>
      </w:r>
    </w:p>
    <w:p>
      <w:pPr>
        <w:spacing w:after="0" w:line="75" w:lineRule="exact"/>
        <w:rPr>
          <w:rFonts w:ascii="Arial" w:cs="Arial" w:eastAsia="Arial" w:hAnsi="Arial"/>
          <w:sz w:val="18"/>
          <w:szCs w:val="18"/>
          <w:color w:val="auto"/>
        </w:rPr>
      </w:pPr>
    </w:p>
    <w:p>
      <w:pPr>
        <w:ind w:left="1680" w:right="480" w:hanging="362"/>
        <w:spacing w:after="0" w:line="277" w:lineRule="auto"/>
        <w:tabs>
          <w:tab w:leader="none" w:pos="16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Shareholders Resolution and the Board Resolutions have been duly resolved in meetings duly convened and have not been rescinded or amended and are in full force and effect;</w:t>
      </w:r>
    </w:p>
    <w:p>
      <w:pPr>
        <w:spacing w:after="0" w:line="75" w:lineRule="exact"/>
        <w:rPr>
          <w:rFonts w:ascii="Arial" w:cs="Arial" w:eastAsia="Arial" w:hAnsi="Arial"/>
          <w:sz w:val="18"/>
          <w:szCs w:val="18"/>
          <w:color w:val="auto"/>
        </w:rPr>
      </w:pPr>
    </w:p>
    <w:p>
      <w:pPr>
        <w:ind w:left="1680" w:right="280" w:hanging="362"/>
        <w:spacing w:after="0" w:line="277" w:lineRule="auto"/>
        <w:tabs>
          <w:tab w:leader="none" w:pos="16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Board Report, the Declarations and the Audit Confirmation have not been rescinded or amended and are in full force and effect, and the Bank Confirmation is correct as of the date hereof;</w:t>
      </w:r>
    </w:p>
    <w:p>
      <w:pPr>
        <w:spacing w:after="0" w:line="75" w:lineRule="exact"/>
        <w:rPr>
          <w:rFonts w:ascii="Arial" w:cs="Arial" w:eastAsia="Arial" w:hAnsi="Arial"/>
          <w:sz w:val="18"/>
          <w:szCs w:val="18"/>
          <w:color w:val="auto"/>
        </w:rPr>
      </w:pPr>
    </w:p>
    <w:p>
      <w:pPr>
        <w:ind w:left="1680" w:right="300" w:hanging="362"/>
        <w:spacing w:after="0" w:line="277" w:lineRule="auto"/>
        <w:tabs>
          <w:tab w:leader="none" w:pos="16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Subscription Form is within the capacity and power of, and has been validly authorized and executed by and is binding on, Credit Suisse AG;</w:t>
      </w:r>
    </w:p>
    <w:p>
      <w:pPr>
        <w:spacing w:after="0" w:line="75" w:lineRule="exact"/>
        <w:rPr>
          <w:rFonts w:ascii="Arial" w:cs="Arial" w:eastAsia="Arial" w:hAnsi="Arial"/>
          <w:sz w:val="18"/>
          <w:szCs w:val="18"/>
          <w:color w:val="auto"/>
        </w:rPr>
      </w:pPr>
    </w:p>
    <w:p>
      <w:pPr>
        <w:ind w:left="1680" w:hanging="362"/>
        <w:spacing w:after="0"/>
        <w:tabs>
          <w:tab w:leader="none" w:pos="16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Registration Statement has been duly filed by the Company;</w:t>
      </w:r>
    </w:p>
    <w:p>
      <w:pPr>
        <w:spacing w:after="0" w:line="130" w:lineRule="exact"/>
        <w:rPr>
          <w:rFonts w:ascii="Arial" w:cs="Arial" w:eastAsia="Arial" w:hAnsi="Arial"/>
          <w:sz w:val="18"/>
          <w:szCs w:val="18"/>
          <w:color w:val="auto"/>
        </w:rPr>
      </w:pPr>
    </w:p>
    <w:p>
      <w:pPr>
        <w:ind w:left="1680" w:right="240" w:hanging="362"/>
        <w:spacing w:after="0" w:line="308" w:lineRule="auto"/>
        <w:tabs>
          <w:tab w:leader="none" w:pos="168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Articles and the Excerpt are unchanged and correct as of the date hereof and no changes have been made which should have been or should be reflected in the Articles or the Excerpt as of the date hereof; and</w:t>
      </w:r>
    </w:p>
    <w:p>
      <w:pPr>
        <w:spacing w:after="0" w:line="51" w:lineRule="exact"/>
        <w:rPr>
          <w:rFonts w:ascii="Arial" w:cs="Arial" w:eastAsia="Arial" w:hAnsi="Arial"/>
          <w:sz w:val="17"/>
          <w:szCs w:val="17"/>
          <w:color w:val="auto"/>
        </w:rPr>
      </w:pPr>
    </w:p>
    <w:p>
      <w:pPr>
        <w:ind w:left="1680" w:right="240" w:hanging="362"/>
        <w:spacing w:after="0" w:line="277" w:lineRule="auto"/>
        <w:tabs>
          <w:tab w:leader="none" w:pos="16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all factual information contained in, or material statements given in connection with, the Documents are true, complete and accurate.</w:t>
      </w:r>
    </w:p>
    <w:p>
      <w:pPr>
        <w:spacing w:after="0" w:line="31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III. OPINION</w:t>
      </w:r>
    </w:p>
    <w:p>
      <w:pPr>
        <w:spacing w:after="0" w:line="121" w:lineRule="exact"/>
        <w:rPr>
          <w:sz w:val="20"/>
          <w:szCs w:val="20"/>
          <w:color w:val="auto"/>
        </w:rPr>
      </w:pPr>
    </w:p>
    <w:p>
      <w:pPr>
        <w:ind w:left="1320" w:right="180"/>
        <w:spacing w:after="0" w:line="279" w:lineRule="auto"/>
        <w:rPr>
          <w:sz w:val="20"/>
          <w:szCs w:val="20"/>
          <w:color w:val="auto"/>
        </w:rPr>
      </w:pPr>
      <w:r>
        <w:rPr>
          <w:rFonts w:ascii="Arial" w:cs="Arial" w:eastAsia="Arial" w:hAnsi="Arial"/>
          <w:sz w:val="17"/>
          <w:szCs w:val="17"/>
          <w:color w:val="auto"/>
        </w:rPr>
        <w:t>Based upon the foregoing and subject to the qualifications set out below, we are of the opinion that the Shares, when sold and upon registration of the corresponding share capital increase into the Commercial Register of the Canton of Vaud, will be validly issued, fully paid-in (up to their nominal amount) and non-assessable (which term means when used herein that no further contributions have to be made by the holders of the Shares).</w:t>
      </w:r>
    </w:p>
    <w:p>
      <w:pPr>
        <w:sectPr>
          <w:pgSz w:w="11900" w:h="16838" w:orient="portrait"/>
          <w:cols w:equalWidth="0" w:num="1">
            <w:col w:w="10220"/>
          </w:cols>
          <w:pgMar w:left="1440" w:top="273" w:right="239" w:bottom="1440" w:gutter="0" w:footer="0" w:header="0"/>
          <w:type w:val="continuous"/>
        </w:sectPr>
      </w:pPr>
    </w:p>
    <w:bookmarkStart w:id="353" w:name="page354"/>
    <w:bookmarkEnd w:id="353"/>
    <w:p>
      <w:pPr>
        <w:ind w:left="880"/>
        <w:spacing w:after="0"/>
        <w:tabs>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 May 2016</w:t>
      </w:r>
      <w:r>
        <w:rPr>
          <w:sz w:val="20"/>
          <w:szCs w:val="20"/>
          <w:color w:val="auto"/>
        </w:rPr>
        <w:tab/>
      </w:r>
      <w:r>
        <w:rPr>
          <w:rFonts w:ascii="Arial" w:cs="Arial" w:eastAsia="Arial" w:hAnsi="Arial"/>
          <w:sz w:val="14"/>
          <w:szCs w:val="14"/>
          <w:color w:val="auto"/>
        </w:rPr>
        <w:t>4</w:t>
      </w:r>
    </w:p>
    <w:p>
      <w:pPr>
        <w:sectPr>
          <w:pgSz w:w="11900" w:h="16838" w:orient="portrait"/>
          <w:cols w:equalWidth="0" w:num="1">
            <w:col w:w="10220"/>
          </w:cols>
          <w:pgMar w:left="1440" w:top="274" w:right="239" w:bottom="1440" w:gutter="0" w:footer="0" w:header="0"/>
        </w:sectPr>
      </w:pPr>
    </w:p>
    <w:p>
      <w:pPr>
        <w:spacing w:after="0" w:line="208"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IV.  QUALIFICATIONS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This opinion is subject to the following qualifications:</w:t>
      </w:r>
    </w:p>
    <w:p>
      <w:pPr>
        <w:spacing w:after="0" w:line="131" w:lineRule="exact"/>
        <w:rPr>
          <w:sz w:val="20"/>
          <w:szCs w:val="20"/>
          <w:color w:val="auto"/>
        </w:rPr>
      </w:pPr>
    </w:p>
    <w:p>
      <w:pPr>
        <w:ind w:left="1680" w:right="300" w:hanging="360"/>
        <w:spacing w:after="0" w:line="264" w:lineRule="auto"/>
        <w:tabs>
          <w:tab w:leader="none" w:pos="16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This opinion is limited to matters of Swiss law as in force on the date hereof and as applied and construed by the courts of Switzerland. We have not investigated the laws of any jurisdiction other than Switzerland, or any matters of fact.</w:t>
      </w:r>
    </w:p>
    <w:p>
      <w:pPr>
        <w:spacing w:after="0" w:line="86" w:lineRule="exact"/>
        <w:rPr>
          <w:rFonts w:ascii="Arial" w:cs="Arial" w:eastAsia="Arial" w:hAnsi="Arial"/>
          <w:sz w:val="18"/>
          <w:szCs w:val="18"/>
          <w:color w:val="auto"/>
        </w:rPr>
      </w:pPr>
    </w:p>
    <w:p>
      <w:pPr>
        <w:jc w:val="both"/>
        <w:ind w:left="1680" w:right="220" w:hanging="360"/>
        <w:spacing w:after="0" w:line="286" w:lineRule="auto"/>
        <w:tabs>
          <w:tab w:leader="none" w:pos="168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opinion set forth herein is limited to the matters specifically addressed herein, and no other opinion or opinions are expressed or may be implied or inferred. In particular we express no opinion as to any commercial, calculating, auditing or other non-legal matters. Further, we express no opinion as to tax law.</w:t>
      </w:r>
    </w:p>
    <w:p>
      <w:pPr>
        <w:spacing w:after="0" w:line="70" w:lineRule="exact"/>
        <w:rPr>
          <w:rFonts w:ascii="Arial" w:cs="Arial" w:eastAsia="Arial" w:hAnsi="Arial"/>
          <w:sz w:val="17"/>
          <w:szCs w:val="17"/>
          <w:color w:val="auto"/>
        </w:rPr>
      </w:pPr>
    </w:p>
    <w:p>
      <w:pPr>
        <w:ind w:left="1680" w:right="880" w:hanging="360"/>
        <w:spacing w:after="0" w:line="277" w:lineRule="auto"/>
        <w:tabs>
          <w:tab w:leader="none" w:pos="16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We express no opinion as to the accuracy or completeness of the information contained in the Registration Statement.</w:t>
      </w:r>
    </w:p>
    <w:p>
      <w:pPr>
        <w:spacing w:after="0" w:line="170"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sz w:val="20"/>
          <w:szCs w:val="20"/>
          <w:color w:val="auto"/>
        </w:rPr>
      </w:pPr>
    </w:p>
    <w:p>
      <w:pPr>
        <w:ind w:left="1320" w:right="580"/>
        <w:spacing w:after="0" w:line="277" w:lineRule="auto"/>
        <w:rPr>
          <w:sz w:val="20"/>
          <w:szCs w:val="20"/>
          <w:color w:val="auto"/>
        </w:rPr>
      </w:pPr>
      <w:r>
        <w:rPr>
          <w:rFonts w:ascii="Arial" w:cs="Arial" w:eastAsia="Arial" w:hAnsi="Arial"/>
          <w:sz w:val="18"/>
          <w:szCs w:val="18"/>
          <w:color w:val="auto"/>
        </w:rPr>
        <w:t>We have rendered this opinion as of the date hereof and we assume no obligation to advise you of changes that may thereafter be brought to our attention.</w:t>
      </w:r>
    </w:p>
    <w:p>
      <w:pPr>
        <w:spacing w:after="0" w:line="170" w:lineRule="exact"/>
        <w:rPr>
          <w:sz w:val="20"/>
          <w:szCs w:val="20"/>
          <w:color w:val="auto"/>
        </w:rPr>
      </w:pPr>
    </w:p>
    <w:p>
      <w:pPr>
        <w:ind w:left="1320" w:right="160"/>
        <w:spacing w:after="0" w:line="255" w:lineRule="auto"/>
        <w:rPr>
          <w:sz w:val="20"/>
          <w:szCs w:val="20"/>
          <w:color w:val="auto"/>
        </w:rPr>
      </w:pPr>
      <w:r>
        <w:rPr>
          <w:rFonts w:ascii="Arial" w:cs="Arial" w:eastAsia="Arial" w:hAnsi="Arial"/>
          <w:sz w:val="18"/>
          <w:szCs w:val="18"/>
          <w:color w:val="auto"/>
        </w:rPr>
        <w:t>In this opinion, Swiss legal concepts are expressed in English terms and not in their original terms. The concepts concerned may not be identical to the concepts described by the same English terms as they exist under the laws of other jurisdictions. Each person relying on this opinion agrees, in so relying, that only VISCHER AG shall have any liability in connection with this opinion, that the agreement in this Section IV and all liability and other matters relating to this opinion shall be governed exclusively by Swiss law and that the courts in Zurich, Switzerland shall have exclusive jurisdiction to settle any dispute relating to this opinion.</w:t>
      </w:r>
    </w:p>
    <w:p>
      <w:pPr>
        <w:spacing w:after="0" w:line="193" w:lineRule="exact"/>
        <w:rPr>
          <w:sz w:val="20"/>
          <w:szCs w:val="20"/>
          <w:color w:val="auto"/>
        </w:rPr>
      </w:pPr>
    </w:p>
    <w:p>
      <w:pPr>
        <w:ind w:left="1320" w:right="420"/>
        <w:spacing w:after="0" w:line="312"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references to us under the heading “Legal Matters” contained in the Registration Statement. In giving such consent, we do not thereby admit that we are in the category of persons whose consent is required under Section 7 of the Securities Act.</w:t>
      </w:r>
    </w:p>
    <w:p>
      <w:pPr>
        <w:spacing w:after="0" w:line="25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VISCHER AG</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 Matthias Staehelin</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Matthias Staehelin</w:t>
      </w:r>
    </w:p>
    <w:p>
      <w:pPr>
        <w:sectPr>
          <w:pgSz w:w="11900" w:h="16838" w:orient="portrait"/>
          <w:cols w:equalWidth="0" w:num="1">
            <w:col w:w="10220"/>
          </w:cols>
          <w:pgMar w:left="1440" w:top="274" w:right="239" w:bottom="1440" w:gutter="0" w:footer="0" w:header="0"/>
          <w:type w:val="continuous"/>
        </w:sectPr>
      </w:pPr>
    </w:p>
    <w:bookmarkStart w:id="354" w:name="page355"/>
    <w:bookmarkEnd w:id="3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VISCHER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CH-4010 Basel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+41 58 211 33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+41 58 211 33 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Zurich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Schützengasse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CH-8021 Zurich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+41 58 211 34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+41 58 211 34 10</w:t>
      </w:r>
    </w:p>
    <w:p>
      <w:pPr>
        <w:spacing w:after="0" w:line="211" w:lineRule="exact"/>
        <w:rPr>
          <w:sz w:val="20"/>
          <w:szCs w:val="20"/>
          <w:color w:val="auto"/>
        </w:rPr>
      </w:pPr>
    </w:p>
    <w:p>
      <w:pPr>
        <w:ind w:right="218"/>
        <w:spacing w:after="0" w:line="277" w:lineRule="auto"/>
        <w:rPr>
          <w:sz w:val="20"/>
          <w:szCs w:val="20"/>
          <w:color w:val="auto"/>
        </w:rPr>
      </w:pPr>
      <w:r>
        <w:rPr>
          <w:rFonts w:ascii="Arial" w:cs="Arial" w:eastAsia="Arial" w:hAnsi="Arial"/>
          <w:sz w:val="18"/>
          <w:szCs w:val="18"/>
          <w:color w:val="auto"/>
        </w:rPr>
        <w:t>Civil Law Notaries in Basel-City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2"/>
        <w:spacing w:after="0"/>
        <w:rPr>
          <w:sz w:val="20"/>
          <w:szCs w:val="20"/>
          <w:color w:val="auto"/>
        </w:rPr>
      </w:pPr>
      <w:r>
        <w:rPr>
          <w:rFonts w:ascii="Arial" w:cs="Arial" w:eastAsia="Arial" w:hAnsi="Arial"/>
          <w:sz w:val="18"/>
          <w:szCs w:val="18"/>
          <w:color w:val="auto"/>
        </w:rPr>
        <w:t>1015 Lausanne</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8"/>
          <w:szCs w:val="18"/>
          <w:color w:val="auto"/>
        </w:rPr>
        <w:t>Basel, September 25, 2015</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AC Immune SA – Registration Statement on Form F-1</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left="2" w:right="240"/>
        <w:spacing w:after="0" w:line="257" w:lineRule="auto"/>
        <w:rPr>
          <w:sz w:val="20"/>
          <w:szCs w:val="20"/>
          <w:color w:val="auto"/>
        </w:rPr>
      </w:pPr>
      <w:r>
        <w:rPr>
          <w:rFonts w:ascii="Arial" w:cs="Arial" w:eastAsia="Arial" w:hAnsi="Arial"/>
          <w:sz w:val="18"/>
          <w:szCs w:val="18"/>
          <w:color w:val="auto"/>
        </w:rPr>
        <w:t>This opinion is being rendered at the request of the Company in connection with the Draft Registration Statement on Form F-1 submitted to the U.S. Securities and Exchange Commission on August 28, 2015, CIK No 0001651625 (the “Registration Statement”, which term does not include any other document or agreement whether or not specifically referred to therein or attached as an exhibit or schedule thereto). As such counsel, we have been requested to render an opinion as to certain matters of Swiss law.</w:t>
      </w:r>
    </w:p>
    <w:p>
      <w:pPr>
        <w:spacing w:after="0" w:line="333" w:lineRule="exact"/>
        <w:rPr>
          <w:sz w:val="20"/>
          <w:szCs w:val="20"/>
          <w:color w:val="auto"/>
        </w:rPr>
      </w:pPr>
    </w:p>
    <w:p>
      <w:pPr>
        <w:ind w:left="342" w:hanging="342"/>
        <w:spacing w:after="0"/>
        <w:tabs>
          <w:tab w:leader="none" w:pos="342"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121" w:lineRule="exact"/>
        <w:rPr>
          <w:sz w:val="20"/>
          <w:szCs w:val="20"/>
          <w:color w:val="auto"/>
        </w:rPr>
      </w:pPr>
    </w:p>
    <w:p>
      <w:pPr>
        <w:jc w:val="both"/>
        <w:ind w:left="2" w:right="160"/>
        <w:spacing w:after="0" w:line="264" w:lineRule="auto"/>
        <w:rPr>
          <w:sz w:val="20"/>
          <w:szCs w:val="20"/>
          <w:color w:val="auto"/>
        </w:rPr>
      </w:pPr>
      <w:r>
        <w:rPr>
          <w:rFonts w:ascii="Arial" w:cs="Arial" w:eastAsia="Arial" w:hAnsi="Arial"/>
          <w:sz w:val="18"/>
          <w:szCs w:val="18"/>
          <w:color w:val="auto"/>
        </w:rPr>
        <w:t>This opinion is confined to and given on the basis of the laws of Switzerland in force at the date hereof and as currently applied by the Swiss courts. In the absence of statutory or established case law, we base our opinion on our independent professional judgement.</w:t>
      </w:r>
    </w:p>
    <w:p>
      <w:pPr>
        <w:spacing w:after="0" w:line="181" w:lineRule="exact"/>
        <w:rPr>
          <w:sz w:val="20"/>
          <w:szCs w:val="20"/>
          <w:color w:val="auto"/>
        </w:rPr>
      </w:pPr>
    </w:p>
    <w:p>
      <w:pPr>
        <w:jc w:val="both"/>
        <w:ind w:left="2" w:right="140"/>
        <w:spacing w:after="0" w:line="277" w:lineRule="auto"/>
        <w:rPr>
          <w:sz w:val="20"/>
          <w:szCs w:val="20"/>
          <w:color w:val="auto"/>
        </w:rPr>
      </w:pPr>
      <w:r>
        <w:rPr>
          <w:rFonts w:ascii="Arial" w:cs="Arial" w:eastAsia="Arial" w:hAnsi="Arial"/>
          <w:sz w:val="18"/>
          <w:szCs w:val="18"/>
          <w:color w:val="auto"/>
        </w:rPr>
        <w:t>This opinion is also confined to the matters stated herein and is not to be read as extending, by implication or otherwise, to any other matter.</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color w:val="auto"/>
        </w:rPr>
        <w:t>For the purpose of giving this opinion, we have only examined a pdf copy of the Registration Statement.</w:t>
      </w:r>
    </w:p>
    <w:p>
      <w:pPr>
        <w:spacing w:after="0" w:line="225" w:lineRule="exact"/>
        <w:rPr>
          <w:sz w:val="20"/>
          <w:szCs w:val="20"/>
          <w:color w:val="auto"/>
        </w:rPr>
      </w:pPr>
    </w:p>
    <w:p>
      <w:pPr>
        <w:ind w:left="2" w:right="180"/>
        <w:spacing w:after="0" w:line="277" w:lineRule="auto"/>
        <w:rPr>
          <w:sz w:val="20"/>
          <w:szCs w:val="20"/>
          <w:color w:val="auto"/>
        </w:rPr>
      </w:pPr>
      <w:r>
        <w:rPr>
          <w:rFonts w:ascii="Arial" w:cs="Arial" w:eastAsia="Arial" w:hAnsi="Arial"/>
          <w:sz w:val="18"/>
          <w:szCs w:val="18"/>
          <w:color w:val="auto"/>
        </w:rPr>
        <w:t>All terms used in this opinion in uppercase form shall have the meaning ascribed to them in the Registration Statement, unless otherwise defined herein.</w:t>
      </w:r>
    </w:p>
    <w:p>
      <w:pPr>
        <w:spacing w:after="0" w:line="315" w:lineRule="exact"/>
        <w:rPr>
          <w:sz w:val="20"/>
          <w:szCs w:val="20"/>
          <w:color w:val="auto"/>
        </w:rPr>
      </w:pPr>
    </w:p>
    <w:p>
      <w:pPr>
        <w:ind w:left="2"/>
        <w:spacing w:after="0"/>
        <w:tabs>
          <w:tab w:leader="none" w:pos="321"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7"/>
          <w:szCs w:val="17"/>
          <w:b w:val="1"/>
          <w:bCs w:val="1"/>
          <w:color w:val="auto"/>
        </w:rPr>
        <w:t>ASSUMPTIONS</w:t>
      </w:r>
    </w:p>
    <w:p>
      <w:pPr>
        <w:spacing w:after="0" w:line="121" w:lineRule="exact"/>
        <w:rPr>
          <w:sz w:val="20"/>
          <w:szCs w:val="20"/>
          <w:color w:val="auto"/>
        </w:rPr>
      </w:pPr>
    </w:p>
    <w:p>
      <w:pPr>
        <w:ind w:left="2"/>
        <w:spacing w:after="0"/>
        <w:rPr>
          <w:sz w:val="20"/>
          <w:szCs w:val="20"/>
          <w:color w:val="auto"/>
        </w:rPr>
      </w:pPr>
      <w:r>
        <w:rPr>
          <w:rFonts w:ascii="Arial" w:cs="Arial" w:eastAsia="Arial" w:hAnsi="Arial"/>
          <w:sz w:val="18"/>
          <w:szCs w:val="18"/>
          <w:color w:val="auto"/>
        </w:rPr>
        <w:t>In rendering the opinion below, we have assumed:</w:t>
      </w:r>
    </w:p>
    <w:p>
      <w:pPr>
        <w:spacing w:after="0" w:line="131" w:lineRule="exact"/>
        <w:rPr>
          <w:sz w:val="20"/>
          <w:szCs w:val="20"/>
          <w:color w:val="auto"/>
        </w:rPr>
      </w:pPr>
    </w:p>
    <w:p>
      <w:pPr>
        <w:ind w:left="342" w:right="80" w:hanging="342"/>
        <w:spacing w:after="0" w:line="277" w:lineRule="auto"/>
        <w:tabs>
          <w:tab w:leader="none" w:pos="34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offering and sale of the shares being registered by the Registration Statement will be conducted in the manner as described in the Registration Statement;</w:t>
      </w:r>
    </w:p>
    <w:p>
      <w:pPr>
        <w:sectPr>
          <w:pgSz w:w="11900" w:h="16838" w:orient="portrait"/>
          <w:cols w:equalWidth="0" w:num="2">
            <w:col w:w="1798" w:space="720"/>
            <w:col w:w="8782"/>
          </w:cols>
          <w:pgMar w:left="240" w:top="175" w:right="359" w:bottom="1440" w:gutter="0" w:footer="0" w:header="0"/>
        </w:sectPr>
      </w:pPr>
    </w:p>
    <w:bookmarkStart w:id="355" w:name="page356"/>
    <w:bookmarkEnd w:id="355"/>
    <w:tbl>
      <w:tblPr>
        <w:tblLayout w:type="fixed"/>
        <w:tblInd w:w="132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September 25, 2015</w:t>
            </w:r>
          </w:p>
        </w:tc>
        <w:tc>
          <w:tcPr>
            <w:tcW w:w="37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660" w:right="680" w:hanging="340"/>
        <w:spacing w:after="0" w:line="277" w:lineRule="auto"/>
        <w:tabs>
          <w:tab w:leader="none" w:pos="1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Registration Statement has been duly submitted by the Company with the U.S. Securities and Exchange Commission; and</w:t>
      </w:r>
    </w:p>
    <w:p>
      <w:pPr>
        <w:spacing w:after="0" w:line="75" w:lineRule="exact"/>
        <w:rPr>
          <w:rFonts w:ascii="Arial" w:cs="Arial" w:eastAsia="Arial" w:hAnsi="Arial"/>
          <w:sz w:val="18"/>
          <w:szCs w:val="18"/>
          <w:color w:val="auto"/>
        </w:rPr>
      </w:pPr>
    </w:p>
    <w:p>
      <w:pPr>
        <w:ind w:left="1660" w:right="120" w:hanging="340"/>
        <w:spacing w:after="0" w:line="277" w:lineRule="auto"/>
        <w:tabs>
          <w:tab w:leader="none" w:pos="1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all factual information contained in, or material statements given in connection with, the Registration Statement are true, complete and accurate.</w:t>
      </w:r>
    </w:p>
    <w:p>
      <w:pPr>
        <w:spacing w:after="0" w:line="315"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III. OPINION</w:t>
      </w:r>
    </w:p>
    <w:p>
      <w:pPr>
        <w:spacing w:after="0" w:line="121" w:lineRule="exact"/>
        <w:rPr>
          <w:sz w:val="20"/>
          <w:szCs w:val="20"/>
          <w:color w:val="auto"/>
        </w:rPr>
      </w:pPr>
    </w:p>
    <w:p>
      <w:pPr>
        <w:ind w:left="1320" w:right="160"/>
        <w:spacing w:after="0" w:line="259" w:lineRule="auto"/>
        <w:rPr>
          <w:sz w:val="20"/>
          <w:szCs w:val="20"/>
          <w:color w:val="auto"/>
        </w:rPr>
      </w:pPr>
      <w:r>
        <w:rPr>
          <w:rFonts w:ascii="Arial" w:cs="Arial" w:eastAsia="Arial" w:hAnsi="Arial"/>
          <w:sz w:val="18"/>
          <w:szCs w:val="18"/>
          <w:color w:val="auto"/>
        </w:rPr>
        <w:t>Based upon the foregoing and subject to the qualifications set out below, we are of the opinion that as of the date hereof the discussion in the Registration Statement contained under the heading “Taxation—Swiss Tax Considerations” is as it addresses matters of Swiss tax law or considerations, an accurate summary in all material respects of the tax matters purported to be described therein.</w:t>
      </w:r>
    </w:p>
    <w:p>
      <w:pPr>
        <w:spacing w:after="0" w:line="33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IV.  QUALIFICATIONS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This opinion is subject to the following qualifications:</w:t>
      </w:r>
    </w:p>
    <w:p>
      <w:pPr>
        <w:spacing w:after="0" w:line="131" w:lineRule="exact"/>
        <w:rPr>
          <w:sz w:val="20"/>
          <w:szCs w:val="20"/>
          <w:color w:val="auto"/>
        </w:rPr>
      </w:pPr>
    </w:p>
    <w:p>
      <w:pPr>
        <w:ind w:left="1660" w:right="200" w:hanging="340"/>
        <w:spacing w:after="0" w:line="264" w:lineRule="auto"/>
        <w:tabs>
          <w:tab w:leader="none" w:pos="1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This opinion is limited to matters of Swiss law as in force on the date hereof and as applied and construed by the courts of Switzerland. We have not investigated the laws of any jurisdiction other than Switzerland, or any matters of fact.</w:t>
      </w:r>
    </w:p>
    <w:p>
      <w:pPr>
        <w:spacing w:after="0" w:line="86" w:lineRule="exact"/>
        <w:rPr>
          <w:rFonts w:ascii="Arial" w:cs="Arial" w:eastAsia="Arial" w:hAnsi="Arial"/>
          <w:sz w:val="18"/>
          <w:szCs w:val="18"/>
          <w:color w:val="auto"/>
        </w:rPr>
      </w:pPr>
    </w:p>
    <w:p>
      <w:pPr>
        <w:ind w:left="1660" w:right="100" w:hanging="340"/>
        <w:spacing w:after="0" w:line="277" w:lineRule="auto"/>
        <w:tabs>
          <w:tab w:leader="none" w:pos="1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opinion set forth herein is limited to the matters specifically addressed herein, and no other opinion or opinions are expressed or may be implied or inferred.</w:t>
      </w:r>
    </w:p>
    <w:p>
      <w:pPr>
        <w:spacing w:after="0" w:line="75" w:lineRule="exact"/>
        <w:rPr>
          <w:rFonts w:ascii="Arial" w:cs="Arial" w:eastAsia="Arial" w:hAnsi="Arial"/>
          <w:sz w:val="18"/>
          <w:szCs w:val="18"/>
          <w:color w:val="auto"/>
        </w:rPr>
      </w:pPr>
    </w:p>
    <w:p>
      <w:pPr>
        <w:ind w:left="1660" w:right="160" w:hanging="340"/>
        <w:spacing w:after="0" w:line="277" w:lineRule="auto"/>
        <w:tabs>
          <w:tab w:leader="none" w:pos="1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Except as expressly stated herein, we express no opinion as to any other legal matters. We express no opinion as to any non-legal matters.</w:t>
      </w:r>
    </w:p>
    <w:p>
      <w:pPr>
        <w:spacing w:after="0" w:line="170" w:lineRule="exact"/>
        <w:rPr>
          <w:sz w:val="20"/>
          <w:szCs w:val="20"/>
          <w:color w:val="auto"/>
        </w:rPr>
      </w:pPr>
    </w:p>
    <w:p>
      <w:pPr>
        <w:ind w:left="1320" w:right="460"/>
        <w:spacing w:after="0" w:line="277" w:lineRule="auto"/>
        <w:rPr>
          <w:sz w:val="20"/>
          <w:szCs w:val="20"/>
          <w:color w:val="auto"/>
        </w:rPr>
      </w:pPr>
      <w:r>
        <w:rPr>
          <w:rFonts w:ascii="Arial" w:cs="Arial" w:eastAsia="Arial" w:hAnsi="Arial"/>
          <w:sz w:val="18"/>
          <w:szCs w:val="18"/>
          <w:color w:val="auto"/>
        </w:rPr>
        <w:t>We have rendered this opinion as of the date hereof and we assume no obligation to advise you of changes that may thereafter be brought to our attention.</w:t>
      </w:r>
    </w:p>
    <w:p>
      <w:pPr>
        <w:spacing w:after="0" w:line="170" w:lineRule="exact"/>
        <w:rPr>
          <w:sz w:val="20"/>
          <w:szCs w:val="20"/>
          <w:color w:val="auto"/>
        </w:rPr>
      </w:pPr>
    </w:p>
    <w:p>
      <w:pPr>
        <w:ind w:left="1320" w:right="40"/>
        <w:spacing w:after="0" w:line="255" w:lineRule="auto"/>
        <w:rPr>
          <w:sz w:val="20"/>
          <w:szCs w:val="20"/>
          <w:color w:val="auto"/>
        </w:rPr>
      </w:pPr>
      <w:r>
        <w:rPr>
          <w:rFonts w:ascii="Arial" w:cs="Arial" w:eastAsia="Arial" w:hAnsi="Arial"/>
          <w:sz w:val="18"/>
          <w:szCs w:val="18"/>
          <w:color w:val="auto"/>
        </w:rPr>
        <w:t>In this opinion, Swiss legal concepts are expressed in English terms and not in their original terms. The concepts concerned may not be identical to the concepts described by the same English terms as they exist under the laws of other jurisdictions. Each person relying on this opinion agrees, in so relying, that only VISCHER AG shall have any liability in connection with this opinion, that the agreement in this Section IV and all liability and other matters relating to this opinion shall be governed exclusively by Swiss law and that the courts in Zurich, Switzerland shall have exclusive jurisdiction to settle any dispute relating to this opinion.</w:t>
      </w:r>
    </w:p>
    <w:p>
      <w:pPr>
        <w:spacing w:after="0" w:line="193" w:lineRule="exact"/>
        <w:rPr>
          <w:sz w:val="20"/>
          <w:szCs w:val="20"/>
          <w:color w:val="auto"/>
        </w:rPr>
      </w:pPr>
    </w:p>
    <w:p>
      <w:pPr>
        <w:ind w:left="1320" w:right="100"/>
        <w:spacing w:after="0" w:line="342" w:lineRule="auto"/>
        <w:rPr>
          <w:sz w:val="20"/>
          <w:szCs w:val="20"/>
          <w:color w:val="auto"/>
        </w:rPr>
      </w:pPr>
      <w:r>
        <w:rPr>
          <w:rFonts w:ascii="Arial" w:cs="Arial" w:eastAsia="Arial" w:hAnsi="Arial"/>
          <w:sz w:val="16"/>
          <w:szCs w:val="16"/>
          <w:color w:val="auto"/>
        </w:rPr>
        <w:t>This opinion is an exhibit to the Registration Statement and may be relied upon for the purpose of the registration pursuant to the Registration Statement. It may not be supplied, and its contents or existence may not be disclosed, to any</w:t>
      </w:r>
    </w:p>
    <w:p>
      <w:pPr>
        <w:sectPr>
          <w:pgSz w:w="11900" w:h="16838" w:orient="portrait"/>
          <w:cols w:equalWidth="0" w:num="1">
            <w:col w:w="10100"/>
          </w:cols>
          <w:pgMar w:left="1440" w:top="327" w:right="359" w:bottom="1440" w:gutter="0" w:footer="0" w:header="0"/>
        </w:sectPr>
      </w:pPr>
    </w:p>
    <w:bookmarkStart w:id="356" w:name="page357"/>
    <w:bookmarkEnd w:id="356"/>
    <w:tbl>
      <w:tblPr>
        <w:tblLayout w:type="fixed"/>
        <w:tblInd w:w="132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September 25, 2015</w:t>
            </w:r>
          </w:p>
        </w:tc>
        <w:tc>
          <w:tcPr>
            <w:tcW w:w="37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left="1320" w:right="20"/>
        <w:spacing w:after="0" w:line="277" w:lineRule="auto"/>
        <w:rPr>
          <w:sz w:val="20"/>
          <w:szCs w:val="20"/>
          <w:color w:val="auto"/>
        </w:rPr>
      </w:pPr>
      <w:r>
        <w:rPr>
          <w:rFonts w:ascii="Arial" w:cs="Arial" w:eastAsia="Arial" w:hAnsi="Arial"/>
          <w:sz w:val="18"/>
          <w:szCs w:val="18"/>
          <w:color w:val="auto"/>
        </w:rPr>
        <w:t>person other than as an Exhibit to (and therefore together with) the Registration Statement and may not be relied upon for any purpose other than the registration pursuant to the Registration Statement.</w:t>
      </w:r>
    </w:p>
    <w:p>
      <w:pPr>
        <w:spacing w:after="0" w:line="170" w:lineRule="exact"/>
        <w:rPr>
          <w:sz w:val="20"/>
          <w:szCs w:val="20"/>
          <w:color w:val="auto"/>
        </w:rPr>
      </w:pPr>
    </w:p>
    <w:p>
      <w:pPr>
        <w:ind w:left="1320" w:right="300"/>
        <w:spacing w:after="0" w:line="312"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references to us under the heading “Legal Matters” contained in the Registration Statement. In giving such consent, we do not thereby admit that we are in the category of persons whose consent is required under Section 7 of the Securities Act.</w:t>
      </w:r>
    </w:p>
    <w:p>
      <w:pPr>
        <w:spacing w:after="0" w:line="14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VISCHER AG</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 Nadia Tarolli</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Nadia Tarolli</w:t>
      </w:r>
    </w:p>
    <w:p>
      <w:pPr>
        <w:sectPr>
          <w:pgSz w:w="11900" w:h="16838" w:orient="portrait"/>
          <w:cols w:equalWidth="0" w:num="1">
            <w:col w:w="10100"/>
          </w:cols>
          <w:pgMar w:left="1440" w:top="328" w:right="359" w:bottom="1440" w:gutter="0" w:footer="0" w:header="0"/>
        </w:sectPr>
      </w:pPr>
    </w:p>
    <w:bookmarkStart w:id="357" w:name="page358"/>
    <w:bookmarkEnd w:id="357"/>
    <w:p>
      <w:pPr>
        <w:ind w:left="10580"/>
        <w:spacing w:after="0"/>
        <w:rPr>
          <w:sz w:val="20"/>
          <w:szCs w:val="20"/>
          <w:color w:val="auto"/>
        </w:rPr>
      </w:pPr>
      <w:r>
        <w:rPr>
          <w:rFonts w:ascii="Arial" w:cs="Arial" w:eastAsia="Arial" w:hAnsi="Arial"/>
          <w:sz w:val="16"/>
          <w:szCs w:val="16"/>
          <w:b w:val="1"/>
          <w:bCs w:val="1"/>
          <w:color w:val="auto"/>
        </w:rPr>
        <w:t>Exhibit 8.2</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168910</wp:posOffset>
            </wp:positionV>
            <wp:extent cx="1372235" cy="2489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72235"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9460" w:space="720"/>
            <w:col w:w="124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5"/>
                <w:szCs w:val="15"/>
                <w:color w:val="auto"/>
              </w:rPr>
              <w:t>LLP</w:t>
            </w:r>
          </w:p>
        </w:tc>
        <w:tc>
          <w:tcPr>
            <w:tcW w:w="1780" w:type="dxa"/>
            <w:vAlign w:val="bottom"/>
          </w:tcPr>
          <w:p>
            <w:pPr>
              <w:ind w:left="520"/>
              <w:spacing w:after="0"/>
              <w:rPr>
                <w:sz w:val="20"/>
                <w:szCs w:val="20"/>
                <w:color w:val="auto"/>
              </w:rPr>
            </w:pPr>
            <w:r>
              <w:rPr>
                <w:rFonts w:ascii="Arial" w:cs="Arial" w:eastAsia="Arial" w:hAnsi="Arial"/>
                <w:sz w:val="18"/>
                <w:szCs w:val="18"/>
                <w:color w:val="auto"/>
                <w:w w:val="92"/>
              </w:rPr>
              <w:t>212 450 4000 tel</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450 Lexington Avenue</w:t>
            </w:r>
          </w:p>
        </w:tc>
        <w:tc>
          <w:tcPr>
            <w:tcW w:w="1780" w:type="dxa"/>
            <w:vAlign w:val="bottom"/>
          </w:tcPr>
          <w:p>
            <w:pPr>
              <w:ind w:left="520"/>
              <w:spacing w:after="0"/>
              <w:rPr>
                <w:sz w:val="20"/>
                <w:szCs w:val="20"/>
                <w:color w:val="auto"/>
              </w:rPr>
            </w:pPr>
            <w:r>
              <w:rPr>
                <w:rFonts w:ascii="Arial" w:cs="Arial" w:eastAsia="Arial" w:hAnsi="Arial"/>
                <w:sz w:val="18"/>
                <w:szCs w:val="18"/>
                <w:color w:val="auto"/>
                <w:w w:val="89"/>
              </w:rPr>
              <w:t>212 701 5800 fax</w:t>
            </w:r>
          </w:p>
        </w:tc>
      </w:tr>
    </w:tbl>
    <w:p>
      <w:pPr>
        <w:spacing w:after="0"/>
        <w:rPr>
          <w:sz w:val="20"/>
          <w:szCs w:val="20"/>
          <w:color w:val="auto"/>
        </w:rPr>
      </w:pPr>
      <w:r>
        <w:rPr>
          <w:rFonts w:ascii="Arial" w:cs="Arial" w:eastAsia="Arial" w:hAnsi="Arial"/>
          <w:sz w:val="18"/>
          <w:szCs w:val="18"/>
          <w:color w:val="auto"/>
        </w:rPr>
        <w:t>New York, NY 10017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1015 Lausanne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right="240"/>
        <w:spacing w:after="0" w:line="289" w:lineRule="auto"/>
        <w:rPr>
          <w:sz w:val="20"/>
          <w:szCs w:val="20"/>
          <w:color w:val="auto"/>
        </w:rPr>
      </w:pPr>
      <w:r>
        <w:rPr>
          <w:rFonts w:ascii="Arial" w:cs="Arial" w:eastAsia="Arial" w:hAnsi="Arial"/>
          <w:sz w:val="17"/>
          <w:szCs w:val="17"/>
          <w:color w:val="auto"/>
        </w:rPr>
        <w:t>We are acting as United States counsel to AC Immune SA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preparation of the Registration Statement on Form F-1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(the “</w:t>
      </w:r>
      <w:r>
        <w:rPr>
          <w:rFonts w:ascii="Arial" w:cs="Arial" w:eastAsia="Arial" w:hAnsi="Arial"/>
          <w:sz w:val="17"/>
          <w:szCs w:val="17"/>
          <w:b w:val="1"/>
          <w:bCs w:val="1"/>
          <w:color w:val="auto"/>
        </w:rPr>
        <w:t>Prospectus</w:t>
      </w:r>
      <w:r>
        <w:rPr>
          <w:rFonts w:ascii="Arial" w:cs="Arial" w:eastAsia="Arial" w:hAnsi="Arial"/>
          <w:sz w:val="17"/>
          <w:szCs w:val="17"/>
          <w:color w:val="auto"/>
        </w:rPr>
        <w:t>”) filed with the United States Securities and Exchange Commission. We have examined such matters of fact and law as we have deemed necessary or advisable for the purpose of this opinion.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We hereby confirm our opinion set forth under the caption “Taxation—Material U.S. Federal Income Tax Considerations for U.S. Holders” in the Prospectus.</w:t>
      </w:r>
    </w:p>
    <w:p>
      <w:pPr>
        <w:spacing w:after="0" w:line="2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federal laws of the United States.</w:t>
      </w:r>
    </w:p>
    <w:p>
      <w:pPr>
        <w:spacing w:after="0" w:line="1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hereby consent to the use of our name under the captions “Taxation—Material U.S. Federal Income Tax Considerations for U.S. Holders” and “Legal Matters” in the Prospectus included in the Registration Statement and to the filing, as an exhibit to the Registration Statement, of this letter. In giving this consent we do not admit that we come within the category of persons whose consent is required under Section 7 of the Securities Act of 1933, as amended.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ectPr>
          <w:pgSz w:w="11900" w:h="16838" w:orient="portrait"/>
          <w:cols w:equalWidth="0" w:num="1">
            <w:col w:w="11420"/>
          </w:cols>
          <w:pgMar w:left="240" w:top="121" w:right="239" w:bottom="1440" w:gutter="0" w:footer="0" w:header="0"/>
          <w:type w:val="continuous"/>
        </w:sectPr>
      </w:pPr>
    </w:p>
    <w:bookmarkStart w:id="358" w:name="page359"/>
    <w:bookmarkEnd w:id="358"/>
    <w:p>
      <w:pPr>
        <w:ind w:left="104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RESEARCH COLLABORATION AND LICENSE AGREEMENT</w:t>
      </w:r>
    </w:p>
    <w:p>
      <w:pPr>
        <w:spacing w:after="0" w:line="229" w:lineRule="exact"/>
        <w:rPr>
          <w:sz w:val="20"/>
          <w:szCs w:val="20"/>
          <w:color w:val="auto"/>
        </w:rPr>
      </w:pPr>
    </w:p>
    <w:p>
      <w:pPr>
        <w:ind w:right="440" w:firstLine="456"/>
        <w:spacing w:after="0" w:line="279" w:lineRule="auto"/>
        <w:rPr>
          <w:sz w:val="20"/>
          <w:szCs w:val="20"/>
          <w:color w:val="auto"/>
        </w:rPr>
      </w:pPr>
      <w:r>
        <w:rPr>
          <w:rFonts w:ascii="Arial" w:cs="Arial" w:eastAsia="Arial" w:hAnsi="Arial"/>
          <w:sz w:val="17"/>
          <w:szCs w:val="17"/>
          <w:color w:val="auto"/>
        </w:rPr>
        <w:t>This Research Collaboration and License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the 6</w:t>
      </w:r>
      <w:r>
        <w:rPr>
          <w:rFonts w:ascii="Arial" w:cs="Arial" w:eastAsia="Arial" w:hAnsi="Arial"/>
          <w:sz w:val="14"/>
          <w:szCs w:val="14"/>
          <w:color w:val="auto"/>
        </w:rPr>
        <w:t>th</w:t>
      </w:r>
      <w:r>
        <w:rPr>
          <w:rFonts w:ascii="Arial" w:cs="Arial" w:eastAsia="Arial" w:hAnsi="Arial"/>
          <w:sz w:val="17"/>
          <w:szCs w:val="17"/>
          <w:color w:val="auto"/>
        </w:rPr>
        <w:t xml:space="preserve"> day of November, 2006 (the “</w:t>
      </w:r>
      <w:r>
        <w:rPr>
          <w:rFonts w:ascii="Arial" w:cs="Arial" w:eastAsia="Arial" w:hAnsi="Arial"/>
          <w:sz w:val="17"/>
          <w:szCs w:val="17"/>
          <w:u w:val="single" w:color="auto"/>
          <w:color w:val="auto"/>
        </w:rPr>
        <w:t>Effective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by and between AC Immune SA Corporation, a Swiss corporation with a principal place of business at Parc scientifique EPFL, PSE-B, CH-1015 Lausanne, Switzerland (“</w:t>
      </w:r>
      <w:r>
        <w:rPr>
          <w:rFonts w:ascii="Arial" w:cs="Arial" w:eastAsia="Arial" w:hAnsi="Arial"/>
          <w:sz w:val="17"/>
          <w:szCs w:val="17"/>
          <w:u w:val="single" w:color="auto"/>
          <w:color w:val="auto"/>
        </w:rPr>
        <w:t>ACI</w:t>
      </w:r>
      <w:r>
        <w:rPr>
          <w:rFonts w:ascii="Arial" w:cs="Arial" w:eastAsia="Arial" w:hAnsi="Arial"/>
          <w:sz w:val="17"/>
          <w:szCs w:val="17"/>
          <w:color w:val="auto"/>
        </w:rPr>
        <w:t>”) and Genentech, Inc., a Delaware corporation, with offices located at 1 DNA Way, South San Francisco, CA 94080 (“</w:t>
      </w:r>
      <w:r>
        <w:rPr>
          <w:rFonts w:ascii="Arial" w:cs="Arial" w:eastAsia="Arial" w:hAnsi="Arial"/>
          <w:sz w:val="17"/>
          <w:szCs w:val="17"/>
          <w:u w:val="single" w:color="auto"/>
          <w:color w:val="auto"/>
        </w:rPr>
        <w:t>Genentech</w:t>
      </w:r>
      <w:r>
        <w:rPr>
          <w:rFonts w:ascii="Arial" w:cs="Arial" w:eastAsia="Arial" w:hAnsi="Arial"/>
          <w:sz w:val="17"/>
          <w:szCs w:val="17"/>
          <w:color w:val="auto"/>
        </w:rPr>
        <w:t>”). ACI and Genentech are each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WHEREAS ACI possesses certain expertise and proprietary technologies related to antibody products that interact with amyloid precursor protein derivatives, including beta amyloid.</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WHEREAS ACI and Genentech wish to collaborate in further research related to antibody materials that interact with amyloid precursor protein derivatives for the diagnosis and treatment of human diseases;</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WHEREAS Genentech is a health care company with expertise and capability in researching, developing, manufacturing and marketing human therapeutics and diagnostics;</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WHEREAS, ACI and Genentech wish to enter into an exclusive licensing arrangement whereby Genentech will have exclusive rights to develop and commercialize antibody products that interact with APP derivatives for the selection and evaluation of patients and the treatment of Alzheimer’s disease and other indications in exchange for upfront, research, milestone and royalty payments.</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amount and sufficiency of which are hereby acknowledged,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ACI Antibodies</w:t>
      </w:r>
      <w:r>
        <w:rPr>
          <w:rFonts w:ascii="Arial" w:cs="Arial" w:eastAsia="Arial" w:hAnsi="Arial"/>
          <w:sz w:val="18"/>
          <w:szCs w:val="18"/>
          <w:color w:val="auto"/>
        </w:rPr>
        <w:t>” means all [*****] that are owned or Controlled by ACI as of the Effective Date, or during the Term of this Agreement, or provided by, or on behalf of, ACI to the Research Program; but [*****].</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ACI Confidential Information</w:t>
      </w:r>
      <w:r>
        <w:rPr>
          <w:rFonts w:ascii="Arial" w:cs="Arial" w:eastAsia="Arial" w:hAnsi="Arial"/>
          <w:sz w:val="18"/>
          <w:szCs w:val="18"/>
          <w:color w:val="auto"/>
        </w:rPr>
        <w:t>” means Confidential Information disclosed or provided by, or on behalf of, ACI to Genentech or its designees, other than [*****].</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ACI Diagnostic Product</w:t>
      </w:r>
      <w:r>
        <w:rPr>
          <w:rFonts w:ascii="Arial" w:cs="Arial" w:eastAsia="Arial" w:hAnsi="Arial"/>
          <w:sz w:val="18"/>
          <w:szCs w:val="18"/>
          <w:color w:val="auto"/>
        </w:rPr>
        <w:t>” means a product that utilizes an [*****] and is intended for the identification or diagnosis of Alzheimer’s disease or an Additional Indication in a human patient, but where such product is not a [*****].</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ACI IP Rights</w:t>
      </w:r>
      <w:r>
        <w:rPr>
          <w:rFonts w:ascii="Arial" w:cs="Arial" w:eastAsia="Arial" w:hAnsi="Arial"/>
          <w:sz w:val="18"/>
          <w:szCs w:val="18"/>
          <w:color w:val="auto"/>
        </w:rPr>
        <w:t xml:space="preserve">” means (i) all Patents which claim [*****] and any and all other Know-How related to Licensed Products and [*****] (including assays, and methods of immunization to generate, methods of making or methods of using any of the foregoing) or methods of screening or detecting [*****], binding or modulation activity, which Patents include but are not limited to those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(ii) all other intellectual property rights, or rights in confidential or proprietary information, in and to Know-How related to Licensed Products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1 of 42</w:t>
            </w:r>
          </w:p>
        </w:tc>
      </w:tr>
    </w:tbl>
    <w:p>
      <w:pPr>
        <w:sectPr>
          <w:pgSz w:w="11900" w:h="16838" w:orient="portrait"/>
          <w:cols w:equalWidth="0" w:num="1">
            <w:col w:w="11420"/>
          </w:cols>
          <w:pgMar w:left="240" w:top="121" w:right="23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each case (a) owned or Controlled by ACI or its Affiliates as of the Effective Date or during the Term of this Agreement and (b) excluding (1) any [*****], (2) any claims which are specific to [*****] or [*****], but in each case except to the extent rights to and under such claims which are specific to a [*****] or [*****] are necessary for Genentech to fully exploit its rights and activities as contemplated in this Agreement, including research, development and commercialization of Licensed Products in the Genentech Field and (3) any claims specifically directed to methods for producing antibodies other than [*****].</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ACI Licensee</w:t>
      </w:r>
      <w:r>
        <w:rPr>
          <w:rFonts w:ascii="Arial" w:cs="Arial" w:eastAsia="Arial" w:hAnsi="Arial"/>
          <w:sz w:val="18"/>
          <w:szCs w:val="18"/>
          <w:color w:val="auto"/>
        </w:rPr>
        <w:t>” means any Third Party which enters into an agreement with ACI or an Affiliate of ACI involving the grant to such Third Party of a right to make, use, sell, offer for sale or import an [*****] outside the Genentech Field.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ACI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Additional Indication</w:t>
      </w:r>
      <w:r>
        <w:rPr>
          <w:rFonts w:ascii="Arial" w:cs="Arial" w:eastAsia="Arial" w:hAnsi="Arial"/>
          <w:sz w:val="18"/>
          <w:szCs w:val="18"/>
          <w:color w:val="auto"/>
        </w:rPr>
        <w:t>” means any human disease condition, [*****]</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any Person that, directly or indirectly (through one or more intermediaries) controls, is controlled by, or is under common control with a Party. For purposes of this </w:t>
      </w:r>
      <w:r>
        <w:rPr>
          <w:rFonts w:ascii="Arial" w:cs="Arial" w:eastAsia="Arial" w:hAnsi="Arial"/>
          <w:sz w:val="18"/>
          <w:szCs w:val="18"/>
          <w:u w:val="single" w:color="auto"/>
          <w:color w:val="auto"/>
        </w:rPr>
        <w:t>Section 1.8</w:t>
      </w:r>
      <w:r>
        <w:rPr>
          <w:rFonts w:ascii="Arial" w:cs="Arial" w:eastAsia="Arial" w:hAnsi="Arial"/>
          <w:sz w:val="18"/>
          <w:szCs w:val="18"/>
          <w:color w:val="auto"/>
        </w:rPr>
        <w:t>, “</w:t>
      </w:r>
      <w:r>
        <w:rPr>
          <w:rFonts w:ascii="Arial" w:cs="Arial" w:eastAsia="Arial" w:hAnsi="Arial"/>
          <w:sz w:val="18"/>
          <w:szCs w:val="18"/>
          <w:u w:val="single" w:color="auto"/>
          <w:color w:val="auto"/>
        </w:rPr>
        <w:t>control</w:t>
      </w:r>
      <w:r>
        <w:rPr>
          <w:rFonts w:ascii="Arial" w:cs="Arial" w:eastAsia="Arial" w:hAnsi="Arial"/>
          <w:sz w:val="18"/>
          <w:szCs w:val="18"/>
          <w:color w:val="auto"/>
        </w:rPr>
        <w:t>” means (i) the direct or indirect ownership of fifty percent (50%) or more of the voting stock or other voting interests or interest in the profits of the Party, or (ii) the ability to otherwise control or direct the decisions of the board of directors or equivalent governing body thereof. [*****].</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 [*****] or [*****]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 or [*****] means [*****].</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all applicable statutes, ordinances, regulations, rules, or orders of any kind whatsoever of any government or regulatory authority, or court, of competent jurisdiction.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 means any [*****].</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BLA</w:t>
      </w:r>
      <w:r>
        <w:rPr>
          <w:rFonts w:ascii="Arial" w:cs="Arial" w:eastAsia="Arial" w:hAnsi="Arial"/>
          <w:sz w:val="18"/>
          <w:szCs w:val="18"/>
          <w:color w:val="auto"/>
        </w:rPr>
        <w:t>” means a complete biologics license application as defined in, and containing the content, and in the format, required by 21 C.F.R. § 600 et seq filed with the FDA, or a corresponding application with a Regulatory Authority in a country other than the United States, together with all replacements, additions, deletions, and supplements thereto.</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Business Day(s)</w:t>
      </w:r>
      <w:r>
        <w:rPr>
          <w:rFonts w:ascii="Arial" w:cs="Arial" w:eastAsia="Arial" w:hAnsi="Arial"/>
          <w:sz w:val="18"/>
          <w:szCs w:val="18"/>
          <w:color w:val="auto"/>
        </w:rPr>
        <w:t>” means any day, other than a Saturday, Sunday or day on which commercial banks located in San Francisco or Lausanne are authorized or required by law or regulation to close.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the exercise of such efforts and commitment of such resources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2 of 42</w:t>
            </w:r>
          </w:p>
        </w:tc>
      </w:tr>
    </w:tbl>
    <w:p>
      <w:pPr>
        <w:sectPr>
          <w:pgSz w:w="11900" w:h="16838" w:orient="portrait"/>
          <w:cols w:equalWidth="0" w:num="1">
            <w:col w:w="11420"/>
          </w:cols>
          <w:pgMar w:left="240" w:top="270" w:right="23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Competitor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14.2</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1.18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(i) all information and materials (of whatever kind and in whatever form or medium) disclosed by or on behalf of a Party to the other Party (or its designee) in connection with this Agreement, including any Know-How, whether prior to or during the term of this Agreement (including any such information and materials disclosed pursuant to the Confidential Disclosure Agreement between the Parties dated [*****], as amended) and whether provided orally, electronically, visually, or in writing; (ii) all copies of the information and materials described in (i) above; and</w:t>
      </w:r>
    </w:p>
    <w:p>
      <w:pPr>
        <w:spacing w:after="0" w:line="2" w:lineRule="exact"/>
        <w:rPr>
          <w:sz w:val="20"/>
          <w:szCs w:val="20"/>
          <w:color w:val="auto"/>
        </w:rPr>
      </w:pPr>
    </w:p>
    <w:p>
      <w:pPr>
        <w:jc w:val="both"/>
        <w:ind w:right="60" w:firstLine="8"/>
        <w:spacing w:after="0" w:line="281" w:lineRule="auto"/>
        <w:tabs>
          <w:tab w:leader="none" w:pos="31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existence and each of the terms and conditions of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not include, to the extent a Party can demonstrate, through its contemporaneous written records, information and materials (a) known to the receiving Party, or in the public domain, at the time of its receipt by a Party, or which thereafter becomes part of the public domain other than by virtue of a breach of this Agreement or the obligations of confidentiality under this Agreement; (b) received without an obligation of confidentiality from a Third Party having the right to disclose without restriction such information;</w:t>
      </w:r>
    </w:p>
    <w:p>
      <w:pPr>
        <w:spacing w:after="0" w:line="2" w:lineRule="exact"/>
        <w:rPr>
          <w:rFonts w:ascii="Arial" w:cs="Arial" w:eastAsia="Arial" w:hAnsi="Arial"/>
          <w:sz w:val="16"/>
          <w:szCs w:val="16"/>
          <w:color w:val="auto"/>
        </w:rPr>
      </w:pPr>
    </w:p>
    <w:p>
      <w:pPr>
        <w:ind w:right="40" w:firstLine="8"/>
        <w:spacing w:after="0" w:line="261" w:lineRule="auto"/>
        <w:tabs>
          <w:tab w:leader="none" w:pos="24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independently developed by the receiving Party without use of or reference to Confidential Information disclosed by the other Party; and (d) released from the restrictions set forth in this Agreement by the express prior written consent of the disclosing Party.</w:t>
      </w:r>
    </w:p>
    <w:p>
      <w:pPr>
        <w:spacing w:after="0" w:line="18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1.19 “</w:t>
      </w:r>
      <w:r>
        <w:rPr>
          <w:rFonts w:ascii="Arial" w:cs="Arial" w:eastAsia="Arial" w:hAnsi="Arial"/>
          <w:sz w:val="16"/>
          <w:szCs w:val="16"/>
          <w:u w:val="single" w:color="auto"/>
          <w:color w:val="auto"/>
        </w:rPr>
        <w:t>Control(s)</w:t>
      </w:r>
      <w:r>
        <w:rPr>
          <w:rFonts w:ascii="Arial" w:cs="Arial" w:eastAsia="Arial" w:hAnsi="Arial"/>
          <w:sz w:val="16"/>
          <w:szCs w:val="16"/>
          <w:color w:val="auto"/>
        </w:rPr>
        <w:t>” or “</w:t>
      </w:r>
      <w:r>
        <w:rPr>
          <w:rFonts w:ascii="Arial" w:cs="Arial" w:eastAsia="Arial" w:hAnsi="Arial"/>
          <w:sz w:val="16"/>
          <w:szCs w:val="16"/>
          <w:u w:val="single" w:color="auto"/>
          <w:color w:val="auto"/>
        </w:rPr>
        <w:t>Controlled</w:t>
      </w:r>
      <w:r>
        <w:rPr>
          <w:rFonts w:ascii="Arial" w:cs="Arial" w:eastAsia="Arial" w:hAnsi="Arial"/>
          <w:sz w:val="16"/>
          <w:szCs w:val="16"/>
          <w:color w:val="auto"/>
        </w:rPr>
        <w:t>” means the possession by a Party, as of the Effective Date or during the term of this Agreement, of (i) with respect to materials, data or information, physical possession or the right to such physical possession of those items, with the right to provide them to Third Parties; and</w:t>
      </w:r>
    </w:p>
    <w:p>
      <w:pPr>
        <w:ind w:right="80" w:firstLine="8"/>
        <w:spacing w:after="0" w:line="261" w:lineRule="auto"/>
        <w:tabs>
          <w:tab w:leader="none" w:pos="26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with respect to intellectual property rights, rights sufficient to grant the applicable license or sublicense under this Agreement, without violating the terms of any agreement with any Third Party.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CRO</w:t>
      </w:r>
      <w:r>
        <w:rPr>
          <w:rFonts w:ascii="Arial" w:cs="Arial" w:eastAsia="Arial" w:hAnsi="Arial"/>
          <w:sz w:val="18"/>
          <w:szCs w:val="18"/>
          <w:color w:val="auto"/>
        </w:rPr>
        <w:t>” means a Third Party contract research organization.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Covers</w:t>
      </w:r>
      <w:r>
        <w:rPr>
          <w:rFonts w:ascii="Arial" w:cs="Arial" w:eastAsia="Arial" w:hAnsi="Arial"/>
          <w:sz w:val="18"/>
          <w:szCs w:val="18"/>
          <w:color w:val="auto"/>
        </w:rPr>
        <w:t>” or “</w:t>
      </w:r>
      <w:r>
        <w:rPr>
          <w:rFonts w:ascii="Arial" w:cs="Arial" w:eastAsia="Arial" w:hAnsi="Arial"/>
          <w:sz w:val="18"/>
          <w:szCs w:val="18"/>
          <w:u w:val="single" w:color="auto"/>
          <w:color w:val="auto"/>
        </w:rPr>
        <w:t>Covered by</w:t>
      </w:r>
      <w:r>
        <w:rPr>
          <w:rFonts w:ascii="Arial" w:cs="Arial" w:eastAsia="Arial" w:hAnsi="Arial"/>
          <w:sz w:val="18"/>
          <w:szCs w:val="18"/>
          <w:color w:val="auto"/>
        </w:rPr>
        <w:t>,” or the like, with reference to a particular Licensed Product means that the making, using, selling, offering for sale, or importing of such Licensed Product would, but for ownership of, or a license granted under this Agreement to, the relevant Patent infringe a Valid Patent Claim of the relevant Patent in the country in which the activity occurs.</w:t>
      </w:r>
    </w:p>
    <w:p>
      <w:pPr>
        <w:spacing w:after="0" w:line="18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1.22 “</w:t>
      </w:r>
      <w:r>
        <w:rPr>
          <w:rFonts w:ascii="Arial" w:cs="Arial" w:eastAsia="Arial" w:hAnsi="Arial"/>
          <w:sz w:val="16"/>
          <w:szCs w:val="16"/>
          <w:u w:val="single" w:color="auto"/>
          <w:color w:val="auto"/>
        </w:rPr>
        <w:t>Diagnostic Field</w:t>
      </w:r>
      <w:r>
        <w:rPr>
          <w:rFonts w:ascii="Arial" w:cs="Arial" w:eastAsia="Arial" w:hAnsi="Arial"/>
          <w:sz w:val="16"/>
          <w:szCs w:val="16"/>
          <w:color w:val="auto"/>
        </w:rPr>
        <w:t>” means the identification of human patients who may be suitable for treatment with a Therapeutic Product or the analysis of human patients and/or biological samples from human patients to predict response to or determine the effect of treatment with a Therapeutic Product.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Diagnostic Product</w:t>
      </w:r>
      <w:r>
        <w:rPr>
          <w:rFonts w:ascii="Arial" w:cs="Arial" w:eastAsia="Arial" w:hAnsi="Arial"/>
          <w:sz w:val="18"/>
          <w:szCs w:val="18"/>
          <w:color w:val="auto"/>
        </w:rPr>
        <w:t>” means any Licensed Product developed and/or marketed for use in the Diagnostic Field.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EMEA</w:t>
      </w:r>
      <w:r>
        <w:rPr>
          <w:rFonts w:ascii="Arial" w:cs="Arial" w:eastAsia="Arial" w:hAnsi="Arial"/>
          <w:sz w:val="18"/>
          <w:szCs w:val="18"/>
          <w:color w:val="auto"/>
        </w:rPr>
        <w:t>” means the European Medicines Evaluation Agency, or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EPFL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3 of 42</w:t>
            </w:r>
          </w:p>
        </w:tc>
      </w:tr>
    </w:tbl>
    <w:p>
      <w:pPr>
        <w:sectPr>
          <w:pgSz w:w="11900" w:h="16838" w:orient="portrait"/>
          <w:cols w:equalWidth="0" w:num="1">
            <w:col w:w="11420"/>
          </w:cols>
          <w:pgMar w:left="240" w:top="269" w:right="23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1.28 “</w:t>
      </w:r>
      <w:r>
        <w:rPr>
          <w:rFonts w:ascii="Arial" w:cs="Arial" w:eastAsia="Arial" w:hAnsi="Arial"/>
          <w:sz w:val="17"/>
          <w:szCs w:val="17"/>
          <w:u w:val="single" w:color="auto"/>
          <w:color w:val="auto"/>
        </w:rPr>
        <w:t>FDA</w:t>
      </w:r>
      <w:r>
        <w:rPr>
          <w:rFonts w:ascii="Arial" w:cs="Arial" w:eastAsia="Arial" w:hAnsi="Arial"/>
          <w:sz w:val="17"/>
          <w:szCs w:val="17"/>
          <w:color w:val="auto"/>
        </w:rPr>
        <w:t>” means the U.S. Food and Drug Administration or corresponding governmental authority in another country, or any successor thereto.</w:t>
      </w:r>
    </w:p>
    <w:p>
      <w:pPr>
        <w:spacing w:after="0" w:line="23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Filing</w:t>
      </w:r>
      <w:r>
        <w:rPr>
          <w:rFonts w:ascii="Arial" w:cs="Arial" w:eastAsia="Arial" w:hAnsi="Arial"/>
          <w:sz w:val="18"/>
          <w:szCs w:val="18"/>
          <w:color w:val="auto"/>
        </w:rPr>
        <w:t>” or “</w:t>
      </w:r>
      <w:r>
        <w:rPr>
          <w:rFonts w:ascii="Arial" w:cs="Arial" w:eastAsia="Arial" w:hAnsi="Arial"/>
          <w:sz w:val="18"/>
          <w:szCs w:val="18"/>
          <w:u w:val="single" w:color="auto"/>
          <w:color w:val="auto"/>
        </w:rPr>
        <w:t>Filed</w:t>
      </w:r>
      <w:r>
        <w:rPr>
          <w:rFonts w:ascii="Arial" w:cs="Arial" w:eastAsia="Arial" w:hAnsi="Arial"/>
          <w:sz w:val="18"/>
          <w:szCs w:val="18"/>
          <w:color w:val="auto"/>
        </w:rPr>
        <w:t>” with respect to an application for Marketing Approval means that such application has been filed with and accepted for review by the appropriate Regulatory Authority.</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with respect to a particular Licensed Product in a given country, the first bona fide arms length commercial sale of such Licensed Product following Marketing Approval in such country by or under authority of Genentech, its Affiliates or Genentech Licensees to a Third Party.</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Follow-On Antibodies</w:t>
      </w:r>
      <w:r>
        <w:rPr>
          <w:rFonts w:ascii="Arial" w:cs="Arial" w:eastAsia="Arial" w:hAnsi="Arial"/>
          <w:sz w:val="18"/>
          <w:szCs w:val="18"/>
          <w:color w:val="auto"/>
        </w:rPr>
        <w:t xml:space="preserve">” means the [*****] (including all [*****]) selected by Genentech and designated in accordance with </w:t>
      </w:r>
      <w:r>
        <w:rPr>
          <w:rFonts w:ascii="Arial" w:cs="Arial" w:eastAsia="Arial" w:hAnsi="Arial"/>
          <w:sz w:val="18"/>
          <w:szCs w:val="18"/>
          <w:u w:val="single" w:color="auto"/>
          <w:color w:val="auto"/>
        </w:rPr>
        <w:t>Section 3.3</w:t>
      </w:r>
      <w:r>
        <w:rPr>
          <w:rFonts w:ascii="Arial" w:cs="Arial" w:eastAsia="Arial" w:hAnsi="Arial"/>
          <w:sz w:val="18"/>
          <w:szCs w:val="18"/>
          <w:color w:val="auto"/>
        </w:rPr>
        <w:t>, where said [*****]</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FTE</w:t>
      </w:r>
      <w:r>
        <w:rPr>
          <w:rFonts w:ascii="Arial" w:cs="Arial" w:eastAsia="Arial" w:hAnsi="Arial"/>
          <w:sz w:val="18"/>
          <w:szCs w:val="18"/>
          <w:color w:val="auto"/>
        </w:rPr>
        <w:t>” means a full-time person, or more than one person working the equivalent of a full-time person, where “full-time” is determined by the standard practices in the biopharmaceutical industry in the geographic area in which such personnel are working.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FTE Commitment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2.5.1</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GAAP</w:t>
      </w:r>
      <w:r>
        <w:rPr>
          <w:rFonts w:ascii="Arial" w:cs="Arial" w:eastAsia="Arial" w:hAnsi="Arial"/>
          <w:sz w:val="18"/>
          <w:szCs w:val="18"/>
          <w:color w:val="auto"/>
        </w:rPr>
        <w:t>” shall mean for</w:t>
      </w:r>
      <w:r>
        <w:rPr>
          <w:rFonts w:ascii="Arial" w:cs="Arial" w:eastAsia="Arial" w:hAnsi="Arial"/>
          <w:sz w:val="15"/>
          <w:szCs w:val="15"/>
          <w:color w:val="auto"/>
        </w:rPr>
        <w:t>-</w:t>
      </w:r>
      <w:r>
        <w:rPr>
          <w:rFonts w:ascii="Arial" w:cs="Arial" w:eastAsia="Arial" w:hAnsi="Arial"/>
          <w:sz w:val="18"/>
          <w:szCs w:val="18"/>
          <w:color w:val="auto"/>
        </w:rPr>
        <w:t>Genentech the United States generally accepted accounting principles and for ACI the International Financial Reporting Standards (IFRS), in each case consistently applied.</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Genentech Confidential Information</w:t>
      </w:r>
      <w:r>
        <w:rPr>
          <w:rFonts w:ascii="Arial" w:cs="Arial" w:eastAsia="Arial" w:hAnsi="Arial"/>
          <w:sz w:val="18"/>
          <w:szCs w:val="18"/>
          <w:color w:val="auto"/>
        </w:rPr>
        <w:t>” means Confidential Information disclosed or provided by, or on behalf of, Genentech to ACI or its designees, other than Program Confidential Information.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Genentech Field</w:t>
      </w:r>
      <w:r>
        <w:rPr>
          <w:rFonts w:ascii="Arial" w:cs="Arial" w:eastAsia="Arial" w:hAnsi="Arial"/>
          <w:sz w:val="18"/>
          <w:szCs w:val="18"/>
          <w:color w:val="auto"/>
        </w:rPr>
        <w:t>” means the [*****]</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Genentech IP Rights</w:t>
      </w:r>
      <w:r>
        <w:rPr>
          <w:rFonts w:ascii="Arial" w:cs="Arial" w:eastAsia="Arial" w:hAnsi="Arial"/>
          <w:sz w:val="18"/>
          <w:szCs w:val="18"/>
          <w:color w:val="auto"/>
        </w:rPr>
        <w:t>” means (i) all Patents which claim an [*****] or assays, methods of screening or detecting [*****] and (ii) all other intellectual property rights, or rights in confidential or proprietary information, relating to an [*****]; in each case owned or Controlled by Genentech as of the Effective Date or during the Term of this Agreement and all Genentech Program IP Rights and Genentech’s interest in the Joint Program IP Rights. Genentech IP Rights are exclusive of any ACI IP Rights licensed to Genentech under this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Genentech Licensee</w:t>
      </w:r>
      <w:r>
        <w:rPr>
          <w:rFonts w:ascii="Arial" w:cs="Arial" w:eastAsia="Arial" w:hAnsi="Arial"/>
          <w:sz w:val="18"/>
          <w:szCs w:val="18"/>
          <w:color w:val="auto"/>
        </w:rPr>
        <w:t>(</w:t>
      </w:r>
      <w:r>
        <w:rPr>
          <w:rFonts w:ascii="Arial" w:cs="Arial" w:eastAsia="Arial" w:hAnsi="Arial"/>
          <w:sz w:val="18"/>
          <w:szCs w:val="18"/>
          <w:u w:val="single" w:color="auto"/>
          <w:color w:val="auto"/>
        </w:rPr>
        <w:t>s</w:t>
      </w:r>
      <w:r>
        <w:rPr>
          <w:rFonts w:ascii="Arial" w:cs="Arial" w:eastAsia="Arial" w:hAnsi="Arial"/>
          <w:sz w:val="18"/>
          <w:szCs w:val="18"/>
          <w:color w:val="auto"/>
        </w:rPr>
        <w:t>)”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Genentech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ICC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ICC Rules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Improvements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4 of 42</w:t>
            </w:r>
          </w:p>
        </w:tc>
      </w:tr>
    </w:tbl>
    <w:p>
      <w:pPr>
        <w:sectPr>
          <w:pgSz w:w="11900" w:h="16838" w:orient="portrait"/>
          <w:cols w:equalWidth="0" w:num="1">
            <w:col w:w="11420"/>
          </w:cols>
          <w:pgMar w:left="240" w:top="270" w:right="23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IND</w:t>
      </w:r>
      <w:r>
        <w:rPr>
          <w:rFonts w:ascii="Arial" w:cs="Arial" w:eastAsia="Arial" w:hAnsi="Arial"/>
          <w:sz w:val="18"/>
          <w:szCs w:val="18"/>
          <w:color w:val="auto"/>
        </w:rPr>
        <w:t>” means a complete “</w:t>
      </w:r>
      <w:r>
        <w:rPr>
          <w:rFonts w:ascii="Arial" w:cs="Arial" w:eastAsia="Arial" w:hAnsi="Arial"/>
          <w:sz w:val="18"/>
          <w:szCs w:val="18"/>
          <w:u w:val="single" w:color="auto"/>
          <w:color w:val="auto"/>
        </w:rPr>
        <w:t>Investigational New Drug Application</w:t>
      </w:r>
      <w:r>
        <w:rPr>
          <w:rFonts w:ascii="Arial" w:cs="Arial" w:eastAsia="Arial" w:hAnsi="Arial"/>
          <w:sz w:val="18"/>
          <w:szCs w:val="18"/>
          <w:color w:val="auto"/>
        </w:rPr>
        <w:t>” as defined in 21 C.F.R. 312.3 and containing the content, and in the format, required by 21 C.F.R. 312.23, or a corresponding application with a regulatory agency in a country other than the United States, together with all additions, deletions, and supplements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1.44 “</w:t>
      </w:r>
      <w:r>
        <w:rPr>
          <w:rFonts w:ascii="Arial" w:cs="Arial" w:eastAsia="Arial" w:hAnsi="Arial"/>
          <w:sz w:val="18"/>
          <w:szCs w:val="18"/>
          <w:u w:val="single" w:color="auto"/>
          <w:color w:val="auto"/>
        </w:rPr>
        <w:t>Joint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 or “</w:t>
      </w:r>
      <w:r>
        <w:rPr>
          <w:rFonts w:ascii="Arial" w:cs="Arial" w:eastAsia="Arial" w:hAnsi="Arial"/>
          <w:sz w:val="18"/>
          <w:szCs w:val="18"/>
          <w:u w:val="single" w:color="auto"/>
          <w:color w:val="auto"/>
        </w:rPr>
        <w:t>JRC</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1.46 “</w:t>
      </w:r>
      <w:r>
        <w:rPr>
          <w:rFonts w:ascii="Arial" w:cs="Arial" w:eastAsia="Arial" w:hAnsi="Arial"/>
          <w:sz w:val="18"/>
          <w:szCs w:val="18"/>
          <w:u w:val="single" w:color="auto"/>
          <w:color w:val="auto"/>
        </w:rPr>
        <w:t>Know-How</w:t>
      </w:r>
      <w:r>
        <w:rPr>
          <w:rFonts w:ascii="Arial" w:cs="Arial" w:eastAsia="Arial" w:hAnsi="Arial"/>
          <w:sz w:val="18"/>
          <w:szCs w:val="18"/>
          <w:color w:val="auto"/>
        </w:rPr>
        <w:t>”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Lead Antibody</w:t>
      </w:r>
      <w:r>
        <w:rPr>
          <w:rFonts w:ascii="Arial" w:cs="Arial" w:eastAsia="Arial" w:hAnsi="Arial"/>
          <w:sz w:val="18"/>
          <w:szCs w:val="18"/>
          <w:color w:val="auto"/>
        </w:rPr>
        <w:t>” means the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Licensed Product</w:t>
      </w:r>
      <w:r>
        <w:rPr>
          <w:rFonts w:ascii="Arial" w:cs="Arial" w:eastAsia="Arial" w:hAnsi="Arial"/>
          <w:sz w:val="18"/>
          <w:szCs w:val="18"/>
          <w:color w:val="auto"/>
        </w:rPr>
        <w:t>(</w:t>
      </w:r>
      <w:r>
        <w:rPr>
          <w:rFonts w:ascii="Arial" w:cs="Arial" w:eastAsia="Arial" w:hAnsi="Arial"/>
          <w:sz w:val="18"/>
          <w:szCs w:val="18"/>
          <w:u w:val="single" w:color="auto"/>
          <w:color w:val="auto"/>
        </w:rPr>
        <w:t>s</w:t>
      </w:r>
      <w:r>
        <w:rPr>
          <w:rFonts w:ascii="Arial" w:cs="Arial" w:eastAsia="Arial" w:hAnsi="Arial"/>
          <w:sz w:val="18"/>
          <w:szCs w:val="18"/>
          <w:color w:val="auto"/>
        </w:rPr>
        <w:t>)” means any product containing an [*****]. For the avoidance of doubt,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Major European Country</w:t>
      </w:r>
      <w:r>
        <w:rPr>
          <w:rFonts w:ascii="Arial" w:cs="Arial" w:eastAsia="Arial" w:hAnsi="Arial"/>
          <w:sz w:val="18"/>
          <w:szCs w:val="18"/>
          <w:color w:val="auto"/>
        </w:rPr>
        <w:t>” means Germany, France, the United Kingdom, Spain or Italy.</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Marketing Approval</w:t>
      </w:r>
      <w:r>
        <w:rPr>
          <w:rFonts w:ascii="Arial" w:cs="Arial" w:eastAsia="Arial" w:hAnsi="Arial"/>
          <w:sz w:val="18"/>
          <w:szCs w:val="18"/>
          <w:color w:val="auto"/>
        </w:rPr>
        <w:t>” means all approvals, licenses, registrations or authorizations of any federal, state or local regulatory agency, department, bureau or other governmental entity, necessary for the manufacturing, use, storage, import, transport, marketing and sale of Licensed Products in a country or regulatory jurisdiction. For countries where governmental approval is required for pricing or reimbursement for the Licensed Product, “</w:t>
      </w:r>
      <w:r>
        <w:rPr>
          <w:rFonts w:ascii="Arial" w:cs="Arial" w:eastAsia="Arial" w:hAnsi="Arial"/>
          <w:sz w:val="18"/>
          <w:szCs w:val="18"/>
          <w:u w:val="single" w:color="auto"/>
          <w:color w:val="auto"/>
        </w:rPr>
        <w:t>Marketing Approval</w:t>
      </w:r>
      <w:r>
        <w:rPr>
          <w:rFonts w:ascii="Arial" w:cs="Arial" w:eastAsia="Arial" w:hAnsi="Arial"/>
          <w:sz w:val="18"/>
          <w:szCs w:val="18"/>
          <w:color w:val="auto"/>
        </w:rPr>
        <w:t>” shall not be deemed to occur until such pricing or reimbursement approval is obtained.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Milestone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Net Sales</w:t>
      </w:r>
      <w:r>
        <w:rPr>
          <w:rFonts w:ascii="Arial" w:cs="Arial" w:eastAsia="Arial" w:hAnsi="Arial"/>
          <w:sz w:val="18"/>
          <w:szCs w:val="18"/>
          <w:color w:val="auto"/>
        </w:rPr>
        <w:t>” means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5 of 42</w:t>
            </w:r>
          </w:p>
        </w:tc>
      </w:tr>
    </w:tbl>
    <w:p>
      <w:pPr>
        <w:sectPr>
          <w:pgSz w:w="11900" w:h="16838" w:orient="portrait"/>
          <w:cols w:equalWidth="0" w:num="1">
            <w:col w:w="11420"/>
          </w:cols>
          <w:pgMar w:left="240" w:top="270" w:right="239" w:bottom="1440" w:gutter="0" w:footer="0" w:header="0"/>
        </w:sectPr>
      </w:pPr>
    </w:p>
    <w:bookmarkStart w:id="363" w:name="page364"/>
    <w:bookmarkEnd w:id="3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1.53 “</w:t>
      </w:r>
      <w:r>
        <w:rPr>
          <w:rFonts w:ascii="Arial" w:cs="Arial" w:eastAsia="Arial" w:hAnsi="Arial"/>
          <w:sz w:val="18"/>
          <w:szCs w:val="18"/>
          <w:u w:val="single" w:color="auto"/>
          <w:color w:val="auto"/>
        </w:rPr>
        <w:t>Outside Patent Counsel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7.4.3</w:t>
      </w:r>
      <w:r>
        <w:rPr>
          <w:rFonts w:ascii="Arial" w:cs="Arial" w:eastAsia="Arial" w:hAnsi="Arial"/>
          <w:sz w:val="18"/>
          <w:szCs w:val="18"/>
          <w:color w:val="auto"/>
        </w:rPr>
        <w:t>.</w:t>
      </w:r>
    </w:p>
    <w:p>
      <w:pPr>
        <w:spacing w:after="0" w:line="225"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Patent(s)</w:t>
      </w:r>
      <w:r>
        <w:rPr>
          <w:rFonts w:ascii="Arial" w:cs="Arial" w:eastAsia="Arial" w:hAnsi="Arial"/>
          <w:sz w:val="18"/>
          <w:szCs w:val="18"/>
          <w:color w:val="auto"/>
        </w:rPr>
        <w:t>” means a patent or a patent application, including any additions, divisions, continuations, continuations-in-part, pipeline protection, invention certificates, substitutions, reissues, reexaminations, extensions, registrations, patent term extensions, supplementary protection certificates and renewals of any of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6 of 42</w:t>
            </w:r>
          </w:p>
        </w:tc>
      </w:tr>
    </w:tbl>
    <w:p>
      <w:pPr>
        <w:sectPr>
          <w:pgSz w:w="11900" w:h="16838" w:orient="portrait"/>
          <w:cols w:equalWidth="0" w:num="1">
            <w:col w:w="11420"/>
          </w:cols>
          <w:pgMar w:left="240" w:top="270" w:right="239" w:bottom="1440" w:gutter="0" w:footer="0" w:header="0"/>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1.55 [*****] has the meaning set forth in </w:t>
      </w:r>
      <w:r>
        <w:rPr>
          <w:rFonts w:ascii="Arial" w:cs="Arial" w:eastAsia="Arial" w:hAnsi="Arial"/>
          <w:sz w:val="18"/>
          <w:szCs w:val="18"/>
          <w:u w:val="single" w:color="auto"/>
          <w:color w:val="auto"/>
        </w:rPr>
        <w:t>Section 7.7.1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1.56 “</w:t>
      </w:r>
      <w:r>
        <w:rPr>
          <w:rFonts w:ascii="Arial" w:cs="Arial" w:eastAsia="Arial" w:hAnsi="Arial"/>
          <w:sz w:val="18"/>
          <w:szCs w:val="18"/>
          <w:u w:val="single" w:color="auto"/>
          <w:color w:val="auto"/>
        </w:rPr>
        <w:t>Patent Infringement 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13.3</w:t>
      </w:r>
      <w:r>
        <w:rPr>
          <w:rFonts w:ascii="Arial" w:cs="Arial" w:eastAsia="Arial" w:hAnsi="Arial"/>
          <w:sz w:val="18"/>
          <w:szCs w:val="18"/>
          <w:color w:val="auto"/>
        </w:rPr>
        <w:t>.</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1.57 “</w:t>
      </w:r>
      <w:r>
        <w:rPr>
          <w:rFonts w:ascii="Arial" w:cs="Arial" w:eastAsia="Arial" w:hAnsi="Arial"/>
          <w:sz w:val="18"/>
          <w:szCs w:val="18"/>
          <w:u w:val="single" w:color="auto"/>
          <w:color w:val="auto"/>
        </w:rPr>
        <w:t>Person</w:t>
      </w:r>
      <w:r>
        <w:rPr>
          <w:rFonts w:ascii="Arial" w:cs="Arial" w:eastAsia="Arial" w:hAnsi="Arial"/>
          <w:sz w:val="18"/>
          <w:szCs w:val="18"/>
          <w:color w:val="auto"/>
        </w:rPr>
        <w:t>” means any person or entity, including any individual, trustee, corporation, partnership, trust, unincorporated organization, limited liability company, business association, firm, joint venture or governmental agency or authority.</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1.58 “</w:t>
      </w:r>
      <w:r>
        <w:rPr>
          <w:rFonts w:ascii="Arial" w:cs="Arial" w:eastAsia="Arial" w:hAnsi="Arial"/>
          <w:sz w:val="17"/>
          <w:szCs w:val="17"/>
          <w:u w:val="single" w:color="auto"/>
          <w:color w:val="auto"/>
        </w:rPr>
        <w:t>Phase I Clinical Trial</w:t>
      </w:r>
      <w:r>
        <w:rPr>
          <w:rFonts w:ascii="Arial" w:cs="Arial" w:eastAsia="Arial" w:hAnsi="Arial"/>
          <w:sz w:val="17"/>
          <w:szCs w:val="17"/>
          <w:color w:val="auto"/>
        </w:rPr>
        <w:t>” means, as to a specific Licensed Product, a controlled and lawful study in humans designed with the principal purpose of preliminarily determining the safety of a pharmaceutical product in healthy individuals or patients, and for which there are no primary endpoints related to efficacy, as further defined in 21 C.F.R. § 312.21(a); or similar clinical study in a country other than the United States.</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1.59 “</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means, as to a specific Licensed Product, a controlled and lawful study in humans designed with the principal purpose of determining initial efficacy and dosing of such Licensed Product in patients for the indication(s) being studied, as further defined in 21 C.F.R. § 312.21(b); or similar clinical study in a country other than the United States.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1.60 “</w:t>
      </w:r>
      <w:r>
        <w:rPr>
          <w:rFonts w:ascii="Arial" w:cs="Arial" w:eastAsia="Arial" w:hAnsi="Arial"/>
          <w:sz w:val="18"/>
          <w:szCs w:val="18"/>
          <w:u w:val="single" w:color="auto"/>
          <w:color w:val="auto"/>
        </w:rPr>
        <w:t>Phase III Clinical Trial</w:t>
      </w:r>
      <w:r>
        <w:rPr>
          <w:rFonts w:ascii="Arial" w:cs="Arial" w:eastAsia="Arial" w:hAnsi="Arial"/>
          <w:sz w:val="18"/>
          <w:szCs w:val="18"/>
          <w:color w:val="auto"/>
        </w:rPr>
        <w:t>” means, as to a specific Licensed Product, a controlled and lawful study in humans of the efficacy and safety of such Licensed Product, which is prospectively designed to demonstrate statistically whether such Licensed Product is effective and safe for use in a particular indication in a manner sufficient to file an application to obtain Marketing Approval to market and sell that Licensed Product in the United States or another country for the indication being investigated by the study, as further defined in 21 C.F.R. § 312.21; or similar clinical study in a country other than the United States.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1.61 “</w:t>
      </w:r>
      <w:r>
        <w:rPr>
          <w:rFonts w:ascii="Arial" w:cs="Arial" w:eastAsia="Arial" w:hAnsi="Arial"/>
          <w:sz w:val="18"/>
          <w:szCs w:val="18"/>
          <w:u w:val="single" w:color="auto"/>
          <w:color w:val="auto"/>
        </w:rPr>
        <w:t>Product Reversion Package</w:t>
      </w:r>
      <w:r>
        <w:rPr>
          <w:rFonts w:ascii="Arial" w:cs="Arial" w:eastAsia="Arial" w:hAnsi="Arial"/>
          <w:sz w:val="18"/>
          <w:szCs w:val="18"/>
          <w:color w:val="auto"/>
        </w:rPr>
        <w:t>” means, with respect to a particular Licensed Product: [*****]</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1.62 “</w:t>
      </w:r>
      <w:r>
        <w:rPr>
          <w:rFonts w:ascii="Arial" w:cs="Arial" w:eastAsia="Arial" w:hAnsi="Arial"/>
          <w:sz w:val="18"/>
          <w:szCs w:val="18"/>
          <w:u w:val="single" w:color="auto"/>
          <w:color w:val="auto"/>
        </w:rPr>
        <w:t>Program Antibody</w:t>
      </w:r>
      <w:r>
        <w:rPr>
          <w:rFonts w:ascii="Arial" w:cs="Arial" w:eastAsia="Arial" w:hAnsi="Arial"/>
          <w:sz w:val="18"/>
          <w:szCs w:val="18"/>
          <w:color w:val="auto"/>
        </w:rPr>
        <w:t>” means any [*****] created, discovered, conceived or reduced to practice by the Parties jointly or solely by either Party during the conduct of activities under the Research Program or Research Plan during the Research Term.</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1.63 “</w:t>
      </w:r>
      <w:r>
        <w:rPr>
          <w:rFonts w:ascii="Arial" w:cs="Arial" w:eastAsia="Arial" w:hAnsi="Arial"/>
          <w:sz w:val="18"/>
          <w:szCs w:val="18"/>
          <w:u w:val="single" w:color="auto"/>
          <w:color w:val="auto"/>
        </w:rPr>
        <w:t>Program IP Rights</w:t>
      </w:r>
      <w:r>
        <w:rPr>
          <w:rFonts w:ascii="Arial" w:cs="Arial" w:eastAsia="Arial" w:hAnsi="Arial"/>
          <w:sz w:val="18"/>
          <w:szCs w:val="18"/>
          <w:color w:val="auto"/>
        </w:rPr>
        <w:t>” means (1) all Patents which claim (including a method of making or using) Know-How conceived, reduced to practice or otherwise created during the conduct of or in connection with activities under the Research Program or Research Plan (whether solely by one Party and/or its respective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7 of 42</w:t>
            </w:r>
          </w:p>
        </w:tc>
      </w:tr>
    </w:tbl>
    <w:p>
      <w:pPr>
        <w:sectPr>
          <w:pgSz w:w="11900" w:h="16838" w:orient="portrait"/>
          <w:cols w:equalWidth="0" w:num="1">
            <w:col w:w="11420"/>
          </w:cols>
          <w:pgMar w:left="240" w:top="270" w:right="239" w:bottom="1440" w:gutter="0" w:footer="0" w:header="0"/>
        </w:sectPr>
      </w:pPr>
    </w:p>
    <w:bookmarkStart w:id="365" w:name="page366"/>
    <w:bookmarkEnd w:id="3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employees, contractors or consultants or jointly by the Parties and/or their employees, contractors or consultants), and (ii) all other intellectual property rights, or rights in confidential or proprietary information, in and to Know-How conceived, reduced to practice or otherwise created during the conduct of or in connection with activities under the Research Program or Research Plan (whether solely by one Party and/or its respective employees, contractors or consultants or jointly by the Parties and/or their employees, contractors or consultants).</w:t>
      </w:r>
    </w:p>
    <w:p>
      <w:pPr>
        <w:spacing w:after="0" w:line="18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1.64 “</w:t>
      </w:r>
      <w:r>
        <w:rPr>
          <w:rFonts w:ascii="Arial" w:cs="Arial" w:eastAsia="Arial" w:hAnsi="Arial"/>
          <w:sz w:val="16"/>
          <w:szCs w:val="16"/>
          <w:u w:val="single" w:color="auto"/>
          <w:color w:val="auto"/>
        </w:rPr>
        <w:t>Program Confidential Information</w:t>
      </w:r>
      <w:r>
        <w:rPr>
          <w:rFonts w:ascii="Arial" w:cs="Arial" w:eastAsia="Arial" w:hAnsi="Arial"/>
          <w:sz w:val="16"/>
          <w:szCs w:val="16"/>
          <w:color w:val="auto"/>
        </w:rPr>
        <w:t>” means (i) all information and materials (of whatever kind and in whatever form or medium), including any Know-How, created by, or on behalf of, either Party, or created jointly by the Parties during the course of performing the activities contemplated by the Research Plan and (ii) all copies of the information and materials described in (i) above. “</w:t>
      </w:r>
      <w:r>
        <w:rPr>
          <w:rFonts w:ascii="Arial" w:cs="Arial" w:eastAsia="Arial" w:hAnsi="Arial"/>
          <w:sz w:val="16"/>
          <w:szCs w:val="16"/>
          <w:u w:val="single" w:color="auto"/>
          <w:color w:val="auto"/>
        </w:rPr>
        <w:t>Program Confidential Information</w:t>
      </w:r>
      <w:r>
        <w:rPr>
          <w:rFonts w:ascii="Arial" w:cs="Arial" w:eastAsia="Arial" w:hAnsi="Arial"/>
          <w:sz w:val="16"/>
          <w:szCs w:val="16"/>
          <w:color w:val="auto"/>
        </w:rPr>
        <w:t>” shall not include, to the extent a Party can demonstrate, through its contemporaneous written records, information and materials (a) known to either Party, or in the public domain, prior to its creation hereunder, or which thereafter becomes part of the public domain other than by virtue of a breach of this Agreement or the obligations of confidentiality under the Agreement; (b) received without an obligation of confidentiality from a Third Party having the right to disclose without restrictions such information; and (c) released from the restrictions set forth in this Agreement by the express prior written consent of the other Party.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1.65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or “</w:t>
      </w:r>
      <w:r>
        <w:rPr>
          <w:rFonts w:ascii="Arial" w:cs="Arial" w:eastAsia="Arial" w:hAnsi="Arial"/>
          <w:sz w:val="18"/>
          <w:szCs w:val="18"/>
          <w:u w:val="single" w:color="auto"/>
          <w:color w:val="auto"/>
        </w:rPr>
        <w:t>Prosecute and Maintain,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7.4.1</w:t>
      </w:r>
      <w:r>
        <w:rPr>
          <w:rFonts w:ascii="Arial" w:cs="Arial" w:eastAsia="Arial" w:hAnsi="Arial"/>
          <w:sz w:val="18"/>
          <w:szCs w:val="18"/>
          <w:color w:val="auto"/>
        </w:rPr>
        <w:t>.</w:t>
      </w:r>
    </w:p>
    <w:p>
      <w:pPr>
        <w:spacing w:after="0" w:line="225"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1.66 “</w:t>
      </w:r>
      <w:r>
        <w:rPr>
          <w:rFonts w:ascii="Arial" w:cs="Arial" w:eastAsia="Arial" w:hAnsi="Arial"/>
          <w:sz w:val="16"/>
          <w:szCs w:val="16"/>
          <w:u w:val="single" w:color="auto"/>
          <w:color w:val="auto"/>
        </w:rPr>
        <w:t>Regulatory Authority</w:t>
      </w:r>
      <w:r>
        <w:rPr>
          <w:rFonts w:ascii="Arial" w:cs="Arial" w:eastAsia="Arial" w:hAnsi="Arial"/>
          <w:sz w:val="16"/>
          <w:szCs w:val="16"/>
          <w:color w:val="auto"/>
        </w:rPr>
        <w:t xml:space="preserve">” means any national </w:t>
      </w:r>
      <w:r>
        <w:rPr>
          <w:rFonts w:ascii="Arial" w:cs="Arial" w:eastAsia="Arial" w:hAnsi="Arial"/>
          <w:sz w:val="16"/>
          <w:szCs w:val="16"/>
          <w:i w:val="1"/>
          <w:iCs w:val="1"/>
          <w:color w:val="auto"/>
        </w:rPr>
        <w:t>(e.g.</w:t>
      </w:r>
      <w:r>
        <w:rPr>
          <w:rFonts w:ascii="Arial" w:cs="Arial" w:eastAsia="Arial" w:hAnsi="Arial"/>
          <w:sz w:val="16"/>
          <w:szCs w:val="16"/>
          <w:color w:val="auto"/>
        </w:rPr>
        <w:t xml:space="preserve">, the FDA), supra-national </w:t>
      </w:r>
      <w:r>
        <w:rPr>
          <w:rFonts w:ascii="Arial" w:cs="Arial" w:eastAsia="Arial" w:hAnsi="Arial"/>
          <w:sz w:val="16"/>
          <w:szCs w:val="16"/>
          <w:i w:val="1"/>
          <w:iCs w:val="1"/>
          <w:color w:val="auto"/>
        </w:rPr>
        <w:t>(e.g.</w:t>
      </w:r>
      <w:r>
        <w:rPr>
          <w:rFonts w:ascii="Arial" w:cs="Arial" w:eastAsia="Arial" w:hAnsi="Arial"/>
          <w:sz w:val="16"/>
          <w:szCs w:val="16"/>
          <w:color w:val="auto"/>
        </w:rPr>
        <w:t>, the EMEA), regional, state or local regulatory agency, department, bureau, commission, council or other governmental entity, in any jurisdiction of the world, involved in the granting of Marketing Approval.</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1.67 “</w:t>
      </w:r>
      <w:r>
        <w:rPr>
          <w:rFonts w:ascii="Arial" w:cs="Arial" w:eastAsia="Arial" w:hAnsi="Arial"/>
          <w:sz w:val="18"/>
          <w:szCs w:val="18"/>
          <w:u w:val="single" w:color="auto"/>
          <w:color w:val="auto"/>
        </w:rPr>
        <w:t>Research Plan</w:t>
      </w:r>
      <w:r>
        <w:rPr>
          <w:rFonts w:ascii="Arial" w:cs="Arial" w:eastAsia="Arial" w:hAnsi="Arial"/>
          <w:sz w:val="18"/>
          <w:szCs w:val="18"/>
          <w:color w:val="auto"/>
        </w:rPr>
        <w:t xml:space="preserve">” means the written research plan for the Research Program to be prepared by the Parties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initial draft Research Plan is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The Research Plan may be amended or modified from time to time by the Joint Research Committee by written agreement or as evidenced in the approved minutes of the JRC meetings.</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1.68 “</w:t>
      </w:r>
      <w:r>
        <w:rPr>
          <w:rFonts w:ascii="Arial" w:cs="Arial" w:eastAsia="Arial" w:hAnsi="Arial"/>
          <w:sz w:val="16"/>
          <w:szCs w:val="16"/>
          <w:u w:val="single" w:color="auto"/>
          <w:color w:val="auto"/>
        </w:rPr>
        <w:t>Research Program</w:t>
      </w:r>
      <w:r>
        <w:rPr>
          <w:rFonts w:ascii="Arial" w:cs="Arial" w:eastAsia="Arial" w:hAnsi="Arial"/>
          <w:sz w:val="16"/>
          <w:szCs w:val="16"/>
          <w:color w:val="auto"/>
        </w:rPr>
        <w:t xml:space="preserve">” means the program of research and preclinical development the Parties engage in under this Agreement, which program is set forth on the Research Plan, and including all research supported by the research funding provided by Genentech under </w:t>
      </w:r>
      <w:r>
        <w:rPr>
          <w:rFonts w:ascii="Arial" w:cs="Arial" w:eastAsia="Arial" w:hAnsi="Arial"/>
          <w:sz w:val="16"/>
          <w:szCs w:val="16"/>
          <w:u w:val="single" w:color="auto"/>
          <w:color w:val="auto"/>
        </w:rPr>
        <w:t>Sections 2.5 and 5.2</w:t>
      </w:r>
      <w:r>
        <w:rPr>
          <w:rFonts w:ascii="Arial" w:cs="Arial" w:eastAsia="Arial" w:hAnsi="Arial"/>
          <w:sz w:val="16"/>
          <w:szCs w:val="16"/>
          <w:color w:val="auto"/>
        </w:rPr>
        <w: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1.69 “</w:t>
      </w:r>
      <w:r>
        <w:rPr>
          <w:rFonts w:ascii="Arial" w:cs="Arial" w:eastAsia="Arial" w:hAnsi="Arial"/>
          <w:sz w:val="18"/>
          <w:szCs w:val="18"/>
          <w:u w:val="single" w:color="auto"/>
          <w:color w:val="auto"/>
        </w:rPr>
        <w:t>Research Support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2.5.3</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1.70 “</w:t>
      </w:r>
      <w:r>
        <w:rPr>
          <w:rFonts w:ascii="Arial" w:cs="Arial" w:eastAsia="Arial" w:hAnsi="Arial"/>
          <w:sz w:val="18"/>
          <w:szCs w:val="18"/>
          <w:u w:val="single" w:color="auto"/>
          <w:color w:val="auto"/>
        </w:rPr>
        <w:t>Research Term</w:t>
      </w:r>
      <w:r>
        <w:rPr>
          <w:rFonts w:ascii="Arial" w:cs="Arial" w:eastAsia="Arial" w:hAnsi="Arial"/>
          <w:sz w:val="18"/>
          <w:szCs w:val="18"/>
          <w:color w:val="auto"/>
        </w:rPr>
        <w:t xml:space="preserve">” means the period of time during which each Party will undertake activities in the Research Program or on the Research Plan, as such period of time is identified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1.71 “</w:t>
      </w:r>
      <w:r>
        <w:rPr>
          <w:rFonts w:ascii="Arial" w:cs="Arial" w:eastAsia="Arial" w:hAnsi="Arial"/>
          <w:sz w:val="18"/>
          <w:szCs w:val="18"/>
          <w:u w:val="single" w:color="auto"/>
          <w:color w:val="auto"/>
        </w:rPr>
        <w:t>ROFN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1.72 “</w:t>
      </w:r>
      <w:r>
        <w:rPr>
          <w:rFonts w:ascii="Arial" w:cs="Arial" w:eastAsia="Arial" w:hAnsi="Arial"/>
          <w:sz w:val="18"/>
          <w:szCs w:val="18"/>
          <w:u w:val="single" w:color="auto"/>
          <w:color w:val="auto"/>
        </w:rPr>
        <w:t>RSP Report</w:t>
      </w:r>
      <w:r>
        <w:rPr>
          <w:rFonts w:ascii="Arial" w:cs="Arial" w:eastAsia="Arial" w:hAnsi="Arial"/>
          <w:sz w:val="18"/>
          <w:szCs w:val="18"/>
          <w:color w:val="auto"/>
        </w:rPr>
        <w:t xml:space="preserve">” means the report of quarterly research support expense to be generated by ACI in accordance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1.73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1.74 “</w:t>
      </w:r>
      <w:r>
        <w:rPr>
          <w:rFonts w:ascii="Arial" w:cs="Arial" w:eastAsia="Arial" w:hAnsi="Arial"/>
          <w:sz w:val="18"/>
          <w:szCs w:val="18"/>
          <w:u w:val="single" w:color="auto"/>
          <w:color w:val="auto"/>
        </w:rPr>
        <w:t>Termination Product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1.75 “</w:t>
      </w:r>
      <w:r>
        <w:rPr>
          <w:rFonts w:ascii="Arial" w:cs="Arial" w:eastAsia="Arial" w:hAnsi="Arial"/>
          <w:sz w:val="18"/>
          <w:szCs w:val="18"/>
          <w:u w:val="single" w:color="auto"/>
          <w:color w:val="auto"/>
        </w:rPr>
        <w:t>Territory</w:t>
      </w:r>
      <w:r>
        <w:rPr>
          <w:rFonts w:ascii="Arial" w:cs="Arial" w:eastAsia="Arial" w:hAnsi="Arial"/>
          <w:sz w:val="18"/>
          <w:szCs w:val="18"/>
          <w:color w:val="auto"/>
        </w:rPr>
        <w:t>” means the entire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8 of 42</w:t>
            </w:r>
          </w:p>
        </w:tc>
      </w:tr>
    </w:tbl>
    <w:p>
      <w:pPr>
        <w:sectPr>
          <w:pgSz w:w="11900" w:h="16838" w:orient="portrait"/>
          <w:cols w:equalWidth="0" w:num="1">
            <w:col w:w="11420"/>
          </w:cols>
          <w:pgMar w:left="240" w:top="269" w:right="239" w:bottom="1440" w:gutter="0" w:footer="0" w:header="0"/>
        </w:sectPr>
      </w:pPr>
    </w:p>
    <w:bookmarkStart w:id="366" w:name="page367"/>
    <w:bookmarkEnd w:id="3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u w:val="single" w:color="auto"/>
          <w:color w:val="auto"/>
        </w:rPr>
        <w:t>Therapeutic Field</w:t>
      </w:r>
      <w:r>
        <w:rPr>
          <w:rFonts w:ascii="Arial" w:cs="Arial" w:eastAsia="Arial" w:hAnsi="Arial"/>
          <w:sz w:val="18"/>
          <w:szCs w:val="18"/>
          <w:color w:val="auto"/>
        </w:rPr>
        <w:t>” means the prevention, cure, amelioration or treatment of any human disease or condition, in each case other than by means of [*****].</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1.77 “</w:t>
      </w:r>
      <w:r>
        <w:rPr>
          <w:rFonts w:ascii="Arial" w:cs="Arial" w:eastAsia="Arial" w:hAnsi="Arial"/>
          <w:sz w:val="18"/>
          <w:szCs w:val="18"/>
          <w:u w:val="single" w:color="auto"/>
          <w:color w:val="auto"/>
        </w:rPr>
        <w:t>Therapeutic Product</w:t>
      </w:r>
      <w:r>
        <w:rPr>
          <w:rFonts w:ascii="Arial" w:cs="Arial" w:eastAsia="Arial" w:hAnsi="Arial"/>
          <w:sz w:val="18"/>
          <w:szCs w:val="18"/>
          <w:color w:val="auto"/>
        </w:rPr>
        <w:t>” means any Licensed Product developed and/or marketed for use in the Therapeutic Field.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u w:val="single" w:color="auto"/>
          <w:color w:val="auto"/>
        </w:rPr>
        <w:t>Third Party</w:t>
      </w:r>
      <w:r>
        <w:rPr>
          <w:rFonts w:ascii="Arial" w:cs="Arial" w:eastAsia="Arial" w:hAnsi="Arial"/>
          <w:sz w:val="18"/>
          <w:szCs w:val="18"/>
          <w:color w:val="auto"/>
        </w:rPr>
        <w:t>” means a Person that is not a Party to this Agreement or an Affiliate of a Party to this Agreement.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its territories and possessions as of the Effective Date, including the Commonwealth of Puerto Rico.</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1.80 “</w:t>
      </w:r>
      <w:r>
        <w:rPr>
          <w:rFonts w:ascii="Arial" w:cs="Arial" w:eastAsia="Arial" w:hAnsi="Arial"/>
          <w:sz w:val="18"/>
          <w:szCs w:val="18"/>
          <w:u w:val="single" w:color="auto"/>
          <w:color w:val="auto"/>
        </w:rPr>
        <w:t>Valid Patent Claim</w:t>
      </w:r>
      <w:r>
        <w:rPr>
          <w:rFonts w:ascii="Arial" w:cs="Arial" w:eastAsia="Arial" w:hAnsi="Arial"/>
          <w:sz w:val="18"/>
          <w:szCs w:val="18"/>
          <w:color w:val="auto"/>
        </w:rPr>
        <w:t>” means a claim of an issued and unexpired Patent which has not been disclaimed, revoked, held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1.81 “</w:t>
      </w:r>
      <w:r>
        <w:rPr>
          <w:rFonts w:ascii="Arial" w:cs="Arial" w:eastAsia="Arial" w:hAnsi="Arial"/>
          <w:sz w:val="18"/>
          <w:szCs w:val="18"/>
          <w:u w:val="single" w:color="auto"/>
          <w:color w:val="auto"/>
        </w:rPr>
        <w:t>Vaccine Product</w:t>
      </w:r>
      <w:r>
        <w:rPr>
          <w:rFonts w:ascii="Arial" w:cs="Arial" w:eastAsia="Arial" w:hAnsi="Arial"/>
          <w:sz w:val="18"/>
          <w:szCs w:val="18"/>
          <w:color w:val="auto"/>
        </w:rPr>
        <w:t>” means an active vaccination product that incorporates [*****].</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1.82 “</w:t>
      </w:r>
      <w:r>
        <w:rPr>
          <w:rFonts w:ascii="Arial" w:cs="Arial" w:eastAsia="Arial" w:hAnsi="Arial"/>
          <w:sz w:val="18"/>
          <w:szCs w:val="18"/>
          <w:u w:val="single" w:color="auto"/>
          <w:color w:val="auto"/>
        </w:rPr>
        <w:t>Vaccine Product Rights</w:t>
      </w:r>
      <w:r>
        <w:rPr>
          <w:rFonts w:ascii="Arial" w:cs="Arial" w:eastAsia="Arial" w:hAnsi="Arial"/>
          <w:sz w:val="18"/>
          <w:szCs w:val="18"/>
          <w:color w:val="auto"/>
        </w:rPr>
        <w:t>” mean (i) all Patents which claim Know-How related to Vaccine Products (including methods of making or using Vaccine Products), and (ii) all other intellectual property rights, or rights in confidential or proprietary information, in and to Know-How specific to a Vaccine Product; in each case owned or Controlled by ACI as of the Effective Date or during the Term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RESEARCH PROGRAM</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Research Program Overview and Responsibilities</w:t>
      </w:r>
      <w:r>
        <w:rPr>
          <w:rFonts w:ascii="Arial" w:cs="Arial" w:eastAsia="Arial" w:hAnsi="Arial"/>
          <w:sz w:val="17"/>
          <w:szCs w:val="17"/>
          <w:color w:val="auto"/>
        </w:rPr>
        <w:t>. Under this Agreement, the Parties are establishing a Research Program directed to the advancement and research of existing ACI Antibodies and the development of new antibodies. The Research Program will be coordinated by the Joint Research Committee. The Research Program will be described, and the Parties’ responsibilities with respect to the Research Program will be set forth, in the Research Plan, which shall be developed and approved by the JRC within ninety (90) days following the Effective Date. Each Party shall use diligent efforts to perform its respective responsibilities under the Research Plan and for the Research Program, and shall cooperate with and provide reasonable support to the other Party in such other Party’s performance of its responsibilities thereunder.</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w:t>
      </w:r>
    </w:p>
    <w:p>
      <w:pPr>
        <w:spacing w:after="0" w:line="117" w:lineRule="exact"/>
        <w:rPr>
          <w:sz w:val="20"/>
          <w:szCs w:val="20"/>
          <w:color w:val="auto"/>
        </w:rPr>
      </w:pPr>
    </w:p>
    <w:p>
      <w:pPr>
        <w:ind w:right="220" w:firstLine="913"/>
        <w:spacing w:after="0" w:line="291"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The JRC</w:t>
      </w:r>
      <w:r>
        <w:rPr>
          <w:rFonts w:ascii="Arial" w:cs="Arial" w:eastAsia="Arial" w:hAnsi="Arial"/>
          <w:sz w:val="16"/>
          <w:szCs w:val="16"/>
          <w:color w:val="auto"/>
        </w:rPr>
        <w:t>. Within thirty (30) days after the Effective Date, the Parties shall establish a committee to oversee the Research Program, and to establish, plan and coordinate the activities under the Research Plan (“</w:t>
      </w:r>
      <w:r>
        <w:rPr>
          <w:rFonts w:ascii="Arial" w:cs="Arial" w:eastAsia="Arial" w:hAnsi="Arial"/>
          <w:sz w:val="16"/>
          <w:szCs w:val="16"/>
          <w:u w:val="single" w:color="auto"/>
          <w:color w:val="auto"/>
        </w:rPr>
        <w:t>Joint Research Committee</w:t>
      </w:r>
      <w:r>
        <w:rPr>
          <w:rFonts w:ascii="Arial" w:cs="Arial" w:eastAsia="Arial" w:hAnsi="Arial"/>
          <w:sz w:val="16"/>
          <w:szCs w:val="16"/>
          <w:color w:val="auto"/>
        </w:rPr>
        <w:t>” or “</w:t>
      </w:r>
      <w:r>
        <w:rPr>
          <w:rFonts w:ascii="Arial" w:cs="Arial" w:eastAsia="Arial" w:hAnsi="Arial"/>
          <w:sz w:val="16"/>
          <w:szCs w:val="16"/>
          <w:u w:val="single" w:color="auto"/>
          <w:color w:val="auto"/>
        </w:rPr>
        <w:t>JRC</w:t>
      </w:r>
      <w:r>
        <w:rPr>
          <w:rFonts w:ascii="Arial" w:cs="Arial" w:eastAsia="Arial" w:hAnsi="Arial"/>
          <w:sz w:val="16"/>
          <w:szCs w:val="16"/>
          <w:color w:val="auto"/>
        </w:rPr>
        <w:t>”). The JRC will be composed of three</w:t>
      </w:r>
    </w:p>
    <w:p>
      <w:pPr>
        <w:ind w:right="60" w:firstLine="8"/>
        <w:spacing w:after="0" w:line="271" w:lineRule="auto"/>
        <w:tabs>
          <w:tab w:leader="none" w:pos="255" w:val="left"/>
        </w:tabs>
        <w:numPr>
          <w:ilvl w:val="0"/>
          <w:numId w:val="300"/>
        </w:numPr>
        <w:rPr>
          <w:rFonts w:ascii="Arial" w:cs="Arial" w:eastAsia="Arial" w:hAnsi="Arial"/>
          <w:sz w:val="17"/>
          <w:szCs w:val="17"/>
          <w:color w:val="auto"/>
        </w:rPr>
      </w:pPr>
      <w:r>
        <w:rPr>
          <w:rFonts w:ascii="Arial" w:cs="Arial" w:eastAsia="Arial" w:hAnsi="Arial"/>
          <w:sz w:val="17"/>
          <w:szCs w:val="17"/>
          <w:color w:val="auto"/>
        </w:rPr>
        <w:t>representatives designated by each Party (or such other number as the Parties may agree, provided that each of the Parties shall have the same number of JRC members). Representatives must be appropriate for the tasks then being undertaken and the stage of research or re-clinical development, in terms of their seniority, availability, function in their respective organizations, training and experience. Each Party shall designate one of its representatives as its primary JRC contact. Either Party may replace any or all of its representatives to the JRC at any time upon prior written notice to the other Party. If a Party’s representative is unable to attend a meeting, that Party may designate an alternate representative.</w:t>
      </w:r>
    </w:p>
    <w:p>
      <w:pPr>
        <w:spacing w:after="0" w:line="179"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Meetings</w:t>
      </w:r>
      <w:r>
        <w:rPr>
          <w:rFonts w:ascii="Arial" w:cs="Arial" w:eastAsia="Arial" w:hAnsi="Arial"/>
          <w:sz w:val="18"/>
          <w:szCs w:val="18"/>
          <w:color w:val="auto"/>
        </w:rPr>
        <w:t>. The JRC shall meet at such times as are unanimously agreed to by the JRC members, but no less than once each calendar quarter. Such meetings may be in-person, via videoconference,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40" w:type="dxa"/>
            <w:vAlign w:val="bottom"/>
          </w:tcPr>
          <w:p>
            <w:pPr>
              <w:ind w:left="3740"/>
              <w:spacing w:after="0"/>
              <w:rPr>
                <w:sz w:val="20"/>
                <w:szCs w:val="20"/>
                <w:color w:val="auto"/>
              </w:rPr>
            </w:pPr>
            <w:r>
              <w:rPr>
                <w:rFonts w:ascii="Arial" w:cs="Arial" w:eastAsia="Arial" w:hAnsi="Arial"/>
                <w:sz w:val="18"/>
                <w:szCs w:val="18"/>
                <w:color w:val="auto"/>
                <w:w w:val="87"/>
              </w:rPr>
              <w:t>9 of 42</w:t>
            </w:r>
          </w:p>
        </w:tc>
      </w:tr>
    </w:tbl>
    <w:p>
      <w:pPr>
        <w:sectPr>
          <w:pgSz w:w="11900" w:h="16838" w:orient="portrait"/>
          <w:cols w:equalWidth="0" w:num="1">
            <w:col w:w="11420"/>
          </w:cols>
          <w:pgMar w:left="240" w:top="269" w:right="239" w:bottom="1440" w:gutter="0" w:footer="0" w:header="0"/>
        </w:sectPr>
      </w:pPr>
    </w:p>
    <w:bookmarkStart w:id="367" w:name="page368"/>
    <w:bookmarkEnd w:id="3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or via teleconference,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least one meeting per calendar year shall be held in person. JRC meetings must be attended by at least one representative from each Party. The location of in-person JRC meetings will alternate between South San Francisco, California and Lausanne, Switzerland, unless otherwise agreed to by the Parties. Each Party will bear the expense of its respective Committee members’ participation in JRC meetings. The JRC shall record all decisions made, and otherwise take minutes as appropriate. Responsibility for keeping minutes will alternate between the Parties, beginning with Genentech. JRC meeting minutes will be sent to each member of the JRC for review as soon as practicable after a meeting. A Party may, with the prior written consent of the other Party, invite a reasonable number of non-voting employees, consultants or scientific advisors to attend a meeting of the JRC. Those invitees must be bound by appropriate confidentiality obligations.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Responsibilities of the JRC</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2.2.4</w:t>
      </w:r>
      <w:r>
        <w:rPr>
          <w:rFonts w:ascii="Arial" w:cs="Arial" w:eastAsia="Arial" w:hAnsi="Arial"/>
          <w:sz w:val="18"/>
          <w:szCs w:val="18"/>
          <w:color w:val="auto"/>
        </w:rPr>
        <w:t>, the Joint Research Committee shall perform the following functions:</w:t>
      </w:r>
    </w:p>
    <w:p>
      <w:pPr>
        <w:spacing w:after="0" w:line="131" w:lineRule="exact"/>
        <w:rPr>
          <w:sz w:val="20"/>
          <w:szCs w:val="20"/>
          <w:color w:val="auto"/>
        </w:rPr>
      </w:pPr>
    </w:p>
    <w:p>
      <w:pPr>
        <w:ind w:left="1480" w:hanging="567"/>
        <w:spacing w:after="0"/>
        <w:tabs>
          <w:tab w:leader="none" w:pos="14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develop and approve the initial Research Plan;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review and amend the Research Plan, as needed;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review and approve the allocation of resources and efforts for the Research Program;</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monitor the progress of the Research Program;</w:t>
      </w:r>
    </w:p>
    <w:p>
      <w:pPr>
        <w:spacing w:after="0" w:line="130" w:lineRule="exact"/>
        <w:rPr>
          <w:rFonts w:ascii="Arial" w:cs="Arial" w:eastAsia="Arial" w:hAnsi="Arial"/>
          <w:sz w:val="18"/>
          <w:szCs w:val="18"/>
          <w:color w:val="auto"/>
        </w:rPr>
      </w:pPr>
    </w:p>
    <w:p>
      <w:pPr>
        <w:ind w:left="1480" w:right="580" w:hanging="567"/>
        <w:spacing w:after="0" w:line="277" w:lineRule="auto"/>
        <w:tabs>
          <w:tab w:leader="none" w:pos="14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2.3</w:t>
      </w:r>
      <w:r>
        <w:rPr>
          <w:rFonts w:ascii="Arial" w:cs="Arial" w:eastAsia="Arial" w:hAnsi="Arial"/>
          <w:sz w:val="18"/>
          <w:szCs w:val="18"/>
          <w:color w:val="auto"/>
        </w:rPr>
        <w:t>, coordinate, and be the primary conduit for, the transfer of ACI Antibodies, Program Antibodies and related research materials, Know-How, and Confidential Information between the Parties; and</w:t>
      </w:r>
    </w:p>
    <w:p>
      <w:pPr>
        <w:spacing w:after="0" w:line="75" w:lineRule="exact"/>
        <w:rPr>
          <w:rFonts w:ascii="Arial" w:cs="Arial" w:eastAsia="Arial" w:hAnsi="Arial"/>
          <w:sz w:val="18"/>
          <w:szCs w:val="18"/>
          <w:color w:val="auto"/>
        </w:rPr>
      </w:pPr>
    </w:p>
    <w:p>
      <w:pPr>
        <w:ind w:left="1480" w:right="480" w:hanging="567"/>
        <w:spacing w:after="0" w:line="277" w:lineRule="auto"/>
        <w:tabs>
          <w:tab w:leader="none" w:pos="14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Perform such other functions referred to in the Research Plan, as appropriate to further the purposes of the Research Program, or as otherwise specified in this Agreement or agreed to by the Parties.</w:t>
      </w:r>
    </w:p>
    <w:p>
      <w:pPr>
        <w:spacing w:after="0" w:line="170" w:lineRule="exact"/>
        <w:rPr>
          <w:sz w:val="20"/>
          <w:szCs w:val="20"/>
          <w:color w:val="auto"/>
        </w:rPr>
      </w:pPr>
    </w:p>
    <w:p>
      <w:pPr>
        <w:ind w:right="740" w:firstLine="913"/>
        <w:spacing w:after="0" w:line="34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Decision-Making Authority</w:t>
      </w:r>
      <w:r>
        <w:rPr>
          <w:rFonts w:ascii="Arial" w:cs="Arial" w:eastAsia="Arial" w:hAnsi="Arial"/>
          <w:sz w:val="16"/>
          <w:szCs w:val="16"/>
          <w:color w:val="auto"/>
        </w:rPr>
        <w:t>. The Joint Research Committee will attempt to make decisions by consensus. If the JRC cannot reach consensus, then Genentech shall have final decision making authority; except for the following, which require agreement of the Parties: [*****].</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of Know-How During Research Term</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JRC Meetings and Communication</w:t>
      </w:r>
      <w:r>
        <w:rPr>
          <w:rFonts w:ascii="Arial" w:cs="Arial" w:eastAsia="Arial" w:hAnsi="Arial"/>
          <w:sz w:val="18"/>
          <w:szCs w:val="18"/>
          <w:color w:val="auto"/>
        </w:rPr>
        <w:t>. In addition to JRC meetings, project team scientists working on the Research Plan shall have periodic meetings or teleconference or videoconference discussions.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Ongoing Transfer of ACI Antibodies and related Know-How</w:t>
      </w:r>
      <w:r>
        <w:rPr>
          <w:rFonts w:ascii="Arial" w:cs="Arial" w:eastAsia="Arial" w:hAnsi="Arial"/>
          <w:sz w:val="17"/>
          <w:szCs w:val="17"/>
          <w:color w:val="auto"/>
        </w:rPr>
        <w:t>. Within [*****] days of the Effective Date, ACI shall deliver to Genentech: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On an ongoing basis during the Term, ACI shall, as determined by the JRC, deliver to Genentech: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10 of 42</w:t>
            </w:r>
          </w:p>
        </w:tc>
      </w:tr>
    </w:tbl>
    <w:p>
      <w:pPr>
        <w:sectPr>
          <w:pgSz w:w="11900" w:h="16838" w:orient="portrait"/>
          <w:cols w:equalWidth="0" w:num="1">
            <w:col w:w="11420"/>
          </w:cols>
          <w:pgMar w:left="240" w:top="270" w:right="239" w:bottom="1440" w:gutter="0" w:footer="0" w:header="0"/>
        </w:sectPr>
      </w:pPr>
    </w:p>
    <w:bookmarkStart w:id="368" w:name="page369"/>
    <w:bookmarkEnd w:id="3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Written Reports</w:t>
      </w:r>
      <w:r>
        <w:rPr>
          <w:rFonts w:ascii="Arial" w:cs="Arial" w:eastAsia="Arial" w:hAnsi="Arial"/>
          <w:sz w:val="17"/>
          <w:szCs w:val="17"/>
          <w:color w:val="auto"/>
        </w:rPr>
        <w:t>. During the Research Term and within six (6) months thereafter, ACI shall provide to Genentech, through the JRC, the following written communications regarding work undertaken or assigned as part of the Research Program: (a) a written description of significant discoveries or advances, promptly after such results are obtained or their significance is appreciated; (b) a written summary of research conducted and the results thereof, including any compounds synthesized or discovered, the results of in vitro and in vivo studies, any inventions conceived or reduced to practice, on at least a calendar quarter basis; and (c) raw data for research undertaken under the Research Program, upon request of Genentech. The foregoing reporting obligation may be satisfied in the form of a joint report created by the Parties following a JRC meeting, such joint report to reflect the information contained in Research Program updates made by the Parties at such JRC meeting along with supporting raw data.</w:t>
      </w:r>
    </w:p>
    <w:p>
      <w:pPr>
        <w:spacing w:after="0" w:line="178" w:lineRule="exact"/>
        <w:rPr>
          <w:sz w:val="20"/>
          <w:szCs w:val="20"/>
          <w:color w:val="auto"/>
        </w:rPr>
      </w:pPr>
    </w:p>
    <w:p>
      <w:pPr>
        <w:ind w:right="540" w:firstLine="456"/>
        <w:spacing w:after="0" w:line="29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Subcontracting</w:t>
      </w:r>
      <w:r>
        <w:rPr>
          <w:rFonts w:ascii="Arial" w:cs="Arial" w:eastAsia="Arial" w:hAnsi="Arial"/>
          <w:sz w:val="16"/>
          <w:szCs w:val="16"/>
          <w:color w:val="auto"/>
        </w:rPr>
        <w:t>. ACI may use CROs to outsource some of its activities under the Research Plan provided that: (i) ACI shall delegate such responsibilities to CROs in writing, which CROs shall be subject to Genentech’s prior written approval, which shall not be unreasonably withheld; and</w:t>
      </w:r>
    </w:p>
    <w:p>
      <w:pPr>
        <w:ind w:firstLine="8"/>
        <w:spacing w:after="0" w:line="287" w:lineRule="auto"/>
        <w:tabs>
          <w:tab w:leader="none" w:pos="26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Genentech shall have [*****] Business Days to review each agreement ACI plans to enter into with CROs and ACI shall include Genentech’s reasonable requests for changes to such agreements. ACI may fulfill its obligation to commit FTEs to the Research Program by using individual contractors or consultants under the following conditions: (a) ACI has informed Genentech, in writing, in advance of committing such Third Party FTEs to the Research Program and has provided to Genentech a resume or curriculum vitae for each such Third Party FTE; (b) each individual included within the FTEs must have appropriate experience and qualifications; and (c) each individual within the FTEs must have entered into a written agreement with ACI that either has been approved by Genentech in advance or includes terms and conditions protecting and limiting use and disclosure of Confidential Information and Know-How to the same extent as under this Agreement, and requiring all such individuals to assign to ACI all right, title and interest in and to any intellectual property (and intellectual property rights) created, discovered, conceived or reduced to practice. ACI is responsible for compliance by CROs and Third Party FTEs with the terms and conditions of this Agreement as if those CROs and Third Party FTEs were ACI’s employees.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ACI FTEs and CROs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u w:val="single" w:color="auto"/>
          <w:color w:val="auto"/>
        </w:rPr>
        <w:t>ACI FTEs</w:t>
      </w:r>
      <w:r>
        <w:rPr>
          <w:rFonts w:ascii="Arial" w:cs="Arial" w:eastAsia="Arial" w:hAnsi="Arial"/>
          <w:sz w:val="18"/>
          <w:szCs w:val="18"/>
          <w:color w:val="auto"/>
        </w:rPr>
        <w:t xml:space="preserve">. During the Research Term, Genentech shall support the research and other activities to be undertaken under the Research Plan and as part of the Research Program with an annual resource commitment to pay for the number of ACI FTEs set forth in the Research Plan (the “FTE </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Personnel included within the FTE Commitment may be employees of ACI or may be contractors, but the inclusion of contractors must otherwise satisfy the requirements of </w:t>
      </w:r>
      <w:r>
        <w:rPr>
          <w:rFonts w:ascii="Arial" w:cs="Arial" w:eastAsia="Arial" w:hAnsi="Arial"/>
          <w:sz w:val="18"/>
          <w:szCs w:val="18"/>
          <w:u w:val="single" w:color="auto"/>
          <w:color w:val="auto"/>
        </w:rPr>
        <w:t>Section 2.4</w:t>
      </w:r>
      <w:r>
        <w:rPr>
          <w:rFonts w:ascii="Arial" w:cs="Arial" w:eastAsia="Arial" w:hAnsi="Arial"/>
          <w:sz w:val="18"/>
          <w:szCs w:val="18"/>
          <w:color w:val="auto"/>
        </w:rPr>
        <w:t>. Each individual included within the FTE Commitment must possess a bachelor’s degree or higher in a relevant scientific discipline or such equivalent educational background and training outside the United States and must be experienced in the type of research or other activities to be undertaken under the Research Plan. At Genentech’s request, ACI shall provide resumes or curriculum vitae for any personnel included in the FTEs committed under this Agreement</w:t>
      </w:r>
    </w:p>
    <w:p>
      <w:pPr>
        <w:spacing w:after="0" w:line="18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2.5.2 [*****] During the Research Term, [*****] the research and other activities to be undertaken under the Research Plan and as part of the Research Program performed by CROs retained by ACI in accordance with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70"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u w:val="single" w:color="auto"/>
          <w:color w:val="auto"/>
        </w:rPr>
        <w:t>Research Support Payments by Genentech</w:t>
      </w:r>
      <w:r>
        <w:rPr>
          <w:rFonts w:ascii="Arial" w:cs="Arial" w:eastAsia="Arial" w:hAnsi="Arial"/>
          <w:sz w:val="18"/>
          <w:szCs w:val="18"/>
          <w:color w:val="auto"/>
        </w:rPr>
        <w:t xml:space="preserve">. Genentech shall pay to ACI (i) research support payments based on the FTE Commitment in accordance with </w:t>
      </w:r>
      <w:r>
        <w:rPr>
          <w:rFonts w:ascii="Arial" w:cs="Arial" w:eastAsia="Arial" w:hAnsi="Arial"/>
          <w:sz w:val="18"/>
          <w:szCs w:val="18"/>
          <w:u w:val="single" w:color="auto"/>
          <w:color w:val="auto"/>
        </w:rPr>
        <w:t>Section 2.5.1</w:t>
      </w:r>
      <w:r>
        <w:rPr>
          <w:rFonts w:ascii="Arial" w:cs="Arial" w:eastAsia="Arial" w:hAnsi="Arial"/>
          <w:sz w:val="18"/>
          <w:szCs w:val="18"/>
          <w:color w:val="auto"/>
        </w:rPr>
        <w:t xml:space="preserve"> and (ii) [*****] as provided in </w:t>
      </w:r>
      <w:r>
        <w:rPr>
          <w:rFonts w:ascii="Arial" w:cs="Arial" w:eastAsia="Arial" w:hAnsi="Arial"/>
          <w:sz w:val="18"/>
          <w:szCs w:val="18"/>
          <w:u w:val="single" w:color="auto"/>
          <w:color w:val="auto"/>
        </w:rPr>
        <w:t>Section 2.5.2</w:t>
      </w:r>
      <w:r>
        <w:rPr>
          <w:rFonts w:ascii="Arial" w:cs="Arial" w:eastAsia="Arial" w:hAnsi="Arial"/>
          <w:sz w:val="18"/>
          <w:szCs w:val="18"/>
          <w:color w:val="auto"/>
        </w:rPr>
        <w:t xml:space="preserve"> ( (i) and (ii) together, the “</w:t>
      </w:r>
      <w:r>
        <w:rPr>
          <w:rFonts w:ascii="Arial" w:cs="Arial" w:eastAsia="Arial" w:hAnsi="Arial"/>
          <w:sz w:val="18"/>
          <w:szCs w:val="18"/>
          <w:u w:val="single" w:color="auto"/>
          <w:color w:val="auto"/>
        </w:rPr>
        <w:t>Research Support Payments</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Other than those Research Support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11 of 42</w:t>
            </w:r>
          </w:p>
        </w:tc>
      </w:tr>
    </w:tbl>
    <w:p>
      <w:pPr>
        <w:sectPr>
          <w:pgSz w:w="11900" w:h="16838" w:orient="portrait"/>
          <w:cols w:equalWidth="0" w:num="1">
            <w:col w:w="11420"/>
          </w:cols>
          <w:pgMar w:left="240" w:top="270" w:right="239" w:bottom="1440" w:gutter="0" w:footer="0" w:header="0"/>
        </w:sectPr>
      </w:pPr>
    </w:p>
    <w:bookmarkStart w:id="369" w:name="page370"/>
    <w:bookmarkEnd w:id="3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payable by Genentech under </w:t>
      </w:r>
      <w:r>
        <w:rPr>
          <w:rFonts w:ascii="Arial" w:cs="Arial" w:eastAsia="Arial" w:hAnsi="Arial"/>
          <w:sz w:val="18"/>
          <w:szCs w:val="18"/>
          <w:u w:val="single" w:color="auto"/>
          <w:color w:val="auto"/>
        </w:rPr>
        <w:t>Section 5.2</w:t>
      </w:r>
      <w:r>
        <w:rPr>
          <w:rFonts w:ascii="Arial" w:cs="Arial" w:eastAsia="Arial" w:hAnsi="Arial"/>
          <w:sz w:val="18"/>
          <w:szCs w:val="18"/>
          <w:color w:val="auto"/>
        </w:rPr>
        <w:t>, ACI shall bear all costs of undertaking and carrying out the research of the Research Program and performing under the Research Plan.</w:t>
      </w:r>
    </w:p>
    <w:p>
      <w:pPr>
        <w:spacing w:after="0" w:line="170"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Research Term</w:t>
      </w:r>
      <w:r>
        <w:rPr>
          <w:rFonts w:ascii="Arial" w:cs="Arial" w:eastAsia="Arial" w:hAnsi="Arial"/>
          <w:sz w:val="16"/>
          <w:szCs w:val="16"/>
          <w:color w:val="auto"/>
        </w:rPr>
        <w:t xml:space="preserve">. The Research Term commences as of the Effective Date and, unless the Agreement is earlier terminated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or the Research Program is earlier terminated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14.1 the Research Term expires [*****] years after the Effective Date. The Research Term may be extended by written agreement of both Parties. After [*****] months following the end of the Research Term, the JRC is no longer required to meet.</w:t>
      </w:r>
    </w:p>
    <w:p>
      <w:pPr>
        <w:spacing w:after="0" w:line="35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ARTICLE 3: DEVELOPMENT AND COMMERCIALIZATION EFFORTS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Development and Commercialization Responsibilities</w:t>
      </w:r>
      <w:r>
        <w:rPr>
          <w:rFonts w:ascii="Arial" w:cs="Arial" w:eastAsia="Arial" w:hAnsi="Arial"/>
          <w:sz w:val="18"/>
          <w:szCs w:val="18"/>
          <w:color w:val="auto"/>
        </w:rPr>
        <w:t>.</w:t>
      </w:r>
    </w:p>
    <w:p>
      <w:pPr>
        <w:spacing w:after="0" w:line="11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Exclusive Genentech Right</w:t>
      </w:r>
      <w:r>
        <w:rPr>
          <w:rFonts w:ascii="Arial" w:cs="Arial" w:eastAsia="Arial" w:hAnsi="Arial"/>
          <w:sz w:val="18"/>
          <w:szCs w:val="18"/>
          <w:color w:val="auto"/>
        </w:rPr>
        <w:t>. Except for those activities set forth in the Research Plan, as between the Parties, Genentech (and, if applicable, Genentech Licensees) have the sole right and responsibility for, and control over, all research, development, manufacturing and commercialization activities, including all regulatory activities, with respect to any Licensed Products.</w:t>
      </w:r>
    </w:p>
    <w:p>
      <w:pPr>
        <w:spacing w:after="0" w:line="181"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Development Costs</w:t>
      </w:r>
      <w:r>
        <w:rPr>
          <w:rFonts w:ascii="Arial" w:cs="Arial" w:eastAsia="Arial" w:hAnsi="Arial"/>
          <w:sz w:val="18"/>
          <w:szCs w:val="18"/>
          <w:color w:val="auto"/>
        </w:rPr>
        <w:t>. Except as otherwise agreed to by the Parties, [*****] shall bear all costs and expenses associated with research, development, manufacturing and commercialization activities with respect to Licensed Products.</w:t>
      </w:r>
    </w:p>
    <w:p>
      <w:pPr>
        <w:spacing w:after="0" w:line="17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ACI Cooperation</w:t>
      </w:r>
      <w:r>
        <w:rPr>
          <w:rFonts w:ascii="Arial" w:cs="Arial" w:eastAsia="Arial" w:hAnsi="Arial"/>
          <w:sz w:val="18"/>
          <w:szCs w:val="18"/>
          <w:color w:val="auto"/>
        </w:rPr>
        <w:t>. ACI shall, and shall cause its employees, contractors and agents to, cooperate with and provide reasonable support and assistance to Genentech in its conduct of any activities in the research, development, manufacturing and commercialization, including in the seeking of Marketing Approval, of Licensed Products. [*****] shall [*****] reasonably incurred by [*****] in connection with such cooperation and support provided that such [*****] are approved in advance by [*****].</w:t>
      </w:r>
    </w:p>
    <w:p>
      <w:pPr>
        <w:spacing w:after="0" w:line="18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Development Updates</w:t>
      </w:r>
      <w:r>
        <w:rPr>
          <w:rFonts w:ascii="Arial" w:cs="Arial" w:eastAsia="Arial" w:hAnsi="Arial"/>
          <w:sz w:val="18"/>
          <w:szCs w:val="18"/>
          <w:color w:val="auto"/>
        </w:rPr>
        <w:t>. Throughout the Term, Genentech shall provide to ACI periodic updates on the plan for development of Licensed Products under this Agreement on at least an annual basis. Such updates to include a summary of any significant progress or advances along with a general description of Genentech’s then-current plan of development. It is understood and agreed that the development plan summaries provided under this Section 3.1.4 are non-binding and provided to ACI for informational purposes only.</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Genentech Diligence</w:t>
      </w:r>
      <w:r>
        <w:rPr>
          <w:rFonts w:ascii="Arial" w:cs="Arial" w:eastAsia="Arial" w:hAnsi="Arial"/>
          <w:sz w:val="18"/>
          <w:szCs w:val="18"/>
          <w:color w:val="auto"/>
        </w:rPr>
        <w:t xml:space="preserve">. Genentech shall use Commercially Reasonable Efforts to develop and commercialize at least one Licensed Product for Alzheimer’s disease [*****] as indicated by compelling biologic rationale and commercial viability. Activities by Genentech Licensees and Affiliates will be considered as Genentech’s activities under this Agreement for purposes of determining whether Genentech has complied with its obligations under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Follow-On Antibody Designation</w:t>
      </w:r>
      <w:r>
        <w:rPr>
          <w:rFonts w:ascii="Arial" w:cs="Arial" w:eastAsia="Arial" w:hAnsi="Arial"/>
          <w:sz w:val="18"/>
          <w:szCs w:val="18"/>
          <w:color w:val="auto"/>
        </w:rPr>
        <w:t xml:space="preserve">. Within the first [*****] years of the Term, Genentech shall select up to [*****] as [*****] to be reserved for exclusive development by Genentech in accordance with </w:t>
      </w:r>
      <w:r>
        <w:rPr>
          <w:rFonts w:ascii="Arial" w:cs="Arial" w:eastAsia="Arial" w:hAnsi="Arial"/>
          <w:sz w:val="18"/>
          <w:szCs w:val="18"/>
          <w:u w:val="single" w:color="auto"/>
          <w:color w:val="auto"/>
        </w:rPr>
        <w:t>Section 4.3.2</w:t>
      </w:r>
      <w:r>
        <w:rPr>
          <w:rFonts w:ascii="Arial" w:cs="Arial" w:eastAsia="Arial" w:hAnsi="Arial"/>
          <w:sz w:val="18"/>
          <w:szCs w:val="18"/>
          <w:color w:val="auto"/>
        </w:rPr>
        <w:t xml:space="preserve">. Upon notification by Genentech to the JRC, each such [*****] shall be subject to the terms and conditions described in </w:t>
      </w:r>
      <w:r>
        <w:rPr>
          <w:rFonts w:ascii="Arial" w:cs="Arial" w:eastAsia="Arial" w:hAnsi="Arial"/>
          <w:sz w:val="18"/>
          <w:szCs w:val="18"/>
          <w:u w:val="single" w:color="auto"/>
          <w:color w:val="auto"/>
        </w:rPr>
        <w:t>Section 4.3.2</w:t>
      </w:r>
      <w:r>
        <w:rPr>
          <w:rFonts w:ascii="Arial" w:cs="Arial" w:eastAsia="Arial" w:hAnsi="Arial"/>
          <w:sz w:val="18"/>
          <w:szCs w:val="18"/>
          <w:color w:val="auto"/>
        </w:rPr>
        <w: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Development of Licensed Products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12 of 42</w:t>
            </w:r>
          </w:p>
        </w:tc>
      </w:tr>
    </w:tbl>
    <w:p>
      <w:pPr>
        <w:sectPr>
          <w:pgSz w:w="11900" w:h="16838" w:orient="portrait"/>
          <w:cols w:equalWidth="0" w:num="1">
            <w:col w:w="11420"/>
          </w:cols>
          <w:pgMar w:left="240" w:top="270" w:right="239" w:bottom="1440" w:gutter="0" w:footer="0" w:header="0"/>
        </w:sectPr>
      </w:pPr>
    </w:p>
    <w:bookmarkStart w:id="370" w:name="page371"/>
    <w:bookmarkEnd w:id="3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3.4.1 </w:t>
      </w:r>
      <w:r>
        <w:rPr>
          <w:rFonts w:ascii="Arial" w:cs="Arial" w:eastAsia="Arial" w:hAnsi="Arial"/>
          <w:sz w:val="17"/>
          <w:szCs w:val="17"/>
          <w:u w:val="single" w:color="auto"/>
          <w:color w:val="auto"/>
        </w:rPr>
        <w:t>Generally</w:t>
      </w:r>
      <w:r>
        <w:rPr>
          <w:rFonts w:ascii="Arial" w:cs="Arial" w:eastAsia="Arial" w:hAnsi="Arial"/>
          <w:sz w:val="17"/>
          <w:szCs w:val="17"/>
          <w:color w:val="auto"/>
        </w:rPr>
        <w:t>. The Parties intend and agree that filing for any Marketing Approval and commercialization of Licensed Products shall be controlled by Genentech. Without limiting the generality of the foregoing, Genentech shall be responsible for making and have authority to make all decisions, and undertake any actions necessary as a result of such decisions, regarding development (including additional preclinical and clinical development and testing), selecting drug candidates and preparing and filing BLAs and any other applications for Marketing Approval. Genentech shall own all regulatory submissions, including all Marketing Approvals and applications therefor, for Licensed Products in the United States.</w:t>
      </w:r>
    </w:p>
    <w:p>
      <w:pPr>
        <w:spacing w:after="0" w:line="17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3.4.2 </w:t>
      </w:r>
      <w:r>
        <w:rPr>
          <w:rFonts w:ascii="Arial" w:cs="Arial" w:eastAsia="Arial" w:hAnsi="Arial"/>
          <w:sz w:val="18"/>
          <w:szCs w:val="18"/>
          <w:u w:val="single" w:color="auto"/>
          <w:color w:val="auto"/>
        </w:rPr>
        <w:t>Cooperation</w:t>
      </w:r>
      <w:r>
        <w:rPr>
          <w:rFonts w:ascii="Arial" w:cs="Arial" w:eastAsia="Arial" w:hAnsi="Arial"/>
          <w:sz w:val="18"/>
          <w:szCs w:val="18"/>
          <w:color w:val="auto"/>
        </w:rPr>
        <w:t>. ACI shall cooperate with and provide reasonable support to Genentech in its conduct of any activities in the development and seeking of Marketing Approval of Licensed Products. Without limiting the generality of the foregoing, ACI shall assist Genentech and any Genentech Licensee in the preparation and filing of any applications for Marketing Approval with respect to Licensed Products, including by delivering all information in ACI’s Control (in a complete and accurate form) necessary or useful to complete and file any Marketing Approval for a Licensed Product in the United States. [*****] shall [*****] reasonably incurred by [*****] in connection with such cooperation and support provided that such [*****] are approved in advance by [*****].</w:t>
      </w:r>
    </w:p>
    <w:p>
      <w:pPr>
        <w:spacing w:after="0" w:line="19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3.4.3 </w:t>
      </w:r>
      <w:r>
        <w:rPr>
          <w:rFonts w:ascii="Arial" w:cs="Arial" w:eastAsia="Arial" w:hAnsi="Arial"/>
          <w:sz w:val="18"/>
          <w:szCs w:val="18"/>
          <w:u w:val="single" w:color="auto"/>
          <w:color w:val="auto"/>
        </w:rPr>
        <w:t>Transfer of Information and Regulatory Filings</w:t>
      </w:r>
      <w:r>
        <w:rPr>
          <w:rFonts w:ascii="Arial" w:cs="Arial" w:eastAsia="Arial" w:hAnsi="Arial"/>
          <w:sz w:val="18"/>
          <w:szCs w:val="18"/>
          <w:color w:val="auto"/>
        </w:rPr>
        <w:t>. Within [*****] days following the Effective Date and on an ongoing basis during the Term, ACI agrees to transfer to Genentech all Know-How, including any preclinical data, assays and associated materials, protocols, reports, procedures and any other information in ACI’s Control, necessary or useful to continue or initiate pre-clinical or clinical development, or in seeking Marketing Approval, of Licensed Products.</w:t>
      </w:r>
    </w:p>
    <w:p>
      <w:pPr>
        <w:spacing w:after="0" w:line="18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3.4.4 </w:t>
      </w:r>
      <w:r>
        <w:rPr>
          <w:rFonts w:ascii="Arial" w:cs="Arial" w:eastAsia="Arial" w:hAnsi="Arial"/>
          <w:sz w:val="18"/>
          <w:szCs w:val="18"/>
          <w:u w:val="single" w:color="auto"/>
          <w:color w:val="auto"/>
        </w:rPr>
        <w:t>Manufacturing and Supply</w:t>
      </w:r>
      <w:r>
        <w:rPr>
          <w:rFonts w:ascii="Arial" w:cs="Arial" w:eastAsia="Arial" w:hAnsi="Arial"/>
          <w:sz w:val="18"/>
          <w:szCs w:val="18"/>
          <w:color w:val="auto"/>
        </w:rPr>
        <w:t>. Genentech shall be responsible for manufacturing Licensed Products for clinical use and commercial sale in the Genentech Field.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LICENSE GRANTS, NEGOTIATION RIGHT</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Exclusive License</w:t>
      </w:r>
      <w:r>
        <w:rPr>
          <w:rFonts w:ascii="Arial" w:cs="Arial" w:eastAsia="Arial" w:hAnsi="Arial"/>
          <w:sz w:val="18"/>
          <w:szCs w:val="18"/>
          <w:color w:val="auto"/>
        </w:rPr>
        <w:t xml:space="preserve">. Subject to the terms and conditions of this Agreement, ACI hereby grants to Genentech, and Genentech hereby accepts, an exclusive (even as to ACI) right and license under the ACI IP Rights, the ACI Program IP Rights and ACI’s interest in the Joint Program IP Rights to research, develop, make, have made, use, sell, offer for sale and import [*****] and Licensed Products in the Genentech Field in the Territory. The license granted to Genentech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include the right to sublicense to multiple tiers of Third Parties in accordance with the terms of </w:t>
      </w:r>
      <w:r>
        <w:rPr>
          <w:rFonts w:ascii="Arial" w:cs="Arial" w:eastAsia="Arial" w:hAnsi="Arial"/>
          <w:sz w:val="18"/>
          <w:szCs w:val="18"/>
          <w:u w:val="single" w:color="auto"/>
          <w:color w:val="auto"/>
        </w:rPr>
        <w:t>Section 4.6</w:t>
      </w:r>
      <w:r>
        <w:rPr>
          <w:rFonts w:ascii="Arial" w:cs="Arial" w:eastAsia="Arial" w:hAnsi="Arial"/>
          <w:sz w:val="18"/>
          <w:szCs w:val="18"/>
          <w:color w:val="auto"/>
        </w:rPr>
        <w:t>. For the avoidance of doubt, [*****].</w:t>
      </w:r>
    </w:p>
    <w:p>
      <w:pPr>
        <w:spacing w:after="0" w:line="188"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License Grant to ACI for Conduct of the Research Program</w:t>
      </w:r>
      <w:r>
        <w:rPr>
          <w:rFonts w:ascii="Arial" w:cs="Arial" w:eastAsia="Arial" w:hAnsi="Arial"/>
          <w:sz w:val="17"/>
          <w:szCs w:val="17"/>
          <w:color w:val="auto"/>
        </w:rPr>
        <w:t xml:space="preserve">. Subject to the terms of this Agreement, Genentech hereby grants to ACI a non-exclusive, non-transferable, non-sublicenseable (except as expressly provided in </w:t>
      </w:r>
      <w:r>
        <w:rPr>
          <w:rFonts w:ascii="Arial" w:cs="Arial" w:eastAsia="Arial" w:hAnsi="Arial"/>
          <w:sz w:val="17"/>
          <w:szCs w:val="17"/>
          <w:u w:val="single" w:color="auto"/>
          <w:color w:val="auto"/>
        </w:rPr>
        <w:t>Section 2.4</w:t>
      </w:r>
      <w:r>
        <w:rPr>
          <w:rFonts w:ascii="Arial" w:cs="Arial" w:eastAsia="Arial" w:hAnsi="Arial"/>
          <w:sz w:val="17"/>
          <w:szCs w:val="17"/>
          <w:color w:val="auto"/>
        </w:rPr>
        <w:t>), right and license under the (i) ACI IP Rights (to the extent exclusively licensed to Genentech hereunder), (ii) ACI Program IP Rights and ACI’s interest in the Joint Program IP Rights (each to the extent exclusively licensed to Genentech hereunder), and (iii) Genentech IP Rights, in each case to research, develop, make and use (but not to sell or offer for sale) [*****] solely to the extent necessary for ACI to conduct those activities specified in the Research Plan.</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Exclusivity; Restrictions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 xml:space="preserve">4.3.1 ACI shall not (i) provide any [*****] or Licensed Products to any Third Party; or (ii) provide to any Third Party any methods of screening for, identifying or making any [*****] or Licensed Products, except as expressly provided in, and in strict accordance with,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13 of 42</w:t>
            </w:r>
          </w:p>
        </w:tc>
      </w:tr>
    </w:tbl>
    <w:p>
      <w:pPr>
        <w:sectPr>
          <w:pgSz w:w="11900" w:h="16838" w:orient="portrait"/>
          <w:cols w:equalWidth="0" w:num="1">
            <w:col w:w="11420"/>
          </w:cols>
          <w:pgMar w:left="240" w:top="269" w:right="239" w:bottom="1440" w:gutter="0" w:footer="0" w:header="0"/>
        </w:sectPr>
      </w:pPr>
    </w:p>
    <w:bookmarkStart w:id="371" w:name="page372"/>
    <w:bookmarkEnd w:id="3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u w:val="single" w:color="auto"/>
          <w:color w:val="auto"/>
        </w:rPr>
        <w:t>Section 4.3.2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4.3.3</w:t>
      </w:r>
      <w:r>
        <w:rPr>
          <w:rFonts w:ascii="Arial" w:cs="Arial" w:eastAsia="Arial" w:hAnsi="Arial"/>
          <w:sz w:val="18"/>
          <w:szCs w:val="18"/>
          <w:color w:val="auto"/>
        </w:rPr>
        <w:t xml:space="preserve">. For clarity, except as described in </w:t>
      </w:r>
      <w:r>
        <w:rPr>
          <w:rFonts w:ascii="Arial" w:cs="Arial" w:eastAsia="Arial" w:hAnsi="Arial"/>
          <w:sz w:val="18"/>
          <w:szCs w:val="18"/>
          <w:u w:val="single" w:color="auto"/>
          <w:color w:val="auto"/>
        </w:rPr>
        <w:t>Section 4.3.2</w:t>
      </w:r>
      <w:r>
        <w:rPr>
          <w:rFonts w:ascii="Arial" w:cs="Arial" w:eastAsia="Arial" w:hAnsi="Arial"/>
          <w:sz w:val="18"/>
          <w:szCs w:val="18"/>
          <w:color w:val="auto"/>
        </w:rPr>
        <w:t>, the foregoing restriction will not apply to limit ACI’s use or transfer of [*****] and related methods of screening, identification or manufacture, with respect to ACI’s activities outside the Genentech Field, including without limitation the research, development and commercialization of ACI Diagnostic Products and Vaccine Products.</w:t>
      </w:r>
    </w:p>
    <w:p>
      <w:pPr>
        <w:spacing w:after="0" w:line="181"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 xml:space="preserve">4.3.2 During the Term, the Parties agree that Genentech shall have the sole right to develop and commercialize the [*****] and [*****] and ACI shall not have any rights to develop or commercialize products containing the [*****] or any [*****] for any purpose, including outside the Genentech Field. Notwithstanding the foregoing, upon First Commercial Sale of a Licensed Product in the Therapeutic Field containing the [*****] or any [*****], ACI shall be permitted to commercialize [*****] containing such [*****] or [*****]. During the period commencing on the Effective Date and ending [*****] years after the Effective Date, ACI shall not permit a Third Party to make or use any [*****] incorporating or otherwise using an [*****] as a component of such product unless such Third Party’s use of the [*****] (including the disclosure of any results of such use) is subject to obligations at least as protective of Genentech’s interest as the obligations imposed on ACI by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and where ACI’s agreement with such ACI Licensees requires assignment to ACI of all right, title and interest in and to any intellectual property (and intellectual property rights) created, discovered, conceived or reduced to practice during the making or using of such [*****] where such intellectual property rights are related to [*****]. Notwithstanding anything to the contrary, ACI shall not manufacture or sell or permit any Third Party to manufacture or sell any [*****] incorporating or otherwise using an [*****] as a component of such product during the period commencing on the Effective Date and ending [*****] years after the Effective Date.</w:t>
      </w:r>
    </w:p>
    <w:p>
      <w:pPr>
        <w:spacing w:after="0" w:line="18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Academic Research</w:t>
      </w:r>
      <w:r>
        <w:rPr>
          <w:rFonts w:ascii="Arial" w:cs="Arial" w:eastAsia="Arial" w:hAnsi="Arial"/>
          <w:sz w:val="18"/>
          <w:szCs w:val="18"/>
          <w:color w:val="auto"/>
        </w:rPr>
        <w:t>. ACI may provide [*****] material to Ecole Polytechnique Federale de Lausanne (“</w:t>
      </w:r>
      <w:r>
        <w:rPr>
          <w:rFonts w:ascii="Arial" w:cs="Arial" w:eastAsia="Arial" w:hAnsi="Arial"/>
          <w:sz w:val="18"/>
          <w:szCs w:val="18"/>
          <w:u w:val="single" w:color="auto"/>
          <w:color w:val="auto"/>
        </w:rPr>
        <w:t>EPFL</w:t>
      </w:r>
      <w:r>
        <w:rPr>
          <w:rFonts w:ascii="Arial" w:cs="Arial" w:eastAsia="Arial" w:hAnsi="Arial"/>
          <w:sz w:val="18"/>
          <w:szCs w:val="18"/>
          <w:color w:val="auto"/>
        </w:rPr>
        <w:t>”) solely for use in the academic research contemplated under the agreement entered into between ACI and EPFL effective as of June 1, 2006 (the “</w:t>
      </w:r>
      <w:r>
        <w:rPr>
          <w:rFonts w:ascii="Arial" w:cs="Arial" w:eastAsia="Arial" w:hAnsi="Arial"/>
          <w:sz w:val="18"/>
          <w:szCs w:val="18"/>
          <w:u w:val="single" w:color="auto"/>
          <w:color w:val="auto"/>
        </w:rPr>
        <w:t>EPFL Agreement</w:t>
      </w:r>
      <w:r>
        <w:rPr>
          <w:rFonts w:ascii="Arial" w:cs="Arial" w:eastAsia="Arial" w:hAnsi="Arial"/>
          <w:sz w:val="18"/>
          <w:szCs w:val="18"/>
          <w:color w:val="auto"/>
        </w:rPr>
        <w:t xml:space="preserve">”) provided, however, that (i) use of such [*****] shall not conflict with Genentech’s exclusive rights under this Agreement; (ii) all intellectual property rights (including but not limited to Patents and Know-How) made pursuant to the EPFL Agreement shall be included within the ACI IP Rights to the extent necessary or useful to Genentech in exercising its rights under the licenses granted in this Agreement; and (iii) publication of any research results shall be subject to </w:t>
      </w:r>
      <w:r>
        <w:rPr>
          <w:rFonts w:ascii="Arial" w:cs="Arial" w:eastAsia="Arial" w:hAnsi="Arial"/>
          <w:sz w:val="18"/>
          <w:szCs w:val="18"/>
          <w:u w:val="single" w:color="auto"/>
          <w:color w:val="auto"/>
        </w:rPr>
        <w:t>Section 12.5</w:t>
      </w:r>
      <w:r>
        <w:rPr>
          <w:rFonts w:ascii="Arial" w:cs="Arial" w:eastAsia="Arial" w:hAnsi="Arial"/>
          <w:sz w:val="18"/>
          <w:szCs w:val="18"/>
          <w:color w:val="auto"/>
        </w:rPr>
        <w:t xml:space="preserve"> of this Agreement.</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xml:space="preserve">. Each Party acknowledges that the licenses granted under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are limited to the scope expressly granted, and all other rights under a Party’s Patents and other intellectual property rights are expressly reserved to the granting Party. Where a license is granted by one Party to the other Party under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for a particular purpose or with respect to a particular product, the granting Party retains all of its rights with respect to those intellectual property rights for those purposes not expressly licensed under this Agreement.</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Right of First Negotiation</w:t>
      </w:r>
      <w:r>
        <w:rPr>
          <w:rFonts w:ascii="Arial" w:cs="Arial" w:eastAsia="Arial" w:hAnsi="Arial"/>
          <w:sz w:val="16"/>
          <w:szCs w:val="16"/>
          <w:color w:val="auto"/>
        </w:rPr>
        <w:t>. Prior to negotiating with or entertaining offers from a Third Party to license the Vaccine Product Rights, ACI shall first notify Genentech in writing and such notification shall be accompanied by all information in ACI’s Control as reasonably necessary or useful for Genentech to evaluate its interest in the Vaccine Product Rights (including information and data regarding safety, efficacy, toxicity, potential side effects and any and all Marketing Approval filings). Genentech shall have [*****] calendar days from receipt of such notice to notify ACI of Genentech’s intent to negotiate for the Vaccine Product Rights. Upon receipt by ACI of Genentech’s notice of intent to negotiate, ACI shall negotiate solely and in good faith with Genentech for a period of [*****] calendar days (the “</w:t>
      </w:r>
      <w:r>
        <w:rPr>
          <w:rFonts w:ascii="Arial" w:cs="Arial" w:eastAsia="Arial" w:hAnsi="Arial"/>
          <w:sz w:val="16"/>
          <w:szCs w:val="16"/>
          <w:u w:val="single" w:color="auto"/>
          <w:color w:val="auto"/>
        </w:rPr>
        <w:t>ROFN Period</w:t>
      </w:r>
      <w:r>
        <w:rPr>
          <w:rFonts w:ascii="Arial" w:cs="Arial" w:eastAsia="Arial" w:hAnsi="Arial"/>
          <w:sz w:val="16"/>
          <w:szCs w:val="16"/>
          <w:color w:val="auto"/>
        </w:rPr>
        <w:t>”). If the Parties are unable to agree on substantive terms within the ROFN Period, Genentech shall promptly reduce to writing its last offer to ACI and provide such writing to ACI, and ACI shall be free to enter into an agreement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14 of 42</w:t>
            </w:r>
          </w:p>
        </w:tc>
      </w:tr>
    </w:tbl>
    <w:p>
      <w:pPr>
        <w:sectPr>
          <w:pgSz w:w="11900" w:h="16838" w:orient="portrait"/>
          <w:cols w:equalWidth="0" w:num="1">
            <w:col w:w="11420"/>
          </w:cols>
          <w:pgMar w:left="240" w:top="269" w:right="239" w:bottom="1440" w:gutter="0" w:footer="0" w:header="0"/>
        </w:sectPr>
      </w:pPr>
    </w:p>
    <w:bookmarkStart w:id="372" w:name="page373"/>
    <w:bookmarkEnd w:id="3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Third Party for the sale or licensing of the ACI Vaccine Rights provided that the financial terms of such agreement shall be no more favorable to the Third Party than those last offered by Genentech. If ACI is unable to enter into an agreement with a Third Party on terms that are not more favorable to the Third Party than those terms last offered by Genentech and ACI notifies Genentech of ACI’s desire to resume negotiations, the Parties agree to negotiate in good faith to reach a definitive agreement on mutually acceptable terms.</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Sublicenses</w:t>
      </w:r>
      <w:r>
        <w:rPr>
          <w:rFonts w:ascii="Arial" w:cs="Arial" w:eastAsia="Arial" w:hAnsi="Arial"/>
          <w:sz w:val="16"/>
          <w:szCs w:val="16"/>
          <w:color w:val="auto"/>
        </w:rPr>
        <w:t xml:space="preserve">. In order for Genentech validly to sublicense its rights under the license set forth in Section 4.1, the applicable sublicense agreement must be consistent with the terms and conditions of this Agreement In the event of any such sublicense, Genentech shall continue to remain primarily liable for all liabilities and obligations under this Agreement, including the payment obligations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Genentech is responsible for compliance by Genentech Licensees with the terms and conditions of this Agreement and the applicable sublicense agreement, including the diligence obligations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Notwithstanding anything to the contrary, Genentech shall not sublicense its commercialization rights outside the United States under this Agreement to an entity that has an [*****] product or program that competes with a Therapeutic Product without the [*****].</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PAYMENTS</w:t>
      </w:r>
    </w:p>
    <w:p>
      <w:pPr>
        <w:spacing w:after="0" w:line="229"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Up-Front Payment</w:t>
      </w:r>
      <w:r>
        <w:rPr>
          <w:rFonts w:ascii="Arial" w:cs="Arial" w:eastAsia="Arial" w:hAnsi="Arial"/>
          <w:sz w:val="16"/>
          <w:szCs w:val="16"/>
          <w:color w:val="auto"/>
        </w:rPr>
        <w:t xml:space="preserve">. In consideration for the rights granted and promises made hereunder, including the license granted to Genentech under the ACI IP Rights, Genentech shall, within thirty (30) days of the Effective Date, pay to ACI a one-time payment of </w:t>
      </w:r>
      <w:r>
        <w:rPr>
          <w:rFonts w:ascii="Arial" w:cs="Arial" w:eastAsia="Arial" w:hAnsi="Arial"/>
          <w:sz w:val="16"/>
          <w:szCs w:val="16"/>
          <w:b w:val="1"/>
          <w:bCs w:val="1"/>
          <w:color w:val="auto"/>
        </w:rPr>
        <w:t>twenty five million dollars (US$25,000,000)</w:t>
      </w:r>
      <w:r>
        <w:rPr>
          <w:rFonts w:ascii="Arial" w:cs="Arial" w:eastAsia="Arial" w:hAnsi="Arial"/>
          <w:sz w:val="16"/>
          <w:szCs w:val="16"/>
          <w:color w:val="auto"/>
        </w:rPr>
        <w:t>.</w:t>
      </w:r>
    </w:p>
    <w:p>
      <w:pPr>
        <w:spacing w:after="0" w:line="124"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Research Support Payments</w:t>
      </w:r>
      <w:r>
        <w:rPr>
          <w:rFonts w:ascii="Arial" w:cs="Arial" w:eastAsia="Arial" w:hAnsi="Arial"/>
          <w:sz w:val="16"/>
          <w:szCs w:val="16"/>
          <w:color w:val="auto"/>
        </w:rPr>
        <w:t xml:space="preserve">. During the Research Term and in consideration of ACI’s commitment of FTEs under </w:t>
      </w:r>
      <w:r>
        <w:rPr>
          <w:rFonts w:ascii="Arial" w:cs="Arial" w:eastAsia="Arial" w:hAnsi="Arial"/>
          <w:sz w:val="16"/>
          <w:szCs w:val="16"/>
          <w:u w:val="single" w:color="auto"/>
          <w:color w:val="auto"/>
        </w:rPr>
        <w:t>Section 2.5.1</w:t>
      </w:r>
      <w:r>
        <w:rPr>
          <w:rFonts w:ascii="Arial" w:cs="Arial" w:eastAsia="Arial" w:hAnsi="Arial"/>
          <w:sz w:val="16"/>
          <w:szCs w:val="16"/>
          <w:color w:val="auto"/>
        </w:rPr>
        <w:t xml:space="preserve">, Genentech shall pay to ACI Research Support Payments. Genentech shall make such Research Support Payments on a calendar quarterly basis, within [*****] days after the beginning of the first calendar quarter during the Research Term and thereafter within [*****] days after receiving ACI’s RSP Report under </w:t>
      </w:r>
      <w:r>
        <w:rPr>
          <w:rFonts w:ascii="Arial" w:cs="Arial" w:eastAsia="Arial" w:hAnsi="Arial"/>
          <w:sz w:val="16"/>
          <w:szCs w:val="16"/>
          <w:u w:val="single" w:color="auto"/>
          <w:color w:val="auto"/>
        </w:rPr>
        <w:t>Section 6.1.1</w:t>
      </w:r>
      <w:r>
        <w:rPr>
          <w:rFonts w:ascii="Arial" w:cs="Arial" w:eastAsia="Arial" w:hAnsi="Arial"/>
          <w:sz w:val="16"/>
          <w:szCs w:val="16"/>
          <w:color w:val="auto"/>
        </w:rPr>
        <w:t>.</w:t>
      </w:r>
    </w:p>
    <w:p>
      <w:pPr>
        <w:spacing w:after="0" w:line="281" w:lineRule="auto"/>
        <w:rPr>
          <w:sz w:val="20"/>
          <w:szCs w:val="20"/>
          <w:color w:val="auto"/>
        </w:rPr>
      </w:pPr>
      <w:r>
        <w:rPr>
          <w:rFonts w:ascii="Arial" w:cs="Arial" w:eastAsia="Arial" w:hAnsi="Arial"/>
          <w:sz w:val="16"/>
          <w:szCs w:val="16"/>
          <w:color w:val="auto"/>
        </w:rPr>
        <w:t>The amount of research support attributed to FTEs is calculated each calendar quarter based on annual FTE rates of (i) [*****] per senior scientist/projects manager level FTE and (ii) [*****] per scientist/technician FTE committed to the Research Program in accordance with the Research Plan. The calendar quarterly amount will be adjusted (a) pro rata to reflect the actual number of days in the first and last (partial) calendar quarters during the Research Term, and</w:t>
      </w:r>
    </w:p>
    <w:p>
      <w:pPr>
        <w:spacing w:after="0" w:line="2" w:lineRule="exact"/>
        <w:rPr>
          <w:sz w:val="20"/>
          <w:szCs w:val="20"/>
          <w:color w:val="auto"/>
        </w:rPr>
      </w:pPr>
    </w:p>
    <w:p>
      <w:pPr>
        <w:ind w:right="40" w:firstLine="8"/>
        <w:spacing w:after="0" w:line="254" w:lineRule="auto"/>
        <w:tabs>
          <w:tab w:leader="none" w:pos="25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as necessary to reflect the actual number of FTEs committed during previous calendar quarters, as such actual FTE commitment is reflected in reports by ACI provided under </w:t>
      </w:r>
      <w:r>
        <w:rPr>
          <w:rFonts w:ascii="Arial" w:cs="Arial" w:eastAsia="Arial" w:hAnsi="Arial"/>
          <w:sz w:val="18"/>
          <w:szCs w:val="18"/>
          <w:u w:val="single" w:color="auto"/>
          <w:color w:val="auto"/>
        </w:rPr>
        <w:t>Section 6.1.1</w:t>
      </w:r>
      <w:r>
        <w:rPr>
          <w:rFonts w:ascii="Arial" w:cs="Arial" w:eastAsia="Arial" w:hAnsi="Arial"/>
          <w:sz w:val="18"/>
          <w:szCs w:val="18"/>
          <w:color w:val="auto"/>
        </w:rPr>
        <w:t>. The amount of [*****] attributed to CROs is determined by the [*****] paid by [*****] in the preceding calendar quarter. Research Support Payments provided hereunder are inclusive of infrastructure and supplies (including consumables), the cost of which is included in the FTE rate used for calculating the amount of the Research Support Payments.</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Therapeutic Product Milestone Payments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5.3.1 With respect to the first Therapeutic Product to achieve the clinical development or Marketing Approval Filing milestones (each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Milestone</w:t>
      </w:r>
      <w:r>
        <w:rPr>
          <w:rFonts w:ascii="Arial" w:cs="Arial" w:eastAsia="Arial" w:hAnsi="Arial"/>
          <w:sz w:val="16"/>
          <w:szCs w:val="16"/>
          <w:color w:val="auto"/>
        </w:rPr>
        <w:t>”) set forth below, within [*****] days of the first occurrence that each such Milestone is achieved, Genentech shall pay ACI the amounts set forth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below.</w:t>
      </w:r>
    </w:p>
    <w:p>
      <w:pPr>
        <w:spacing w:after="0" w:line="116" w:lineRule="exact"/>
        <w:rPr>
          <w:sz w:val="20"/>
          <w:szCs w:val="20"/>
          <w:color w:val="auto"/>
        </w:rPr>
      </w:pPr>
    </w:p>
    <w:p>
      <w:pPr>
        <w:ind w:left="1480" w:hanging="567"/>
        <w:spacing w:after="0"/>
        <w:tabs>
          <w:tab w:leader="none" w:pos="14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upon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15 of 42</w:t>
            </w:r>
          </w:p>
        </w:tc>
      </w:tr>
    </w:tbl>
    <w:p>
      <w:pPr>
        <w:sectPr>
          <w:pgSz w:w="11900" w:h="16838" w:orient="portrait"/>
          <w:cols w:equalWidth="0" w:num="1">
            <w:col w:w="11420"/>
          </w:cols>
          <w:pgMar w:left="240" w:top="270" w:right="239" w:bottom="1440" w:gutter="0" w:footer="0" w:header="0"/>
        </w:sectPr>
      </w:pPr>
    </w:p>
    <w:bookmarkStart w:id="373" w:name="page374"/>
    <w:bookmarkEnd w:id="3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1480" w:hanging="567"/>
        <w:spacing w:after="0"/>
        <w:tabs>
          <w:tab w:leader="none" w:pos="14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upon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upon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u w:val="single" w:color="auto"/>
          <w:color w:val="auto"/>
        </w:rPr>
        <w:t>Milestones for Additional Indications</w:t>
      </w:r>
      <w:r>
        <w:rPr>
          <w:rFonts w:ascii="Arial" w:cs="Arial" w:eastAsia="Arial" w:hAnsi="Arial"/>
          <w:sz w:val="16"/>
          <w:szCs w:val="16"/>
          <w:color w:val="auto"/>
        </w:rPr>
        <w:t>. Genentech shall, within [*****] days of the occurrence of each Milestone described in clauses (ii) –</w:t>
      </w:r>
    </w:p>
    <w:p>
      <w:pPr>
        <w:spacing w:after="0" w:line="46" w:lineRule="exact"/>
        <w:rPr>
          <w:sz w:val="20"/>
          <w:szCs w:val="20"/>
          <w:color w:val="auto"/>
        </w:rPr>
      </w:pPr>
    </w:p>
    <w:p>
      <w:pPr>
        <w:ind w:right="40" w:firstLine="8"/>
        <w:spacing w:after="0" w:line="270" w:lineRule="auto"/>
        <w:tabs>
          <w:tab w:leader="none" w:pos="355" w:val="left"/>
        </w:tabs>
        <w:numPr>
          <w:ilvl w:val="0"/>
          <w:numId w:val="306"/>
        </w:numPr>
        <w:rPr>
          <w:rFonts w:ascii="Arial" w:cs="Arial" w:eastAsia="Arial" w:hAnsi="Arial"/>
          <w:sz w:val="17"/>
          <w:szCs w:val="17"/>
          <w:color w:val="auto"/>
        </w:rPr>
      </w:pPr>
      <w:r>
        <w:rPr>
          <w:rFonts w:ascii="Arial" w:cs="Arial" w:eastAsia="Arial" w:hAnsi="Arial"/>
          <w:sz w:val="17"/>
          <w:szCs w:val="17"/>
          <w:color w:val="auto"/>
        </w:rPr>
        <w:t>above by any Therapeutic Product in an Additional Indication, be obligated to make a Milestone payment in the amount equal to [*****] of the amount applicable in each of Milestones (ii) – (vii) above; provided, that each Milestone payment due under this Section 5.3.2 shall be payable no more than [*****] during the term of this Agreement, regardless of the number of Therapeutic Products developed or whether a Therapeutic Product is discontinued after a milestone payment has been made. By way of example, if Milestones [*****] are paid for a Therapeutic Product in a first Additional Indication (at which point the development is discontinued), and Milestones [*****] are paid for a Therapeutic Product in a second Additional Indication, then with respect to any Therapeutic Product in a subsequent Additional Indication, only Milestones [*****] will be payable.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Diagnostic Product Milestone Payments</w:t>
      </w:r>
      <w:r>
        <w:rPr>
          <w:rFonts w:ascii="Arial" w:cs="Arial" w:eastAsia="Arial" w:hAnsi="Arial"/>
          <w:sz w:val="18"/>
          <w:szCs w:val="18"/>
          <w:color w:val="auto"/>
        </w:rPr>
        <w:t>. Upon the [*****], Genentech shall pay ACI [*****]</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Therapeutic Product Royalties</w:t>
      </w:r>
      <w:r>
        <w:rPr>
          <w:rFonts w:ascii="Arial" w:cs="Arial" w:eastAsia="Arial" w:hAnsi="Arial"/>
          <w:sz w:val="17"/>
          <w:szCs w:val="17"/>
          <w:color w:val="auto"/>
        </w:rPr>
        <w:t>. In consideration for the rights granted hereunder, in each calendar quarter during the Term of this Agreement in which Genentech records Net Sales of a Therapeutic Product, and subject to and in accordance with the terms and conditions of this Agreement, Genentech shall pay to ACI, on a Therapeutic Product-by-Therapeutic Product and country-by-country basis, an amount equal to:</w:t>
      </w:r>
    </w:p>
    <w:p>
      <w:pPr>
        <w:spacing w:after="0" w:line="166"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5.5.1 For Net Sales within North America where the sale of a Therapeutic Product is Covered by a Valid Patent Claim within the ACI IP Rights, as follows:</w:t>
      </w:r>
    </w:p>
    <w:p>
      <w:pPr>
        <w:spacing w:after="0" w:line="76" w:lineRule="exact"/>
        <w:rPr>
          <w:sz w:val="20"/>
          <w:szCs w:val="20"/>
          <w:color w:val="auto"/>
        </w:rPr>
      </w:pPr>
    </w:p>
    <w:p>
      <w:pPr>
        <w:ind w:left="1480" w:hanging="567"/>
        <w:spacing w:after="0"/>
        <w:tabs>
          <w:tab w:leader="none" w:pos="14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of such annual Net Sales up to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of such annual Net Sales exceeding [*****] but less than or equal to [*****]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16 of 42</w:t>
            </w:r>
          </w:p>
        </w:tc>
      </w:tr>
    </w:tbl>
    <w:p>
      <w:pPr>
        <w:sectPr>
          <w:pgSz w:w="11900" w:h="16838" w:orient="portrait"/>
          <w:cols w:equalWidth="0" w:num="1">
            <w:col w:w="11420"/>
          </w:cols>
          <w:pgMar w:left="240" w:top="270" w:right="239" w:bottom="1440" w:gutter="0" w:footer="0" w:header="0"/>
        </w:sectPr>
      </w:pPr>
    </w:p>
    <w:bookmarkStart w:id="374" w:name="page375"/>
    <w:bookmarkEnd w:id="3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4" w:lineRule="exact"/>
        <w:rPr>
          <w:sz w:val="20"/>
          <w:szCs w:val="20"/>
          <w:color w:val="auto"/>
        </w:rPr>
      </w:pPr>
    </w:p>
    <w:p>
      <w:pPr>
        <w:ind w:left="1480" w:hanging="567"/>
        <w:spacing w:after="0"/>
        <w:tabs>
          <w:tab w:leader="none" w:pos="1480" w:val="left"/>
        </w:tabs>
        <w:numPr>
          <w:ilvl w:val="0"/>
          <w:numId w:val="308"/>
        </w:numPr>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of such annual Net Sales exceeding [*****]</w:t>
      </w:r>
    </w:p>
    <w:p>
      <w:pPr>
        <w:spacing w:after="0" w:line="121"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Each of the royalty tiers set forth in (i)- (iii) above shall be determined by the aggregate total across all North American countries of annual Net Sales of a Therapeutic Product Covered by a Valid Patent Claim in the country of sale.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5.5.2 For Net Sales in all countries outside of North America where sales of a Therapeutic Product is Covered by a Valid Patent Claim within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ACI IP Rights, as follows:</w:t>
      </w:r>
    </w:p>
    <w:p>
      <w:pPr>
        <w:spacing w:after="0" w:line="116" w:lineRule="exact"/>
        <w:rPr>
          <w:sz w:val="20"/>
          <w:szCs w:val="20"/>
          <w:color w:val="auto"/>
        </w:rPr>
      </w:pPr>
    </w:p>
    <w:p>
      <w:pPr>
        <w:ind w:left="1480" w:hanging="567"/>
        <w:spacing w:after="0"/>
        <w:tabs>
          <w:tab w:leader="none" w:pos="14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of such annual Net Sales up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of such annual Net Sales exceeding [*****] but less than or equal to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of such annual Net Sales exceeding [*****].</w:t>
      </w:r>
    </w:p>
    <w:p>
      <w:pPr>
        <w:spacing w:after="0" w:line="117" w:lineRule="exact"/>
        <w:rPr>
          <w:sz w:val="20"/>
          <w:szCs w:val="20"/>
          <w:color w:val="auto"/>
        </w:rPr>
      </w:pPr>
    </w:p>
    <w:p>
      <w:pPr>
        <w:ind w:left="920" w:right="140"/>
        <w:spacing w:after="0" w:line="277" w:lineRule="auto"/>
        <w:rPr>
          <w:sz w:val="20"/>
          <w:szCs w:val="20"/>
          <w:color w:val="auto"/>
        </w:rPr>
      </w:pPr>
      <w:r>
        <w:rPr>
          <w:rFonts w:ascii="Arial" w:cs="Arial" w:eastAsia="Arial" w:hAnsi="Arial"/>
          <w:sz w:val="18"/>
          <w:szCs w:val="18"/>
          <w:color w:val="auto"/>
        </w:rPr>
        <w:t>Each of the royalty tiers set forth in (i)- (iii) above shall be determined by the aggregate total across all non-North American countries of annual Net Sales of a Therapeutic Product Covered by a Valid Patent Claim in the country of sale.</w:t>
      </w:r>
    </w:p>
    <w:p>
      <w:pPr>
        <w:spacing w:after="0" w:line="170" w:lineRule="exact"/>
        <w:rPr>
          <w:sz w:val="20"/>
          <w:szCs w:val="20"/>
          <w:color w:val="auto"/>
        </w:rPr>
      </w:pPr>
    </w:p>
    <w:p>
      <w:pPr>
        <w:ind w:right="320" w:firstLine="913"/>
        <w:spacing w:after="0" w:line="288" w:lineRule="auto"/>
        <w:rPr>
          <w:sz w:val="20"/>
          <w:szCs w:val="20"/>
          <w:color w:val="auto"/>
        </w:rPr>
      </w:pPr>
      <w:r>
        <w:rPr>
          <w:rFonts w:ascii="Arial" w:cs="Arial" w:eastAsia="Arial" w:hAnsi="Arial"/>
          <w:sz w:val="16"/>
          <w:szCs w:val="16"/>
          <w:color w:val="auto"/>
        </w:rPr>
        <w:t xml:space="preserve">5.5.3 For Net Sales of Therapeutic Products that contain as an active ingredient an [*****] that is (i) owned or Controlled by ACI or (ii) is generated by Genentech using proprietary screening technology within the ACI IP Rights and such Therapeutic Product is not Covered by a Valid Patent Claim within the ACI IP Rights in the country of sale, a royalty equal to [*****] of the applicable royalty that would otherwise be payable under </w:t>
      </w:r>
      <w:r>
        <w:rPr>
          <w:rFonts w:ascii="Arial" w:cs="Arial" w:eastAsia="Arial" w:hAnsi="Arial"/>
          <w:sz w:val="16"/>
          <w:szCs w:val="16"/>
          <w:u w:val="single" w:color="auto"/>
          <w:color w:val="auto"/>
        </w:rPr>
        <w:t>Sections</w:t>
      </w:r>
    </w:p>
    <w:p>
      <w:pPr>
        <w:spacing w:after="0" w:line="254" w:lineRule="auto"/>
        <w:rPr>
          <w:sz w:val="20"/>
          <w:szCs w:val="20"/>
          <w:color w:val="auto"/>
        </w:rPr>
      </w:pPr>
      <w:r>
        <w:rPr>
          <w:rFonts w:ascii="Arial" w:cs="Arial" w:eastAsia="Arial" w:hAnsi="Arial"/>
          <w:sz w:val="18"/>
          <w:szCs w:val="18"/>
          <w:u w:val="single" w:color="auto"/>
          <w:color w:val="auto"/>
        </w:rPr>
        <w:t>5.5.1 or 5.5.2</w:t>
      </w:r>
      <w:r>
        <w:rPr>
          <w:rFonts w:ascii="Arial" w:cs="Arial" w:eastAsia="Arial" w:hAnsi="Arial"/>
          <w:sz w:val="18"/>
          <w:szCs w:val="18"/>
          <w:color w:val="auto"/>
        </w:rPr>
        <w:t xml:space="preserve">, provided, however, that royalty payment obligations under this </w:t>
      </w:r>
      <w:r>
        <w:rPr>
          <w:rFonts w:ascii="Arial" w:cs="Arial" w:eastAsia="Arial" w:hAnsi="Arial"/>
          <w:sz w:val="18"/>
          <w:szCs w:val="18"/>
          <w:u w:val="single" w:color="auto"/>
          <w:color w:val="auto"/>
        </w:rPr>
        <w:t>Section 5.5.3</w:t>
      </w:r>
      <w:r>
        <w:rPr>
          <w:rFonts w:ascii="Arial" w:cs="Arial" w:eastAsia="Arial" w:hAnsi="Arial"/>
          <w:sz w:val="18"/>
          <w:szCs w:val="18"/>
          <w:color w:val="auto"/>
        </w:rPr>
        <w:t xml:space="preserve"> shall terminate upon the date that is [*****] years from the date of First Commercial Sale of the applicable Therapeutic Product in a country. For the sake of clarity, royalties paid under this </w:t>
      </w:r>
      <w:r>
        <w:rPr>
          <w:rFonts w:ascii="Arial" w:cs="Arial" w:eastAsia="Arial" w:hAnsi="Arial"/>
          <w:sz w:val="18"/>
          <w:szCs w:val="18"/>
          <w:u w:val="single" w:color="auto"/>
          <w:color w:val="auto"/>
        </w:rPr>
        <w:t>Section 5.5.3</w:t>
      </w:r>
      <w:r>
        <w:rPr>
          <w:rFonts w:ascii="Arial" w:cs="Arial" w:eastAsia="Arial" w:hAnsi="Arial"/>
          <w:sz w:val="18"/>
          <w:szCs w:val="18"/>
          <w:color w:val="auto"/>
        </w:rPr>
        <w:t xml:space="preserve"> shall be mutually exclusive of royalties to be paid under </w:t>
      </w:r>
      <w:r>
        <w:rPr>
          <w:rFonts w:ascii="Arial" w:cs="Arial" w:eastAsia="Arial" w:hAnsi="Arial"/>
          <w:sz w:val="18"/>
          <w:szCs w:val="18"/>
          <w:u w:val="single" w:color="auto"/>
          <w:color w:val="auto"/>
        </w:rPr>
        <w:t>Sections 5.5.1 and 5.5.2</w:t>
      </w:r>
      <w:r>
        <w:rPr>
          <w:rFonts w:ascii="Arial" w:cs="Arial" w:eastAsia="Arial" w:hAnsi="Arial"/>
          <w:sz w:val="18"/>
          <w:szCs w:val="18"/>
          <w:color w:val="auto"/>
        </w:rPr>
        <w:t xml:space="preserve">; in no event shall royalties be paid under this </w:t>
      </w:r>
      <w:r>
        <w:rPr>
          <w:rFonts w:ascii="Arial" w:cs="Arial" w:eastAsia="Arial" w:hAnsi="Arial"/>
          <w:sz w:val="18"/>
          <w:szCs w:val="18"/>
          <w:u w:val="single" w:color="auto"/>
          <w:color w:val="auto"/>
        </w:rPr>
        <w:t>Section 5.5.3</w:t>
      </w:r>
      <w:r>
        <w:rPr>
          <w:rFonts w:ascii="Arial" w:cs="Arial" w:eastAsia="Arial" w:hAnsi="Arial"/>
          <w:sz w:val="18"/>
          <w:szCs w:val="18"/>
          <w:color w:val="auto"/>
        </w:rPr>
        <w:t xml:space="preserve"> on Net Sales of Therapeutic Products Covered by a Valid Patent Claim of the ACI IP Rights.</w:t>
      </w:r>
    </w:p>
    <w:p>
      <w:pPr>
        <w:spacing w:after="0" w:line="19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Diagnostic Product Royalties</w:t>
      </w:r>
      <w:r>
        <w:rPr>
          <w:rFonts w:ascii="Arial" w:cs="Arial" w:eastAsia="Arial" w:hAnsi="Arial"/>
          <w:sz w:val="18"/>
          <w:szCs w:val="18"/>
          <w:color w:val="auto"/>
        </w:rPr>
        <w:t>. In consideration for the rights granted hereunder, in each calendar quarter during the Term of this Agreement in which Genentech records Net Sales of a Diagnostic Product, and subject to and in accordance with the terms and conditions of this Agreement, Genentech shall pay to ACI, on a Diagnostic Product-by-Diagnostic Product and country-by-country basis, as follows: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5.6.1 For Net Sales of Diagnostic Products Covered by a Valid Patent Claim within the ACI IP Rights, an amount equal to [*****] of annual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11"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5.6.2 For Net Sales of Diagnostic Products that contain an [*****] that is (i) owned or Controlled by ACI or (ii) is generated by Genentech using proprietary screening technology within the ACI IP Rights and such Diagnostic Product is not Covered by a Valid Patent Claim within the ACI IP Rights, a royalty equal to [*****] of the applicable royalty that would otherwise be payable under </w:t>
      </w:r>
      <w:r>
        <w:rPr>
          <w:rFonts w:ascii="Arial" w:cs="Arial" w:eastAsia="Arial" w:hAnsi="Arial"/>
          <w:sz w:val="17"/>
          <w:szCs w:val="17"/>
          <w:u w:val="single" w:color="auto"/>
          <w:color w:val="auto"/>
        </w:rPr>
        <w:t>Section 5.6.1</w:t>
      </w:r>
      <w:r>
        <w:rPr>
          <w:rFonts w:ascii="Arial" w:cs="Arial" w:eastAsia="Arial" w:hAnsi="Arial"/>
          <w:sz w:val="17"/>
          <w:szCs w:val="17"/>
          <w:color w:val="auto"/>
        </w:rPr>
        <w:t xml:space="preserve"> provided, however, that royalty payment obligations under this </w:t>
      </w:r>
      <w:r>
        <w:rPr>
          <w:rFonts w:ascii="Arial" w:cs="Arial" w:eastAsia="Arial" w:hAnsi="Arial"/>
          <w:sz w:val="17"/>
          <w:szCs w:val="17"/>
          <w:u w:val="single" w:color="auto"/>
          <w:color w:val="auto"/>
        </w:rPr>
        <w:t>Section 5.6.2</w:t>
      </w:r>
      <w:r>
        <w:rPr>
          <w:rFonts w:ascii="Arial" w:cs="Arial" w:eastAsia="Arial" w:hAnsi="Arial"/>
          <w:sz w:val="17"/>
          <w:szCs w:val="17"/>
          <w:color w:val="auto"/>
        </w:rPr>
        <w:t xml:space="preserve"> shall terminate upon the date that is [*****] years from the date of First Commercial Sale of the applicable Diagnostic Product in a country. For the sake of clarity, royalties paid under this </w:t>
      </w:r>
      <w:r>
        <w:rPr>
          <w:rFonts w:ascii="Arial" w:cs="Arial" w:eastAsia="Arial" w:hAnsi="Arial"/>
          <w:sz w:val="17"/>
          <w:szCs w:val="17"/>
          <w:u w:val="single" w:color="auto"/>
          <w:color w:val="auto"/>
        </w:rPr>
        <w:t>Section 5.6.2</w:t>
      </w:r>
      <w:r>
        <w:rPr>
          <w:rFonts w:ascii="Arial" w:cs="Arial" w:eastAsia="Arial" w:hAnsi="Arial"/>
          <w:sz w:val="17"/>
          <w:szCs w:val="17"/>
          <w:color w:val="auto"/>
        </w:rPr>
        <w:t xml:space="preserve"> shall be mutually exclusive of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17 of 42</w:t>
            </w:r>
          </w:p>
        </w:tc>
      </w:tr>
    </w:tbl>
    <w:p>
      <w:pPr>
        <w:sectPr>
          <w:pgSz w:w="11900" w:h="16838" w:orient="portrait"/>
          <w:cols w:equalWidth="0" w:num="1">
            <w:col w:w="11420"/>
          </w:cols>
          <w:pgMar w:left="240" w:top="270" w:right="23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to be paid under </w:t>
      </w:r>
      <w:r>
        <w:rPr>
          <w:rFonts w:ascii="Arial" w:cs="Arial" w:eastAsia="Arial" w:hAnsi="Arial"/>
          <w:sz w:val="18"/>
          <w:szCs w:val="18"/>
          <w:u w:val="single" w:color="auto"/>
          <w:color w:val="auto"/>
        </w:rPr>
        <w:t>Sections 5.6.1;</w:t>
      </w:r>
      <w:r>
        <w:rPr>
          <w:rFonts w:ascii="Arial" w:cs="Arial" w:eastAsia="Arial" w:hAnsi="Arial"/>
          <w:sz w:val="18"/>
          <w:szCs w:val="18"/>
          <w:color w:val="auto"/>
        </w:rPr>
        <w:t xml:space="preserve"> in no event shall royalties be paid under this </w:t>
      </w:r>
      <w:r>
        <w:rPr>
          <w:rFonts w:ascii="Arial" w:cs="Arial" w:eastAsia="Arial" w:hAnsi="Arial"/>
          <w:sz w:val="18"/>
          <w:szCs w:val="18"/>
          <w:u w:val="single" w:color="auto"/>
          <w:color w:val="auto"/>
        </w:rPr>
        <w:t>Section 5.6.2</w:t>
      </w:r>
      <w:r>
        <w:rPr>
          <w:rFonts w:ascii="Arial" w:cs="Arial" w:eastAsia="Arial" w:hAnsi="Arial"/>
          <w:sz w:val="18"/>
          <w:szCs w:val="18"/>
          <w:color w:val="auto"/>
        </w:rPr>
        <w:t xml:space="preserve"> on Net Sales of Diagnostic Products Covered by a Valid Patent Claim of the ACI IP Rights.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Timing of Payments</w:t>
      </w:r>
      <w:r>
        <w:rPr>
          <w:rFonts w:ascii="Arial" w:cs="Arial" w:eastAsia="Arial" w:hAnsi="Arial"/>
          <w:sz w:val="18"/>
          <w:szCs w:val="18"/>
          <w:color w:val="auto"/>
        </w:rPr>
        <w:t xml:space="preserve">. All payments due under </w:t>
      </w:r>
      <w:r>
        <w:rPr>
          <w:rFonts w:ascii="Arial" w:cs="Arial" w:eastAsia="Arial" w:hAnsi="Arial"/>
          <w:sz w:val="18"/>
          <w:szCs w:val="18"/>
          <w:u w:val="single" w:color="auto"/>
          <w:color w:val="auto"/>
        </w:rPr>
        <w:t>Sections 5.5 and 5.6</w:t>
      </w:r>
      <w:r>
        <w:rPr>
          <w:rFonts w:ascii="Arial" w:cs="Arial" w:eastAsia="Arial" w:hAnsi="Arial"/>
          <w:sz w:val="18"/>
          <w:szCs w:val="18"/>
          <w:color w:val="auto"/>
        </w:rPr>
        <w:t xml:space="preserve"> shall be paid in quarterly installments and be paid within [*****] days following the end of each calendar quarter.</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Deductions from Payments</w:t>
      </w:r>
      <w:r>
        <w:rPr>
          <w:rFonts w:ascii="Arial" w:cs="Arial" w:eastAsia="Arial" w:hAnsi="Arial"/>
          <w:sz w:val="18"/>
          <w:szCs w:val="18"/>
          <w:color w:val="auto"/>
        </w:rPr>
        <w:t>. If in Genentech’s reasonable business judgment it is necessary to obtain a license under a issued patent of a Third Party in connection with the research, development, manufacture, distribution, use, sale, import or export of a Therapeutic Product, [*****], including fee, royalty or other payment, against the royalties payable pursuant to Sections 5.5 and 5.6 above; provided, that [*****]</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Additional Royalty Terms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 xml:space="preserve">5.9.1 </w:t>
      </w:r>
      <w:r>
        <w:rPr>
          <w:rFonts w:ascii="Arial" w:cs="Arial" w:eastAsia="Arial" w:hAnsi="Arial"/>
          <w:sz w:val="18"/>
          <w:szCs w:val="18"/>
          <w:u w:val="single" w:color="auto"/>
          <w:color w:val="auto"/>
        </w:rPr>
        <w:t>Single Royalty</w:t>
      </w:r>
      <w:r>
        <w:rPr>
          <w:rFonts w:ascii="Arial" w:cs="Arial" w:eastAsia="Arial" w:hAnsi="Arial"/>
          <w:sz w:val="18"/>
          <w:szCs w:val="18"/>
          <w:color w:val="auto"/>
        </w:rPr>
        <w:t>. Notwithstanding anything herein to the contrary, with respect to any Licensed Product only a single royalty payment shall be due and payable, regardless if such Licensed Product is covered by more than one Valid Patent Claim or contains more than one component Covered by a Valid Patent Claim.</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5.9.2 </w:t>
      </w:r>
      <w:r>
        <w:rPr>
          <w:rFonts w:ascii="Arial" w:cs="Arial" w:eastAsia="Arial" w:hAnsi="Arial"/>
          <w:sz w:val="18"/>
          <w:szCs w:val="18"/>
          <w:u w:val="single" w:color="auto"/>
          <w:color w:val="auto"/>
        </w:rPr>
        <w:t>Royalty Term; Fully Paid Licenses</w:t>
      </w:r>
      <w:r>
        <w:rPr>
          <w:rFonts w:ascii="Arial" w:cs="Arial" w:eastAsia="Arial" w:hAnsi="Arial"/>
          <w:sz w:val="18"/>
          <w:szCs w:val="18"/>
          <w:color w:val="auto"/>
        </w:rPr>
        <w:t xml:space="preserve">. Where tied to a Valid Patent Claim, royalties under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are payable only during time periods in which sale of the applicable Licensed Product is Covered by a Valid Patent Claim in the applicable country. Upon expiration of the obligation to pay royalties for a particular Licensed Product in a given country under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5.6</w:t>
      </w:r>
      <w:r>
        <w:rPr>
          <w:rFonts w:ascii="Arial" w:cs="Arial" w:eastAsia="Arial" w:hAnsi="Arial"/>
          <w:sz w:val="18"/>
          <w:szCs w:val="18"/>
          <w:color w:val="auto"/>
        </w:rPr>
        <w:t>, the licenses granted to the Party under this Agreement with respect to such Licensed Product in such country shall become fully paid and irrevocable.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REPORTS, AUDITS AND FINANCIAL TERMS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RSP Reports for Research Support Payments</w:t>
      </w:r>
      <w:r>
        <w:rPr>
          <w:rFonts w:ascii="Arial" w:cs="Arial" w:eastAsia="Arial" w:hAnsi="Arial"/>
          <w:sz w:val="17"/>
          <w:szCs w:val="17"/>
          <w:color w:val="auto"/>
        </w:rPr>
        <w:t>. Within [*****], ACI shall provide to Genentech a RSP Report for the preceding calendar quarter, which RSP Report details (i) for FTEs: the FTEs committed to the Research Program during that calendar quarter, the identity of the individuals included within those FTEs, the percentage of an FTE that each individual represents, and a brief summary of the work performed; and for CROs: a list of the CROs performing activities during that calendar quarter, a brief summary of the work performed by each CRO and the amounts paid to each CRO by ACI during that calendar quarter. Information in those RSP Reports will be used to adjust quarterly Research Support Payments.</w:t>
      </w:r>
    </w:p>
    <w:p>
      <w:pPr>
        <w:spacing w:after="0" w:line="17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Royalty Reports</w:t>
      </w:r>
      <w:r>
        <w:rPr>
          <w:rFonts w:ascii="Arial" w:cs="Arial" w:eastAsia="Arial" w:hAnsi="Arial"/>
          <w:sz w:val="18"/>
          <w:szCs w:val="18"/>
          <w:color w:val="auto"/>
        </w:rPr>
        <w:t xml:space="preserve">. Within [*****] days after the end of each calendar quarter in which a royalty payment under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is required to be made, Genentech shall send to ACI a report of Net Sales of the Licensed Products for which a royalty is due, which report sets forth for such calendar quarter the following information: (i) total Net Sales of all Licensed Products sold in the Territory during such calendar quarter, (ii) Net Sales on a country-by-country basis, (iii) the exchange rate used to convert Net Sales from the currency in which they are earned to United States dollars and (iv) the total royalty payments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18 of 42</w:t>
            </w:r>
          </w:p>
        </w:tc>
      </w:tr>
    </w:tbl>
    <w:p>
      <w:pPr>
        <w:sectPr>
          <w:pgSz w:w="11900" w:h="16838" w:orient="portrait"/>
          <w:cols w:equalWidth="0" w:num="1">
            <w:col w:w="11420"/>
          </w:cols>
          <w:pgMar w:left="240" w:top="269" w:right="239"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Financial Terms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u w:val="single" w:color="auto"/>
          <w:color w:val="auto"/>
        </w:rPr>
        <w:t>Currency</w:t>
      </w:r>
      <w:r>
        <w:rPr>
          <w:rFonts w:ascii="Arial" w:cs="Arial" w:eastAsia="Arial" w:hAnsi="Arial"/>
          <w:sz w:val="16"/>
          <w:szCs w:val="16"/>
          <w:color w:val="auto"/>
        </w:rPr>
        <w:t>. All payments to be made under this Agreement shall be made in United States dollars. Upon ACI’s request Genentech shall pay royalties to ACI in an alternate currency corresponding to actual Net Sales provided that such payment does not impose any additional expense on Genentech. Amounts invoiced in a currency other than dollars must be expressed in the United States dollar equivalent as well as any local currency. Net Sales outside of the United States shall be first determined in the currency in which they are earned and shall then be converted into an amount in United States dollars. All currency conversions shall use the conversion rate reported by the last print edition of Reuters, Ltd. on [*****] for which such payment is being determined.</w:t>
      </w:r>
    </w:p>
    <w:p>
      <w:pPr>
        <w:spacing w:after="0" w:line="158"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Payment Type</w:t>
      </w:r>
      <w:r>
        <w:rPr>
          <w:rFonts w:ascii="Arial" w:cs="Arial" w:eastAsia="Arial" w:hAnsi="Arial"/>
          <w:sz w:val="18"/>
          <w:szCs w:val="18"/>
          <w:color w:val="auto"/>
        </w:rPr>
        <w:t>. Amounts paid by one Party to the other under this Agreement shall be paid in U.S. dollars, in immediately available funds, by means of wire transfer to an account identified by the payee.</w:t>
      </w:r>
    </w:p>
    <w:p>
      <w:pPr>
        <w:spacing w:after="0" w:line="170"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 xml:space="preserve">6.2.3 </w:t>
      </w:r>
      <w:r>
        <w:rPr>
          <w:rFonts w:ascii="Arial" w:cs="Arial" w:eastAsia="Arial" w:hAnsi="Arial"/>
          <w:sz w:val="17"/>
          <w:szCs w:val="17"/>
          <w:u w:val="single" w:color="auto"/>
          <w:color w:val="auto"/>
        </w:rPr>
        <w:t>Withholding of Taxes</w:t>
      </w:r>
      <w:r>
        <w:rPr>
          <w:rFonts w:ascii="Arial" w:cs="Arial" w:eastAsia="Arial" w:hAnsi="Arial"/>
          <w:sz w:val="17"/>
          <w:szCs w:val="17"/>
          <w:color w:val="auto"/>
        </w:rPr>
        <w:t>. Each Party may withhold from payments due to the other Party amounts for payment of any withholding tax that is required by law to be paid to any taxing authority with respect to such payments. The Party withholding the tax shall provide to the other Party all relevant documents and correspondence, and shall also provide to the Party from whose payment that tax was withheld any other cooperation or assistance on a reasonable basis as may be necessary to enable that Party subject to withholding to claim exemption from such withholding taxes and to receive a full refund of such withholding tax or claim a foreign tax credit. The Party withholding the tax shall give proper evidence from time to time as to the payment of such tax. The Parties shall cooperate with each other in seeking deductions under any double taxation or other similar treaty or agreement from time to time in force. Such cooperation may include Genentech making payments from a single source in the U.S., where possible.</w:t>
      </w:r>
    </w:p>
    <w:p>
      <w:pPr>
        <w:spacing w:after="0" w:line="17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Late Payments</w:t>
      </w:r>
      <w:r>
        <w:rPr>
          <w:rFonts w:ascii="Arial" w:cs="Arial" w:eastAsia="Arial" w:hAnsi="Arial"/>
          <w:sz w:val="18"/>
          <w:szCs w:val="18"/>
          <w:color w:val="auto"/>
        </w:rPr>
        <w:t>. Any amounts not paid within [*****] days after the date due under this Agreement are subject to interest from the date due through and including the date upon which payment is received. Interest is calculated, over the period between the date due and the date paid, at a rate equal to [*****]</w:t>
      </w:r>
    </w:p>
    <w:p>
      <w:pPr>
        <w:spacing w:after="0" w:line="181"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6.2.5 </w:t>
      </w:r>
      <w:r>
        <w:rPr>
          <w:rFonts w:ascii="Arial" w:cs="Arial" w:eastAsia="Arial" w:hAnsi="Arial"/>
          <w:sz w:val="17"/>
          <w:szCs w:val="17"/>
          <w:u w:val="single" w:color="auto"/>
          <w:color w:val="auto"/>
        </w:rPr>
        <w:t>Blocked Currency</w:t>
      </w:r>
      <w:r>
        <w:rPr>
          <w:rFonts w:ascii="Arial" w:cs="Arial" w:eastAsia="Arial" w:hAnsi="Arial"/>
          <w:sz w:val="17"/>
          <w:szCs w:val="17"/>
          <w:color w:val="auto"/>
        </w:rPr>
        <w:t>. If, at any time, legal restrictions prevent the prompt remittance of part or all royalties with respect to any country where a Licensed Product is sold, payment shall be made through such lawful means or methods as the Party paying may determine. When in any country, the law or regulations prohibit both the transmittal and deposit of royalties or other payments, the Party paying shall continue to report all such amounts, but may suspend payment for as long as such prohibition is in effect. As soon as such prohibition ceases to be in effect, all amounts that would have been obligated to be transmitted or deposited, but for the prohibition, shall forthwith be deposited or transmitted promptly.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Accounts and Audit</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6.3.1 </w:t>
      </w:r>
      <w:r>
        <w:rPr>
          <w:rFonts w:ascii="Arial" w:cs="Arial" w:eastAsia="Arial" w:hAnsi="Arial"/>
          <w:sz w:val="18"/>
          <w:szCs w:val="18"/>
          <w:u w:val="single" w:color="auto"/>
          <w:color w:val="auto"/>
        </w:rPr>
        <w:t>Records</w:t>
      </w:r>
      <w:r>
        <w:rPr>
          <w:rFonts w:ascii="Arial" w:cs="Arial" w:eastAsia="Arial" w:hAnsi="Arial"/>
          <w:sz w:val="18"/>
          <w:szCs w:val="18"/>
          <w:color w:val="auto"/>
        </w:rPr>
        <w:t>. Each Party shall keep full, true and accurate books of account containing the particulars of Net Sales, the calculation of royalties and Research Support Payments for FTEs. Each Party shall keep such books of account and the supporting data and other records at its principal place of business. Such books and records must be maintained available for examination in accordance with this Section for [*****] calendar years after the end of the calendar year to which they pertain, and otherwise as reasonably required to comply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19 of 42</w:t>
            </w:r>
          </w:p>
        </w:tc>
      </w:tr>
    </w:tbl>
    <w:p>
      <w:pPr>
        <w:sectPr>
          <w:pgSz w:w="11900" w:h="16838" w:orient="portrait"/>
          <w:cols w:equalWidth="0" w:num="1">
            <w:col w:w="11420"/>
          </w:cols>
          <w:pgMar w:left="240" w:top="270" w:right="239" w:bottom="1440" w:gutter="0" w:footer="0" w:header="0"/>
        </w:sectPr>
      </w:pPr>
    </w:p>
    <w:bookmarkStart w:id="377" w:name="page378"/>
    <w:bookmarkEnd w:id="3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6.3.2 </w:t>
      </w:r>
      <w:r>
        <w:rPr>
          <w:rFonts w:ascii="Arial" w:cs="Arial" w:eastAsia="Arial" w:hAnsi="Arial"/>
          <w:sz w:val="18"/>
          <w:szCs w:val="18"/>
          <w:u w:val="single" w:color="auto"/>
          <w:color w:val="auto"/>
        </w:rPr>
        <w:t>Appointment of Auditor</w:t>
      </w:r>
      <w:r>
        <w:rPr>
          <w:rFonts w:ascii="Arial" w:cs="Arial" w:eastAsia="Arial" w:hAnsi="Arial"/>
          <w:sz w:val="18"/>
          <w:szCs w:val="18"/>
          <w:color w:val="auto"/>
        </w:rPr>
        <w:t>. Each Party may appoint an internationally-recognized independent accounting firm reasonably acceptable to the audited Party to inspect the relevant books of account of the audited Party to verify any reports or statements provided, or amounts paid or invoiced (as appropriate), by that audited Party. The independent accounting firm (and any individuals, if applicable) appointed to perform the examination under this Agreement must execute a confidential disclosure agreement with the audited Party, or otherwise be subject to terms governing non-use and non-disclosure of information that the audited Party has agreed in writing are acceptable.</w:t>
      </w:r>
    </w:p>
    <w:p>
      <w:pPr>
        <w:spacing w:after="0" w:line="188"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 xml:space="preserve">6.3.3 </w:t>
      </w:r>
      <w:r>
        <w:rPr>
          <w:rFonts w:ascii="Arial" w:cs="Arial" w:eastAsia="Arial" w:hAnsi="Arial"/>
          <w:sz w:val="18"/>
          <w:szCs w:val="18"/>
          <w:u w:val="single" w:color="auto"/>
          <w:color w:val="auto"/>
        </w:rPr>
        <w:t>Procedures for Audit</w:t>
      </w:r>
      <w:r>
        <w:rPr>
          <w:rFonts w:ascii="Arial" w:cs="Arial" w:eastAsia="Arial" w:hAnsi="Arial"/>
          <w:sz w:val="18"/>
          <w:szCs w:val="18"/>
          <w:color w:val="auto"/>
        </w:rPr>
        <w:t>. Each Party may exercise its right to have the other Party’s relevant records examined only during the [*****] year period during which the audited Party is required to maintain records, no more than once in any consecutive [*****] calendar quarter period, and only once with respect to records covering any specific period of time. The audited Party is required to make its records available for inspection only during regular business hours, only at such place or places where such records are customarily kept, and only upon receipt of at least [*****] days written advance notice from the other Party.</w:t>
      </w:r>
    </w:p>
    <w:p>
      <w:pPr>
        <w:spacing w:after="0" w:line="188"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 xml:space="preserve">6.3.4 </w:t>
      </w:r>
      <w:r>
        <w:rPr>
          <w:rFonts w:ascii="Arial" w:cs="Arial" w:eastAsia="Arial" w:hAnsi="Arial"/>
          <w:sz w:val="17"/>
          <w:szCs w:val="17"/>
          <w:u w:val="single" w:color="auto"/>
          <w:color w:val="auto"/>
        </w:rPr>
        <w:t>Audit Report</w:t>
      </w:r>
      <w:r>
        <w:rPr>
          <w:rFonts w:ascii="Arial" w:cs="Arial" w:eastAsia="Arial" w:hAnsi="Arial"/>
          <w:sz w:val="17"/>
          <w:szCs w:val="17"/>
          <w:color w:val="auto"/>
        </w:rPr>
        <w:t>. The independent accountant will be instructed to provide an audit report containing its conclusions regarding the audit, and specifying whether the amounts paid were correct, and, if incorrect, the amount of any underpayment or overpayment. The independent accountant further will be instructed to provide that audit report first to the audited Party, and will be further instructed to redact any proprietary information of the audited Party not relevant to the calculation of royalties or Research Support Payments prior to providing that audit report to the other Party. That audit report shall be deemed to be Confidential Information of the audited Party, and used only for purposes germane to this Section.</w:t>
      </w:r>
    </w:p>
    <w:p>
      <w:pPr>
        <w:spacing w:after="0" w:line="173"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 xml:space="preserve">6.3.5 </w:t>
      </w:r>
      <w:r>
        <w:rPr>
          <w:rFonts w:ascii="Arial" w:cs="Arial" w:eastAsia="Arial" w:hAnsi="Arial"/>
          <w:sz w:val="18"/>
          <w:szCs w:val="18"/>
          <w:u w:val="single" w:color="auto"/>
          <w:color w:val="auto"/>
        </w:rPr>
        <w:t>Underpayment and Overpayment</w:t>
      </w:r>
      <w:r>
        <w:rPr>
          <w:rFonts w:ascii="Arial" w:cs="Arial" w:eastAsia="Arial" w:hAnsi="Arial"/>
          <w:sz w:val="18"/>
          <w:szCs w:val="18"/>
          <w:color w:val="auto"/>
        </w:rPr>
        <w:t xml:space="preserve">. After review of the auditor’s report: (i) if there is an uncontested underpayment by the audited Party for the period in question, then the audited Party shall pay to the other Party the full amount of that uncontested underpayment, and (ii) if there is an uncontested overpayment by the audited Party for the period in question, then the other Party shall provide to the audited Party a credit against future payments (such credit equal to the full amount of that overpayment), or, if the audited Party is not obligated to make any future payments, then the other Party shall pay to the audited Party the full amount of that overpayment. Contested amounts are subject to dispute resolution under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If the total amount of any underpayment (as agreed to by the audited Party or as determined under </w:t>
      </w:r>
      <w:r>
        <w:rPr>
          <w:rFonts w:ascii="Arial" w:cs="Arial" w:eastAsia="Arial" w:hAnsi="Arial"/>
          <w:sz w:val="18"/>
          <w:szCs w:val="18"/>
          <w:u w:val="single" w:color="auto"/>
          <w:color w:val="auto"/>
        </w:rPr>
        <w:t>Article 13</w:t>
      </w:r>
      <w:r>
        <w:rPr>
          <w:rFonts w:ascii="Arial" w:cs="Arial" w:eastAsia="Arial" w:hAnsi="Arial"/>
          <w:sz w:val="18"/>
          <w:szCs w:val="18"/>
          <w:color w:val="auto"/>
        </w:rPr>
        <w:t>) exceeds [*****] of the amount previously paid by the audited Party for the period subject to audit (as long as that period is at least [*****] consecutive calendar quarters), then the audited Party shall pay the reasonable costs for the audit.</w:t>
      </w:r>
    </w:p>
    <w:p>
      <w:pPr>
        <w:spacing w:after="0" w:line="19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Rights Regarding Consolidation of ACI Financial Data</w:t>
      </w:r>
      <w:r>
        <w:rPr>
          <w:rFonts w:ascii="Arial" w:cs="Arial" w:eastAsia="Arial" w:hAnsi="Arial"/>
          <w:sz w:val="18"/>
          <w:szCs w:val="18"/>
          <w:color w:val="auto"/>
        </w:rPr>
        <w:t xml:space="preserve">. If, at any time during the term of this Agreement, compliance with any term or condition of this Agreement would, in Genentech’s opinion and with the concurrence of Genentech’s independent auditors, require Genentech to consolidate ACI within Genentech’s financial statements in order to comply with Accounting Standards in effect at that time, then upon Genentech’s request, ACI shall provide to Genentech (a) ACI’s unaudited quarterly consolidated financial statements, prepared in accordance with United States Generally Accepted Accounting Principals (i.e., balance sheet, income statement and statement of cash flows) for each calendar quarter within [*****] days after the end of the calendar quarter, and (b) subject to the obligations under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regarding Confidential Information, ACI’s forecasted results for a given calendar quarter, based on its best available estimates, no earlier than [*****] days prior to, and no later than [*****] days prior to, the close of such calendar quarter. Those forecasted results must be based on at least [*****] months of actual results and will encompass all of the financial statements noted above. [*****] shall reimburse [*****] in complying with this Section 6.4, up to a maximum of [*****] calendar quarter for which financial statements are prepared by ACI in accordance with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20 of 42</w:t>
            </w:r>
          </w:p>
        </w:tc>
      </w:tr>
    </w:tbl>
    <w:p>
      <w:pPr>
        <w:sectPr>
          <w:pgSz w:w="11900" w:h="16838" w:orient="portrait"/>
          <w:cols w:equalWidth="0" w:num="1">
            <w:col w:w="11420"/>
          </w:cols>
          <w:pgMar w:left="240" w:top="269" w:right="239" w:bottom="1440" w:gutter="0" w:footer="0" w:header="0"/>
        </w:sectPr>
      </w:pPr>
    </w:p>
    <w:bookmarkStart w:id="378" w:name="page379"/>
    <w:bookmarkEnd w:id="3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Generally Accepted Accounting Principals. Notwithstanding anything to the contrary, upon Genentech’s initial request to consolidate ACI financial data under this provision, ACI may provide the initial unaudited quarterly financial statements prepared in accordance with IFRS (and not United States Generally Accepted Accounting Principals) provided that ACI provide all reasonable assistance to Genentech in the restatement of such initial financial statements.</w:t>
      </w:r>
    </w:p>
    <w:p>
      <w:pPr>
        <w:spacing w:after="0" w:line="35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ARTICLE 7: INTELLECTUAL PROPERTY; PATENT PROSECUTION AND MAINTENANCE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Disclosure of Inventions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7.1.1 ACI shall promptly disclose to Genentech any inventions or other Know-How created, discovered, conceived or reduced to practice pursuant to the Research Program and the activities in the Research Plan. During the Research Term and the remainder of the Term of the Agreement, ACI shall disclose to Genentech all Patents within ACI IP Rights and Program IP Rights (including in each case, any such Patents of which ACI acquires Control after the Effective Date).</w:t>
      </w:r>
    </w:p>
    <w:p>
      <w:pPr>
        <w:spacing w:after="0" w:line="18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7.1.2 Promptly after the Effective Date, ACI shall deliver to Genentech copies of all patent applications, amendments, correspondence with patent offices and information relating to Patents within the ACI IP Rights. ACI shall timely deliver to Genentech within [*****] days of its receipt, copies of any patent applications, amendments, correspondence or other materials that ACI receives following the Effective Date from the U.S. Patent and Trademark Office and all other patent offices relating to the Patents within the ACI IP Rights.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Ownership of IP Rights</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Program IP Rights</w:t>
      </w:r>
      <w:r>
        <w:rPr>
          <w:rFonts w:ascii="Arial" w:cs="Arial" w:eastAsia="Arial" w:hAnsi="Arial"/>
          <w:sz w:val="18"/>
          <w:szCs w:val="18"/>
          <w:color w:val="auto"/>
        </w:rPr>
        <w:t>. As between the Parties, (i) Program IP Rights that are invented by employees of ACI solely (or jointly with a Third Party subcontractor of ACI) (“</w:t>
      </w:r>
      <w:r>
        <w:rPr>
          <w:rFonts w:ascii="Arial" w:cs="Arial" w:eastAsia="Arial" w:hAnsi="Arial"/>
          <w:sz w:val="18"/>
          <w:szCs w:val="18"/>
          <w:u w:val="single" w:color="auto"/>
          <w:color w:val="auto"/>
        </w:rPr>
        <w:t>ACI Program IP Rights</w:t>
      </w:r>
      <w:r>
        <w:rPr>
          <w:rFonts w:ascii="Arial" w:cs="Arial" w:eastAsia="Arial" w:hAnsi="Arial"/>
          <w:sz w:val="18"/>
          <w:szCs w:val="18"/>
          <w:color w:val="auto"/>
        </w:rPr>
        <w:t>”) will be solely owned by ACI; (ii) Program IP Rights that are invented by employees of Genentech solely (or jointly with a Third Party subcontractor of Genentech) (“</w:t>
      </w:r>
      <w:r>
        <w:rPr>
          <w:rFonts w:ascii="Arial" w:cs="Arial" w:eastAsia="Arial" w:hAnsi="Arial"/>
          <w:sz w:val="18"/>
          <w:szCs w:val="18"/>
          <w:u w:val="single" w:color="auto"/>
          <w:color w:val="auto"/>
        </w:rPr>
        <w:t>Genentech Program IP Rights</w:t>
      </w:r>
      <w:r>
        <w:rPr>
          <w:rFonts w:ascii="Arial" w:cs="Arial" w:eastAsia="Arial" w:hAnsi="Arial"/>
          <w:sz w:val="18"/>
          <w:szCs w:val="18"/>
          <w:color w:val="auto"/>
        </w:rPr>
        <w:t>”) will be solely owned by Genentech; and (iii) Program IP Rights that are invented by an employee of Genentech (or a Third Party subcontractor of Genentech) and an employee of ACI (or a Third Party subcontractor of ACI) jointly (“</w:t>
      </w:r>
      <w:r>
        <w:rPr>
          <w:rFonts w:ascii="Arial" w:cs="Arial" w:eastAsia="Arial" w:hAnsi="Arial"/>
          <w:sz w:val="18"/>
          <w:szCs w:val="18"/>
          <w:u w:val="single" w:color="auto"/>
          <w:color w:val="auto"/>
        </w:rPr>
        <w:t>Joint Program IP Rights</w:t>
      </w:r>
      <w:r>
        <w:rPr>
          <w:rFonts w:ascii="Arial" w:cs="Arial" w:eastAsia="Arial" w:hAnsi="Arial"/>
          <w:sz w:val="18"/>
          <w:szCs w:val="18"/>
          <w:color w:val="auto"/>
        </w:rPr>
        <w:t xml:space="preserve">”) will be jointly owned by Genentech and ACI. Inventorship for purposes of determining ownership under this Section is determined under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93" w:lineRule="exact"/>
        <w:rPr>
          <w:sz w:val="20"/>
          <w:szCs w:val="20"/>
          <w:color w:val="auto"/>
        </w:rPr>
      </w:pPr>
    </w:p>
    <w:p>
      <w:pPr>
        <w:ind w:right="240" w:firstLine="913"/>
        <w:spacing w:after="0" w:line="288" w:lineRule="auto"/>
        <w:rPr>
          <w:sz w:val="20"/>
          <w:szCs w:val="20"/>
          <w:color w:val="auto"/>
        </w:rPr>
      </w:pPr>
      <w:r>
        <w:rPr>
          <w:rFonts w:ascii="Arial" w:cs="Arial" w:eastAsia="Arial" w:hAnsi="Arial"/>
          <w:sz w:val="16"/>
          <w:szCs w:val="16"/>
          <w:color w:val="auto"/>
        </w:rPr>
        <w:t xml:space="preserve">7.2.2 </w:t>
      </w:r>
      <w:r>
        <w:rPr>
          <w:rFonts w:ascii="Arial" w:cs="Arial" w:eastAsia="Arial" w:hAnsi="Arial"/>
          <w:sz w:val="16"/>
          <w:szCs w:val="16"/>
          <w:u w:val="single" w:color="auto"/>
          <w:color w:val="auto"/>
        </w:rPr>
        <w:t>Joint Ownership</w:t>
      </w:r>
      <w:r>
        <w:rPr>
          <w:rFonts w:ascii="Arial" w:cs="Arial" w:eastAsia="Arial" w:hAnsi="Arial"/>
          <w:sz w:val="16"/>
          <w:szCs w:val="16"/>
          <w:i w:val="1"/>
          <w:iCs w:val="1"/>
          <w:color w:val="auto"/>
        </w:rPr>
        <w:t>.</w:t>
      </w:r>
      <w:r>
        <w:rPr>
          <w:rFonts w:ascii="Arial" w:cs="Arial" w:eastAsia="Arial" w:hAnsi="Arial"/>
          <w:sz w:val="16"/>
          <w:szCs w:val="16"/>
          <w:color w:val="auto"/>
        </w:rPr>
        <w:t xml:space="preserve"> Each Party retains an undivided one-half interest in and to Joint Program IP Rights. ACI shall exercise its ownership rights in and to Joint Program IP Rights, for any field, and including the right to license and sublicense or otherwise to exploit, transfer or encumber its ownership interest, only (i) with prior written consent of Genentech, not to be unreasonably withheld; (ii) subject to the licenses under this Agreement; and</w:t>
      </w:r>
    </w:p>
    <w:p>
      <w:pPr>
        <w:ind w:right="20" w:firstLine="8"/>
        <w:spacing w:after="0" w:line="268" w:lineRule="auto"/>
        <w:tabs>
          <w:tab w:leader="none" w:pos="31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in accordance with the restrictions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Notwithstanding the foregoing, solely with respect to (a) improvements made by the Parties in the performance of activities under the Research Plan to techniques and/or methods consisting of assays, detection methods and screening methods within the ACI IP Rights existing as of the Effective Date and (b) such other techniques and/or methods consisting of assays, detection methods and screening methods made by the Parties in the performance of activities under the Research Plan ( together, the “</w:t>
      </w:r>
      <w:r>
        <w:rPr>
          <w:rFonts w:ascii="Arial" w:cs="Arial" w:eastAsia="Arial" w:hAnsi="Arial"/>
          <w:sz w:val="17"/>
          <w:szCs w:val="17"/>
          <w:u w:val="single" w:color="auto"/>
          <w:color w:val="auto"/>
        </w:rPr>
        <w:t>Improvements</w:t>
      </w:r>
      <w:r>
        <w:rPr>
          <w:rFonts w:ascii="Arial" w:cs="Arial" w:eastAsia="Arial" w:hAnsi="Arial"/>
          <w:sz w:val="17"/>
          <w:szCs w:val="17"/>
          <w:color w:val="auto"/>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 ACI may freely exploit Joint Program IP Rights that constitute Improvements for uses outside the Genentech Field without obtaining Genentech’s prior consent. This Agreement shall be understood to be a joint research agreement in accordance with 35 U.S.C. § 103(c)(3) to develop [*****] for use in and outside the Genentech Field, provided that neither Party shall be required by this reference to have any Patent take advantage of or become subject to such § 103(c)(3) except in accordance with the provisions of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regarding Prosecution and Maintenance of such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21 of 42</w:t>
            </w:r>
          </w:p>
        </w:tc>
      </w:tr>
    </w:tbl>
    <w:p>
      <w:pPr>
        <w:sectPr>
          <w:pgSz w:w="11900" w:h="16838" w:orient="portrait"/>
          <w:cols w:equalWidth="0" w:num="1">
            <w:col w:w="11420"/>
          </w:cols>
          <w:pgMar w:left="240" w:top="270" w:right="239" w:bottom="1440" w:gutter="0" w:footer="0" w:header="0"/>
        </w:sectPr>
      </w:pPr>
    </w:p>
    <w:bookmarkStart w:id="379" w:name="page380"/>
    <w:bookmarkEnd w:id="3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Assignments</w:t>
      </w:r>
      <w:r>
        <w:rPr>
          <w:rFonts w:ascii="Arial" w:cs="Arial" w:eastAsia="Arial" w:hAnsi="Arial"/>
          <w:sz w:val="18"/>
          <w:szCs w:val="18"/>
          <w:color w:val="auto"/>
        </w:rPr>
        <w:t>.</w:t>
      </w:r>
    </w:p>
    <w:p>
      <w:pPr>
        <w:spacing w:after="0" w:line="117"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7.3.1 </w:t>
      </w:r>
      <w:r>
        <w:rPr>
          <w:rFonts w:ascii="Arial" w:cs="Arial" w:eastAsia="Arial" w:hAnsi="Arial"/>
          <w:sz w:val="18"/>
          <w:szCs w:val="18"/>
          <w:u w:val="single" w:color="auto"/>
          <w:color w:val="auto"/>
        </w:rPr>
        <w:t>ACI</w:t>
      </w:r>
      <w:r>
        <w:rPr>
          <w:rFonts w:ascii="Arial" w:cs="Arial" w:eastAsia="Arial" w:hAnsi="Arial"/>
          <w:sz w:val="18"/>
          <w:szCs w:val="18"/>
          <w:color w:val="auto"/>
        </w:rPr>
        <w:t>. ACI shall require all of its employees, contractors and agents, and any Affiliates and Third Parties working on its behalf under this Agreement (and their respective employees, contractors and agents), to assign to ACI any Program IP Rights and ACI IP Rights, created, discovered, conceived or reduced to practice by such employees, contractors or agents or Affiliates or Third Parties.</w:t>
      </w:r>
    </w:p>
    <w:p>
      <w:pPr>
        <w:spacing w:after="0" w:line="181"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 xml:space="preserve">7.3.2 </w:t>
      </w:r>
      <w:r>
        <w:rPr>
          <w:rFonts w:ascii="Arial" w:cs="Arial" w:eastAsia="Arial" w:hAnsi="Arial"/>
          <w:sz w:val="18"/>
          <w:szCs w:val="18"/>
          <w:u w:val="single" w:color="auto"/>
          <w:color w:val="auto"/>
        </w:rPr>
        <w:t>Genentech</w:t>
      </w:r>
      <w:r>
        <w:rPr>
          <w:rFonts w:ascii="Arial" w:cs="Arial" w:eastAsia="Arial" w:hAnsi="Arial"/>
          <w:sz w:val="18"/>
          <w:szCs w:val="18"/>
          <w:color w:val="auto"/>
        </w:rPr>
        <w:t>. Genentech shall require all of its employees, contractors and agents, and any Affiliates and Third Parties working on its behalf under this Agreement (and their respective employees, contractors and agents), to assign to Genentech any Program IP Rights, created, discovered, conceived or reduced to practice by such employees, contractors or agents or Affiliates or Third Parties.</w:t>
      </w:r>
    </w:p>
    <w:p>
      <w:pPr>
        <w:spacing w:after="0" w:line="18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 xml:space="preserve">7.3.3 </w:t>
      </w:r>
      <w:r>
        <w:rPr>
          <w:rFonts w:ascii="Arial" w:cs="Arial" w:eastAsia="Arial" w:hAnsi="Arial"/>
          <w:sz w:val="18"/>
          <w:szCs w:val="18"/>
          <w:u w:val="single" w:color="auto"/>
          <w:color w:val="auto"/>
        </w:rPr>
        <w:t>Cooperation</w:t>
      </w:r>
      <w:r>
        <w:rPr>
          <w:rFonts w:ascii="Arial" w:cs="Arial" w:eastAsia="Arial" w:hAnsi="Arial"/>
          <w:sz w:val="18"/>
          <w:szCs w:val="18"/>
          <w:color w:val="auto"/>
        </w:rPr>
        <w:t>. The Parties shall cooperate with each other to effectuate ownership of any intellectual property rights as set forth in this Agreement, including, but not limited to, by executing and recording documents.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7.4 Patent Prosecution and Maintenance.</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7.4.1 </w:t>
      </w:r>
      <w:r>
        <w:rPr>
          <w:rFonts w:ascii="Arial" w:cs="Arial" w:eastAsia="Arial" w:hAnsi="Arial"/>
          <w:sz w:val="18"/>
          <w:szCs w:val="18"/>
          <w:u w:val="single" w:color="auto"/>
          <w:color w:val="auto"/>
        </w:rPr>
        <w:t>Definition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7.4.1</w:t>
      </w:r>
      <w:r>
        <w:rPr>
          <w:rFonts w:ascii="Arial" w:cs="Arial" w:eastAsia="Arial" w:hAnsi="Arial"/>
          <w:sz w:val="18"/>
          <w:szCs w:val="18"/>
          <w:color w:val="auto"/>
        </w:rPr>
        <w:t>,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or “</w:t>
      </w:r>
      <w:r>
        <w:rPr>
          <w:rFonts w:ascii="Arial" w:cs="Arial" w:eastAsia="Arial" w:hAnsi="Arial"/>
          <w:sz w:val="18"/>
          <w:szCs w:val="18"/>
          <w:u w:val="single" w:color="auto"/>
          <w:color w:val="auto"/>
        </w:rPr>
        <w:t>Prosecute and Maintain,</w:t>
      </w:r>
      <w:r>
        <w:rPr>
          <w:rFonts w:ascii="Arial" w:cs="Arial" w:eastAsia="Arial" w:hAnsi="Arial"/>
          <w:sz w:val="18"/>
          <w:szCs w:val="18"/>
          <w:color w:val="auto"/>
        </w:rPr>
        <w:t>” with regard to a particular Patent, means the preparation, filing, prosecution and maintenance of such Patent, as well as re-examinations, reissues, applications for patent term extensions and the like with respect to that Patent, together with the conduct of interferences, the defense of oppositions and other similar proceedings with respect to that Patent.</w:t>
      </w:r>
    </w:p>
    <w:p>
      <w:pPr>
        <w:spacing w:after="0" w:line="187"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 xml:space="preserve">7.4.2 </w:t>
      </w:r>
      <w:r>
        <w:rPr>
          <w:rFonts w:ascii="Arial" w:cs="Arial" w:eastAsia="Arial" w:hAnsi="Arial"/>
          <w:sz w:val="17"/>
          <w:szCs w:val="17"/>
          <w:u w:val="single" w:color="auto"/>
          <w:color w:val="auto"/>
        </w:rPr>
        <w:t>Genentech Controlled Prosecution and Maintenance</w:t>
      </w:r>
      <w:r>
        <w:rPr>
          <w:rFonts w:ascii="Arial" w:cs="Arial" w:eastAsia="Arial" w:hAnsi="Arial"/>
          <w:sz w:val="17"/>
          <w:szCs w:val="17"/>
          <w:color w:val="auto"/>
        </w:rPr>
        <w:t>. As between the Parties, Genentech shall, at its sole discretion and expense, have the right (but not the obligation) to Prosecute and Maintain Patents within the Genentech IP Rights, but excluding [*****] and [*****].</w:t>
      </w:r>
    </w:p>
    <w:p>
      <w:pPr>
        <w:spacing w:after="0" w:line="14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7.4.3 </w:t>
      </w:r>
      <w:r>
        <w:rPr>
          <w:rFonts w:ascii="Arial" w:cs="Arial" w:eastAsia="Arial" w:hAnsi="Arial"/>
          <w:sz w:val="18"/>
          <w:szCs w:val="18"/>
          <w:u w:val="single" w:color="auto"/>
          <w:color w:val="auto"/>
        </w:rPr>
        <w:t>Prosecution and Maintenance of ACI IP Rights and Program IP Rights</w:t>
      </w:r>
      <w:r>
        <w:rPr>
          <w:rFonts w:ascii="Arial" w:cs="Arial" w:eastAsia="Arial" w:hAnsi="Arial"/>
          <w:sz w:val="18"/>
          <w:szCs w:val="18"/>
          <w:color w:val="auto"/>
        </w:rPr>
        <w:t xml:space="preserve">. Subject to the provisions of this Section and </w:t>
      </w:r>
      <w:r>
        <w:rPr>
          <w:rFonts w:ascii="Arial" w:cs="Arial" w:eastAsia="Arial" w:hAnsi="Arial"/>
          <w:sz w:val="18"/>
          <w:szCs w:val="18"/>
          <w:u w:val="single" w:color="auto"/>
          <w:color w:val="auto"/>
        </w:rPr>
        <w:t>Section 7.4.5</w:t>
      </w:r>
      <w:r>
        <w:rPr>
          <w:rFonts w:ascii="Arial" w:cs="Arial" w:eastAsia="Arial" w:hAnsi="Arial"/>
          <w:sz w:val="18"/>
          <w:szCs w:val="18"/>
          <w:color w:val="auto"/>
        </w:rPr>
        <w:t>, ACI and Genentech shall select a mutually agreeable outside counsel (“</w:t>
      </w:r>
      <w:r>
        <w:rPr>
          <w:rFonts w:ascii="Arial" w:cs="Arial" w:eastAsia="Arial" w:hAnsi="Arial"/>
          <w:sz w:val="18"/>
          <w:szCs w:val="18"/>
          <w:u w:val="single" w:color="auto"/>
          <w:color w:val="auto"/>
        </w:rPr>
        <w:t>Outside Patent Counsel</w:t>
      </w:r>
      <w:r>
        <w:rPr>
          <w:rFonts w:ascii="Arial" w:cs="Arial" w:eastAsia="Arial" w:hAnsi="Arial"/>
          <w:sz w:val="18"/>
          <w:szCs w:val="18"/>
          <w:color w:val="auto"/>
        </w:rPr>
        <w:t>”) to be responsible for the Prosecution and Maintenance of ACI IP Rights and Program IP Rights.</w:t>
      </w:r>
    </w:p>
    <w:p>
      <w:pPr>
        <w:spacing w:after="0" w:line="181" w:lineRule="exact"/>
        <w:rPr>
          <w:sz w:val="20"/>
          <w:szCs w:val="20"/>
          <w:color w:val="auto"/>
        </w:rPr>
      </w:pPr>
    </w:p>
    <w:p>
      <w:pPr>
        <w:ind w:right="240" w:firstLine="1492"/>
        <w:spacing w:after="0" w:line="277" w:lineRule="auto"/>
        <w:tabs>
          <w:tab w:leader="none" w:pos="1728"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With respect to Patents within the ACI IP Rights and Program IP Rights, the Parties shall cooperate and assist each in the Prosecution and Maintenance of such Patents as set forth below and in </w:t>
      </w:r>
      <w:r>
        <w:rPr>
          <w:rFonts w:ascii="Arial" w:cs="Arial" w:eastAsia="Arial" w:hAnsi="Arial"/>
          <w:sz w:val="18"/>
          <w:szCs w:val="18"/>
          <w:u w:val="single" w:color="auto"/>
          <w:color w:val="auto"/>
        </w:rPr>
        <w:t>Section 7.4.4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1492"/>
        <w:spacing w:after="0" w:line="257" w:lineRule="auto"/>
        <w:tabs>
          <w:tab w:leader="none" w:pos="173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As soon as one of the Parties determines that it wishes to file a patent application covering any such invention within the ACI IP Rights or Program IP Rights, it shall promptly inform the other Party thereof. With respect thereto, the Parties shall promptly engage the Outside Patent Counsel to draft a patent application for such invention and to make a preliminary determination of inventors, and scope of claims. The Parties shall instruct the Outside Patent Counsel to provide to each Party a copy of such patent application for review and comments by the Parties, and such Outside Patent Counsel shall be instructed to reasonably consider the comments of both Parties.</w:t>
      </w:r>
    </w:p>
    <w:p>
      <w:pPr>
        <w:spacing w:after="0" w:line="188" w:lineRule="exact"/>
        <w:rPr>
          <w:rFonts w:ascii="Arial" w:cs="Arial" w:eastAsia="Arial" w:hAnsi="Arial"/>
          <w:sz w:val="18"/>
          <w:szCs w:val="18"/>
          <w:color w:val="auto"/>
        </w:rPr>
      </w:pPr>
    </w:p>
    <w:p>
      <w:pPr>
        <w:ind w:right="80" w:firstLine="1492"/>
        <w:spacing w:after="0" w:line="259" w:lineRule="auto"/>
        <w:tabs>
          <w:tab w:leader="none" w:pos="1728"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Outside Patent Counsel shall be instructed to (i) keep the Parties informed as to the filing, and Prosecution and Maintenance (including those involving in which countries to initiate or continue prosecution (including validation), the question of the scope of, the issuance of, the rejection of, an interference involving, or an opposition to any such patent application or resulting Patent) of, such Patents, such that each Party has sufficient time to review and comment upon any documents intended for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22 of 42</w:t>
            </w:r>
          </w:p>
        </w:tc>
      </w:tr>
    </w:tbl>
    <w:p>
      <w:pPr>
        <w:sectPr>
          <w:pgSz w:w="11900" w:h="16838" w:orient="portrait"/>
          <w:cols w:equalWidth="0" w:num="1">
            <w:col w:w="11420"/>
          </w:cols>
          <w:pgMar w:left="240" w:top="270" w:right="239"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to any patent office; (ii) furnish to each Party a copy of the patent application and copies of documents relevant to such Prosecution and Maintenance, including copies of correspondence with any patent office, foreign associates, and outside counsel; and (iii) reasonably consider and incorporate comments of the Parties on documents filed with any patent office. In addition, the Outside Patent Counsel shall provide the Parties with a report, no less frequently than once per calendar quarter (or as otherwise mutually agreed by the Parties), listing all Patents within ACI IP Rights and Program IP Rights, identifying them by country and patent or application number, and briefly describing the status thereof.</w:t>
      </w:r>
    </w:p>
    <w:p>
      <w:pPr>
        <w:spacing w:after="0" w:line="173" w:lineRule="exact"/>
        <w:rPr>
          <w:sz w:val="20"/>
          <w:szCs w:val="20"/>
          <w:color w:val="auto"/>
        </w:rPr>
      </w:pPr>
    </w:p>
    <w:p>
      <w:pPr>
        <w:ind w:right="180" w:firstLine="1492"/>
        <w:spacing w:after="0" w:line="279" w:lineRule="auto"/>
        <w:tabs>
          <w:tab w:leader="none" w:pos="173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Outside Patent Counsel shall be instructed to advise and consult with each Party promptly after receiving any substantial action or development in the prosecution of any patent application it is responsible for prosecuting pursuant to Section 7.4.3(a) (in particular any actions or developments concerning in which countries to initiate or continue prosecution (including validation), questions of the scope, issuance or rejection of, any interference involving, any such patent application or any opposition to any such patent application or resulting patent).</w:t>
      </w:r>
    </w:p>
    <w:p>
      <w:pPr>
        <w:spacing w:after="0" w:line="171"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 xml:space="preserve">7.44 </w:t>
      </w:r>
      <w:r>
        <w:rPr>
          <w:rFonts w:ascii="Arial" w:cs="Arial" w:eastAsia="Arial" w:hAnsi="Arial"/>
          <w:sz w:val="17"/>
          <w:szCs w:val="17"/>
          <w:u w:val="single" w:color="auto"/>
          <w:color w:val="auto"/>
        </w:rPr>
        <w:t>Consultation and Cooperation</w:t>
      </w:r>
      <w:r>
        <w:rPr>
          <w:rFonts w:ascii="Arial" w:cs="Arial" w:eastAsia="Arial" w:hAnsi="Arial"/>
          <w:sz w:val="17"/>
          <w:szCs w:val="17"/>
          <w:color w:val="auto"/>
        </w:rPr>
        <w:t>. Generally, the Parties shall cooperate with and assist each in the Prosecution and Maintenance of Patents within the ACI IP Rights and Program IP Rights, including (i) consulting with the other Party promptly after receiving any substantial action or development in the prosecution of any such Patent, (ii) making scientists and scientific records reasonably available, and (iii) making reasonably available its respective authorized attorneys, agents or representatives. In addition, each Party shall sign or use its best efforts to have signed and delivered, at no charge to the other Party, all documents necessary in connection with such Prosecution and Maintenance.</w:t>
      </w:r>
    </w:p>
    <w:p>
      <w:pPr>
        <w:spacing w:after="0" w:line="173" w:lineRule="exact"/>
        <w:rPr>
          <w:sz w:val="20"/>
          <w:szCs w:val="20"/>
          <w:color w:val="auto"/>
        </w:rPr>
      </w:pPr>
    </w:p>
    <w:p>
      <w:pPr>
        <w:ind w:right="200" w:firstLine="913"/>
        <w:spacing w:after="0" w:line="284" w:lineRule="auto"/>
        <w:rPr>
          <w:sz w:val="20"/>
          <w:szCs w:val="20"/>
          <w:color w:val="auto"/>
        </w:rPr>
      </w:pPr>
      <w:r>
        <w:rPr>
          <w:rFonts w:ascii="Arial" w:cs="Arial" w:eastAsia="Arial" w:hAnsi="Arial"/>
          <w:sz w:val="16"/>
          <w:szCs w:val="16"/>
          <w:color w:val="auto"/>
        </w:rPr>
        <w:t xml:space="preserve">7.4.5 </w:t>
      </w:r>
      <w:r>
        <w:rPr>
          <w:rFonts w:ascii="Arial" w:cs="Arial" w:eastAsia="Arial" w:hAnsi="Arial"/>
          <w:sz w:val="16"/>
          <w:szCs w:val="16"/>
          <w:u w:val="single" w:color="auto"/>
          <w:color w:val="auto"/>
        </w:rPr>
        <w:t>Abandonment of Prosecution and Maintenance</w:t>
      </w:r>
      <w:r>
        <w:rPr>
          <w:rFonts w:ascii="Arial" w:cs="Arial" w:eastAsia="Arial" w:hAnsi="Arial"/>
          <w:sz w:val="16"/>
          <w:szCs w:val="16"/>
          <w:color w:val="auto"/>
        </w:rPr>
        <w:t>. With respect to Patents within the ACI IP Rights and Program IP Rights, if a Party (the “</w:t>
      </w:r>
      <w:r>
        <w:rPr>
          <w:rFonts w:ascii="Arial" w:cs="Arial" w:eastAsia="Arial" w:hAnsi="Arial"/>
          <w:sz w:val="16"/>
          <w:szCs w:val="16"/>
          <w:u w:val="single" w:color="auto"/>
          <w:color w:val="auto"/>
        </w:rPr>
        <w:t>Electing Party</w:t>
      </w:r>
      <w:r>
        <w:rPr>
          <w:rFonts w:ascii="Arial" w:cs="Arial" w:eastAsia="Arial" w:hAnsi="Arial"/>
          <w:sz w:val="16"/>
          <w:szCs w:val="16"/>
          <w:color w:val="auto"/>
        </w:rPr>
        <w:t>”) elects not to Prosecute and Maintain such Patents (whether worldwide or with respect to any particular country), including electing not to file a patent application with respect thereto or to allow any such Patents to lapse or become abandoned or unenforceable, then the Electing Party shall promptly notify the other Party (the “</w:t>
      </w:r>
      <w:r>
        <w:rPr>
          <w:rFonts w:ascii="Arial" w:cs="Arial" w:eastAsia="Arial" w:hAnsi="Arial"/>
          <w:sz w:val="16"/>
          <w:szCs w:val="16"/>
          <w:u w:val="single" w:color="auto"/>
          <w:color w:val="auto"/>
        </w:rPr>
        <w:t>Non-Electing Party</w:t>
      </w:r>
      <w:r>
        <w:rPr>
          <w:rFonts w:ascii="Arial" w:cs="Arial" w:eastAsia="Arial" w:hAnsi="Arial"/>
          <w:sz w:val="16"/>
          <w:szCs w:val="16"/>
          <w:color w:val="auto"/>
        </w:rPr>
        <w:t xml:space="preserve">”) in writing (which such notice shall be at least [*****] days prior to the lapse or abandonment of any such Patent). Thereafter, the Non-Electing Party may, but is not required to, undertake, at its sole expense and in its sole discretion, the Prosecution and Maintenance of such Patents. In the event that the Non-Electing Party undertakes such Prosecution and Maintenance, (i) the Electing Party shall assign all right, title and interest in and to such Patents to the Non-Electing Party, (ii) Electing Party shall cooperate as set forth in </w:t>
      </w:r>
      <w:r>
        <w:rPr>
          <w:rFonts w:ascii="Arial" w:cs="Arial" w:eastAsia="Arial" w:hAnsi="Arial"/>
          <w:sz w:val="16"/>
          <w:szCs w:val="16"/>
          <w:u w:val="single" w:color="auto"/>
          <w:color w:val="auto"/>
        </w:rPr>
        <w:t>Section 7.4.4</w:t>
      </w:r>
      <w:r>
        <w:rPr>
          <w:rFonts w:ascii="Arial" w:cs="Arial" w:eastAsia="Arial" w:hAnsi="Arial"/>
          <w:sz w:val="16"/>
          <w:szCs w:val="16"/>
          <w:color w:val="auto"/>
        </w:rPr>
        <w:t>, and</w:t>
      </w:r>
    </w:p>
    <w:p>
      <w:pPr>
        <w:spacing w:after="0" w:line="3" w:lineRule="exact"/>
        <w:rPr>
          <w:sz w:val="20"/>
          <w:szCs w:val="20"/>
          <w:color w:val="auto"/>
        </w:rPr>
      </w:pPr>
    </w:p>
    <w:p>
      <w:pPr>
        <w:ind w:right="100" w:firstLine="8"/>
        <w:spacing w:after="0" w:line="261" w:lineRule="auto"/>
        <w:tabs>
          <w:tab w:leader="none" w:pos="31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such Patents shall no longer serve as the basis of any royalty obligation to the Electing Party under this Agreement.</w:t>
      </w:r>
    </w:p>
    <w:p>
      <w:pPr>
        <w:spacing w:after="0" w:line="184"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7.4.6 </w:t>
      </w:r>
      <w:r>
        <w:rPr>
          <w:rFonts w:ascii="Arial" w:cs="Arial" w:eastAsia="Arial" w:hAnsi="Arial"/>
          <w:sz w:val="18"/>
          <w:szCs w:val="18"/>
          <w:u w:val="single" w:color="auto"/>
          <w:color w:val="auto"/>
        </w:rPr>
        <w:t>Costs</w:t>
      </w:r>
      <w:r>
        <w:rPr>
          <w:rFonts w:ascii="Arial" w:cs="Arial" w:eastAsia="Arial" w:hAnsi="Arial"/>
          <w:sz w:val="18"/>
          <w:szCs w:val="18"/>
          <w:color w:val="auto"/>
        </w:rPr>
        <w:t>. Unless otherwise mutually agreed by the Parties, both during and after the Term of this Agreement, all costs of prosecuting and maintaining Genentech IP Rights shall be Genentech’s sole responsibility. Genentech shall bear [*****] of the costs of prosecuting and maintaining all ACI IP Rights and Program IP Rights and ACI shall bear [*****] of such costs.</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7.4.7 </w:t>
      </w:r>
      <w:r>
        <w:rPr>
          <w:rFonts w:ascii="Arial" w:cs="Arial" w:eastAsia="Arial" w:hAnsi="Arial"/>
          <w:sz w:val="18"/>
          <w:szCs w:val="18"/>
          <w:u w:val="single" w:color="auto"/>
          <w:color w:val="auto"/>
        </w:rPr>
        <w:t>Good Faith</w:t>
      </w:r>
      <w:r>
        <w:rPr>
          <w:rFonts w:ascii="Arial" w:cs="Arial" w:eastAsia="Arial" w:hAnsi="Arial"/>
          <w:sz w:val="18"/>
          <w:szCs w:val="18"/>
          <w:color w:val="auto"/>
        </w:rPr>
        <w:t xml:space="preserve">. Without in any way limiting the foregoing, including </w:t>
      </w:r>
      <w:r>
        <w:rPr>
          <w:rFonts w:ascii="Arial" w:cs="Arial" w:eastAsia="Arial" w:hAnsi="Arial"/>
          <w:sz w:val="18"/>
          <w:szCs w:val="18"/>
          <w:u w:val="single" w:color="auto"/>
          <w:color w:val="auto"/>
        </w:rPr>
        <w:t>Section 7.4.3(a)</w:t>
      </w:r>
      <w:r>
        <w:rPr>
          <w:rFonts w:ascii="Arial" w:cs="Arial" w:eastAsia="Arial" w:hAnsi="Arial"/>
          <w:sz w:val="18"/>
          <w:szCs w:val="18"/>
          <w:color w:val="auto"/>
        </w:rPr>
        <w:t>, the Parties shall use reasonable efforts and act in good faith to assist and advise the other and the Outside Patent Counsel in connection with the Prosecution and Maintenance of Patents within the ACI IP Rights and Program IP Rights, and to mutually seek opportunities to prepare and file patent applications for such Patents, with the Parties goal being in each instance to try, where appropriate, to obtain the broadest Patent protection that is reasonably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23 of 42</w:t>
            </w:r>
          </w:p>
        </w:tc>
      </w:tr>
    </w:tbl>
    <w:p>
      <w:pPr>
        <w:sectPr>
          <w:pgSz w:w="11900" w:h="16838" w:orient="portrait"/>
          <w:cols w:equalWidth="0" w:num="1">
            <w:col w:w="11420"/>
          </w:cols>
          <w:pgMar w:left="240" w:top="269" w:right="239" w:bottom="1440" w:gutter="0" w:footer="0" w:header="0"/>
        </w:sectPr>
      </w:pPr>
    </w:p>
    <w:bookmarkStart w:id="381" w:name="page382"/>
    <w:bookmarkEnd w:id="3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Patent Interferences</w:t>
      </w:r>
      <w:r>
        <w:rPr>
          <w:rFonts w:ascii="Arial" w:cs="Arial" w:eastAsia="Arial" w:hAnsi="Arial"/>
          <w:sz w:val="16"/>
          <w:szCs w:val="16"/>
          <w:color w:val="auto"/>
        </w:rPr>
        <w:t>. If an interference is declared by the U.S. Patent and Trademark Office (a) between (i) a claim in one or more Patents within the ACI IP Rights or Program IP Rights and (ii) a claim in one or more Patents within the Genentech IP Rights, where at least one of such claims would, but for the licenses in this Agreement, be infringed by the making, using, offering for sale, selling or importing of a [*****] or Licensed Product; then the Parties shall in good faith establish within [*****] days of the declaration of such interference, or such other time as agreed upon, a mutually agreeable process to resolve such interference in a reasonable manner (including control and cost sharing), in conformance with all applicable legal standards.</w:t>
      </w:r>
    </w:p>
    <w:p>
      <w:pPr>
        <w:spacing w:after="0" w:line="15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Inventorship</w:t>
      </w:r>
      <w:r>
        <w:rPr>
          <w:rFonts w:ascii="Arial" w:cs="Arial" w:eastAsia="Arial" w:hAnsi="Arial"/>
          <w:sz w:val="18"/>
          <w:szCs w:val="18"/>
          <w:color w:val="auto"/>
        </w:rPr>
        <w:t>. Any determination of inventorship with respect to any Patent within the ACI IP Rights, Program IP Rights, or Genentech IP Rights shall be made in accordance with the applicable United States patent laws.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Consequences of [*****]</w:t>
      </w:r>
    </w:p>
    <w:p>
      <w:pPr>
        <w:spacing w:after="0" w:line="117"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 xml:space="preserve">7.7.1 </w:t>
      </w:r>
      <w:r>
        <w:rPr>
          <w:rFonts w:ascii="Arial" w:cs="Arial" w:eastAsia="Arial" w:hAnsi="Arial"/>
          <w:sz w:val="17"/>
          <w:szCs w:val="17"/>
          <w:u w:val="single" w:color="auto"/>
          <w:color w:val="auto"/>
        </w:rPr>
        <w:t>Termination on [*****]</w:t>
      </w:r>
      <w:r>
        <w:rPr>
          <w:rFonts w:ascii="Arial" w:cs="Arial" w:eastAsia="Arial" w:hAnsi="Arial"/>
          <w:sz w:val="17"/>
          <w:szCs w:val="17"/>
          <w:color w:val="auto"/>
        </w:rPr>
        <w:t>. ACI shall have the right to terminate this Agreement, to the extent permitted by applicable law and regulation, by written notice effective upon receipt by Genentech if Genentech or its Affiliates directly, or indirectly through material assistance knowingly granted to a Third Party, (i) initiates or requests an [*****], (ii) makes, files or maintains any [*****] of, or [*****] (each such action a “</w:t>
      </w:r>
      <w:r>
        <w:rPr>
          <w:rFonts w:ascii="Arial" w:cs="Arial" w:eastAsia="Arial" w:hAnsi="Arial"/>
          <w:sz w:val="17"/>
          <w:szCs w:val="17"/>
          <w:u w:val="single" w:color="auto"/>
          <w:color w:val="auto"/>
        </w:rPr>
        <w:t>[*****]</w:t>
      </w:r>
      <w:r>
        <w:rPr>
          <w:rFonts w:ascii="Arial" w:cs="Arial" w:eastAsia="Arial" w:hAnsi="Arial"/>
          <w:sz w:val="17"/>
          <w:szCs w:val="17"/>
          <w:color w:val="auto"/>
        </w:rPr>
        <w:t>”). Prior to exercising such right, ACI shall first provide Genentech with written notice regarding the occurrence of any [*****] (“</w:t>
      </w:r>
      <w:r>
        <w:rPr>
          <w:rFonts w:ascii="Arial" w:cs="Arial" w:eastAsia="Arial" w:hAnsi="Arial"/>
          <w:sz w:val="17"/>
          <w:szCs w:val="17"/>
          <w:u w:val="single" w:color="auto"/>
          <w:color w:val="auto"/>
        </w:rPr>
        <w:t>Notice of [*****]</w:t>
      </w:r>
      <w:r>
        <w:rPr>
          <w:rFonts w:ascii="Arial" w:cs="Arial" w:eastAsia="Arial" w:hAnsi="Arial"/>
          <w:sz w:val="17"/>
          <w:szCs w:val="17"/>
          <w:color w:val="auto"/>
        </w:rPr>
        <w:t xml:space="preserve">”). Provided that (i) the [*****] is reversible, and (ii) Genentech is able to obtain a full and complete [*****] of the [*****] within [*****] days following Genentech’s receipt of the Notice of [*****], and (iii) no substantial [*****] to the [*****] has been caused by the [*****] prior to such withdrawal, then ACI may not terminate this Agreement pursuant to this </w:t>
      </w:r>
      <w:r>
        <w:rPr>
          <w:rFonts w:ascii="Arial" w:cs="Arial" w:eastAsia="Arial" w:hAnsi="Arial"/>
          <w:sz w:val="17"/>
          <w:szCs w:val="17"/>
          <w:u w:val="single" w:color="auto"/>
          <w:color w:val="auto"/>
        </w:rPr>
        <w:t>Section 7.7.1</w:t>
      </w:r>
      <w:r>
        <w:rPr>
          <w:rFonts w:ascii="Arial" w:cs="Arial" w:eastAsia="Arial" w:hAnsi="Arial"/>
          <w:sz w:val="17"/>
          <w:szCs w:val="17"/>
          <w:color w:val="auto"/>
        </w:rPr>
        <w:t xml:space="preserve">. For the avoidance of doubt, [*****] does not include, and termination by ACI under this </w:t>
      </w:r>
      <w:r>
        <w:rPr>
          <w:rFonts w:ascii="Arial" w:cs="Arial" w:eastAsia="Arial" w:hAnsi="Arial"/>
          <w:sz w:val="17"/>
          <w:szCs w:val="17"/>
          <w:u w:val="single" w:color="auto"/>
          <w:color w:val="auto"/>
        </w:rPr>
        <w:t>Section 7.7.1</w:t>
      </w:r>
      <w:r>
        <w:rPr>
          <w:rFonts w:ascii="Arial" w:cs="Arial" w:eastAsia="Arial" w:hAnsi="Arial"/>
          <w:sz w:val="17"/>
          <w:szCs w:val="17"/>
          <w:color w:val="auto"/>
        </w:rPr>
        <w:t xml:space="preserve"> is not permitted for, (i) any action undertaken by Genentech or its Affiliates in any [*****] if such [*****] was provoked, requested or otherwise commenced by a third party without material assistance knowingly granted by Genentech or its Affiliates; (ii) any [*****] by Genentech or its Affiliates as [*****] or other action made, filed or maintained by ACl, ACI’s Affiliate(s) and/or ACI Licensee(s), including where such [*****] of or by any Genentech activity with respect to ACI IP Rights, including without limitation any [*****] by Genentech or its Affiliates that the making, using, selling, offering for sale and importation of any [*****] and/or Licensed Product(s) do not [*****] ACI IP Rights.</w:t>
      </w:r>
    </w:p>
    <w:p>
      <w:pPr>
        <w:spacing w:after="0" w:line="18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7.7.2 </w:t>
      </w:r>
      <w:r>
        <w:rPr>
          <w:rFonts w:ascii="Arial" w:cs="Arial" w:eastAsia="Arial" w:hAnsi="Arial"/>
          <w:sz w:val="18"/>
          <w:szCs w:val="18"/>
          <w:u w:val="single" w:color="auto"/>
          <w:color w:val="auto"/>
        </w:rPr>
        <w:t>Sublicensees</w:t>
      </w:r>
      <w:r>
        <w:rPr>
          <w:rFonts w:ascii="Arial" w:cs="Arial" w:eastAsia="Arial" w:hAnsi="Arial"/>
          <w:sz w:val="18"/>
          <w:szCs w:val="18"/>
          <w:color w:val="auto"/>
        </w:rPr>
        <w:t>. Genentech will include in all agreements granting sublicenses of Genentech’s rights hereunder a provision that if the sublicensee or its Affiliates undertake a [*****] with respect to any Patents within the ACI IP Rights under which the sublicensee is sublicensed, Genentech will be permitted to terminate such sublicense agreement. If a sublicensee of Genentech (or an Affiliate of such sublicensee) undertakes a [*****] of any such Patent under which such sublicensee is sublicensed, then Genentech within [*****] days of receipt of written notice from ACI providing sufficient details regarding such [*****] will terminate the applicable sublicense agreement, to the extent permitted by applicable law and regulation, provided that Genentech may delay such termination for a reasonable period of time if necessary to secure an alternate Genentech Licensee. If Genentech fails to so terminate such sublicense agreement, ACI will give Genentech written notice of such breach, and if Genentech does not cure the breach within [*****] days, ACI may terminate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24 of 42</w:t>
            </w:r>
          </w:p>
        </w:tc>
      </w:tr>
    </w:tbl>
    <w:p>
      <w:pPr>
        <w:sectPr>
          <w:pgSz w:w="11900" w:h="16838" w:orient="portrait"/>
          <w:cols w:equalWidth="0" w:num="1">
            <w:col w:w="11420"/>
          </w:cols>
          <w:pgMar w:left="240" w:top="270" w:right="23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ARTICLE 8; ENFORCEMENT OF IP RIGHTS; DEFENSE OF THIRD PARTY INFRINGEMENT CLAIMS</w:t>
      </w:r>
    </w:p>
    <w:p>
      <w:pPr>
        <w:spacing w:after="0" w:line="229"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w:t>
      </w:r>
      <w:r>
        <w:rPr>
          <w:rFonts w:ascii="Arial" w:cs="Arial" w:eastAsia="Arial" w:hAnsi="Arial"/>
          <w:sz w:val="16"/>
          <w:szCs w:val="16"/>
          <w:color w:val="auto"/>
        </w:rPr>
        <w:t>. Each Party shall promptly notify, in writing, the other Party upon learning of any actual or suspected infringement of the ACI IP Rights or Program IP Rights by a Third Party, or of any claim of invalidity, unenforceability, or non-infringement of the ACI IP Rights or Program IP Rights, and shall, along with such notice, supply the other Party with all evidence in its possession pertaining thereto. In addition, ACI shall promptly notify Genentech, in writing, upon learning of any actual or suspected infringement of the Genentech IP Rights by a Third Party, or of any claim of invalidity, unenforceability, or non-infringement of the Genentech IP Rights, and shall, along with such notice, supply Genentech with all evidence in its possession pertaining thereto.</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Infringement Action</w:t>
      </w:r>
      <w:r>
        <w:rPr>
          <w:rFonts w:ascii="Arial" w:cs="Arial" w:eastAsia="Arial" w:hAnsi="Arial"/>
          <w:sz w:val="18"/>
          <w:szCs w:val="18"/>
          <w:color w:val="auto"/>
        </w:rPr>
        <w:t>.</w:t>
      </w:r>
    </w:p>
    <w:p>
      <w:pPr>
        <w:spacing w:after="0" w:line="117"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u w:val="single" w:color="auto"/>
          <w:color w:val="auto"/>
        </w:rPr>
        <w:t>Genentech IP Rights</w:t>
      </w:r>
      <w:r>
        <w:rPr>
          <w:rFonts w:ascii="Arial" w:cs="Arial" w:eastAsia="Arial" w:hAnsi="Arial"/>
          <w:sz w:val="18"/>
          <w:szCs w:val="18"/>
          <w:color w:val="auto"/>
        </w:rPr>
        <w:t>. As between the Parties, Genentech shall have at its own cost the sole right, but not the obligation, to seek to abate any actual or suspected infringement of the Genentech IP Rights by a Third Party, or to file suit against any such Third Party. ACI shall cooperate with Genentech (as may be reasonably requested by Genentech), including, if necessary, by being joined as a party.</w:t>
      </w:r>
    </w:p>
    <w:p>
      <w:pPr>
        <w:spacing w:after="0" w:line="181"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ACI IP Rights and Program IP Rights</w:t>
      </w:r>
      <w:r>
        <w:rPr>
          <w:rFonts w:ascii="Arial" w:cs="Arial" w:eastAsia="Arial" w:hAnsi="Arial"/>
          <w:sz w:val="16"/>
          <w:szCs w:val="16"/>
          <w:color w:val="auto"/>
        </w:rPr>
        <w:t>. Genentech shall have at its own cost the first right, but not the obligation, to seek to abate any actual or suspected infringement of the ACI IP Rights, ACI Program IP Rights and ACI’s interest in the Joint Program IP Rights by a Third Party, or to file suit against any such Third Party. If Genentech does not commence an infringement action against the alleged or threatened infringement at least [*****] Business Days before the time limit, if any, set forth in appropriate laws and regulations for filing of such actions, then ACI may commence litigation with respect to the alleged or threatened infringement at its own expense; provided, that ACI shall not initiate such litigation if enforcement of such patent rights would have a material adverse effect on the development, commercialization, or commercial value of Licensed Products pursuant to this Agreement.</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 may not settle or consent to an adverse judgment in any action described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including any judgment which affects the scope, validity or enforcement of any ACI IP Rights or ACI Program IP Rights, without the [*****] (such [*****]), except that [*****] may settle or consent to an adverse judgment to any action described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without [*****] to the extent such settlement or consent judgment does not (i) impose a financial obligation on [*****] or (ii) affect the scope, validity or enforcement of any [*****] or [*****] or (iii) result in a reduction of the royalty income for [*****], except to the extent otherwise provided in accordance with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88" w:lineRule="exact"/>
        <w:rPr>
          <w:sz w:val="20"/>
          <w:szCs w:val="20"/>
          <w:color w:val="auto"/>
        </w:rPr>
      </w:pPr>
    </w:p>
    <w:p>
      <w:pPr>
        <w:jc w:val="both"/>
        <w:ind w:right="60" w:firstLine="456"/>
        <w:spacing w:after="0" w:line="27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Damages</w:t>
      </w:r>
      <w:r>
        <w:rPr>
          <w:rFonts w:ascii="Arial" w:cs="Arial" w:eastAsia="Arial" w:hAnsi="Arial"/>
          <w:sz w:val="17"/>
          <w:szCs w:val="17"/>
          <w:color w:val="auto"/>
        </w:rPr>
        <w:t xml:space="preserve">. Unless otherwise mutually agreed by the Parties, and subject to the respective indemnity obligations of the Parties set forth in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all monies recovered upon the final judgment or settlement of any action described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used: (i) first, to reimburse [*****],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for its out-of-pocket expenses relating to the action; (ii) second, any remaining balance that represents compensation for lost sales, a reasonable royalty or lost profits, shall be retained by or paid to [*****], subject to the payment of royalties on such amounts pursuant to </w:t>
      </w:r>
      <w:r>
        <w:rPr>
          <w:rFonts w:ascii="Arial" w:cs="Arial" w:eastAsia="Arial" w:hAnsi="Arial"/>
          <w:sz w:val="17"/>
          <w:szCs w:val="17"/>
          <w:u w:val="single" w:color="auto"/>
          <w:color w:val="auto"/>
        </w:rPr>
        <w:t>Article 5</w:t>
      </w:r>
      <w:r>
        <w:rPr>
          <w:rFonts w:ascii="Arial" w:cs="Arial" w:eastAsia="Arial" w:hAnsi="Arial"/>
          <w:sz w:val="17"/>
          <w:szCs w:val="17"/>
          <w:color w:val="auto"/>
        </w:rPr>
        <w:t>; and (iii) third, any remaining amount that represents additional damages (for example, enhanced or punitive damages) shall be retained by [*****].</w:t>
      </w:r>
    </w:p>
    <w:p>
      <w:pPr>
        <w:spacing w:after="0" w:line="173"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Third Party Suits</w:t>
      </w:r>
      <w:r>
        <w:rPr>
          <w:rFonts w:ascii="Arial" w:cs="Arial" w:eastAsia="Arial" w:hAnsi="Arial"/>
          <w:sz w:val="18"/>
          <w:szCs w:val="18"/>
          <w:color w:val="auto"/>
        </w:rPr>
        <w:t>. In the event that a Third Party shall make any claim or bring any suit or other proceeding against Genentech, or any of its Affiliates, Genentech Licensees or customers, for infringement or misappropriation of any intellectual property rights with respect to the research,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25 of 42</w:t>
            </w:r>
          </w:p>
        </w:tc>
      </w:tr>
    </w:tbl>
    <w:p>
      <w:pPr>
        <w:sectPr>
          <w:pgSz w:w="11900" w:h="16838" w:orient="portrait"/>
          <w:cols w:equalWidth="0" w:num="1">
            <w:col w:w="11420"/>
          </w:cols>
          <w:pgMar w:left="240" w:top="269" w:right="239" w:bottom="1440" w:gutter="0" w:footer="0" w:header="0"/>
        </w:sectPr>
      </w:pPr>
    </w:p>
    <w:bookmarkStart w:id="383" w:name="page384"/>
    <w:bookmarkEnd w:id="3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making, using selling, offering for sale, import or export of any [*****] or Licensed Product, [*****] shall have the right to defend and control the defense of such claim, suit or other proceeding as well as to initiate and control any counterclaim or other similar action at its own cost and expense. [*****] shall fully cooperate with [*****] in defense of such claim, suit or other proceeding, including by being joined as a party. Unless otherwise mutually agreed by the Parties, and subject to the respective indemnity obligations of the Parties set forth in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the provisions of </w:t>
      </w:r>
      <w:r>
        <w:rPr>
          <w:rFonts w:ascii="Arial" w:cs="Arial" w:eastAsia="Arial" w:hAnsi="Arial"/>
          <w:sz w:val="17"/>
          <w:szCs w:val="17"/>
          <w:u w:val="single" w:color="auto"/>
          <w:color w:val="auto"/>
        </w:rPr>
        <w:t>Sections 8.3 and 8.4</w:t>
      </w:r>
      <w:r>
        <w:rPr>
          <w:rFonts w:ascii="Arial" w:cs="Arial" w:eastAsia="Arial" w:hAnsi="Arial"/>
          <w:sz w:val="17"/>
          <w:szCs w:val="17"/>
          <w:color w:val="auto"/>
        </w:rPr>
        <w:t xml:space="preserve"> shall apply to any proceeding covered by this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except that the negotiation of any license from the Third Party shall be subject to </w:t>
      </w:r>
      <w:r>
        <w:rPr>
          <w:rFonts w:ascii="Arial" w:cs="Arial" w:eastAsia="Arial" w:hAnsi="Arial"/>
          <w:sz w:val="17"/>
          <w:szCs w:val="17"/>
          <w:u w:val="single" w:color="auto"/>
          <w:color w:val="auto"/>
        </w:rPr>
        <w:t>Section 5.8</w:t>
      </w:r>
      <w:r>
        <w:rPr>
          <w:rFonts w:ascii="Arial" w:cs="Arial" w:eastAsia="Arial" w:hAnsi="Arial"/>
          <w:sz w:val="17"/>
          <w:szCs w:val="17"/>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TERM AND TERMINATION</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shall commence on the Effective Date and, unless sooner terminated by mutual agreement or pursuant to any other provision of this Agreement, shall terminate on the date on which all obligations under this Agreement between the Parties with respect to the payment of milestones or royalties with respect to Licensed Products have passed or expired.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9.2.1 </w:t>
      </w:r>
      <w:r>
        <w:rPr>
          <w:rFonts w:ascii="Arial" w:cs="Arial" w:eastAsia="Arial" w:hAnsi="Arial"/>
          <w:sz w:val="18"/>
          <w:szCs w:val="18"/>
          <w:u w:val="single" w:color="auto"/>
          <w:color w:val="auto"/>
        </w:rPr>
        <w:t>Material Breach</w:t>
      </w:r>
      <w:r>
        <w:rPr>
          <w:rFonts w:ascii="Arial" w:cs="Arial" w:eastAsia="Arial" w:hAnsi="Arial"/>
          <w:sz w:val="18"/>
          <w:szCs w:val="18"/>
          <w:color w:val="auto"/>
        </w:rPr>
        <w:t>. Either Party may terminate this Agreement for any material breach by the other Party, provided that the terminating Party gives the breaching Party written notice of such breach and the breach remains uncured after the expiration of [*****] days (or [*****] days if such breach relates solely to the payment of amounts due hereunder) after such written notice was given.</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9.2.2 </w:t>
      </w:r>
      <w:r>
        <w:rPr>
          <w:rFonts w:ascii="Arial" w:cs="Arial" w:eastAsia="Arial" w:hAnsi="Arial"/>
          <w:sz w:val="18"/>
          <w:szCs w:val="18"/>
          <w:u w:val="single" w:color="auto"/>
          <w:color w:val="auto"/>
        </w:rPr>
        <w:t>Bankruptcy</w:t>
      </w:r>
      <w:r>
        <w:rPr>
          <w:rFonts w:ascii="Arial" w:cs="Arial" w:eastAsia="Arial" w:hAnsi="Arial"/>
          <w:sz w:val="18"/>
          <w:szCs w:val="18"/>
          <w:color w:val="auto"/>
        </w:rPr>
        <w:t>. Genentech shall have the right to terminate this Agreement upon written notice to ACI, in the event that ACI seeks protection of any bankruptcy or insolvency law, a proceeding in bankruptcy or insolvency is filed by or against ACI and is not dismissed within [*****] days, or there is an adjudication by a court of competent jurisdiction that ACI is bankrupt or insolvent. ACI shall have the right to terminate this Agreement upon written notice to Genentech, in the event that Genentech seeks protection of any bankruptcy or insolvency law, a proceeding in bankruptcy or insolvency is filed by or against Genentech and is not dismissed within [*****] days, or there is an adjudication by a court of competent jurisdiction that Genentech is bankrupt or insolvent.</w:t>
      </w:r>
    </w:p>
    <w:p>
      <w:pPr>
        <w:spacing w:after="0" w:line="19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9.2.3 </w:t>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 Genentech may terminate this Agreement at any time after the [*****] anniversary of the Effective Date, with or without cause, upon three (3) months advanced written notice to ACI.</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9.2.4 </w:t>
      </w:r>
      <w:r>
        <w:rPr>
          <w:rFonts w:ascii="Arial" w:cs="Arial" w:eastAsia="Arial" w:hAnsi="Arial"/>
          <w:sz w:val="18"/>
          <w:szCs w:val="18"/>
          <w:u w:val="single" w:color="auto"/>
          <w:color w:val="auto"/>
        </w:rPr>
        <w:t>Change of Contro</w:t>
      </w:r>
      <w:r>
        <w:rPr>
          <w:rFonts w:ascii="Arial" w:cs="Arial" w:eastAsia="Arial" w:hAnsi="Arial"/>
          <w:sz w:val="18"/>
          <w:szCs w:val="18"/>
          <w:color w:val="auto"/>
        </w:rPr>
        <w:t xml:space="preserve">l. Genentech may terminate this Agreement in accordance with </w:t>
      </w:r>
      <w:r>
        <w:rPr>
          <w:rFonts w:ascii="Arial" w:cs="Arial" w:eastAsia="Arial" w:hAnsi="Arial"/>
          <w:sz w:val="18"/>
          <w:szCs w:val="18"/>
          <w:u w:val="single" w:color="auto"/>
          <w:color w:val="auto"/>
        </w:rPr>
        <w:t>Section 14.2</w:t>
      </w:r>
      <w:r>
        <w:rPr>
          <w:rFonts w:ascii="Arial" w:cs="Arial" w:eastAsia="Arial" w:hAnsi="Arial"/>
          <w:sz w:val="18"/>
          <w:szCs w:val="18"/>
          <w:color w:val="auto"/>
        </w:rPr>
        <w: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Effect of Termination or Expiration</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9.3.1 Upon termination of this Agreement by ACI pursuant to </w:t>
      </w:r>
      <w:r>
        <w:rPr>
          <w:rFonts w:ascii="Arial" w:cs="Arial" w:eastAsia="Arial" w:hAnsi="Arial"/>
          <w:sz w:val="16"/>
          <w:szCs w:val="16"/>
          <w:u w:val="single" w:color="auto"/>
          <w:color w:val="auto"/>
        </w:rPr>
        <w:t>Section 9.2.1</w:t>
      </w:r>
      <w:r>
        <w:rPr>
          <w:rFonts w:ascii="Arial" w:cs="Arial" w:eastAsia="Arial" w:hAnsi="Arial"/>
          <w:sz w:val="16"/>
          <w:szCs w:val="16"/>
          <w:color w:val="auto"/>
        </w:rPr>
        <w:t xml:space="preserve"> for material breach by Genentech of its diligence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its payment obligations under </w:t>
      </w:r>
      <w:r>
        <w:rPr>
          <w:rFonts w:ascii="Arial" w:cs="Arial" w:eastAsia="Arial" w:hAnsi="Arial"/>
          <w:sz w:val="16"/>
          <w:szCs w:val="16"/>
          <w:u w:val="single" w:color="auto"/>
          <w:color w:val="auto"/>
        </w:rPr>
        <w:t>Sections 5.1 and 5.3 -5.6</w:t>
      </w:r>
      <w:r>
        <w:rPr>
          <w:rFonts w:ascii="Arial" w:cs="Arial" w:eastAsia="Arial" w:hAnsi="Arial"/>
          <w:sz w:val="16"/>
          <w:szCs w:val="16"/>
          <w:color w:val="auto"/>
        </w:rPr>
        <w:t xml:space="preserve"> or for a [*****] under </w:t>
      </w:r>
      <w:r>
        <w:rPr>
          <w:rFonts w:ascii="Arial" w:cs="Arial" w:eastAsia="Arial" w:hAnsi="Arial"/>
          <w:sz w:val="16"/>
          <w:szCs w:val="16"/>
          <w:u w:val="single" w:color="auto"/>
          <w:color w:val="auto"/>
        </w:rPr>
        <w:t>Section 7.7.1</w:t>
      </w:r>
      <w:r>
        <w:rPr>
          <w:rFonts w:ascii="Arial" w:cs="Arial" w:eastAsia="Arial" w:hAnsi="Arial"/>
          <w:sz w:val="16"/>
          <w:szCs w:val="16"/>
          <w:color w:val="auto"/>
        </w:rPr>
        <w:t xml:space="preserve"> or by Genentech pursuant to </w:t>
      </w:r>
      <w:r>
        <w:rPr>
          <w:rFonts w:ascii="Arial" w:cs="Arial" w:eastAsia="Arial" w:hAnsi="Arial"/>
          <w:sz w:val="16"/>
          <w:szCs w:val="16"/>
          <w:u w:val="single" w:color="auto"/>
          <w:color w:val="auto"/>
        </w:rPr>
        <w:t>Section 9.2.3</w:t>
      </w:r>
      <w:r>
        <w:rPr>
          <w:rFonts w:ascii="Arial" w:cs="Arial" w:eastAsia="Arial" w:hAnsi="Arial"/>
          <w:sz w:val="16"/>
          <w:szCs w:val="16"/>
          <w:color w:val="auto"/>
        </w:rPr>
        <w:t xml:space="preserve">, (i) all rights and licenses granted to Genentech under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immediately terminate; (ii) upon request by ACI and subject to the Termination Royalties described in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below, Genentech shall provide a Product Reversion Package to ACI to support the continued development and commercialization of Licensed Products (each a “</w:t>
      </w:r>
      <w:r>
        <w:rPr>
          <w:rFonts w:ascii="Arial" w:cs="Arial" w:eastAsia="Arial" w:hAnsi="Arial"/>
          <w:sz w:val="16"/>
          <w:szCs w:val="16"/>
          <w:u w:val="single" w:color="auto"/>
          <w:color w:val="auto"/>
        </w:rPr>
        <w:t>Termination Product</w:t>
      </w: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 xml:space="preserve"> (iii) upon request by ACI, Genentech shall continue to manufacture and supply to ACI for a period of [*****] years such Termination Products that are, as of the date of such termination, in clinical development or sold commercially, such supply to be reimbursed by [*****] at a cost equal to [*****] fully burdened manufacturing cost plus [*****]. Any sublicense granted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26 of 42</w:t>
            </w:r>
          </w:p>
        </w:tc>
      </w:tr>
    </w:tbl>
    <w:p>
      <w:pPr>
        <w:sectPr>
          <w:pgSz w:w="11900" w:h="16838" w:orient="portrait"/>
          <w:cols w:equalWidth="0" w:num="1">
            <w:col w:w="11420"/>
          </w:cols>
          <w:pgMar w:left="240" w:top="270" w:right="239" w:bottom="1440" w:gutter="0" w:footer="0" w:header="0"/>
        </w:sectPr>
      </w:pPr>
    </w:p>
    <w:bookmarkStart w:id="384" w:name="page385"/>
    <w:bookmarkEnd w:id="3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Genentech Licensee outside the United States shall survive termination of this Agreement under this </w:t>
      </w:r>
      <w:r>
        <w:rPr>
          <w:rFonts w:ascii="Arial" w:cs="Arial" w:eastAsia="Arial" w:hAnsi="Arial"/>
          <w:sz w:val="16"/>
          <w:szCs w:val="16"/>
          <w:u w:val="single" w:color="auto"/>
          <w:color w:val="auto"/>
        </w:rPr>
        <w:t>Section 9.3.1</w:t>
      </w:r>
      <w:r>
        <w:rPr>
          <w:rFonts w:ascii="Arial" w:cs="Arial" w:eastAsia="Arial" w:hAnsi="Arial"/>
          <w:sz w:val="16"/>
          <w:szCs w:val="16"/>
          <w:color w:val="auto"/>
        </w:rPr>
        <w:t>, provided that such Genentech Licensee</w:t>
      </w:r>
    </w:p>
    <w:p>
      <w:pPr>
        <w:spacing w:after="0" w:line="46" w:lineRule="exact"/>
        <w:rPr>
          <w:sz w:val="20"/>
          <w:szCs w:val="20"/>
          <w:color w:val="auto"/>
        </w:rPr>
      </w:pPr>
    </w:p>
    <w:p>
      <w:pPr>
        <w:ind w:right="60" w:firstLine="8"/>
        <w:spacing w:after="0" w:line="253" w:lineRule="auto"/>
        <w:tabs>
          <w:tab w:leader="none" w:pos="21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is not, on the effective date of such termination, in breach of any provisions of its sublicense agreement that materially affect ACI; (ii) agrees, in a subsequent writing, to perform and deliver directly to ACI all obligations and payments that would be due to ACI under this Agreement with respect to matters within the scope of such sublicense; and (iii) agrees, in a subsequent writing, that, regardless of Genentech’s rights and obligations to such Genentech Licensee under such sublicense, ACI’s rights and obligations to such Genentech Licensee shall be no different than ACI’s rights and obligations to Genentech under this Agreement</w:t>
      </w:r>
    </w:p>
    <w:p>
      <w:pPr>
        <w:spacing w:after="0" w:line="191"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 xml:space="preserve">9.3.2 Upon termination by Genentech pursuant to </w:t>
      </w:r>
      <w:r>
        <w:rPr>
          <w:rFonts w:ascii="Arial" w:cs="Arial" w:eastAsia="Arial" w:hAnsi="Arial"/>
          <w:sz w:val="16"/>
          <w:szCs w:val="16"/>
          <w:u w:val="single" w:color="auto"/>
          <w:color w:val="auto"/>
        </w:rPr>
        <w:t>Section 9.2.1</w:t>
      </w:r>
      <w:r>
        <w:rPr>
          <w:rFonts w:ascii="Arial" w:cs="Arial" w:eastAsia="Arial" w:hAnsi="Arial"/>
          <w:sz w:val="16"/>
          <w:szCs w:val="16"/>
          <w:color w:val="auto"/>
        </w:rPr>
        <w:t xml:space="preserve"> for material breach by ACI, </w:t>
      </w:r>
      <w:r>
        <w:rPr>
          <w:rFonts w:ascii="Arial" w:cs="Arial" w:eastAsia="Arial" w:hAnsi="Arial"/>
          <w:sz w:val="16"/>
          <w:szCs w:val="16"/>
          <w:u w:val="single" w:color="auto"/>
          <w:color w:val="auto"/>
        </w:rPr>
        <w:t>Section 9.2.2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9.2.4</w:t>
      </w:r>
      <w:r>
        <w:rPr>
          <w:rFonts w:ascii="Arial" w:cs="Arial" w:eastAsia="Arial" w:hAnsi="Arial"/>
          <w:sz w:val="16"/>
          <w:szCs w:val="16"/>
          <w:color w:val="auto"/>
        </w:rPr>
        <w:t xml:space="preserve">, Genentech may elect, in its sole discretion, to terminate this Agreement in its entirety or to partially terminate this Agreement in accordance with the terms of </w:t>
      </w:r>
      <w:r>
        <w:rPr>
          <w:rFonts w:ascii="Arial" w:cs="Arial" w:eastAsia="Arial" w:hAnsi="Arial"/>
          <w:sz w:val="16"/>
          <w:szCs w:val="16"/>
          <w:u w:val="single" w:color="auto"/>
          <w:color w:val="auto"/>
        </w:rPr>
        <w:t>Section 9.3.2 (a)</w:t>
      </w:r>
      <w:r>
        <w:rPr>
          <w:rFonts w:ascii="Arial" w:cs="Arial" w:eastAsia="Arial" w:hAnsi="Arial"/>
          <w:sz w:val="16"/>
          <w:szCs w:val="16"/>
          <w:color w:val="auto"/>
        </w:rPr>
        <w:t>.</w:t>
      </w:r>
    </w:p>
    <w:p>
      <w:pPr>
        <w:spacing w:after="0" w:line="124" w:lineRule="exact"/>
        <w:rPr>
          <w:sz w:val="20"/>
          <w:szCs w:val="20"/>
          <w:color w:val="auto"/>
        </w:rPr>
      </w:pPr>
    </w:p>
    <w:p>
      <w:pPr>
        <w:ind w:right="80" w:firstLine="1492"/>
        <w:spacing w:after="0" w:line="297" w:lineRule="auto"/>
        <w:tabs>
          <w:tab w:leader="none" w:pos="1728"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Partial Termination</w:t>
      </w:r>
      <w:r>
        <w:rPr>
          <w:rFonts w:ascii="Arial" w:cs="Arial" w:eastAsia="Arial" w:hAnsi="Arial"/>
          <w:sz w:val="16"/>
          <w:szCs w:val="16"/>
          <w:color w:val="auto"/>
        </w:rPr>
        <w:t xml:space="preserve">. Upon Genentech’s election to partially terminate this Agreement, (i) all rights and licenses granted to ACI under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immediately terminate, (ii) the rights and obligations of the Parties under the following sections of this Agreement shall survive such termination: </w:t>
      </w:r>
      <w:r>
        <w:rPr>
          <w:rFonts w:ascii="Arial" w:cs="Arial" w:eastAsia="Arial" w:hAnsi="Arial"/>
          <w:sz w:val="16"/>
          <w:szCs w:val="16"/>
          <w:u w:val="single" w:color="auto"/>
          <w:color w:val="auto"/>
        </w:rPr>
        <w:t>Articles 3</w:t>
      </w:r>
      <w:r>
        <w:rPr>
          <w:rFonts w:ascii="Arial" w:cs="Arial" w:eastAsia="Arial" w:hAnsi="Arial"/>
          <w:sz w:val="16"/>
          <w:szCs w:val="16"/>
          <w:color w:val="auto"/>
        </w:rPr>
        <w:t xml:space="preserve"> (except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(except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(except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(except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w:t>
      </w:r>
      <w:r>
        <w:rPr>
          <w:rFonts w:ascii="Arial" w:cs="Arial" w:eastAsia="Arial" w:hAnsi="Arial"/>
          <w:sz w:val="16"/>
          <w:szCs w:val="16"/>
          <w:u w:val="single" w:color="auto"/>
          <w:color w:val="auto"/>
        </w:rPr>
        <w:t>7, 8, 9, 10 11, 12</w:t>
      </w:r>
      <w:r>
        <w:rPr>
          <w:rFonts w:ascii="Arial" w:cs="Arial" w:eastAsia="Arial" w:hAnsi="Arial"/>
          <w:sz w:val="16"/>
          <w:szCs w:val="16"/>
          <w:color w:val="auto"/>
        </w:rPr>
        <w:t>, 13, and 14, but in all cases the surviving provisions shall be interpreted to exclude the subject matter of non-surviving terms, and (iii) all Genentech Confidential Information, data and materials provided to ACI under this Agreement shall be returned to Genentech or destroyed, at Genentech’s option.</w:t>
      </w:r>
    </w:p>
    <w:p>
      <w:pPr>
        <w:spacing w:after="0" w:line="158" w:lineRule="exact"/>
        <w:rPr>
          <w:rFonts w:ascii="Arial" w:cs="Arial" w:eastAsia="Arial" w:hAnsi="Arial"/>
          <w:sz w:val="16"/>
          <w:szCs w:val="16"/>
          <w:color w:val="auto"/>
        </w:rPr>
      </w:pPr>
    </w:p>
    <w:p>
      <w:pPr>
        <w:ind w:right="80" w:firstLine="1492"/>
        <w:spacing w:after="0" w:line="284" w:lineRule="auto"/>
        <w:tabs>
          <w:tab w:leader="none" w:pos="1738"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Partial Termination Upon Specific Breach Events</w:t>
      </w:r>
      <w:r>
        <w:rPr>
          <w:rFonts w:ascii="Arial" w:cs="Arial" w:eastAsia="Arial" w:hAnsi="Arial"/>
          <w:sz w:val="16"/>
          <w:szCs w:val="16"/>
          <w:color w:val="auto"/>
        </w:rPr>
        <w:t xml:space="preserve">. In the case that the ACI breach that gave rise to a partial termination of this Agreement in accordance with </w:t>
      </w:r>
      <w:r>
        <w:rPr>
          <w:rFonts w:ascii="Arial" w:cs="Arial" w:eastAsia="Arial" w:hAnsi="Arial"/>
          <w:sz w:val="16"/>
          <w:szCs w:val="16"/>
          <w:u w:val="single" w:color="auto"/>
          <w:color w:val="auto"/>
        </w:rPr>
        <w:t>Section 9.3.2(a</w:t>
      </w:r>
      <w:r>
        <w:rPr>
          <w:rFonts w:ascii="Arial" w:cs="Arial" w:eastAsia="Arial" w:hAnsi="Arial"/>
          <w:sz w:val="16"/>
          <w:szCs w:val="16"/>
          <w:color w:val="auto"/>
        </w:rPr>
        <w:t xml:space="preserve">) was a breach of any of the following provisions: </w:t>
      </w:r>
      <w:r>
        <w:rPr>
          <w:rFonts w:ascii="Arial" w:cs="Arial" w:eastAsia="Arial" w:hAnsi="Arial"/>
          <w:sz w:val="16"/>
          <w:szCs w:val="16"/>
          <w:u w:val="single" w:color="auto"/>
          <w:color w:val="auto"/>
        </w:rPr>
        <w:t>Sections 2.3.2</w:t>
      </w:r>
      <w:r>
        <w:rPr>
          <w:rFonts w:ascii="Arial" w:cs="Arial" w:eastAsia="Arial" w:hAnsi="Arial"/>
          <w:sz w:val="16"/>
          <w:szCs w:val="16"/>
          <w:color w:val="auto"/>
        </w:rPr>
        <w:t xml:space="preserve"> (except to the extent that the breach of the provision by ACI is based on the unavailability of biological material due to a scientific or technical obstacle, i.e., destruction of a cell line, not caused by the gross negligence or willful misconduct of ACI), </w:t>
      </w:r>
      <w:r>
        <w:rPr>
          <w:rFonts w:ascii="Arial" w:cs="Arial" w:eastAsia="Arial" w:hAnsi="Arial"/>
          <w:sz w:val="16"/>
          <w:szCs w:val="16"/>
          <w:u w:val="single" w:color="auto"/>
          <w:color w:val="auto"/>
        </w:rPr>
        <w:t>3.1.1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4.3.1</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 (except Section 10.1.1(e))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then, (i) the surviving provision set forth in </w:t>
      </w:r>
      <w:r>
        <w:rPr>
          <w:rFonts w:ascii="Arial" w:cs="Arial" w:eastAsia="Arial" w:hAnsi="Arial"/>
          <w:sz w:val="16"/>
          <w:szCs w:val="16"/>
          <w:u w:val="single" w:color="auto"/>
          <w:color w:val="auto"/>
        </w:rPr>
        <w:t>Section 9.3.2(a)</w:t>
      </w:r>
      <w:r>
        <w:rPr>
          <w:rFonts w:ascii="Arial" w:cs="Arial" w:eastAsia="Arial" w:hAnsi="Arial"/>
          <w:sz w:val="16"/>
          <w:szCs w:val="16"/>
          <w:color w:val="auto"/>
        </w:rPr>
        <w:t xml:space="preserve"> shall be modified to provide that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will not survive such partial termination; (ii) upon the First Commercial Sale of a Licensed Product by Genentech, the payments made by Genentech under </w:t>
      </w:r>
      <w:r>
        <w:rPr>
          <w:rFonts w:ascii="Arial" w:cs="Arial" w:eastAsia="Arial" w:hAnsi="Arial"/>
          <w:sz w:val="16"/>
          <w:szCs w:val="16"/>
          <w:u w:val="single" w:color="auto"/>
          <w:color w:val="auto"/>
        </w:rPr>
        <w:t>Sections 5.3 and 5.4</w:t>
      </w:r>
      <w:r>
        <w:rPr>
          <w:rFonts w:ascii="Arial" w:cs="Arial" w:eastAsia="Arial" w:hAnsi="Arial"/>
          <w:sz w:val="16"/>
          <w:szCs w:val="16"/>
          <w:color w:val="auto"/>
        </w:rPr>
        <w:t xml:space="preserve"> shall be creditable against royalty payments due to ACI under </w:t>
      </w:r>
      <w:r>
        <w:rPr>
          <w:rFonts w:ascii="Arial" w:cs="Arial" w:eastAsia="Arial" w:hAnsi="Arial"/>
          <w:sz w:val="16"/>
          <w:szCs w:val="16"/>
          <w:u w:val="single" w:color="auto"/>
          <w:color w:val="auto"/>
        </w:rPr>
        <w:t>Sections</w:t>
      </w:r>
    </w:p>
    <w:p>
      <w:pPr>
        <w:spacing w:after="0" w:line="4"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5.5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5.6</w:t>
      </w:r>
      <w:r>
        <w:rPr>
          <w:rFonts w:ascii="Arial" w:cs="Arial" w:eastAsia="Arial" w:hAnsi="Arial"/>
          <w:sz w:val="18"/>
          <w:szCs w:val="18"/>
          <w:color w:val="auto"/>
        </w:rPr>
        <w:t xml:space="preserve"> subject to clause (c)(i) of this </w:t>
      </w:r>
      <w:r>
        <w:rPr>
          <w:rFonts w:ascii="Arial" w:cs="Arial" w:eastAsia="Arial" w:hAnsi="Arial"/>
          <w:sz w:val="18"/>
          <w:szCs w:val="18"/>
          <w:u w:val="single" w:color="auto"/>
          <w:color w:val="auto"/>
        </w:rPr>
        <w:t>Section 9.3.2</w:t>
      </w:r>
      <w:r>
        <w:rPr>
          <w:rFonts w:ascii="Arial" w:cs="Arial" w:eastAsia="Arial" w:hAnsi="Arial"/>
          <w:sz w:val="18"/>
          <w:szCs w:val="18"/>
          <w:color w:val="auto"/>
        </w:rPr>
        <w:t xml:space="preserve">: and (iii) Genentech shall have no obligation to pay royalties on Net Sales of Licensed Product under </w:t>
      </w:r>
      <w:r>
        <w:rPr>
          <w:rFonts w:ascii="Arial" w:cs="Arial" w:eastAsia="Arial" w:hAnsi="Arial"/>
          <w:sz w:val="18"/>
          <w:szCs w:val="18"/>
          <w:u w:val="single" w:color="auto"/>
          <w:color w:val="auto"/>
        </w:rPr>
        <w:t>Sections 5.5.3 or 5.6.2</w:t>
      </w:r>
      <w:r>
        <w:rPr>
          <w:rFonts w:ascii="Arial" w:cs="Arial" w:eastAsia="Arial" w:hAnsi="Arial"/>
          <w:sz w:val="18"/>
          <w:szCs w:val="18"/>
          <w:color w:val="auto"/>
        </w:rPr>
        <w:t xml:space="preserve">, subject to clause (c)(ii) of this </w:t>
      </w:r>
      <w:r>
        <w:rPr>
          <w:rFonts w:ascii="Arial" w:cs="Arial" w:eastAsia="Arial" w:hAnsi="Arial"/>
          <w:sz w:val="18"/>
          <w:szCs w:val="18"/>
          <w:u w:val="single" w:color="auto"/>
          <w:color w:val="auto"/>
        </w:rPr>
        <w:t>Section 9.3.2</w:t>
      </w:r>
      <w:r>
        <w:rPr>
          <w:rFonts w:ascii="Arial" w:cs="Arial" w:eastAsia="Arial" w:hAnsi="Arial"/>
          <w:sz w:val="18"/>
          <w:szCs w:val="18"/>
          <w:color w:val="auto"/>
        </w:rPr>
        <w:t>.</w:t>
      </w:r>
    </w:p>
    <w:p>
      <w:pPr>
        <w:spacing w:after="0" w:line="183" w:lineRule="exact"/>
        <w:rPr>
          <w:rFonts w:ascii="Arial" w:cs="Arial" w:eastAsia="Arial" w:hAnsi="Arial"/>
          <w:sz w:val="16"/>
          <w:szCs w:val="16"/>
          <w:color w:val="auto"/>
        </w:rPr>
      </w:pPr>
    </w:p>
    <w:p>
      <w:pPr>
        <w:ind w:right="220" w:firstLine="1492"/>
        <w:spacing w:after="0" w:line="277" w:lineRule="auto"/>
        <w:tabs>
          <w:tab w:leader="none" w:pos="172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Upon the First Commercial Sale of a Licensed Product by Genentech, ACI may initiate an arbitration procedure under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for the limited determinations described in the following clauses (i) and (ii), in both cases where ACI has the burden of proof.</w:t>
      </w:r>
    </w:p>
    <w:p>
      <w:pPr>
        <w:spacing w:after="0" w:line="170" w:lineRule="exact"/>
        <w:rPr>
          <w:rFonts w:ascii="Arial" w:cs="Arial" w:eastAsia="Arial" w:hAnsi="Arial"/>
          <w:sz w:val="18"/>
          <w:szCs w:val="18"/>
          <w:color w:val="auto"/>
        </w:rPr>
      </w:pPr>
    </w:p>
    <w:p>
      <w:pPr>
        <w:ind w:right="80" w:firstLine="1948"/>
        <w:spacing w:after="0" w:line="312" w:lineRule="auto"/>
        <w:tabs>
          <w:tab w:leader="none" w:pos="2155" w:val="left"/>
        </w:tabs>
        <w:numPr>
          <w:ilvl w:val="1"/>
          <w:numId w:val="315"/>
        </w:numPr>
        <w:rPr>
          <w:rFonts w:ascii="Arial" w:cs="Arial" w:eastAsia="Arial" w:hAnsi="Arial"/>
          <w:sz w:val="16"/>
          <w:szCs w:val="16"/>
          <w:color w:val="auto"/>
        </w:rPr>
      </w:pPr>
      <w:r>
        <w:rPr>
          <w:rFonts w:ascii="Arial" w:cs="Arial" w:eastAsia="Arial" w:hAnsi="Arial"/>
          <w:sz w:val="16"/>
          <w:szCs w:val="16"/>
          <w:u w:val="single" w:color="auto"/>
          <w:color w:val="auto"/>
        </w:rPr>
        <w:t>Milestone Offsets</w:t>
      </w:r>
      <w:r>
        <w:rPr>
          <w:rFonts w:ascii="Arial" w:cs="Arial" w:eastAsia="Arial" w:hAnsi="Arial"/>
          <w:sz w:val="16"/>
          <w:szCs w:val="16"/>
          <w:color w:val="auto"/>
        </w:rPr>
        <w:t xml:space="preserve">. If ACI establishes that the total damage amount suffered by Genentech resulting from ACI’s material breach that was the basis of Genentech’s partial termination under </w:t>
      </w:r>
      <w:r>
        <w:rPr>
          <w:rFonts w:ascii="Arial" w:cs="Arial" w:eastAsia="Arial" w:hAnsi="Arial"/>
          <w:sz w:val="16"/>
          <w:szCs w:val="16"/>
          <w:u w:val="single" w:color="auto"/>
          <w:color w:val="auto"/>
        </w:rPr>
        <w:t>Section 9.3.2(b</w:t>
      </w:r>
      <w:r>
        <w:rPr>
          <w:rFonts w:ascii="Arial" w:cs="Arial" w:eastAsia="Arial" w:hAnsi="Arial"/>
          <w:sz w:val="16"/>
          <w:szCs w:val="16"/>
          <w:color w:val="auto"/>
        </w:rPr>
        <w:t xml:space="preserve">) were less than the total of the milestone payments made to ACI under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5.3 and 5.4</w:t>
      </w:r>
      <w:r>
        <w:rPr>
          <w:rFonts w:ascii="Arial" w:cs="Arial" w:eastAsia="Arial" w:hAnsi="Arial"/>
          <w:sz w:val="16"/>
          <w:szCs w:val="16"/>
          <w:color w:val="auto"/>
        </w:rPr>
        <w:t xml:space="preserve">, then Genentech shall only be entitled to credit such total damage amount against royalty payments due to ACI under </w:t>
      </w:r>
      <w:r>
        <w:rPr>
          <w:rFonts w:ascii="Arial" w:cs="Arial" w:eastAsia="Arial" w:hAnsi="Arial"/>
          <w:sz w:val="16"/>
          <w:szCs w:val="16"/>
          <w:u w:val="single" w:color="auto"/>
          <w:color w:val="auto"/>
        </w:rPr>
        <w:t>Sections 5.5 and 5.6</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40" w:firstLine="1948"/>
        <w:spacing w:after="0" w:line="259" w:lineRule="auto"/>
        <w:tabs>
          <w:tab w:leader="none" w:pos="2205"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Royalty</w:t>
      </w:r>
      <w:r>
        <w:rPr>
          <w:rFonts w:ascii="Arial" w:cs="Arial" w:eastAsia="Arial" w:hAnsi="Arial"/>
          <w:sz w:val="18"/>
          <w:szCs w:val="18"/>
          <w:color w:val="auto"/>
        </w:rPr>
        <w:t xml:space="preserve">. If ACI establishes that the material breach that was the basis of Genentech’s partial termination under </w:t>
      </w:r>
      <w:r>
        <w:rPr>
          <w:rFonts w:ascii="Arial" w:cs="Arial" w:eastAsia="Arial" w:hAnsi="Arial"/>
          <w:sz w:val="18"/>
          <w:szCs w:val="18"/>
          <w:u w:val="single" w:color="auto"/>
          <w:color w:val="auto"/>
        </w:rPr>
        <w:t>Section 9.3.2(b</w:t>
      </w:r>
      <w:r>
        <w:rPr>
          <w:rFonts w:ascii="Arial" w:cs="Arial" w:eastAsia="Arial" w:hAnsi="Arial"/>
          <w:sz w:val="18"/>
          <w:szCs w:val="18"/>
          <w:color w:val="auto"/>
        </w:rPr>
        <w:t xml:space="preserve">) did not have a material adverse effect on the value on the scope, validity or enforceability of the ACI IP Rights or the market exclusivity granted by such rights, in each case in the Genentech Field, then notwithstanding clause (iii) of </w:t>
      </w:r>
      <w:r>
        <w:rPr>
          <w:rFonts w:ascii="Arial" w:cs="Arial" w:eastAsia="Arial" w:hAnsi="Arial"/>
          <w:sz w:val="18"/>
          <w:szCs w:val="18"/>
          <w:u w:val="single" w:color="auto"/>
          <w:color w:val="auto"/>
        </w:rPr>
        <w:t>Section 9.3.2(b)</w:t>
      </w:r>
      <w:r>
        <w:rPr>
          <w:rFonts w:ascii="Arial" w:cs="Arial" w:eastAsia="Arial" w:hAnsi="Arial"/>
          <w:sz w:val="18"/>
          <w:szCs w:val="18"/>
          <w:color w:val="auto"/>
        </w:rPr>
        <w:t xml:space="preserve">, Genentech’s obligation to pay royalties to ACI in accordance with </w:t>
      </w:r>
      <w:r>
        <w:rPr>
          <w:rFonts w:ascii="Arial" w:cs="Arial" w:eastAsia="Arial" w:hAnsi="Arial"/>
          <w:sz w:val="18"/>
          <w:szCs w:val="18"/>
          <w:u w:val="single" w:color="auto"/>
          <w:color w:val="auto"/>
        </w:rPr>
        <w:t>Sections 5.5.3 or 5.6.2</w:t>
      </w:r>
      <w:r>
        <w:rPr>
          <w:rFonts w:ascii="Arial" w:cs="Arial" w:eastAsia="Arial" w:hAnsi="Arial"/>
          <w:sz w:val="18"/>
          <w:szCs w:val="18"/>
          <w:color w:val="auto"/>
        </w:rPr>
        <w:t xml:space="preserve"> shall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-3190240</wp:posOffset>
            </wp:positionV>
            <wp:extent cx="5080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27 of 42</w:t>
            </w:r>
          </w:p>
        </w:tc>
      </w:tr>
    </w:tbl>
    <w:p>
      <w:pPr>
        <w:sectPr>
          <w:pgSz w:w="11900" w:h="16838" w:orient="portrait"/>
          <w:cols w:equalWidth="0" w:num="1">
            <w:col w:w="11420"/>
          </w:cols>
          <w:pgMar w:left="240" w:top="270" w:right="239" w:bottom="1440" w:gutter="0" w:footer="0" w:header="0"/>
        </w:sectPr>
      </w:pPr>
    </w:p>
    <w:bookmarkStart w:id="385" w:name="page386"/>
    <w:bookmarkEnd w:id="3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9.3.3 Termination or expiration of this Agreement, through any means and for any reason, shall not relieve the Parties of any obligation accruing prior thereto, including the payment of all sums due and payable, and shall be without prejudice to the rights and remedies of either Party with respect to any antecedent breach of any of the provisions of this Agreement.</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Termination Royalties</w:t>
      </w:r>
      <w:r>
        <w:rPr>
          <w:rFonts w:ascii="Arial" w:cs="Arial" w:eastAsia="Arial" w:hAnsi="Arial"/>
          <w:sz w:val="18"/>
          <w:szCs w:val="18"/>
          <w:color w:val="auto"/>
        </w:rPr>
        <w:t xml:space="preserve">. Subsequent to termination as described in </w:t>
      </w:r>
      <w:r>
        <w:rPr>
          <w:rFonts w:ascii="Arial" w:cs="Arial" w:eastAsia="Arial" w:hAnsi="Arial"/>
          <w:sz w:val="18"/>
          <w:szCs w:val="18"/>
          <w:u w:val="single" w:color="auto"/>
          <w:color w:val="auto"/>
        </w:rPr>
        <w:t>Section 9.3.1</w:t>
      </w:r>
      <w:r>
        <w:rPr>
          <w:rFonts w:ascii="Arial" w:cs="Arial" w:eastAsia="Arial" w:hAnsi="Arial"/>
          <w:sz w:val="18"/>
          <w:szCs w:val="18"/>
          <w:color w:val="auto"/>
        </w:rPr>
        <w:t xml:space="preserve"> and in consideration of the data and information provided to ACI by Genentech thereunder, in each calendar quarter in which ACI records Net Sales of a Termination Product, ACI shall pay to Genentech, on a Termination Product-by-Termination Product and country-by-country basis, an amount equal 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9.4.1 [*****] of annual Net Sales of Termination Products that are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9.4.2 [*****] of annual Net Sales of Termination Products that are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9.4.3 [*****] of annual Net Sales of Termination Products that are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9.4.4 [*****] of annual Net Sales of Termination Products that are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9.4.5 [*****] of annual Net Sales of Termination Products that are [*****]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9.4.6 [*****] of annual Net Sales of Termination Products that are [*****]</w:t>
      </w:r>
    </w:p>
    <w:p>
      <w:pPr>
        <w:spacing w:after="0" w:line="22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9.4.7 For Net Sales of Termination Products not Covered by a Valid Patent Claim within the Genentech IP Rights in the country of sale, a royalty equal to [*****] of the applicable royalty that would otherwise be payable under </w:t>
      </w:r>
      <w:r>
        <w:rPr>
          <w:rFonts w:ascii="Arial" w:cs="Arial" w:eastAsia="Arial" w:hAnsi="Arial"/>
          <w:sz w:val="16"/>
          <w:szCs w:val="16"/>
          <w:u w:val="single" w:color="auto"/>
          <w:color w:val="auto"/>
        </w:rPr>
        <w:t>Sections 9.4.1-9.4.6</w:t>
      </w:r>
      <w:r>
        <w:rPr>
          <w:rFonts w:ascii="Arial" w:cs="Arial" w:eastAsia="Arial" w:hAnsi="Arial"/>
          <w:sz w:val="16"/>
          <w:szCs w:val="16"/>
          <w:color w:val="auto"/>
        </w:rPr>
        <w:t xml:space="preserve">, provided, however, that royalty payment obligations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shall terminate upon the date that is [*****] years from the date of First Commercial Sale of the applicable Termination Product in a country. For the sake of clarity, royalties paid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shall be mutually exclusive of royalties to be paid under </w:t>
      </w:r>
      <w:r>
        <w:rPr>
          <w:rFonts w:ascii="Arial" w:cs="Arial" w:eastAsia="Arial" w:hAnsi="Arial"/>
          <w:sz w:val="16"/>
          <w:szCs w:val="16"/>
          <w:u w:val="single" w:color="auto"/>
          <w:color w:val="auto"/>
        </w:rPr>
        <w:t>Sections 9.4.1-9.4.6</w:t>
      </w:r>
      <w:r>
        <w:rPr>
          <w:rFonts w:ascii="Arial" w:cs="Arial" w:eastAsia="Arial" w:hAnsi="Arial"/>
          <w:sz w:val="16"/>
          <w:szCs w:val="16"/>
          <w:color w:val="auto"/>
        </w:rPr>
        <w:t xml:space="preserve">; in no event shall royalties be paid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on Net Sales of Termination Products Covered by a Valid Patent Claim of the Genentech IP Rights.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In addition to as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otherwise explicitly set forth in this Agreement, </w:t>
      </w:r>
      <w:r>
        <w:rPr>
          <w:rFonts w:ascii="Arial" w:cs="Arial" w:eastAsia="Arial" w:hAnsi="Arial"/>
          <w:sz w:val="16"/>
          <w:szCs w:val="16"/>
          <w:u w:val="single" w:color="auto"/>
          <w:color w:val="auto"/>
        </w:rPr>
        <w:t>Articles 1</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11, 12 and 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7.2,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7.3, 9.3, 9.4, 9.5 and 10.3</w:t>
      </w:r>
      <w:r>
        <w:rPr>
          <w:rFonts w:ascii="Arial" w:cs="Arial" w:eastAsia="Arial" w:hAnsi="Arial"/>
          <w:sz w:val="18"/>
          <w:szCs w:val="18"/>
          <w:color w:val="auto"/>
        </w:rPr>
        <w:t xml:space="preserve">, and, as applicable,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shall survive expiration or termination of this Agreement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28 of 42</w:t>
            </w:r>
          </w:p>
        </w:tc>
      </w:tr>
    </w:tbl>
    <w:p>
      <w:pPr>
        <w:sectPr>
          <w:pgSz w:w="11900" w:h="16838" w:orient="portrait"/>
          <w:cols w:equalWidth="0" w:num="1">
            <w:col w:w="11420"/>
          </w:cols>
          <w:pgMar w:left="240" w:top="269" w:right="239" w:bottom="1440" w:gutter="0" w:footer="0" w:header="0"/>
        </w:sectPr>
      </w:pPr>
    </w:p>
    <w:bookmarkStart w:id="386" w:name="page387"/>
    <w:bookmarkEnd w:id="3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ARTICLE 10: REPRESENTATIVE AMD WARRANTIES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ACI Representations</w:t>
      </w:r>
      <w:r>
        <w:rPr>
          <w:rFonts w:ascii="Arial" w:cs="Arial" w:eastAsia="Arial" w:hAnsi="Arial"/>
          <w:sz w:val="18"/>
          <w:szCs w:val="18"/>
          <w:color w:val="auto"/>
        </w:rPr>
        <w:t>. ACI hereby represents and warrants to Genentech that: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As of the Effective Date, ACI represents that:</w:t>
      </w:r>
    </w:p>
    <w:p>
      <w:pPr>
        <w:spacing w:after="0" w:line="225" w:lineRule="exact"/>
        <w:rPr>
          <w:sz w:val="20"/>
          <w:szCs w:val="20"/>
          <w:color w:val="auto"/>
        </w:rPr>
      </w:pPr>
    </w:p>
    <w:p>
      <w:pPr>
        <w:ind w:right="20" w:firstLine="1492"/>
        <w:spacing w:after="0" w:line="277" w:lineRule="auto"/>
        <w:tabs>
          <w:tab w:leader="none" w:pos="172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ACI has the full right, power and authority, and has obtained all approvals, permits or consents necessary, to enter into this Agreement and to perform all of its obligations and to grant the licenses provided hereunder.</w:t>
      </w:r>
    </w:p>
    <w:p>
      <w:pPr>
        <w:spacing w:after="0" w:line="170" w:lineRule="exact"/>
        <w:rPr>
          <w:rFonts w:ascii="Arial" w:cs="Arial" w:eastAsia="Arial" w:hAnsi="Arial"/>
          <w:sz w:val="18"/>
          <w:szCs w:val="18"/>
          <w:color w:val="auto"/>
        </w:rPr>
      </w:pPr>
    </w:p>
    <w:p>
      <w:pPr>
        <w:ind w:right="60" w:firstLine="1492"/>
        <w:spacing w:after="0" w:line="308" w:lineRule="auto"/>
        <w:tabs>
          <w:tab w:leader="none" w:pos="1738" w:val="left"/>
        </w:tabs>
        <w:numPr>
          <w:ilvl w:val="0"/>
          <w:numId w:val="316"/>
        </w:numPr>
        <w:rPr>
          <w:rFonts w:ascii="Arial" w:cs="Arial" w:eastAsia="Arial" w:hAnsi="Arial"/>
          <w:sz w:val="17"/>
          <w:szCs w:val="17"/>
          <w:color w:val="auto"/>
        </w:rPr>
      </w:pPr>
      <w:r>
        <w:rPr>
          <w:rFonts w:ascii="Arial" w:cs="Arial" w:eastAsia="Arial" w:hAnsi="Arial"/>
          <w:sz w:val="17"/>
          <w:szCs w:val="17"/>
          <w:color w:val="auto"/>
        </w:rPr>
        <w:t>No claims of infringement, misappropriation or other conflict with any intellectual property rights or other rights owned or controlled by any Third Party have been made or, to ACI’s knowledge, threatened with respect to the ACI IP Rights existing as of the Effective Date.</w:t>
      </w:r>
    </w:p>
    <w:p>
      <w:pPr>
        <w:spacing w:after="0" w:line="146" w:lineRule="exact"/>
        <w:rPr>
          <w:rFonts w:ascii="Arial" w:cs="Arial" w:eastAsia="Arial" w:hAnsi="Arial"/>
          <w:sz w:val="17"/>
          <w:szCs w:val="17"/>
          <w:color w:val="auto"/>
        </w:rPr>
      </w:pPr>
    </w:p>
    <w:p>
      <w:pPr>
        <w:ind w:firstLine="1492"/>
        <w:spacing w:after="0" w:line="276" w:lineRule="auto"/>
        <w:tabs>
          <w:tab w:leader="none" w:pos="1728" w:val="left"/>
        </w:tabs>
        <w:numPr>
          <w:ilvl w:val="0"/>
          <w:numId w:val="316"/>
        </w:numPr>
        <w:rPr>
          <w:rFonts w:ascii="Arial" w:cs="Arial" w:eastAsia="Arial" w:hAnsi="Arial"/>
          <w:sz w:val="17"/>
          <w:szCs w:val="17"/>
          <w:color w:val="auto"/>
        </w:rPr>
      </w:pPr>
      <w:r>
        <w:rPr>
          <w:rFonts w:ascii="Arial" w:cs="Arial" w:eastAsia="Arial" w:hAnsi="Arial"/>
          <w:sz w:val="17"/>
          <w:szCs w:val="17"/>
          <w:color w:val="auto"/>
        </w:rPr>
        <w:t>None of the ACI IP Rights existing as of the Effective Date is subject to any outstanding injunction, judgment, order, ruling, or charge, and no claim or action is pending or, to ACI’s knowledge, threatened which challenges the legality, validity, enforceability, use, or ownership of any such ACI IP Rights, and ACI is not aware of any facts or circumstances that indicate a likelihood of the foregoing. As of the Effective Date, no loss or expiration of any of the ACI IP Rights is threatened, pending, or reasonably foreseeable, except for patents expiring at the end of their statutory terms (and not as a result of any act or omission by ACI, including a failure to pay any required maintenance fees).</w:t>
      </w:r>
    </w:p>
    <w:p>
      <w:pPr>
        <w:spacing w:after="0" w:line="172" w:lineRule="exact"/>
        <w:rPr>
          <w:rFonts w:ascii="Arial" w:cs="Arial" w:eastAsia="Arial" w:hAnsi="Arial"/>
          <w:sz w:val="17"/>
          <w:szCs w:val="17"/>
          <w:color w:val="auto"/>
        </w:rPr>
      </w:pPr>
    </w:p>
    <w:p>
      <w:pPr>
        <w:ind w:firstLine="1492"/>
        <w:spacing w:after="0" w:line="277" w:lineRule="auto"/>
        <w:tabs>
          <w:tab w:leader="none" w:pos="173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ACI is not aware (without having made any specific inquiry) of any infringement or misappropriation of the ACI IP Rights existing as of the Effective Date by any Third Party.</w:t>
      </w:r>
    </w:p>
    <w:p>
      <w:pPr>
        <w:spacing w:after="0" w:line="170" w:lineRule="exact"/>
        <w:rPr>
          <w:rFonts w:ascii="Arial" w:cs="Arial" w:eastAsia="Arial" w:hAnsi="Arial"/>
          <w:sz w:val="18"/>
          <w:szCs w:val="18"/>
          <w:color w:val="auto"/>
        </w:rPr>
      </w:pPr>
    </w:p>
    <w:p>
      <w:pPr>
        <w:ind w:right="340" w:firstLine="1492"/>
        <w:spacing w:after="0" w:line="259" w:lineRule="auto"/>
        <w:tabs>
          <w:tab w:leader="none" w:pos="171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ACI has, up through and including the Effective Date, made available to or provided Genentech with copies of all material information and, as requested in writing by Genentech, with copies of all books, records and data, in each case with respect to the ACI IP Rights and ACI Antibodies, provided that this clause (e) is exclusive of information that was excluded from disclosure under Paragraph 3 of the Mutual Confidentiality Agreement between the Parties dated July 27, 2006, as amended.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10.1.2 ACI hereby represents and warrants to Genentech that as of the Effective Date and through out the Term:</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ACI is the sole and exclusive owner of the ACE IP Rights existing as of the Effective Date free and clear of any liens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encumbrances.</w:t>
      </w:r>
    </w:p>
    <w:p>
      <w:pPr>
        <w:spacing w:after="0" w:line="211" w:lineRule="exact"/>
        <w:rPr>
          <w:sz w:val="20"/>
          <w:szCs w:val="20"/>
          <w:color w:val="auto"/>
        </w:rPr>
      </w:pPr>
    </w:p>
    <w:p>
      <w:pPr>
        <w:ind w:right="40" w:firstLine="1492"/>
        <w:spacing w:after="0" w:line="264" w:lineRule="auto"/>
        <w:tabs>
          <w:tab w:leader="none" w:pos="173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ACI has not, prior to the Effective Date, entered into and shall not, following the Effective Date, enter into any agreement and has not granted any now existing, or agreed to grant any future, license, right or privilege which would adversely affect the rights and licenses granted by ACI to Genentech pursuant to this Agreement.</w:t>
      </w:r>
    </w:p>
    <w:p>
      <w:pPr>
        <w:spacing w:after="0" w:line="181" w:lineRule="exact"/>
        <w:rPr>
          <w:rFonts w:ascii="Arial" w:cs="Arial" w:eastAsia="Arial" w:hAnsi="Arial"/>
          <w:sz w:val="18"/>
          <w:szCs w:val="18"/>
          <w:color w:val="auto"/>
        </w:rPr>
      </w:pPr>
    </w:p>
    <w:p>
      <w:pPr>
        <w:ind w:right="40" w:firstLine="1492"/>
        <w:spacing w:after="0" w:line="286" w:lineRule="auto"/>
        <w:tabs>
          <w:tab w:leader="none" w:pos="1728"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intellectual property rights licensed by ACI to Genentech pursuant to this Agreement constitute all Patents, Know-How and other intellectual property rights that are owned or Controlled by ACI or its Affiliates and that (i) relate to Licensed Products and [*****] or (ii) are conceived, reduced to practice or otherwise created by ACI during the conduct of or in connection with activities under the Research Program.</w:t>
      </w:r>
    </w:p>
    <w:p>
      <w:pPr>
        <w:spacing w:after="0" w:line="165" w:lineRule="exact"/>
        <w:rPr>
          <w:rFonts w:ascii="Arial" w:cs="Arial" w:eastAsia="Arial" w:hAnsi="Arial"/>
          <w:sz w:val="17"/>
          <w:szCs w:val="17"/>
          <w:color w:val="auto"/>
        </w:rPr>
      </w:pPr>
    </w:p>
    <w:p>
      <w:pPr>
        <w:ind w:right="600" w:firstLine="1492"/>
        <w:spacing w:after="0" w:line="264" w:lineRule="auto"/>
        <w:tabs>
          <w:tab w:leader="none" w:pos="173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ACI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29 of 42</w:t>
            </w:r>
          </w:p>
        </w:tc>
      </w:tr>
    </w:tbl>
    <w:p>
      <w:pPr>
        <w:sectPr>
          <w:pgSz w:w="11900" w:h="16838" w:orient="portrait"/>
          <w:cols w:equalWidth="0" w:num="1">
            <w:col w:w="11420"/>
          </w:cols>
          <w:pgMar w:left="240" w:top="270" w:right="239" w:bottom="1440" w:gutter="0" w:footer="0" w:header="0"/>
        </w:sectPr>
      </w:pPr>
    </w:p>
    <w:bookmarkStart w:id="387" w:name="page388"/>
    <w:bookmarkEnd w:id="3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agents to assign to it any and all inventions and discoveries discovered by such employees, consultants and/or agents made within the scope of, and during their employment, and only disclosing proprietary and confidential information to Third Parties pursuant to written confidentiality and non-disclosure agreements.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Genentech Representations</w:t>
      </w:r>
      <w:r>
        <w:rPr>
          <w:rFonts w:ascii="Arial" w:cs="Arial" w:eastAsia="Arial" w:hAnsi="Arial"/>
          <w:sz w:val="18"/>
          <w:szCs w:val="18"/>
          <w:color w:val="auto"/>
        </w:rPr>
        <w:t>. Genentech hereby represents and warrants the following to ACI:</w:t>
      </w:r>
    </w:p>
    <w:p>
      <w:pPr>
        <w:spacing w:after="0" w:line="225"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10.2.1 Genentech has the full right, power and authority, and have obtained all approvals, permits or consents necessary, to enter into this Agreement and to perform all of its obligations hereunder.</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10.2.2 Genentech has not, prior to the Effective Date, entered into and shall not, following the Effective Date, enter into any agreement that conflicts in any way with this Agreement or Genentech’s obligations hereunder.</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10.2.3 Genentech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 and agents to assign to it any and all inventions and discoveries discovered by such employees, consultants and/or agents made within the scope of, and during their employment, and only disclosing proprietary and confidential information to Third Parties pursuant to written confidentiality and non-disclosure agreements.</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DISCLAIMER</w:t>
      </w:r>
      <w:r>
        <w:rPr>
          <w:rFonts w:ascii="Arial" w:cs="Arial" w:eastAsia="Arial" w:hAnsi="Arial"/>
          <w:sz w:val="17"/>
          <w:szCs w:val="17"/>
          <w:color w:val="auto"/>
        </w:rPr>
        <w:t xml:space="preserve">. THE WARRANTIES SET FORTH IN </w:t>
      </w:r>
      <w:r>
        <w:rPr>
          <w:rFonts w:ascii="Arial" w:cs="Arial" w:eastAsia="Arial" w:hAnsi="Arial"/>
          <w:sz w:val="17"/>
          <w:szCs w:val="17"/>
          <w:u w:val="single" w:color="auto"/>
          <w:color w:val="auto"/>
        </w:rPr>
        <w:t>SECTIONS 10.1 AND 10.2</w:t>
      </w:r>
      <w:r>
        <w:rPr>
          <w:rFonts w:ascii="Arial" w:cs="Arial" w:eastAsia="Arial" w:hAnsi="Arial"/>
          <w:sz w:val="17"/>
          <w:szCs w:val="17"/>
          <w:color w:val="auto"/>
        </w:rPr>
        <w:t xml:space="preserve"> ARE IN LIEU OF ALL OTHER WARRANTIES, EXPRESS OR IMPLIED, INCLUDING BUT NOT LIMITED TO, THE IMPLIED WARRANTIES OF MERCHANTABILITY OR FITNESS FOR A PARTICULAR PURPOSE, VALIDITY, NON-INFRINGEMENT AND ALL SUCH OTHER WARRANTIES ARE HEREBY EXPRESSLY DISCLAIMED.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INDEMNIFICATION</w:t>
      </w:r>
    </w:p>
    <w:p>
      <w:pPr>
        <w:spacing w:after="0" w:line="229"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Indemnification by ACI</w:t>
      </w:r>
      <w:r>
        <w:rPr>
          <w:rFonts w:ascii="Arial" w:cs="Arial" w:eastAsia="Arial" w:hAnsi="Arial"/>
          <w:sz w:val="18"/>
          <w:szCs w:val="18"/>
          <w:color w:val="auto"/>
        </w:rPr>
        <w:t>. ACI shalt defend, indemnify and hold harmless Genentech and its Affiliates and Genentech Licensees and their respective officers, directors, employees and agents from and against any and all Third Party liabilities, claims, suits, and expenses, including reasonable attorneys’ fees (collectively, “</w:t>
      </w:r>
      <w:r>
        <w:rPr>
          <w:rFonts w:ascii="Arial" w:cs="Arial" w:eastAsia="Arial" w:hAnsi="Arial"/>
          <w:sz w:val="18"/>
          <w:szCs w:val="18"/>
          <w:u w:val="single" w:color="auto"/>
          <w:color w:val="auto"/>
        </w:rPr>
        <w:t>Losses</w:t>
      </w: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to the extent arising out of or attributable to (i) the inaccuracy or breach of any representation or warranty made by ACI under this Agreement, or (ii) the negligence or willful misconduct of ACI, its Affiliates or ACI Licensees, or their respective officers, directors or employees.</w:t>
      </w:r>
    </w:p>
    <w:p>
      <w:pPr>
        <w:spacing w:after="0" w:line="18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Indemnification by Genentech</w:t>
      </w:r>
      <w:r>
        <w:rPr>
          <w:rFonts w:ascii="Arial" w:cs="Arial" w:eastAsia="Arial" w:hAnsi="Arial"/>
          <w:sz w:val="18"/>
          <w:szCs w:val="18"/>
          <w:color w:val="auto"/>
        </w:rPr>
        <w:t>. Genentech shall defend, indemnify and hold harmless ACI its Affiliates and their respective officers, directors, employees and agents from and against any and all Losses, to the extent arising out of or attributable to (i) the inaccuracy or breach of any representation or warranty made by Genentech under this Agreement, or (ii) the development, marketing, approval, manufacture, packaging, labeling, handling, storage, transportation, use, distribution, promotion, marketing or sale of Licensed Products by Genentech; in each case except to the extent that such Losses are subject to indemnification pursuant to Section 11.1.</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The indemnities set forth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are subject to the condition that the Party seeking the indemnity shall forthwith notify the indemnifying Party on being notified or otherwise made aware of a liability, claim, suit, action or expense and that the indemnifying Party defend and control any proceedings with the other Party being permitted to participate at its own expense (unless there shall be a conflict of interest which would prevent representation by joint counsel, in which event the indemnifying Party shall pay for the other Party’s counsel); provided, that, the indemnifying Party may not settle the liability, claim, suit, action or expense, or otherwise consent to any judgment, without the written consent of the other Party (such consent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30 of 42</w:t>
            </w:r>
          </w:p>
        </w:tc>
      </w:tr>
    </w:tbl>
    <w:p>
      <w:pPr>
        <w:sectPr>
          <w:pgSz w:w="11900" w:h="16838" w:orient="portrait"/>
          <w:cols w:equalWidth="0" w:num="1">
            <w:col w:w="11420"/>
          </w:cols>
          <w:pgMar w:left="240" w:top="269" w:right="239" w:bottom="1440" w:gutter="0" w:footer="0" w:header="0"/>
        </w:sectPr>
      </w:pPr>
    </w:p>
    <w:bookmarkStart w:id="388" w:name="page389"/>
    <w:bookmarkEnd w:id="3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FINAL EXECUTION DOCUMENT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11.4.1 </w:t>
      </w:r>
      <w:r>
        <w:rPr>
          <w:rFonts w:ascii="Arial" w:cs="Arial" w:eastAsia="Arial" w:hAnsi="Arial"/>
          <w:sz w:val="18"/>
          <w:szCs w:val="18"/>
          <w:u w:val="single" w:color="auto"/>
          <w:color w:val="auto"/>
        </w:rPr>
        <w:t>Coverage</w:t>
      </w:r>
      <w:r>
        <w:rPr>
          <w:rFonts w:ascii="Arial" w:cs="Arial" w:eastAsia="Arial" w:hAnsi="Arial"/>
          <w:sz w:val="18"/>
          <w:szCs w:val="18"/>
          <w:color w:val="auto"/>
        </w:rPr>
        <w:t xml:space="preserve">. Each Party shall maintain, at its own cost, the insurance coverages set forth in this </w:t>
      </w:r>
      <w:r>
        <w:rPr>
          <w:rFonts w:ascii="Arial" w:cs="Arial" w:eastAsia="Arial" w:hAnsi="Arial"/>
          <w:sz w:val="18"/>
          <w:szCs w:val="18"/>
          <w:u w:val="single" w:color="auto"/>
          <w:color w:val="auto"/>
        </w:rPr>
        <w:t>Section 11.4</w:t>
      </w:r>
      <w:r>
        <w:rPr>
          <w:rFonts w:ascii="Arial" w:cs="Arial" w:eastAsia="Arial" w:hAnsi="Arial"/>
          <w:sz w:val="18"/>
          <w:szCs w:val="18"/>
          <w:color w:val="auto"/>
        </w:rPr>
        <w:t>; provided, however, Genentech has the right, in its sole discretion, to self-insure in part or in whole for any such coverage.</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11.4.2 </w:t>
      </w:r>
      <w:r>
        <w:rPr>
          <w:rFonts w:ascii="Arial" w:cs="Arial" w:eastAsia="Arial" w:hAnsi="Arial"/>
          <w:sz w:val="18"/>
          <w:szCs w:val="18"/>
          <w:u w:val="single" w:color="auto"/>
          <w:color w:val="auto"/>
        </w:rPr>
        <w:t>ACI</w:t>
      </w:r>
      <w:r>
        <w:rPr>
          <w:rFonts w:ascii="Arial" w:cs="Arial" w:eastAsia="Arial" w:hAnsi="Arial"/>
          <w:sz w:val="18"/>
          <w:szCs w:val="18"/>
          <w:color w:val="auto"/>
        </w:rPr>
        <w:t>. ACI shall have and maintain such type and amounts of Third Party Liability, Commercial General Liability (including contractual liability) and Products Liability insurance as is both (i) required under the laws of Switzerland and (ii) otherwise normal and customary in the biotechnology industry generally for parties similarly situated.</w:t>
      </w:r>
    </w:p>
    <w:p>
      <w:pPr>
        <w:spacing w:after="0" w:line="181"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 xml:space="preserve">11.4.3 </w:t>
      </w:r>
      <w:r>
        <w:rPr>
          <w:rFonts w:ascii="Arial" w:cs="Arial" w:eastAsia="Arial" w:hAnsi="Arial"/>
          <w:sz w:val="17"/>
          <w:szCs w:val="17"/>
          <w:u w:val="single" w:color="auto"/>
          <w:color w:val="auto"/>
        </w:rPr>
        <w:t>Genentech</w:t>
      </w:r>
      <w:r>
        <w:rPr>
          <w:rFonts w:ascii="Arial" w:cs="Arial" w:eastAsia="Arial" w:hAnsi="Arial"/>
          <w:sz w:val="17"/>
          <w:szCs w:val="17"/>
          <w:color w:val="auto"/>
        </w:rPr>
        <w:t>. Genentech shall maintain on an ongoing basis coverage for Products Liability and Completed Operations including coverage for Clinical Trials, in the minimum amount of [*****] per occurrence, combined single limit for bodily injury and property damage liability.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11.4.4 </w:t>
      </w:r>
      <w:r>
        <w:rPr>
          <w:rFonts w:ascii="Arial" w:cs="Arial" w:eastAsia="Arial" w:hAnsi="Arial"/>
          <w:sz w:val="16"/>
          <w:szCs w:val="16"/>
          <w:u w:val="single" w:color="auto"/>
          <w:color w:val="auto"/>
        </w:rPr>
        <w:t>Additional Requirements</w:t>
      </w:r>
      <w:r>
        <w:rPr>
          <w:rFonts w:ascii="Arial" w:cs="Arial" w:eastAsia="Arial" w:hAnsi="Arial"/>
          <w:sz w:val="16"/>
          <w:szCs w:val="16"/>
          <w:color w:val="auto"/>
        </w:rPr>
        <w:t xml:space="preserve">. Except to the extent that Genentech self-insures as authorized under </w:t>
      </w:r>
      <w:r>
        <w:rPr>
          <w:rFonts w:ascii="Arial" w:cs="Arial" w:eastAsia="Arial" w:hAnsi="Arial"/>
          <w:sz w:val="16"/>
          <w:szCs w:val="16"/>
          <w:u w:val="single" w:color="auto"/>
          <w:color w:val="auto"/>
        </w:rPr>
        <w:t>Section 11.4.1</w:t>
      </w:r>
      <w:r>
        <w:rPr>
          <w:rFonts w:ascii="Arial" w:cs="Arial" w:eastAsia="Arial" w:hAnsi="Arial"/>
          <w:sz w:val="16"/>
          <w:szCs w:val="16"/>
          <w:color w:val="auto"/>
        </w:rPr>
        <w:t>, the following provisions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apply:</w:t>
      </w:r>
    </w:p>
    <w:p>
      <w:pPr>
        <w:spacing w:after="0" w:line="211" w:lineRule="exact"/>
        <w:rPr>
          <w:sz w:val="20"/>
          <w:szCs w:val="20"/>
          <w:color w:val="auto"/>
        </w:rPr>
      </w:pPr>
    </w:p>
    <w:p>
      <w:pPr>
        <w:ind w:right="120" w:firstLine="1492"/>
        <w:spacing w:after="0" w:line="277" w:lineRule="auto"/>
        <w:tabs>
          <w:tab w:leader="none" w:pos="172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All insurance coverages shall be primary insurance with respect to each Party’s own participation under this Agreement, and shall be maintained with an insurance company or companies having an A.M. Best’s rating (or its equivalent) of A-XII or better.</w:t>
      </w:r>
    </w:p>
    <w:p>
      <w:pPr>
        <w:spacing w:after="0" w:line="170" w:lineRule="exact"/>
        <w:rPr>
          <w:rFonts w:ascii="Arial" w:cs="Arial" w:eastAsia="Arial" w:hAnsi="Arial"/>
          <w:sz w:val="18"/>
          <w:szCs w:val="18"/>
          <w:color w:val="auto"/>
        </w:rPr>
      </w:pPr>
    </w:p>
    <w:p>
      <w:pPr>
        <w:ind w:right="140" w:firstLine="1492"/>
        <w:spacing w:after="0" w:line="277" w:lineRule="auto"/>
        <w:tabs>
          <w:tab w:leader="none" w:pos="173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Such Party shall maintain the insurance coverage for at least [*****] years following such Party’s completing the performance of its obligations under this Agreement.</w:t>
      </w:r>
    </w:p>
    <w:p>
      <w:pPr>
        <w:spacing w:after="0" w:line="170" w:lineRule="exact"/>
        <w:rPr>
          <w:rFonts w:ascii="Arial" w:cs="Arial" w:eastAsia="Arial" w:hAnsi="Arial"/>
          <w:sz w:val="18"/>
          <w:szCs w:val="18"/>
          <w:color w:val="auto"/>
        </w:rPr>
      </w:pPr>
    </w:p>
    <w:p>
      <w:pPr>
        <w:jc w:val="both"/>
        <w:ind w:right="440" w:firstLine="1492"/>
        <w:spacing w:after="0" w:line="279" w:lineRule="auto"/>
        <w:tabs>
          <w:tab w:leader="none" w:pos="1728"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Upon request by the other Party, each Party shall provide to the other Party its respective certificates of insurance evidencing the insurance coverages set forth in </w:t>
      </w:r>
      <w:r>
        <w:rPr>
          <w:rFonts w:ascii="Arial" w:cs="Arial" w:eastAsia="Arial" w:hAnsi="Arial"/>
          <w:sz w:val="17"/>
          <w:szCs w:val="17"/>
          <w:u w:val="single" w:color="auto"/>
          <w:color w:val="auto"/>
        </w:rPr>
        <w:t>Section 11.4.1</w:t>
      </w:r>
      <w:r>
        <w:rPr>
          <w:rFonts w:ascii="Arial" w:cs="Arial" w:eastAsia="Arial" w:hAnsi="Arial"/>
          <w:sz w:val="17"/>
          <w:szCs w:val="17"/>
          <w:color w:val="auto"/>
        </w:rPr>
        <w:t>. Each Party shall provide to the other Party at least [*****] days prior written notice of any cancellation, nonrenewal or material change in any of the insurance coverages. Each Party shall, upon receipt of written request from the other Party, provide renewal certificates to the other Party for as long as such Party is required to maintain insurance coverages hereunder.</w:t>
      </w:r>
    </w:p>
    <w:p>
      <w:pPr>
        <w:spacing w:after="0" w:line="171"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LIMITATION ON DAMAGES</w:t>
      </w:r>
      <w:r>
        <w:rPr>
          <w:rFonts w:ascii="Arial" w:cs="Arial" w:eastAsia="Arial" w:hAnsi="Arial"/>
          <w:sz w:val="17"/>
          <w:szCs w:val="17"/>
          <w:color w:val="auto"/>
        </w:rPr>
        <w:t>. NOTWITHSTANDING ANYTHING CONTAINED IN THIS AGREEMENT TO THE CONTRARY, IN NO EVENT SHALL EITHER PARTY BE LIABLE TO THE OTHER HEREUNDER FOR ANY SPECIAL, CONSEQUENTIAL OR INCIDENTAL DAMAGES (INCLUDING LOSS OF PROFITS) WHETHER BASED UPON BREACH OF WARRANTY, BREACH OF CONTRACT, NEGLIGENCE, STRICT TORT OR ANY OTHER LEGAL THEORY. THE FOREGOING LIMITATIONS WILL NOT APPLY TO AN AWARD OF ENHANCED DAMAGES AVAILABLE UNDER THE PATENT LAWS FOR WILLFUL PATENT INFRINGEMENT AND WILL NOT LIMIT EITHER PARTY’S LIABILITY TO THE OTHER PARTY UNDER ARTICLES 11 (INDEMNIFICATION) AND 12 (CONFIDENTIALITY) OF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CONFIDENTIALITY</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of this Agreement and for [*****] thereafter without regard to the means of termination: (i) ACI shall not use, for any purpose other than the purpose of this Agreement, or reveal or disclose to any Third Party Genentech Confidential Information or Program Confidential Information; and (ii) Genentech shall not use, for any purpose other than the purpose of this Agreement, or reveal or disclose to any Third Party ACI Confidential Information or Program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31 of 42</w:t>
            </w:r>
          </w:p>
        </w:tc>
      </w:tr>
    </w:tbl>
    <w:p>
      <w:pPr>
        <w:sectPr>
          <w:pgSz w:w="11900" w:h="16838" w:orient="portrait"/>
          <w:cols w:equalWidth="0" w:num="1">
            <w:col w:w="11420"/>
          </w:cols>
          <w:pgMar w:left="240" w:top="270" w:right="239" w:bottom="1440" w:gutter="0" w:footer="0" w:header="0"/>
        </w:sectPr>
      </w:pPr>
    </w:p>
    <w:bookmarkStart w:id="389" w:name="page390"/>
    <w:bookmarkEnd w:id="3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Information. The Parties shall take reasonable measures to assure that no unauthorized use or disclosure is made by others to whom access to such information is granted.</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Exceptions</w:t>
      </w:r>
      <w:r>
        <w:rPr>
          <w:rFonts w:ascii="Arial" w:cs="Arial" w:eastAsia="Arial" w:hAnsi="Arial"/>
          <w:sz w:val="18"/>
          <w:szCs w:val="18"/>
          <w:color w:val="auto"/>
        </w:rPr>
        <w:t>. Notwithstanding the foregoing, a Party may use and disclose Confidential Information (including any Genentech Confidential Information, ACI Confidential Information or Program Confidential Information) as follows:</w:t>
      </w:r>
    </w:p>
    <w:p>
      <w:pPr>
        <w:spacing w:after="0" w:line="76" w:lineRule="exact"/>
        <w:rPr>
          <w:sz w:val="20"/>
          <w:szCs w:val="20"/>
          <w:color w:val="auto"/>
        </w:rPr>
      </w:pPr>
    </w:p>
    <w:p>
      <w:pPr>
        <w:ind w:left="1480" w:right="180" w:hanging="567"/>
        <w:spacing w:after="0" w:line="286" w:lineRule="auto"/>
        <w:tabs>
          <w:tab w:leader="none" w:pos="148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if required by applicable law, rule, regulation, government requirement and/or court order; provided, that, the disclosing Party promptly notifies the other Party of its notice of any such requirement and provides the other Party a reasonable opportunity to seek a protective order or other appropriate remedy and/or to waive compliance with the provisions of this Agreement;</w:t>
      </w:r>
    </w:p>
    <w:p>
      <w:pPr>
        <w:spacing w:after="0" w:line="70" w:lineRule="exact"/>
        <w:rPr>
          <w:rFonts w:ascii="Arial" w:cs="Arial" w:eastAsia="Arial" w:hAnsi="Arial"/>
          <w:sz w:val="17"/>
          <w:szCs w:val="17"/>
          <w:color w:val="auto"/>
        </w:rPr>
      </w:pPr>
    </w:p>
    <w:p>
      <w:pPr>
        <w:ind w:left="1480" w:hanging="567"/>
        <w:spacing w:after="0"/>
        <w:tabs>
          <w:tab w:leader="none" w:pos="14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to the extent such use and disclosure occurs in the filing or publication of any patent application or patent on inventions;</w:t>
      </w:r>
    </w:p>
    <w:p>
      <w:pPr>
        <w:spacing w:after="0" w:line="130" w:lineRule="exact"/>
        <w:rPr>
          <w:rFonts w:ascii="Arial" w:cs="Arial" w:eastAsia="Arial" w:hAnsi="Arial"/>
          <w:sz w:val="18"/>
          <w:szCs w:val="18"/>
          <w:color w:val="auto"/>
        </w:rPr>
      </w:pPr>
    </w:p>
    <w:p>
      <w:pPr>
        <w:ind w:left="1480" w:right="100" w:hanging="567"/>
        <w:spacing w:after="0" w:line="264" w:lineRule="auto"/>
        <w:tabs>
          <w:tab w:leader="none" w:pos="14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as necessary or desirable for securing any regulatory approvals, including pricing approvals, for any Licensed Products; provided, that, the disclosing Party shall take all reasonable steps to limit disclosure of the Confidential Information outside such regulatory agency and to otherwise maintain the confidentiality of the Confidential Information;</w:t>
      </w:r>
    </w:p>
    <w:p>
      <w:pPr>
        <w:spacing w:after="0" w:line="86" w:lineRule="exact"/>
        <w:rPr>
          <w:rFonts w:ascii="Arial" w:cs="Arial" w:eastAsia="Arial" w:hAnsi="Arial"/>
          <w:sz w:val="18"/>
          <w:szCs w:val="18"/>
          <w:color w:val="auto"/>
        </w:rPr>
      </w:pPr>
    </w:p>
    <w:p>
      <w:pPr>
        <w:ind w:left="1480" w:right="180" w:hanging="567"/>
        <w:spacing w:after="0" w:line="277" w:lineRule="auto"/>
        <w:tabs>
          <w:tab w:leader="none" w:pos="14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to take any lawful action that it deems necessary to protect its interest under, or to enforce compliance with the terms and conditions of, this Agreement; and</w:t>
      </w:r>
    </w:p>
    <w:p>
      <w:pPr>
        <w:spacing w:after="0" w:line="75" w:lineRule="exact"/>
        <w:rPr>
          <w:rFonts w:ascii="Arial" w:cs="Arial" w:eastAsia="Arial" w:hAnsi="Arial"/>
          <w:sz w:val="18"/>
          <w:szCs w:val="18"/>
          <w:color w:val="auto"/>
        </w:rPr>
      </w:pPr>
    </w:p>
    <w:p>
      <w:pPr>
        <w:ind w:left="1480" w:right="120" w:hanging="567"/>
        <w:spacing w:after="0" w:line="259" w:lineRule="auto"/>
        <w:tabs>
          <w:tab w:leader="none" w:pos="14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to the extent necessary, to its Affiliates, directors, officers, employees, consultants, Genentech Licensees or ACI Licensees (as applicable), vendors and clinicians under written agreements of confidentiality at least as restrictive as those set forth in this Agreement, who have a need to know such information in connection with such Party performing its obligations or exercising its rights under this Agreement.</w:t>
      </w:r>
    </w:p>
    <w:p>
      <w:pPr>
        <w:spacing w:after="0" w:line="18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Certain Obligations</w:t>
      </w:r>
      <w:r>
        <w:rPr>
          <w:rFonts w:ascii="Arial" w:cs="Arial" w:eastAsia="Arial" w:hAnsi="Arial"/>
          <w:sz w:val="18"/>
          <w:szCs w:val="18"/>
          <w:color w:val="auto"/>
        </w:rPr>
        <w:t xml:space="preserve">. During the term of this Agreement and for a period of [*****] years thereafter and subject to the exceptions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 Genentech, with respect to ACI Confidential Information, and ACI, with respect to Genentech Confidential Information and Program Confidential Information, agree:</w:t>
      </w:r>
    </w:p>
    <w:p>
      <w:pPr>
        <w:spacing w:after="0" w:line="87" w:lineRule="exact"/>
        <w:rPr>
          <w:sz w:val="20"/>
          <w:szCs w:val="20"/>
          <w:color w:val="auto"/>
        </w:rPr>
      </w:pPr>
    </w:p>
    <w:p>
      <w:pPr>
        <w:ind w:left="1480" w:hanging="567"/>
        <w:spacing w:after="0"/>
        <w:tabs>
          <w:tab w:leader="none" w:pos="14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use such Confidential Information only for the purposes contemplated under this Agreement,</w:t>
      </w:r>
    </w:p>
    <w:p>
      <w:pPr>
        <w:spacing w:after="0" w:line="130" w:lineRule="exact"/>
        <w:rPr>
          <w:rFonts w:ascii="Arial" w:cs="Arial" w:eastAsia="Arial" w:hAnsi="Arial"/>
          <w:sz w:val="18"/>
          <w:szCs w:val="18"/>
          <w:color w:val="auto"/>
        </w:rPr>
      </w:pPr>
    </w:p>
    <w:p>
      <w:pPr>
        <w:ind w:left="1480" w:right="520" w:hanging="567"/>
        <w:spacing w:after="0" w:line="277" w:lineRule="auto"/>
        <w:tabs>
          <w:tab w:leader="none" w:pos="14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treat such Confidential Information as it would its own proprietary information which in no event shall be less than a reasonable standard of care,</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take reasonable precautions to prevent the disclosure of such Confidential Information to a Third Party without written consent of the other Party, and</w:t>
      </w:r>
    </w:p>
    <w:p>
      <w:pPr>
        <w:spacing w:after="0" w:line="75" w:lineRule="exact"/>
        <w:rPr>
          <w:rFonts w:ascii="Arial" w:cs="Arial" w:eastAsia="Arial" w:hAnsi="Arial"/>
          <w:sz w:val="18"/>
          <w:szCs w:val="18"/>
          <w:color w:val="auto"/>
        </w:rPr>
      </w:pPr>
    </w:p>
    <w:p>
      <w:pPr>
        <w:jc w:val="both"/>
        <w:ind w:left="1480" w:right="340" w:hanging="567"/>
        <w:spacing w:after="0" w:line="264" w:lineRule="auto"/>
        <w:tabs>
          <w:tab w:leader="none" w:pos="14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only disclose such Confidential Information to those employees, agents and Third Party contractors who have a need to know such Confidential Information for the purposes set forth herein and who are subject to obligations of confidentiality no less restrictive than those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32 of 42</w:t>
            </w:r>
          </w:p>
        </w:tc>
      </w:tr>
    </w:tbl>
    <w:p>
      <w:pPr>
        <w:sectPr>
          <w:pgSz w:w="11900" w:h="16838" w:orient="portrait"/>
          <w:cols w:equalWidth="0" w:num="1">
            <w:col w:w="11420"/>
          </w:cols>
          <w:pgMar w:left="240" w:top="270" w:right="239" w:bottom="1440" w:gutter="0" w:footer="0" w:header="0"/>
        </w:sectPr>
      </w:pPr>
    </w:p>
    <w:bookmarkStart w:id="390" w:name="page391"/>
    <w:bookmarkEnd w:id="3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Disclosures and Public Announcements</w:t>
      </w:r>
      <w:r>
        <w:rPr>
          <w:rFonts w:ascii="Arial" w:cs="Arial" w:eastAsia="Arial" w:hAnsi="Arial"/>
          <w:sz w:val="18"/>
          <w:szCs w:val="18"/>
          <w:color w:val="auto"/>
        </w:rPr>
        <w:t>. Neither Party shall issue any press release or other publicity materials, or make any public presentation with respect to the existence of, or any of the terms or conditions of, this Agreement or the programs or efforts being conducted by the other Party hereunder, in each case without the prior written consent of the other Party. This restriction shall not apply to:</w:t>
      </w:r>
    </w:p>
    <w:p>
      <w:pPr>
        <w:spacing w:after="0" w:line="87" w:lineRule="exact"/>
        <w:rPr>
          <w:sz w:val="20"/>
          <w:szCs w:val="20"/>
          <w:color w:val="auto"/>
        </w:rPr>
      </w:pPr>
    </w:p>
    <w:p>
      <w:pPr>
        <w:ind w:left="1480" w:right="800" w:hanging="567"/>
        <w:spacing w:after="0" w:line="277" w:lineRule="auto"/>
        <w:tabs>
          <w:tab w:leader="none" w:pos="14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disclosures to a Party’s attorneys, advisors or investors on a need to know basis under circumstances that reasonably ensure the confidentiality thereof, and</w:t>
      </w:r>
    </w:p>
    <w:p>
      <w:pPr>
        <w:spacing w:after="0" w:line="75" w:lineRule="exact"/>
        <w:rPr>
          <w:rFonts w:ascii="Arial" w:cs="Arial" w:eastAsia="Arial" w:hAnsi="Arial"/>
          <w:sz w:val="18"/>
          <w:szCs w:val="18"/>
          <w:color w:val="auto"/>
        </w:rPr>
      </w:pPr>
    </w:p>
    <w:p>
      <w:pPr>
        <w:ind w:left="1480" w:right="280" w:hanging="567"/>
        <w:spacing w:after="0" w:line="279" w:lineRule="auto"/>
        <w:tabs>
          <w:tab w:leader="none" w:pos="148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any future disclosures required by law or regulation, including as may be required in connection with any filings made with, or by the disclosure policies of a major stock exchange; provided that the disclosing Party (i) use all reasonable efforts to inform the other Party prior to making any such disclosures and cooperate with the other Party in seeking a protective order or other appropriate remedy (including redaction) and (ii) whenever possible, request confidential treatment of such information.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Scientific Publications</w:t>
      </w:r>
      <w:r>
        <w:rPr>
          <w:rFonts w:ascii="Arial" w:cs="Arial" w:eastAsia="Arial" w:hAnsi="Arial"/>
          <w:sz w:val="18"/>
          <w:szCs w:val="18"/>
          <w:color w:val="auto"/>
        </w:rPr>
        <w:t>.</w:t>
      </w:r>
    </w:p>
    <w:p>
      <w:pPr>
        <w:spacing w:after="0" w:line="117" w:lineRule="exact"/>
        <w:rPr>
          <w:sz w:val="20"/>
          <w:szCs w:val="20"/>
          <w:color w:val="auto"/>
        </w:rPr>
      </w:pPr>
    </w:p>
    <w:p>
      <w:pPr>
        <w:ind w:right="120" w:firstLine="913"/>
        <w:spacing w:after="0" w:line="269" w:lineRule="auto"/>
        <w:rPr>
          <w:sz w:val="20"/>
          <w:szCs w:val="20"/>
          <w:color w:val="auto"/>
        </w:rPr>
      </w:pPr>
      <w:r>
        <w:rPr>
          <w:rFonts w:ascii="Arial" w:cs="Arial" w:eastAsia="Arial" w:hAnsi="Arial"/>
          <w:sz w:val="17"/>
          <w:szCs w:val="17"/>
          <w:color w:val="auto"/>
        </w:rPr>
        <w:t>12.5.1 If ACI, including its employees, agents, collaborators or consultants, wishes to make a scientific or technical publication, presentation and/or other related oral disclosure related to ACI IP Rights and Program IP Rights, ACI shall deliver to Genentech a copy of the proposed written publication or an outline of the proposed presentation or oral disclosure at least [*****] days prior to submission for publication, presentation and/or other oral disclosure. Genentech may then (a) request (within [*****] days of the delivery of the publication or outline) modifications to the publication or outline for patent reasons or business reasons, and ACI shall make such modifications, (b) delete (within [*****] days of the delivery of the publication or outline) any trade secrets or Confidential Information of Genentech included in that publication or outline, and/or (c) request (within [*****] days of the delivery of the publication or outline) a reasonable delay of no more than [*****] days from the date such delay is requested by Genentech in publication, presentation and/or other oral disclosure to protect know-how and patentable subject matter. In the event that the ACI does not receive any response from Genentech with respect to the ACI’s proposed written publication or outline of the proposed presentation or oral disclosure within [*****] days of the delivery of the publication or outline, subject to the terms of this Agreement, ACI shall be free to publish, present or otherwise orally disclose the information contained in such publication or outline.</w:t>
      </w:r>
    </w:p>
    <w:p>
      <w:pPr>
        <w:spacing w:after="0" w:line="18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12.5.2 If Genentech, including its employees, agents or consultants, wishes to make a scientific or technical publication, presentation and/or other related oral disclosure related to ACI IP Rights, Genentech shall deliver to ACI a copy of the proposed written publication or an outline of the proposed presentation or oral disclosure at least [*****] days prior to submission for publication, presentation and/or other oral disclosure. ACI may then (a) request (within [*****] days of the delivery of the publication or outline) modifications to the publication or outline for patent reasons, and Genentech shall make such modifications, (b) delete (within [*****] days of the delivery of the publication or outline) any trade secrets or Confidential Information of ACI included in that publication or outline, and/or (c) request (within [*****] days of the delivery of the publication or outline) a reasonable delay of no more than [*****] days from the date such delay is requested by ACI in publication, presentation and/or other oral disclosure to protect know-how and patentable subject matter. In the event that Genentech does not receive any response from ACI with respect to Genentech’s proposed written publication or outline of the proposed presentation or oral disclosure within [*****] days of the delivery of the publication or outline, subject to the terms of this Agreement, Genentech shall be free to publish, present or otherwise orally disclose the information contained in such publication or outline.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33 of 42</w:t>
            </w:r>
          </w:p>
        </w:tc>
      </w:tr>
    </w:tbl>
    <w:p>
      <w:pPr>
        <w:sectPr>
          <w:pgSz w:w="11900" w:h="16838" w:orient="portrait"/>
          <w:cols w:equalWidth="0" w:num="1">
            <w:col w:w="11420"/>
          </w:cols>
          <w:pgMar w:left="240" w:top="270" w:right="23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Termination Event</w:t>
      </w:r>
      <w:r>
        <w:rPr>
          <w:rFonts w:ascii="Arial" w:cs="Arial" w:eastAsia="Arial" w:hAnsi="Arial"/>
          <w:sz w:val="16"/>
          <w:szCs w:val="16"/>
          <w:color w:val="auto"/>
        </w:rPr>
        <w:t xml:space="preserve">. Upon termination, but not expiration, of this Agreement and upon the request of the disclosing Party, the receiving Party shall promptly return to the disclosing Party or destroy all copies of Confidential Information received from such Party, and shall return or destroy, and document the destruction of, all summaries, abstracts, extracts, or other documents which contain any Confidential Information of the other Party in any form, except that each Party shall be permitted to retain a copy (or copies, as necessary) of such Confidential Information (a) for archival purposes, (b) as required by any law or regulation, (c) in the case of ACI, for purposes of exploiting its rights in any Product Reversion Package provided by Genentech pursuant to </w:t>
      </w:r>
      <w:r>
        <w:rPr>
          <w:rFonts w:ascii="Arial" w:cs="Arial" w:eastAsia="Arial" w:hAnsi="Arial"/>
          <w:sz w:val="16"/>
          <w:szCs w:val="16"/>
          <w:u w:val="single" w:color="auto"/>
          <w:color w:val="auto"/>
        </w:rPr>
        <w:t>Section 9.3.1</w:t>
      </w:r>
      <w:r>
        <w:rPr>
          <w:rFonts w:ascii="Arial" w:cs="Arial" w:eastAsia="Arial" w:hAnsi="Arial"/>
          <w:sz w:val="16"/>
          <w:szCs w:val="16"/>
          <w:color w:val="auto"/>
        </w:rPr>
        <w:t xml:space="preserve"> or (d) in the case of Genentech, for purposes of exploiting its surviving rights pursuant to </w:t>
      </w:r>
      <w:r>
        <w:rPr>
          <w:rFonts w:ascii="Arial" w:cs="Arial" w:eastAsia="Arial" w:hAnsi="Arial"/>
          <w:sz w:val="16"/>
          <w:szCs w:val="16"/>
          <w:u w:val="single" w:color="auto"/>
          <w:color w:val="auto"/>
        </w:rPr>
        <w:t>Section 9.3.2</w:t>
      </w:r>
      <w:r>
        <w:rPr>
          <w:rFonts w:ascii="Arial" w:cs="Arial" w:eastAsia="Arial" w:hAnsi="Arial"/>
          <w:sz w:val="16"/>
          <w:szCs w:val="16"/>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 ARBITRATION</w:t>
      </w:r>
    </w:p>
    <w:p>
      <w:pPr>
        <w:spacing w:after="0" w:line="2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Disputes</w:t>
      </w:r>
      <w:r>
        <w:rPr>
          <w:rFonts w:ascii="Arial" w:cs="Arial" w:eastAsia="Arial" w:hAnsi="Arial"/>
          <w:sz w:val="18"/>
          <w:szCs w:val="18"/>
          <w:color w:val="auto"/>
        </w:rPr>
        <w:t>. This Agreement is made on the basis of mutual confidence, and it is understood that the differences, if any, during the life of this Agreement should freely be discussed between the two Parties. The Parties shall initially attempt in good faith to resolve any significant controversy, claim, or dispute arising out of or relating to this Agreement, or its interpretation, performance, nonperformance or any breach of any respective obligations hereunder (hereinafter collectively referred to as a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through negotiations between senior executives of ACI and Genentech (or their respective designee). If the Dispute is not resolved within [*****] days (or such other period of time mutually agreed upon by the Parties) of commencing such face-to-face negotiations, or if the Party against which a claim has been asserted refuses to attend such negotiations or does not otherwise participate in such negotiations within [*****] days (or such other period of time mutually agreed upon by the Parties) from the date of notice of a Dispute, either Party may, by written notice to the other, invoke the provisions of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9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13.1 and 13.3</w:t>
      </w:r>
      <w:r>
        <w:rPr>
          <w:rFonts w:ascii="Arial" w:cs="Arial" w:eastAsia="Arial" w:hAnsi="Arial"/>
          <w:sz w:val="16"/>
          <w:szCs w:val="16"/>
          <w:color w:val="auto"/>
        </w:rPr>
        <w:t>, the Parties agree to resolve any Dispute exclusively through binding arbitration conducted under the auspices of the International Chamber of Commerce (the “</w:t>
      </w:r>
      <w:r>
        <w:rPr>
          <w:rFonts w:ascii="Arial" w:cs="Arial" w:eastAsia="Arial" w:hAnsi="Arial"/>
          <w:sz w:val="16"/>
          <w:szCs w:val="16"/>
          <w:u w:val="single" w:color="auto"/>
          <w:color w:val="auto"/>
        </w:rPr>
        <w:t>ICC</w:t>
      </w:r>
      <w:r>
        <w:rPr>
          <w:rFonts w:ascii="Arial" w:cs="Arial" w:eastAsia="Arial" w:hAnsi="Arial"/>
          <w:sz w:val="16"/>
          <w:szCs w:val="16"/>
          <w:color w:val="auto"/>
        </w:rPr>
        <w:t>”) pursuant to the Rules of Arbitration of the International Chamber of Commerce then in effect (the “</w:t>
      </w:r>
      <w:r>
        <w:rPr>
          <w:rFonts w:ascii="Arial" w:cs="Arial" w:eastAsia="Arial" w:hAnsi="Arial"/>
          <w:sz w:val="16"/>
          <w:szCs w:val="16"/>
          <w:u w:val="single" w:color="auto"/>
          <w:color w:val="auto"/>
        </w:rPr>
        <w:t>ICC Rules</w:t>
      </w:r>
      <w:r>
        <w:rPr>
          <w:rFonts w:ascii="Arial" w:cs="Arial" w:eastAsia="Arial" w:hAnsi="Arial"/>
          <w:sz w:val="16"/>
          <w:szCs w:val="16"/>
          <w:color w:val="auto"/>
        </w:rPr>
        <w:t xml:space="preserve">”). The arbitration shall be conducted in the English language before [*****] arbitrators appointed in accordance with the ICC Rules; provided that at least one such arbitrator shall have had, by the time of the actual arbitration, at least [*****] years of experience as an attorney and experience in the pharmaceuticals industry so as to better understand the legal, business and scientific issues addressed in the arbitration. Unless otherwise mutually agreed by the Parties, any arbitration hereunder it shall be brought at the location of the Party which first received the notice required under </w:t>
      </w:r>
      <w:r>
        <w:rPr>
          <w:rFonts w:ascii="Arial" w:cs="Arial" w:eastAsia="Arial" w:hAnsi="Arial"/>
          <w:sz w:val="16"/>
          <w:szCs w:val="16"/>
          <w:u w:val="single" w:color="auto"/>
          <w:color w:val="auto"/>
        </w:rPr>
        <w:t>Section 13.1</w:t>
      </w:r>
      <w:r>
        <w:rPr>
          <w:rFonts w:ascii="Arial" w:cs="Arial" w:eastAsia="Arial" w:hAnsi="Arial"/>
          <w:sz w:val="16"/>
          <w:szCs w:val="16"/>
          <w:color w:val="auto"/>
        </w:rPr>
        <w:t>. Unless agreed otherwise by the Parties, the Parties shall have [*****] days from the appointment of the last to be appointed of the [*****] arbitrators to present and/or submit their positions to the arbitrators, and the Parties shall have a hearing before the arbitrators within [*****] business days of such submission. The arbitrators shall hear evidence by each Party and resolve each of the issues identified by the Parties. The arbitrators shall be instructed and required to render a written, binding, non-appealable resolution and award on each issue which clearly states the basis upon which such resolution and award is made. The written resolution and award shall be delivered to the Parties as expeditiously as possible, but in no event more than [*****] days after conclusion of the hearing, unless otherwise agreed to by the Parties. The Parties shall use all reasonable efforts to keep arbitration costs to a minimum. Each Party must bear its own attorneys’ fees and associated costs and expenses, as well as an equal share of the fees and costs incurred by ICC and the arbitrators. The Parties shall use all reasonable efforts to make witnesses available for the proceedings.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Subject Matter Exclusions</w:t>
      </w:r>
      <w:r>
        <w:rPr>
          <w:rFonts w:ascii="Arial" w:cs="Arial" w:eastAsia="Arial" w:hAnsi="Arial"/>
          <w:sz w:val="17"/>
          <w:szCs w:val="17"/>
          <w:color w:val="auto"/>
        </w:rPr>
        <w:t xml:space="preserve">. Notwithstanding the foregoing, the provisions of </w:t>
      </w:r>
      <w:r>
        <w:rPr>
          <w:rFonts w:ascii="Arial" w:cs="Arial" w:eastAsia="Arial" w:hAnsi="Arial"/>
          <w:sz w:val="17"/>
          <w:szCs w:val="17"/>
          <w:u w:val="single" w:color="auto"/>
          <w:color w:val="auto"/>
        </w:rPr>
        <w:t>Sections 13.1 and 13.2</w:t>
      </w:r>
      <w:r>
        <w:rPr>
          <w:rFonts w:ascii="Arial" w:cs="Arial" w:eastAsia="Arial" w:hAnsi="Arial"/>
          <w:sz w:val="17"/>
          <w:szCs w:val="17"/>
          <w:color w:val="auto"/>
        </w:rPr>
        <w:t xml:space="preserve"> shall not apply to any Dispute relating to:</w:t>
      </w:r>
    </w:p>
    <w:p>
      <w:pPr>
        <w:spacing w:after="0" w:line="35" w:lineRule="exact"/>
        <w:rPr>
          <w:sz w:val="20"/>
          <w:szCs w:val="20"/>
          <w:color w:val="auto"/>
        </w:rPr>
      </w:pPr>
    </w:p>
    <w:p>
      <w:pPr>
        <w:ind w:right="140" w:firstLine="8"/>
        <w:spacing w:after="0" w:line="255" w:lineRule="auto"/>
        <w:tabs>
          <w:tab w:leader="none" w:pos="21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any antitrust, anti-monopoly or competition law or regulation, whether or not statutory; or (ii) the determination of validity of claims or claim interpretation relating to a Party’s patents, trademarks or copyright. Notwithstanding anything to the contrary in the foregoing provision of this </w:t>
      </w:r>
      <w:r>
        <w:rPr>
          <w:rFonts w:ascii="Arial" w:cs="Arial" w:eastAsia="Arial" w:hAnsi="Arial"/>
          <w:sz w:val="18"/>
          <w:szCs w:val="18"/>
          <w:u w:val="single" w:color="auto"/>
          <w:color w:val="auto"/>
        </w:rPr>
        <w:t>Section 13.3</w:t>
      </w:r>
      <w:r>
        <w:rPr>
          <w:rFonts w:ascii="Arial" w:cs="Arial" w:eastAsia="Arial" w:hAnsi="Arial"/>
          <w:sz w:val="18"/>
          <w:szCs w:val="18"/>
          <w:color w:val="auto"/>
        </w:rPr>
        <w:t>, any Dispute relating to Genentech and/or its Affiliate(s)’s assertion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34 of 42</w:t>
            </w:r>
          </w:p>
        </w:tc>
      </w:tr>
    </w:tbl>
    <w:p>
      <w:pPr>
        <w:sectPr>
          <w:pgSz w:w="11900" w:h="16838" w:orient="portrait"/>
          <w:cols w:equalWidth="0" w:num="1">
            <w:col w:w="11420"/>
          </w:cols>
          <w:pgMar w:left="240" w:top="270" w:right="239" w:bottom="1440" w:gutter="0" w:footer="0" w:header="0"/>
        </w:sectPr>
      </w:pPr>
    </w:p>
    <w:bookmarkStart w:id="392" w:name="page393"/>
    <w:bookmarkEnd w:id="3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non-infringement of or by any of its activities with respect to ACI IP Rights, including without limitation any assertion by Genentech or its Affiliates that the making, using, selling, offering for sale and importation of any [*****] and/or Licensed Product(s) do not infringe ACI IP Rights (“</w:t>
      </w:r>
      <w:r>
        <w:rPr>
          <w:rFonts w:ascii="Arial" w:cs="Arial" w:eastAsia="Arial" w:hAnsi="Arial"/>
          <w:sz w:val="17"/>
          <w:szCs w:val="17"/>
          <w:u w:val="single" w:color="auto"/>
          <w:color w:val="auto"/>
        </w:rPr>
        <w:t>Patent Infringement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shall be subject to the provisions of </w:t>
      </w:r>
      <w:r>
        <w:rPr>
          <w:rFonts w:ascii="Arial" w:cs="Arial" w:eastAsia="Arial" w:hAnsi="Arial"/>
          <w:sz w:val="17"/>
          <w:szCs w:val="17"/>
          <w:u w:val="single" w:color="auto"/>
          <w:color w:val="auto"/>
        </w:rPr>
        <w:t>Sections 13.1 and 13.2</w:t>
      </w:r>
      <w:r>
        <w:rPr>
          <w:rFonts w:ascii="Arial" w:cs="Arial" w:eastAsia="Arial" w:hAnsi="Arial"/>
          <w:sz w:val="17"/>
          <w:szCs w:val="17"/>
          <w:color w:val="auto"/>
        </w:rPr>
        <w:t xml:space="preserve">, provided that at least [*****] of the [*****] arbitrators provided in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shall have had, by the time of the actual arbitration, at least [*****] years of experience as a practicing patent attorney registered to practice before the United States Patent and Trademark Office so as to better understand the patent-related issues addressed in the Patent Infringement Dispute.</w:t>
      </w:r>
    </w:p>
    <w:p>
      <w:pPr>
        <w:spacing w:after="0" w:line="173"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Equitable Relief</w:t>
      </w:r>
      <w:r>
        <w:rPr>
          <w:rFonts w:ascii="Arial" w:cs="Arial" w:eastAsia="Arial" w:hAnsi="Arial"/>
          <w:sz w:val="17"/>
          <w:szCs w:val="17"/>
          <w:color w:val="auto"/>
        </w:rPr>
        <w:t>. Nothing in this Agreement shall be deemed as preventing the Parties from seeking injunctive relief (or other provisional remedy) from any court having jurisdiction over the Parties and the subject matter of the dispute as necessary to protect either Party’s interests.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 MISCELLANEOUS</w:t>
      </w:r>
    </w:p>
    <w:p>
      <w:pPr>
        <w:spacing w:after="0" w:line="2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Assignment and Delegation</w:t>
      </w:r>
      <w:r>
        <w:rPr>
          <w:rFonts w:ascii="Arial" w:cs="Arial" w:eastAsia="Arial" w:hAnsi="Arial"/>
          <w:sz w:val="18"/>
          <w:szCs w:val="18"/>
          <w:color w:val="auto"/>
        </w:rPr>
        <w:t xml:space="preserve">. Neither this Agreement nor any right or obligation hereunder shall be assignable in whole or in part, whether by operation of law, or otherwise by ACI without the prior written consent of Genentech. Notwithstanding the foregoing, ACI may assign or transfer its rights and obligations under this Agreement to a Person that succeeds to all or substantially all of ACI’s business or assets whether by sale, merger, operation of law or otherwise. If during the term of the Research Program, ACI makes a permitted assignment to a successor in accordance with the foregoing sentence, Genentech may terminate the Research Program upon notice without terminating this Agreement. Upon such termination of the Research Program, all Research Support Payments provided by Genentech under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cease. This Agreement shall be binding upon and inure to the benefit of and be enforceable by the Parties hereto and their respective successors and permitted assignees. Any transfer or assignment of this Agreement in violation of this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shall be null and void.</w:t>
      </w:r>
    </w:p>
    <w:p>
      <w:pPr>
        <w:spacing w:after="0" w:line="19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No later than [*****] days following the public announcement of a proposed Change of Control event, ACI shall provide Genentech with written notice of any such Change of Control. Within [*****] days of receipt of such written notice, Genentech shall have the right to terminate this Agreement in accordance with </w:t>
      </w:r>
      <w:r>
        <w:rPr>
          <w:rFonts w:ascii="Arial" w:cs="Arial" w:eastAsia="Arial" w:hAnsi="Arial"/>
          <w:sz w:val="18"/>
          <w:szCs w:val="18"/>
          <w:u w:val="single" w:color="auto"/>
          <w:color w:val="auto"/>
        </w:rPr>
        <w:t>Section 9.3.2</w:t>
      </w:r>
      <w:r>
        <w:rPr>
          <w:rFonts w:ascii="Arial" w:cs="Arial" w:eastAsia="Arial" w:hAnsi="Arial"/>
          <w:sz w:val="18"/>
          <w:szCs w:val="18"/>
          <w:color w:val="auto"/>
        </w:rPr>
        <w:t xml:space="preserve">. For the purposes of this </w:t>
      </w:r>
      <w:r>
        <w:rPr>
          <w:rFonts w:ascii="Arial" w:cs="Arial" w:eastAsia="Arial" w:hAnsi="Arial"/>
          <w:sz w:val="18"/>
          <w:szCs w:val="18"/>
          <w:u w:val="single" w:color="auto"/>
          <w:color w:val="auto"/>
        </w:rPr>
        <w:t>Section 14.2</w:t>
      </w:r>
      <w:r>
        <w:rPr>
          <w:rFonts w:ascii="Arial" w:cs="Arial" w:eastAsia="Arial" w:hAnsi="Arial"/>
          <w:sz w:val="18"/>
          <w:szCs w:val="18"/>
          <w:color w:val="auto"/>
        </w:rPr>
        <w:t>,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of ACI means that during the Term of this Agreement (i) ACI shall have become an Affiliate of a Person that is a Competitor; and/or (ii) any sale, lease, exchange or other transfer (in one transaction or a series of related transactions) of all or substantially all of the assets of ACI shall have occurred to a Competitor; and/or (iii) the stockholders of ACI shall have approved of a plan or proposal for the liquidation or dissolution of the company; and/or (iv) any Competitor (whether individually or as part of a group) shall have become the owner, directly or indirectly, beneficially or of record, of shares representing more than [*****] of the aggregate ordinary voting power represented by the issued and outstanding voting stock of ACI. For the purposes of this </w:t>
      </w:r>
      <w:r>
        <w:rPr>
          <w:rFonts w:ascii="Arial" w:cs="Arial" w:eastAsia="Arial" w:hAnsi="Arial"/>
          <w:sz w:val="18"/>
          <w:szCs w:val="18"/>
          <w:u w:val="single" w:color="auto"/>
          <w:color w:val="auto"/>
        </w:rPr>
        <w:t>Section 14.2</w:t>
      </w:r>
      <w:r>
        <w:rPr>
          <w:rFonts w:ascii="Arial" w:cs="Arial" w:eastAsia="Arial" w:hAnsi="Arial"/>
          <w:sz w:val="18"/>
          <w:szCs w:val="18"/>
          <w:color w:val="auto"/>
        </w:rPr>
        <w:t>, “</w:t>
      </w:r>
      <w:r>
        <w:rPr>
          <w:rFonts w:ascii="Arial" w:cs="Arial" w:eastAsia="Arial" w:hAnsi="Arial"/>
          <w:sz w:val="18"/>
          <w:szCs w:val="18"/>
          <w:u w:val="single" w:color="auto"/>
          <w:color w:val="auto"/>
        </w:rPr>
        <w:t>Competitor</w:t>
      </w:r>
      <w:r>
        <w:rPr>
          <w:rFonts w:ascii="Arial" w:cs="Arial" w:eastAsia="Arial" w:hAnsi="Arial"/>
          <w:sz w:val="18"/>
          <w:szCs w:val="18"/>
          <w:color w:val="auto"/>
        </w:rPr>
        <w:t>” means any Person that conducts any research and/or development, activities, or that manufactures, promotes, markets, distributes and/or sells any products, in the biotechnology or pharmaceutical industry.</w:t>
      </w:r>
    </w:p>
    <w:p>
      <w:pPr>
        <w:spacing w:after="0" w:line="19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relating to the subject matter hereof, and all prior understandings, representations and warranties between the Parties are superseded by this Agreement, including the Confidential Disclosure Agreement between the Parties dated July 27, 2006, as amended.</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Amendments</w:t>
      </w:r>
      <w:r>
        <w:rPr>
          <w:rFonts w:ascii="Arial" w:cs="Arial" w:eastAsia="Arial" w:hAnsi="Arial"/>
          <w:sz w:val="18"/>
          <w:szCs w:val="18"/>
          <w:color w:val="auto"/>
        </w:rPr>
        <w:t>. Changes and additional provisions to this Agreement shall be binding on the Parties only if mutually agreed upon, laid down in writing and signed effectively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35 of 42</w:t>
            </w:r>
          </w:p>
        </w:tc>
      </w:tr>
    </w:tbl>
    <w:p>
      <w:pPr>
        <w:sectPr>
          <w:pgSz w:w="11900" w:h="16838" w:orient="portrait"/>
          <w:cols w:equalWidth="0" w:num="1">
            <w:col w:w="11420"/>
          </w:cols>
          <w:pgMar w:left="240" w:top="269" w:right="239" w:bottom="1440" w:gutter="0" w:footer="0" w:header="0"/>
        </w:sectPr>
      </w:pPr>
    </w:p>
    <w:bookmarkStart w:id="393" w:name="page394"/>
    <w:bookmarkEnd w:id="3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construed and interpreted in accordance with the laws of New York and all rights and remedies shall be governed by such laws without regard to principles of conflicts of law.</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Force Majeure</w:t>
      </w:r>
      <w:r>
        <w:rPr>
          <w:rFonts w:ascii="Arial" w:cs="Arial" w:eastAsia="Arial" w:hAnsi="Arial"/>
          <w:sz w:val="17"/>
          <w:szCs w:val="17"/>
          <w:color w:val="auto"/>
        </w:rPr>
        <w:t>. If the performance of this Agreement or any obligations hereunder is prevented, restricted or interfered with by reason of earthquake, fire, flood or other casualty or due to strikes, riot, storms, explosions, acts of God, war, or a similar occurrence or condition beyond the reasonable control of the Parties, the Party so affected shall, upon giving prompt notice to the other Parties, be excused from such performance during such prevention, restriction or interference, and any failure or delay resulting therefrom shall not be considered a breach of this Agreement.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Severability</w:t>
      </w:r>
      <w:r>
        <w:rPr>
          <w:rFonts w:ascii="Arial" w:cs="Arial" w:eastAsia="Arial" w:hAnsi="Arial"/>
          <w:sz w:val="18"/>
          <w:szCs w:val="18"/>
          <w:color w:val="auto"/>
        </w:rPr>
        <w:t>. The Parties do not intend to violate any public policy or statutory common law. However, if any sentence, paragraph, clause or combination of this Agreement is in violation of any law or is found to be otherwise unenforceable, such sentence, paragraph, clause or combination of the same shall be deleted and the remainder of this Agreement shall remain binding; provided that such deletion does not alter the basic purpose and structure of this Agreement.</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relating to this Agreement shall be in writing in the English language and shall be delivered in person or by registered mail, international courier or facsimile transmission (with a confirmation copy forwarded by courier or registered mail). Notices sent by mail shall be sent by first class mail or the equivalent, registered or certified, postage prepaid, and shall be deemed to have been given on the date actually received. Notices sent by international courier shall be sent using a service which provides traceability of packages. Notices shall be sent as follows:</w:t>
      </w:r>
    </w:p>
    <w:p>
      <w:pPr>
        <w:spacing w:after="0" w:line="19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4220" w:type="dxa"/>
            <w:vAlign w:val="bottom"/>
            <w:gridSpan w:val="3"/>
          </w:tcPr>
          <w:p>
            <w:pPr>
              <w:spacing w:after="0"/>
              <w:rPr>
                <w:sz w:val="20"/>
                <w:szCs w:val="20"/>
                <w:color w:val="auto"/>
              </w:rPr>
            </w:pPr>
            <w:r>
              <w:rPr>
                <w:rFonts w:ascii="Arial" w:cs="Arial" w:eastAsia="Arial" w:hAnsi="Arial"/>
                <w:sz w:val="18"/>
                <w:szCs w:val="18"/>
                <w:color w:val="auto"/>
              </w:rPr>
              <w:t>Notices to Genentech:</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with a required copy to:</w:t>
            </w:r>
          </w:p>
        </w:tc>
      </w:tr>
      <w:tr>
        <w:trPr>
          <w:trHeight w:val="20"/>
        </w:trPr>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8"/>
        </w:trPr>
        <w:tc>
          <w:tcPr>
            <w:tcW w:w="1540" w:type="dxa"/>
            <w:vAlign w:val="bottom"/>
            <w:gridSpan w:val="2"/>
          </w:tcPr>
          <w:p>
            <w:pPr>
              <w:spacing w:after="0"/>
              <w:rPr>
                <w:sz w:val="20"/>
                <w:szCs w:val="20"/>
                <w:color w:val="auto"/>
              </w:rPr>
            </w:pPr>
            <w:r>
              <w:rPr>
                <w:rFonts w:ascii="Arial" w:cs="Arial" w:eastAsia="Arial" w:hAnsi="Arial"/>
                <w:sz w:val="18"/>
                <w:szCs w:val="18"/>
                <w:color w:val="auto"/>
              </w:rPr>
              <w:t>Genentech Inc.</w:t>
            </w:r>
          </w:p>
        </w:tc>
        <w:tc>
          <w:tcPr>
            <w:tcW w:w="2680" w:type="dxa"/>
            <w:vAlign w:val="bottom"/>
          </w:tcPr>
          <w:p>
            <w:pPr>
              <w:spacing w:after="0"/>
              <w:rPr>
                <w:sz w:val="24"/>
                <w:szCs w:val="24"/>
                <w:color w:val="auto"/>
              </w:rPr>
            </w:pP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Genentech Inc.</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1 DNA Way</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1 DNA Way</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South San Francisco, CA 94080, USA</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w w:val="90"/>
              </w:rPr>
              <w:t>South San Francisco, CA 94080, USA</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Attention: Corporate Secretary</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Attention: Vice President, Alliance</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Telephone: [*****]</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Management</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Facsimile: [*****]</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Telephone: [*****]</w:t>
            </w:r>
          </w:p>
        </w:tc>
      </w:tr>
      <w:tr>
        <w:trPr>
          <w:trHeight w:val="230"/>
        </w:trPr>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Facsimile: [*****]</w:t>
            </w:r>
          </w:p>
        </w:tc>
      </w:tr>
      <w:tr>
        <w:trPr>
          <w:trHeight w:val="405"/>
        </w:trPr>
        <w:tc>
          <w:tcPr>
            <w:tcW w:w="4220" w:type="dxa"/>
            <w:vAlign w:val="bottom"/>
            <w:gridSpan w:val="3"/>
          </w:tcPr>
          <w:p>
            <w:pPr>
              <w:spacing w:after="0"/>
              <w:rPr>
                <w:sz w:val="20"/>
                <w:szCs w:val="20"/>
                <w:color w:val="auto"/>
              </w:rPr>
            </w:pPr>
            <w:r>
              <w:rPr>
                <w:rFonts w:ascii="Arial" w:cs="Arial" w:eastAsia="Arial" w:hAnsi="Arial"/>
                <w:sz w:val="18"/>
                <w:szCs w:val="18"/>
                <w:color w:val="auto"/>
              </w:rPr>
              <w:t>Notices to ACI:</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with a required copy to:</w:t>
            </w:r>
          </w:p>
        </w:tc>
      </w:tr>
      <w:tr>
        <w:trPr>
          <w:trHeight w:val="20"/>
        </w:trPr>
        <w:tc>
          <w:tcPr>
            <w:tcW w:w="1080" w:type="dxa"/>
            <w:vAlign w:val="bottom"/>
            <w:shd w:val="clear" w:color="auto" w:fill="000000"/>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8"/>
        </w:trPr>
        <w:tc>
          <w:tcPr>
            <w:tcW w:w="1080" w:type="dxa"/>
            <w:vAlign w:val="bottom"/>
          </w:tcPr>
          <w:p>
            <w:pPr>
              <w:spacing w:after="0"/>
              <w:rPr>
                <w:sz w:val="20"/>
                <w:szCs w:val="20"/>
                <w:color w:val="auto"/>
              </w:rPr>
            </w:pPr>
            <w:r>
              <w:rPr>
                <w:rFonts w:ascii="Arial" w:cs="Arial" w:eastAsia="Arial" w:hAnsi="Arial"/>
                <w:sz w:val="18"/>
                <w:szCs w:val="18"/>
                <w:color w:val="auto"/>
              </w:rPr>
              <w:t>AC Immune</w:t>
            </w:r>
          </w:p>
        </w:tc>
        <w:tc>
          <w:tcPr>
            <w:tcW w:w="3140" w:type="dxa"/>
            <w:vAlign w:val="bottom"/>
            <w:gridSpan w:val="2"/>
          </w:tcPr>
          <w:p>
            <w:pPr>
              <w:spacing w:after="0"/>
              <w:rPr>
                <w:sz w:val="24"/>
                <w:szCs w:val="24"/>
                <w:color w:val="auto"/>
              </w:rPr>
            </w:pP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VISCHER Attorneys at law</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Parc scientifique EPFL, PSE-B,</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Aeschenvorstadt 4</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CH-1015 Lausanne, Switzerland</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CH-4051 Basel, Switzerland</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Attention: CEO</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Attention: Dr. Matthias Staehelin</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Telephone: [*****]</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Telephone: [*****]</w:t>
            </w: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Facsimile: [*****]</w:t>
            </w:r>
          </w:p>
        </w:tc>
        <w:tc>
          <w:tcPr>
            <w:tcW w:w="4240" w:type="dxa"/>
            <w:vAlign w:val="bottom"/>
            <w:gridSpan w:val="3"/>
          </w:tcPr>
          <w:p>
            <w:pPr>
              <w:ind w:left="1480"/>
              <w:spacing w:after="0"/>
              <w:rPr>
                <w:sz w:val="20"/>
                <w:szCs w:val="20"/>
                <w:color w:val="auto"/>
              </w:rPr>
            </w:pPr>
            <w:r>
              <w:rPr>
                <w:rFonts w:ascii="Arial" w:cs="Arial" w:eastAsia="Arial" w:hAnsi="Arial"/>
                <w:sz w:val="18"/>
                <w:szCs w:val="18"/>
                <w:color w:val="auto"/>
              </w:rPr>
              <w:t>Facsimile: [*****]</w:t>
            </w: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Either Party may change its address for notices or facsimile number at any time by sending written notice by courier or registered mail to the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Nothing herein shall create any association, partnership, joint venture, fiduciary duty or the relation of principal and agent between the Parties hereto, it being understood that each Party is acting as an independent contractor, and neither Party shall have the authority to bind the other or the other’s representatives in any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36 of 42</w:t>
            </w:r>
          </w:p>
        </w:tc>
      </w:tr>
    </w:tbl>
    <w:p>
      <w:pPr>
        <w:sectPr>
          <w:pgSz w:w="11900" w:h="16838" w:orient="portrait"/>
          <w:cols w:equalWidth="0" w:num="1">
            <w:col w:w="11420"/>
          </w:cols>
          <w:pgMar w:left="240" w:top="270" w:right="239" w:bottom="1440" w:gutter="0" w:footer="0" w:header="0"/>
        </w:sectPr>
      </w:pPr>
    </w:p>
    <w:bookmarkStart w:id="394" w:name="page395"/>
    <w:bookmarkEnd w:id="3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80"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FINAL EXECUTION DOCUMENT</w:t>
      </w:r>
    </w:p>
    <w:p>
      <w:pPr>
        <w:spacing w:after="0" w:line="16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Waiver</w:t>
      </w:r>
      <w:r>
        <w:rPr>
          <w:rFonts w:ascii="Arial" w:cs="Arial" w:eastAsia="Arial" w:hAnsi="Arial"/>
          <w:sz w:val="18"/>
          <w:szCs w:val="18"/>
          <w:color w:val="auto"/>
        </w:rPr>
        <w:t>. No delay on the part of either Party hereto in exercising any power or right hereunder shall operate as a waiver thereof, nor shall any single or partial exercise of any power or right hereunder preclude other or further exercise thereof or the exercise of any other power or right. No waiver of this Agreement or any provision hereof shall be enforceable against any Party hereto unless in writing, signed by the Party against whom such waiver is claimed, and shall be limited solely to the one event.</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Interpretation</w:t>
      </w:r>
      <w:r>
        <w:rPr>
          <w:rFonts w:ascii="Arial" w:cs="Arial" w:eastAsia="Arial" w:hAnsi="Arial"/>
          <w:sz w:val="18"/>
          <w:szCs w:val="18"/>
          <w:color w:val="auto"/>
        </w:rPr>
        <w:t>. This Agreement has been prepared jointly and no rule of strict construction shall be applied against either Party. In this Agreement, the singular shall include the plural and vice versa and the word “including” shall be deemed to be followed by the phrase “without limitation.” The section headings contained in this Agreement are inserted for convenience only and shall not affect in any way the meaning or interpretation of this Agreement.</w:t>
      </w:r>
    </w:p>
    <w:p>
      <w:pPr>
        <w:spacing w:after="0" w:line="18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together shall constitute one and the same Agreement. For purposes of executing this agreement, a facsimile copy of this Agreement, including the signature pages, will be deemed an original.</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u w:val="single" w:color="auto"/>
          <w:color w:val="auto"/>
        </w:rPr>
        <w:t>License Survival During Bankruptcy</w:t>
      </w:r>
      <w:r>
        <w:rPr>
          <w:rFonts w:ascii="Arial" w:cs="Arial" w:eastAsia="Arial" w:hAnsi="Arial"/>
          <w:sz w:val="16"/>
          <w:szCs w:val="16"/>
          <w:color w:val="auto"/>
        </w:rPr>
        <w:t>. All rights and licenses granted under or pursuant to this Agreement are, and shall otherwise be deemed to be, for purposes of Paragraph 365(n) of the U.S. Bankruptcy Code, licenses of rights to “intellectual property” as defined under Paragraph 101(35A) of the U.S. Bankruptcy Code. The Parties agree that Genentech, as a licensee of such rights under this Agreement, shall retain and may fully exercise all of its rights and elections under the U.S. Bankruptcy Code. The Parties further agree that, in the event of the commencement of a bankruptcy proceeding by or against ACI, including under the U.S. Bankruptcy Code, Genentech shall be entitled to a complete duplicate of (or complete access to, as appropriate) any such intellectual property and all embodiments of such intellectual property, and the same, if not already in Genentech’s possession, shall be promptly delivered to Genentech upon any such commencement of a bankruptcy proceeding upon written request therefor by Genentech.</w:t>
      </w:r>
    </w:p>
    <w:p>
      <w:pPr>
        <w:spacing w:after="0" w:line="167"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37 of 42</w:t>
            </w:r>
          </w:p>
        </w:tc>
      </w:tr>
    </w:tbl>
    <w:p>
      <w:pPr>
        <w:sectPr>
          <w:pgSz w:w="11900" w:h="16838" w:orient="portrait"/>
          <w:cols w:equalWidth="0" w:num="1">
            <w:col w:w="11420"/>
          </w:cols>
          <w:pgMar w:left="240" w:top="270" w:right="239" w:bottom="1440" w:gutter="0" w:footer="0" w:header="0"/>
        </w:sectPr>
      </w:pPr>
    </w:p>
    <w:bookmarkStart w:id="395" w:name="page396"/>
    <w:bookmarkEnd w:id="3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by their duly authorized representative.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6060" w:type="dxa"/>
            <w:vAlign w:val="bottom"/>
            <w:gridSpan w:val="3"/>
          </w:tcPr>
          <w:p>
            <w:pPr>
              <w:ind w:left="660"/>
              <w:spacing w:after="0"/>
              <w:rPr>
                <w:sz w:val="20"/>
                <w:szCs w:val="20"/>
                <w:color w:val="auto"/>
              </w:rPr>
            </w:pPr>
            <w:r>
              <w:rPr>
                <w:rFonts w:ascii="Arial" w:cs="Arial" w:eastAsia="Arial" w:hAnsi="Arial"/>
                <w:sz w:val="18"/>
                <w:szCs w:val="18"/>
                <w:b w:val="1"/>
                <w:bCs w:val="1"/>
                <w:color w:val="auto"/>
              </w:rPr>
              <w:t>Genentech,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A. Pfeifer</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800" w:type="dxa"/>
            <w:vAlign w:val="bottom"/>
            <w:gridSpan w:val="2"/>
          </w:tcPr>
          <w:p>
            <w:pPr>
              <w:spacing w:after="0"/>
              <w:rPr>
                <w:sz w:val="20"/>
                <w:szCs w:val="20"/>
                <w:color w:val="auto"/>
              </w:rPr>
            </w:pPr>
            <w:r>
              <w:rPr>
                <w:rFonts w:ascii="Arial" w:cs="Arial" w:eastAsia="Arial" w:hAnsi="Arial"/>
                <w:sz w:val="18"/>
                <w:szCs w:val="18"/>
                <w:color w:val="auto"/>
              </w:rPr>
              <w:t>/s/ Arthur D. Levinson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Pfeifer</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Arthur D. Levinson</w:t>
            </w:r>
          </w:p>
        </w:tc>
        <w:tc>
          <w:tcPr>
            <w:tcW w:w="2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CEO</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800" w:type="dxa"/>
            <w:vAlign w:val="bottom"/>
            <w:gridSpan w:val="2"/>
          </w:tcPr>
          <w:p>
            <w:pPr>
              <w:spacing w:after="0"/>
              <w:rPr>
                <w:sz w:val="20"/>
                <w:szCs w:val="20"/>
                <w:color w:val="auto"/>
              </w:rPr>
            </w:pPr>
            <w:r>
              <w:rPr>
                <w:rFonts w:ascii="Arial" w:cs="Arial" w:eastAsia="Arial" w:hAnsi="Arial"/>
                <w:sz w:val="18"/>
                <w:szCs w:val="18"/>
                <w:color w:val="auto"/>
              </w:rPr>
              <w:t>Chairman &amp; Chief Executive Officer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Mader</w:t>
            </w: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A. Mader</w:t>
            </w:r>
          </w:p>
        </w:tc>
        <w:tc>
          <w:tcPr>
            <w:tcW w:w="12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CFO</w:t>
            </w: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5380" w:type="dxa"/>
            <w:vAlign w:val="bottom"/>
            <w:tcBorders>
              <w:bottom w:val="single" w:sz="8" w:color="auto"/>
            </w:tcBorders>
            <w:gridSpan w:val="2"/>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18"/>
                <w:szCs w:val="18"/>
                <w:color w:val="auto"/>
              </w:rPr>
              <w:t>Research Collaboration and License Agreement</w:t>
            </w:r>
          </w:p>
        </w:tc>
        <w:tc>
          <w:tcPr>
            <w:tcW w:w="1260" w:type="dxa"/>
            <w:vAlign w:val="bottom"/>
          </w:tcPr>
          <w:p>
            <w:pPr>
              <w:spacing w:after="0"/>
              <w:rPr>
                <w:sz w:val="21"/>
                <w:szCs w:val="21"/>
                <w:color w:val="auto"/>
              </w:rPr>
            </w:pPr>
          </w:p>
        </w:tc>
        <w:tc>
          <w:tcPr>
            <w:tcW w:w="4800" w:type="dxa"/>
            <w:vAlign w:val="bottom"/>
            <w:gridSpan w:val="2"/>
          </w:tcPr>
          <w:p>
            <w:pPr>
              <w:ind w:left="4180"/>
              <w:spacing w:after="0"/>
              <w:rPr>
                <w:sz w:val="20"/>
                <w:szCs w:val="20"/>
                <w:color w:val="auto"/>
              </w:rPr>
            </w:pPr>
            <w:r>
              <w:rPr>
                <w:rFonts w:ascii="Arial" w:cs="Arial" w:eastAsia="Arial" w:hAnsi="Arial"/>
                <w:sz w:val="18"/>
                <w:szCs w:val="18"/>
                <w:color w:val="auto"/>
                <w:w w:val="92"/>
              </w:rPr>
              <w:t>38 of 42</w:t>
            </w:r>
          </w:p>
        </w:tc>
      </w:tr>
    </w:tbl>
    <w:p>
      <w:pPr>
        <w:sectPr>
          <w:pgSz w:w="11900" w:h="16838" w:orient="portrait"/>
          <w:cols w:equalWidth="0" w:num="1">
            <w:col w:w="11420"/>
          </w:cols>
          <w:pgMar w:left="240" w:top="270" w:right="23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ACI Patents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ind w:left="660"/>
              <w:spacing w:after="0"/>
              <w:rPr>
                <w:sz w:val="20"/>
                <w:szCs w:val="20"/>
                <w:color w:val="auto"/>
              </w:rPr>
            </w:pPr>
            <w:r>
              <w:rPr>
                <w:rFonts w:ascii="Arial" w:cs="Arial" w:eastAsia="Arial" w:hAnsi="Arial"/>
                <w:sz w:val="14"/>
                <w:szCs w:val="14"/>
                <w:b w:val="1"/>
                <w:bCs w:val="1"/>
                <w:color w:val="auto"/>
              </w:rPr>
              <w:t>Applicant</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5"/>
              </w:rPr>
              <w:t>Application No</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Patent</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Application date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lapsed</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r>
      <w:tr>
        <w:trPr>
          <w:trHeight w:val="230"/>
        </w:trPr>
        <w:tc>
          <w:tcPr>
            <w:tcW w:w="1880" w:type="dxa"/>
            <w:vAlign w:val="bottom"/>
          </w:tcPr>
          <w:p>
            <w:pPr>
              <w:ind w:left="68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79"/>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699"/>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579"/>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76"/>
              <w:spacing w:after="0"/>
              <w:rPr>
                <w:sz w:val="20"/>
                <w:szCs w:val="20"/>
                <w:color w:val="auto"/>
              </w:rPr>
            </w:pPr>
            <w:r>
              <w:rPr>
                <w:rFonts w:ascii="Arial" w:cs="Arial" w:eastAsia="Arial" w:hAnsi="Arial"/>
                <w:sz w:val="18"/>
                <w:szCs w:val="18"/>
                <w:color w:val="auto"/>
              </w:rPr>
              <w:t>[*****]</w:t>
            </w:r>
          </w:p>
        </w:tc>
      </w:tr>
      <w:tr>
        <w:trPr>
          <w:trHeight w:val="203"/>
        </w:trPr>
        <w:tc>
          <w:tcPr>
            <w:tcW w:w="4000" w:type="dxa"/>
            <w:vAlign w:val="bottom"/>
            <w:tcBorders>
              <w:bottom w:val="single" w:sz="8" w:color="auto"/>
            </w:tcBorders>
            <w:gridSpan w:val="2"/>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r>
      <w:tr>
        <w:trPr>
          <w:trHeight w:val="250"/>
        </w:trPr>
        <w:tc>
          <w:tcPr>
            <w:tcW w:w="4000" w:type="dxa"/>
            <w:vAlign w:val="bottom"/>
            <w:gridSpan w:val="2"/>
          </w:tcPr>
          <w:p>
            <w:pPr>
              <w:spacing w:after="0"/>
              <w:rPr>
                <w:sz w:val="20"/>
                <w:szCs w:val="20"/>
                <w:color w:val="auto"/>
              </w:rPr>
            </w:pPr>
            <w:r>
              <w:rPr>
                <w:rFonts w:ascii="Arial" w:cs="Arial" w:eastAsia="Arial" w:hAnsi="Arial"/>
                <w:sz w:val="18"/>
                <w:szCs w:val="18"/>
                <w:color w:val="auto"/>
              </w:rPr>
              <w:t>Research Collaboration and License Agreement</w:t>
            </w:r>
          </w:p>
        </w:tc>
        <w:tc>
          <w:tcPr>
            <w:tcW w:w="16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80" w:type="dxa"/>
            <w:vAlign w:val="bottom"/>
          </w:tcPr>
          <w:p>
            <w:pPr>
              <w:ind w:left="1180"/>
              <w:spacing w:after="0"/>
              <w:rPr>
                <w:sz w:val="20"/>
                <w:szCs w:val="20"/>
                <w:color w:val="auto"/>
              </w:rPr>
            </w:pPr>
            <w:r>
              <w:rPr>
                <w:rFonts w:ascii="Arial" w:cs="Arial" w:eastAsia="Arial" w:hAnsi="Arial"/>
                <w:sz w:val="18"/>
                <w:szCs w:val="18"/>
                <w:color w:val="auto"/>
                <w:w w:val="89"/>
              </w:rPr>
              <w:t>39 of 42</w:t>
            </w:r>
          </w:p>
        </w:tc>
      </w:tr>
    </w:tbl>
    <w:p>
      <w:pPr>
        <w:sectPr>
          <w:pgSz w:w="11900" w:h="16838" w:orient="portrait"/>
          <w:cols w:equalWidth="0" w:num="1">
            <w:col w:w="11420"/>
          </w:cols>
          <w:pgMar w:left="240" w:top="270" w:right="239" w:bottom="1440" w:gutter="0" w:footer="0" w:header="0"/>
        </w:sectPr>
      </w:pPr>
    </w:p>
    <w:bookmarkStart w:id="397" w:name="page398"/>
    <w:bookmarkEnd w:id="3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Plan (Draft 30.10.2006)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R&amp;D Detail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40 of 42</w:t>
            </w:r>
          </w:p>
        </w:tc>
      </w:tr>
    </w:tbl>
    <w:p>
      <w:pPr>
        <w:sectPr>
          <w:pgSz w:w="11900" w:h="16838" w:orient="portrait"/>
          <w:cols w:equalWidth="0" w:num="1">
            <w:col w:w="11420"/>
          </w:cols>
          <w:pgMar w:left="240" w:top="269" w:right="239" w:bottom="1440" w:gutter="0" w:footer="0" w:header="0"/>
        </w:sectPr>
      </w:pPr>
    </w:p>
    <w:bookmarkStart w:id="398" w:name="page399"/>
    <w:bookmarkEnd w:id="3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Budget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41 of 42</w:t>
            </w:r>
          </w:p>
        </w:tc>
      </w:tr>
    </w:tbl>
    <w:p>
      <w:pPr>
        <w:sectPr>
          <w:pgSz w:w="11900" w:h="16838" w:orient="portrait"/>
          <w:cols w:equalWidth="0" w:num="1">
            <w:col w:w="11420"/>
          </w:cols>
          <w:pgMar w:left="240" w:top="269" w:right="239"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Budget by Subproject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Research Collaboration and License Agreement</w:t>
            </w:r>
          </w:p>
        </w:tc>
        <w:tc>
          <w:tcPr>
            <w:tcW w:w="4280" w:type="dxa"/>
            <w:vAlign w:val="bottom"/>
          </w:tcPr>
          <w:p>
            <w:pPr>
              <w:ind w:left="3680"/>
              <w:spacing w:after="0"/>
              <w:rPr>
                <w:sz w:val="20"/>
                <w:szCs w:val="20"/>
                <w:color w:val="auto"/>
              </w:rPr>
            </w:pPr>
            <w:r>
              <w:rPr>
                <w:rFonts w:ascii="Arial" w:cs="Arial" w:eastAsia="Arial" w:hAnsi="Arial"/>
                <w:sz w:val="18"/>
                <w:szCs w:val="18"/>
                <w:color w:val="auto"/>
                <w:w w:val="89"/>
              </w:rPr>
              <w:t>42 of 42</w:t>
            </w:r>
          </w:p>
        </w:tc>
      </w:tr>
    </w:tbl>
    <w:p>
      <w:pPr>
        <w:sectPr>
          <w:pgSz w:w="11900" w:h="16838" w:orient="portrait"/>
          <w:cols w:equalWidth="0" w:num="1">
            <w:col w:w="11420"/>
          </w:cols>
          <w:pgMar w:left="240" w:top="270" w:right="23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RESEARCH COLLABORATION AND LICENSE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07"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This Amendment to the Research Collaboration and License Agreement dated November 6, 2006 (the “</w:t>
      </w:r>
      <w:r>
        <w:rPr>
          <w:rFonts w:ascii="Arial" w:cs="Arial" w:eastAsia="Arial" w:hAnsi="Arial"/>
          <w:sz w:val="17"/>
          <w:szCs w:val="17"/>
          <w:b w:val="1"/>
          <w:bCs w:val="1"/>
          <w:color w:val="auto"/>
        </w:rPr>
        <w:t>Amendment</w:t>
      </w:r>
      <w:r>
        <w:rPr>
          <w:rFonts w:ascii="Arial" w:cs="Arial" w:eastAsia="Arial" w:hAnsi="Arial"/>
          <w:sz w:val="17"/>
          <w:szCs w:val="17"/>
          <w:color w:val="auto"/>
        </w:rPr>
        <w:t>”), is made by and between the Parties: AC Immune SA, a Swiss corporation with a principal place of business at Parc scientifique EPFL, PSE-B, CH-1015 Lausanne, Switzerland (“</w:t>
      </w:r>
      <w:r>
        <w:rPr>
          <w:rFonts w:ascii="Arial" w:cs="Arial" w:eastAsia="Arial" w:hAnsi="Arial"/>
          <w:sz w:val="17"/>
          <w:szCs w:val="17"/>
          <w:b w:val="1"/>
          <w:bCs w:val="1"/>
          <w:color w:val="auto"/>
        </w:rPr>
        <w:t>ACI</w:t>
      </w:r>
      <w:r>
        <w:rPr>
          <w:rFonts w:ascii="Arial" w:cs="Arial" w:eastAsia="Arial" w:hAnsi="Arial"/>
          <w:sz w:val="17"/>
          <w:szCs w:val="17"/>
          <w:color w:val="auto"/>
        </w:rPr>
        <w:t>”) and Genentech, Inc., a Delaware corporation, with offices located at 1 DNA Way, South San Francisco, CA 94080 (“</w:t>
      </w:r>
      <w:r>
        <w:rPr>
          <w:rFonts w:ascii="Arial" w:cs="Arial" w:eastAsia="Arial" w:hAnsi="Arial"/>
          <w:sz w:val="17"/>
          <w:szCs w:val="17"/>
          <w:b w:val="1"/>
          <w:bCs w:val="1"/>
          <w:color w:val="auto"/>
        </w:rPr>
        <w:t>Genentech</w:t>
      </w:r>
      <w:r>
        <w:rPr>
          <w:rFonts w:ascii="Arial" w:cs="Arial" w:eastAsia="Arial" w:hAnsi="Arial"/>
          <w:sz w:val="17"/>
          <w:szCs w:val="17"/>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WHEREAS, the Parties executed a Research Collaboration and License Agreement on November 6, 2006 as amended, (the “</w:t>
      </w:r>
      <w:r>
        <w:rPr>
          <w:rFonts w:ascii="Arial" w:cs="Arial" w:eastAsia="Arial" w:hAnsi="Arial"/>
          <w:sz w:val="17"/>
          <w:szCs w:val="17"/>
          <w:b w:val="1"/>
          <w:bCs w:val="1"/>
          <w:color w:val="auto"/>
        </w:rPr>
        <w:t>Agreement</w:t>
      </w:r>
      <w:r>
        <w:rPr>
          <w:rFonts w:ascii="Arial" w:cs="Arial" w:eastAsia="Arial" w:hAnsi="Arial"/>
          <w:sz w:val="17"/>
          <w:szCs w:val="17"/>
          <w:color w:val="auto"/>
        </w:rPr>
        <w:t>”); and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wish to further amend the Agreement under the terms and conditions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promises set forth herein, the Parties agree as follows:</w:t>
      </w:r>
    </w:p>
    <w:p>
      <w:pPr>
        <w:spacing w:after="0" w:line="131" w:lineRule="exact"/>
        <w:rPr>
          <w:sz w:val="20"/>
          <w:szCs w:val="20"/>
          <w:color w:val="auto"/>
        </w:rPr>
      </w:pPr>
    </w:p>
    <w:p>
      <w:pPr>
        <w:ind w:left="1140" w:hanging="565"/>
        <w:spacing w:after="0"/>
        <w:tabs>
          <w:tab w:leader="none" w:pos="11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right="20"/>
        <w:spacing w:after="0" w:line="277" w:lineRule="auto"/>
        <w:rPr>
          <w:rFonts w:ascii="Arial" w:cs="Arial" w:eastAsia="Arial" w:hAnsi="Arial"/>
          <w:sz w:val="18"/>
          <w:szCs w:val="18"/>
          <w:color w:val="auto"/>
        </w:rPr>
      </w:pPr>
      <w:r>
        <w:rPr>
          <w:rFonts w:ascii="Arial" w:cs="Arial" w:eastAsia="Arial" w:hAnsi="Arial"/>
          <w:sz w:val="18"/>
          <w:szCs w:val="18"/>
          <w:color w:val="auto"/>
        </w:rPr>
        <w:t>The Parties acknowledge that [*****] The Parties acknowledge and agree that the terms and conditions set forth herein shall be effective as of the Amendment Effective Date set forth below.</w:t>
      </w:r>
    </w:p>
    <w:p>
      <w:pPr>
        <w:spacing w:after="0" w:line="76" w:lineRule="exact"/>
        <w:rPr>
          <w:sz w:val="20"/>
          <w:szCs w:val="20"/>
          <w:color w:val="auto"/>
        </w:rPr>
      </w:pPr>
    </w:p>
    <w:p>
      <w:pPr>
        <w:ind w:left="1140" w:right="5280" w:hanging="565"/>
        <w:spacing w:after="0" w:line="381" w:lineRule="auto"/>
        <w:tabs>
          <w:tab w:leader="none" w:pos="1133"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 new Section 5.10 is hereby inserted into the Agreement as follows: “5.10 [*****]</w:t>
      </w:r>
    </w:p>
    <w:p>
      <w:pPr>
        <w:spacing w:after="0" w:line="1" w:lineRule="exact"/>
        <w:rPr>
          <w:sz w:val="20"/>
          <w:szCs w:val="20"/>
          <w:color w:val="auto"/>
        </w:rPr>
      </w:pPr>
    </w:p>
    <w:p>
      <w:pPr>
        <w:ind w:left="2620" w:right="400" w:hanging="904"/>
        <w:spacing w:after="0" w:line="277" w:lineRule="auto"/>
        <w:tabs>
          <w:tab w:leader="none" w:pos="2600" w:val="left"/>
        </w:tabs>
        <w:rPr>
          <w:sz w:val="20"/>
          <w:szCs w:val="20"/>
          <w:color w:val="auto"/>
        </w:rPr>
      </w:pPr>
      <w:r>
        <w:rPr>
          <w:rFonts w:ascii="Arial" w:cs="Arial" w:eastAsia="Arial" w:hAnsi="Arial"/>
          <w:sz w:val="18"/>
          <w:szCs w:val="18"/>
          <w:b w:val="1"/>
          <w:bCs w:val="1"/>
          <w:color w:val="auto"/>
        </w:rPr>
        <w:t>5.10.1</w:t>
      </w:r>
      <w:r>
        <w:rPr>
          <w:sz w:val="20"/>
          <w:szCs w:val="20"/>
          <w:color w:val="auto"/>
        </w:rPr>
        <w:tab/>
      </w:r>
      <w:r>
        <w:rPr>
          <w:rFonts w:ascii="Arial" w:cs="Arial" w:eastAsia="Arial" w:hAnsi="Arial"/>
          <w:sz w:val="18"/>
          <w:szCs w:val="18"/>
          <w:u w:val="single" w:color="auto"/>
          <w:color w:val="auto"/>
        </w:rPr>
        <w:t>One-Time Payments</w:t>
      </w:r>
      <w:r>
        <w:rPr>
          <w:rFonts w:ascii="Arial" w:cs="Arial" w:eastAsia="Arial" w:hAnsi="Arial"/>
          <w:sz w:val="18"/>
          <w:szCs w:val="18"/>
          <w:color w:val="auto"/>
        </w:rPr>
        <w:t>. Any and all one-time payments such as up-front or milestone fees (but not royalties on sales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Therapeutic Products) [*****].</w:t>
      </w:r>
    </w:p>
    <w:p>
      <w:pPr>
        <w:spacing w:after="0" w:line="76"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18"/>
          <w:szCs w:val="18"/>
          <w:b w:val="1"/>
          <w:bCs w:val="1"/>
          <w:color w:val="auto"/>
        </w:rPr>
        <w:t>5.10.2</w:t>
      </w:r>
      <w:r>
        <w:rPr>
          <w:sz w:val="20"/>
          <w:szCs w:val="20"/>
          <w:color w:val="auto"/>
        </w:rPr>
        <w:tab/>
      </w:r>
      <w:r>
        <w:rPr>
          <w:rFonts w:ascii="Arial" w:cs="Arial" w:eastAsia="Arial" w:hAnsi="Arial"/>
          <w:sz w:val="17"/>
          <w:szCs w:val="17"/>
          <w:u w:val="single" w:color="auto"/>
          <w:color w:val="auto"/>
        </w:rPr>
        <w:t>Royalties</w:t>
      </w:r>
      <w:r>
        <w:rPr>
          <w:rFonts w:ascii="Arial" w:cs="Arial" w:eastAsia="Arial" w:hAnsi="Arial"/>
          <w:sz w:val="17"/>
          <w:szCs w:val="17"/>
          <w:color w:val="auto"/>
        </w:rPr>
        <w:t>. For royalties payable [*****], Genentech shall have [*****]:</w:t>
      </w:r>
    </w:p>
    <w:p>
      <w:pPr>
        <w:spacing w:after="0" w:line="135" w:lineRule="exact"/>
        <w:rPr>
          <w:sz w:val="20"/>
          <w:szCs w:val="20"/>
          <w:color w:val="auto"/>
        </w:rPr>
      </w:pPr>
    </w:p>
    <w:p>
      <w:pPr>
        <w:ind w:left="3080" w:hanging="452"/>
        <w:spacing w:after="0"/>
        <w:tabs>
          <w:tab w:leader="none" w:pos="3080"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for royalties on sales of [*****] in the United States, [*****]</w:t>
      </w:r>
    </w:p>
    <w:p>
      <w:pPr>
        <w:sectPr>
          <w:pgSz w:w="11900" w:h="16838" w:orient="portrait"/>
          <w:cols w:equalWidth="0" w:num="1">
            <w:col w:w="11420"/>
          </w:cols>
          <w:pgMar w:left="240" w:top="121" w:right="239" w:bottom="1440" w:gutter="0" w:footer="0" w:header="0"/>
        </w:sectPr>
      </w:pPr>
    </w:p>
    <w:bookmarkStart w:id="401" w:name="page402"/>
    <w:bookmarkEnd w:id="401"/>
    <w:p>
      <w:pPr>
        <w:jc w:val="center"/>
        <w:ind w:right="49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495"/>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495"/>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2505"/>
        <w:spacing w:after="0" w:line="279" w:lineRule="auto"/>
        <w:rPr>
          <w:sz w:val="20"/>
          <w:szCs w:val="20"/>
          <w:color w:val="auto"/>
        </w:rPr>
      </w:pPr>
      <w:r>
        <w:rPr>
          <w:rFonts w:ascii="Arial" w:cs="Arial" w:eastAsia="Arial" w:hAnsi="Arial"/>
          <w:sz w:val="17"/>
          <w:szCs w:val="17"/>
          <w:color w:val="auto"/>
        </w:rPr>
        <w:t>[*****] of the royalty amount calculated at the highest royalty rate applicable to royalties [*****] in the United States, subject to the maximum obligations set forth in 5.10.2(C) below. By way of illustration, if [*****] provides that royalties payable to [*****] in the United States consist of [*****] tiers at [*****] and [*****] then Genentech may [*****] x [*****] = [*****] of annual net sales against [*****] in the United States.</w:t>
      </w:r>
    </w:p>
    <w:p>
      <w:pPr>
        <w:spacing w:after="0" w:line="77" w:lineRule="exact"/>
        <w:rPr>
          <w:sz w:val="20"/>
          <w:szCs w:val="20"/>
          <w:color w:val="auto"/>
        </w:rPr>
      </w:pPr>
    </w:p>
    <w:p>
      <w:pPr>
        <w:ind w:left="2505" w:right="120" w:hanging="452"/>
        <w:spacing w:after="0" w:line="269" w:lineRule="auto"/>
        <w:tabs>
          <w:tab w:leader="none" w:pos="2505" w:val="left"/>
        </w:tabs>
        <w:numPr>
          <w:ilvl w:val="1"/>
          <w:numId w:val="326"/>
        </w:numPr>
        <w:rPr>
          <w:rFonts w:ascii="Arial" w:cs="Arial" w:eastAsia="Arial" w:hAnsi="Arial"/>
          <w:sz w:val="17"/>
          <w:szCs w:val="17"/>
          <w:b w:val="1"/>
          <w:bCs w:val="1"/>
          <w:color w:val="auto"/>
        </w:rPr>
      </w:pPr>
      <w:r>
        <w:rPr>
          <w:rFonts w:ascii="Arial" w:cs="Arial" w:eastAsia="Arial" w:hAnsi="Arial"/>
          <w:sz w:val="17"/>
          <w:szCs w:val="17"/>
          <w:color w:val="auto"/>
        </w:rPr>
        <w:t>For royalties on [*****] outside the United States, Genentech [*****] of the royalty amount calculated at the highest royalty rate applicable to royalties paid [*****] outside the United States, subject to the maximum obligations set forth in 5.10.2(C) below. By way of illustration, if [*****] provides that royalties payable to [*****] in Switzerland is negotiated to consist of [*****] tiers at [*****] and [*****] then Genentech shall have</w:t>
      </w:r>
    </w:p>
    <w:p>
      <w:pPr>
        <w:spacing w:after="0" w:line="2" w:lineRule="exact"/>
        <w:rPr>
          <w:rFonts w:ascii="Arial" w:cs="Arial" w:eastAsia="Arial" w:hAnsi="Arial"/>
          <w:sz w:val="17"/>
          <w:szCs w:val="17"/>
          <w:b w:val="1"/>
          <w:bCs w:val="1"/>
          <w:color w:val="auto"/>
        </w:rPr>
      </w:pPr>
    </w:p>
    <w:p>
      <w:pPr>
        <w:ind w:left="2505"/>
        <w:spacing w:after="0"/>
        <w:rPr>
          <w:rFonts w:ascii="Arial" w:cs="Arial" w:eastAsia="Arial" w:hAnsi="Arial"/>
          <w:sz w:val="17"/>
          <w:szCs w:val="17"/>
          <w:b w:val="1"/>
          <w:bCs w:val="1"/>
          <w:color w:val="auto"/>
        </w:rPr>
      </w:pPr>
      <w:r>
        <w:rPr>
          <w:rFonts w:ascii="Arial" w:cs="Arial" w:eastAsia="Arial" w:hAnsi="Arial"/>
          <w:sz w:val="18"/>
          <w:szCs w:val="18"/>
          <w:color w:val="auto"/>
        </w:rPr>
        <w:t>[*****] of such net sales [*****] outside the United States.</w:t>
      </w:r>
    </w:p>
    <w:p>
      <w:pPr>
        <w:spacing w:after="0" w:line="116" w:lineRule="exact"/>
        <w:rPr>
          <w:rFonts w:ascii="Arial" w:cs="Arial" w:eastAsia="Arial" w:hAnsi="Arial"/>
          <w:sz w:val="17"/>
          <w:szCs w:val="17"/>
          <w:b w:val="1"/>
          <w:bCs w:val="1"/>
          <w:color w:val="auto"/>
        </w:rPr>
      </w:pPr>
    </w:p>
    <w:p>
      <w:pPr>
        <w:ind w:left="2505" w:hanging="452"/>
        <w:spacing w:after="0"/>
        <w:tabs>
          <w:tab w:leader="none" w:pos="2505" w:val="left"/>
        </w:tabs>
        <w:numPr>
          <w:ilvl w:val="1"/>
          <w:numId w:val="326"/>
        </w:numPr>
        <w:rPr>
          <w:rFonts w:ascii="Arial" w:cs="Arial" w:eastAsia="Arial" w:hAnsi="Arial"/>
          <w:sz w:val="18"/>
          <w:szCs w:val="18"/>
          <w:b w:val="1"/>
          <w:bCs w:val="1"/>
          <w:color w:val="auto"/>
        </w:rPr>
      </w:pPr>
      <w:r>
        <w:rPr>
          <w:rFonts w:ascii="Arial" w:cs="Arial" w:eastAsia="Arial" w:hAnsi="Arial"/>
          <w:sz w:val="18"/>
          <w:szCs w:val="18"/>
          <w:color w:val="auto"/>
        </w:rPr>
        <w:t>In no event will the amounts Genentech [*****] under 5.10.2(A) or 5.10.2(B) above exceed the following:</w:t>
      </w:r>
    </w:p>
    <w:p>
      <w:pPr>
        <w:spacing w:after="0" w:line="130" w:lineRule="exact"/>
        <w:rPr>
          <w:rFonts w:ascii="Arial" w:cs="Arial" w:eastAsia="Arial" w:hAnsi="Arial"/>
          <w:sz w:val="18"/>
          <w:szCs w:val="18"/>
          <w:b w:val="1"/>
          <w:bCs w:val="1"/>
          <w:color w:val="auto"/>
        </w:rPr>
      </w:pPr>
    </w:p>
    <w:p>
      <w:pPr>
        <w:ind w:left="2965" w:hanging="453"/>
        <w:spacing w:after="0"/>
        <w:tabs>
          <w:tab w:leader="none" w:pos="2965" w:val="left"/>
        </w:tabs>
        <w:numPr>
          <w:ilvl w:val="2"/>
          <w:numId w:val="326"/>
        </w:numPr>
        <w:rPr>
          <w:rFonts w:ascii="Arial" w:cs="Arial" w:eastAsia="Arial" w:hAnsi="Arial"/>
          <w:sz w:val="18"/>
          <w:szCs w:val="18"/>
          <w:b w:val="1"/>
          <w:bCs w:val="1"/>
          <w:color w:val="auto"/>
        </w:rPr>
      </w:pPr>
      <w:r>
        <w:rPr>
          <w:rFonts w:ascii="Arial" w:cs="Arial" w:eastAsia="Arial" w:hAnsi="Arial"/>
          <w:sz w:val="18"/>
          <w:szCs w:val="18"/>
          <w:color w:val="auto"/>
        </w:rPr>
        <w:t>For net sales in the United States, an amount equal to [*****] of [*****] per calendar year.</w:t>
      </w:r>
    </w:p>
    <w:p>
      <w:pPr>
        <w:spacing w:after="0" w:line="130" w:lineRule="exact"/>
        <w:rPr>
          <w:rFonts w:ascii="Arial" w:cs="Arial" w:eastAsia="Arial" w:hAnsi="Arial"/>
          <w:sz w:val="18"/>
          <w:szCs w:val="18"/>
          <w:b w:val="1"/>
          <w:bCs w:val="1"/>
          <w:color w:val="auto"/>
        </w:rPr>
      </w:pPr>
    </w:p>
    <w:p>
      <w:pPr>
        <w:ind w:left="2965" w:hanging="453"/>
        <w:spacing w:after="0"/>
        <w:tabs>
          <w:tab w:leader="none" w:pos="2965" w:val="left"/>
        </w:tabs>
        <w:numPr>
          <w:ilvl w:val="2"/>
          <w:numId w:val="326"/>
        </w:numPr>
        <w:rPr>
          <w:rFonts w:ascii="Arial" w:cs="Arial" w:eastAsia="Arial" w:hAnsi="Arial"/>
          <w:sz w:val="18"/>
          <w:szCs w:val="18"/>
          <w:b w:val="1"/>
          <w:bCs w:val="1"/>
          <w:color w:val="auto"/>
        </w:rPr>
      </w:pPr>
      <w:r>
        <w:rPr>
          <w:rFonts w:ascii="Arial" w:cs="Arial" w:eastAsia="Arial" w:hAnsi="Arial"/>
          <w:sz w:val="18"/>
          <w:szCs w:val="18"/>
          <w:color w:val="auto"/>
        </w:rPr>
        <w:t>For net sales outside the United States, an amount equal to [*****] of [*****] per calendar year.”</w:t>
      </w:r>
    </w:p>
    <w:p>
      <w:pPr>
        <w:spacing w:after="0" w:line="130" w:lineRule="exact"/>
        <w:rPr>
          <w:rFonts w:ascii="Arial" w:cs="Arial" w:eastAsia="Arial" w:hAnsi="Arial"/>
          <w:sz w:val="18"/>
          <w:szCs w:val="18"/>
          <w:b w:val="1"/>
          <w:bCs w:val="1"/>
          <w:color w:val="auto"/>
        </w:rPr>
      </w:pPr>
    </w:p>
    <w:p>
      <w:pPr>
        <w:ind w:left="565" w:right="120" w:hanging="565"/>
        <w:spacing w:after="0" w:line="277" w:lineRule="auto"/>
        <w:tabs>
          <w:tab w:leader="none" w:pos="56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Attached to this Amendment is Appendix A that contains [*****] available to Genentech under Section 5.10 for different royalties that may be payable [*****].</w:t>
      </w:r>
    </w:p>
    <w:p>
      <w:pPr>
        <w:spacing w:after="0" w:line="76" w:lineRule="exact"/>
        <w:rPr>
          <w:sz w:val="20"/>
          <w:szCs w:val="20"/>
          <w:color w:val="auto"/>
        </w:rPr>
      </w:pPr>
    </w:p>
    <w:p>
      <w:pPr>
        <w:ind w:left="5"/>
        <w:spacing w:after="0"/>
        <w:tabs>
          <w:tab w:leader="none" w:pos="544"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Section 6.1.2 shall be amended to insert the following new sentence at the end of the existing Section 6.1.2:</w:t>
      </w:r>
    </w:p>
    <w:p>
      <w:pPr>
        <w:spacing w:after="0" w:line="117" w:lineRule="exact"/>
        <w:rPr>
          <w:sz w:val="20"/>
          <w:szCs w:val="20"/>
          <w:color w:val="auto"/>
        </w:rPr>
      </w:pPr>
    </w:p>
    <w:p>
      <w:pPr>
        <w:ind w:left="565" w:right="280"/>
        <w:spacing w:after="0" w:line="277" w:lineRule="auto"/>
        <w:rPr>
          <w:sz w:val="20"/>
          <w:szCs w:val="20"/>
          <w:color w:val="auto"/>
        </w:rPr>
      </w:pPr>
      <w:r>
        <w:rPr>
          <w:rFonts w:ascii="Arial" w:cs="Arial" w:eastAsia="Arial" w:hAnsi="Arial"/>
          <w:sz w:val="18"/>
          <w:szCs w:val="18"/>
          <w:color w:val="auto"/>
        </w:rPr>
        <w:t>“In the event that during any calendar quarter for which Genentech is providing a royalty report to ACI hereunder, Genentech [*****] the royalty report for the applicable calendar quarter will include the amount that Genentech [*****].”</w:t>
      </w:r>
    </w:p>
    <w:p>
      <w:pPr>
        <w:sectPr>
          <w:pgSz w:w="11900" w:h="16838" w:orient="portrait"/>
          <w:cols w:equalWidth="0" w:num="1">
            <w:col w:w="10785"/>
          </w:cols>
          <w:pgMar w:left="815" w:top="270" w:right="299" w:bottom="1440" w:gutter="0" w:footer="0" w:header="0"/>
        </w:sectPr>
      </w:pPr>
    </w:p>
    <w:bookmarkStart w:id="402" w:name="page403"/>
    <w:bookmarkEnd w:id="402"/>
    <w:p>
      <w:pPr>
        <w:jc w:val="center"/>
        <w:ind w:right="5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515"/>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515"/>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65" w:right="4480" w:hanging="565"/>
        <w:spacing w:after="0" w:line="383" w:lineRule="auto"/>
        <w:tabs>
          <w:tab w:leader="none" w:pos="55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Section 5.3.1(iii) shall be deleted in its entirety and replaced with the following: “5.3.1(iii) [*****] or (b) [*****]”</w:t>
      </w:r>
    </w:p>
    <w:p>
      <w:pPr>
        <w:spacing w:after="0" w:line="1" w:lineRule="exact"/>
        <w:rPr>
          <w:sz w:val="20"/>
          <w:szCs w:val="20"/>
          <w:color w:val="auto"/>
        </w:rPr>
      </w:pPr>
    </w:p>
    <w:p>
      <w:pPr>
        <w:ind w:left="5"/>
        <w:spacing w:after="0"/>
        <w:tabs>
          <w:tab w:leader="none" w:pos="544"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color w:val="auto"/>
        </w:rPr>
        <w:t>Section 5.8 shall be amended to add the following new sentence at the end of the existing Section 5.8:</w:t>
      </w:r>
    </w:p>
    <w:p>
      <w:pPr>
        <w:spacing w:after="0" w:line="117" w:lineRule="exact"/>
        <w:rPr>
          <w:sz w:val="20"/>
          <w:szCs w:val="20"/>
          <w:color w:val="auto"/>
        </w:rPr>
      </w:pPr>
    </w:p>
    <w:p>
      <w:pPr>
        <w:ind w:left="565"/>
        <w:spacing w:after="0" w:line="279" w:lineRule="auto"/>
        <w:rPr>
          <w:sz w:val="20"/>
          <w:szCs w:val="20"/>
          <w:color w:val="auto"/>
        </w:rPr>
      </w:pPr>
      <w:r>
        <w:rPr>
          <w:rFonts w:ascii="Arial" w:cs="Arial" w:eastAsia="Arial" w:hAnsi="Arial"/>
          <w:sz w:val="17"/>
          <w:szCs w:val="17"/>
          <w:color w:val="auto"/>
        </w:rPr>
        <w:t>“In the event that Genentech takes a royalty deduction under Section 5.10 with respect to any Therapeutic Product, then no further deductions shall be made to the royalty owing for such Therapeutic Product under this Section 5.8. For clarity, in the event that the deductions set forth in either Section 5.10 or this Section 5.8 are applicable to a given sale of a Therapeutic Product, Genentech may elect to apply either deduction (under Section 5.8 or Section 5.10) to the royalty owing to ACI for such sale.”</w:t>
      </w:r>
    </w:p>
    <w:p>
      <w:pPr>
        <w:spacing w:after="0" w:line="77" w:lineRule="exact"/>
        <w:rPr>
          <w:sz w:val="20"/>
          <w:szCs w:val="20"/>
          <w:color w:val="auto"/>
        </w:rPr>
      </w:pPr>
    </w:p>
    <w:p>
      <w:pPr>
        <w:ind w:left="5"/>
        <w:spacing w:after="0"/>
        <w:tabs>
          <w:tab w:leader="none" w:pos="544" w:val="left"/>
        </w:tabs>
        <w:rPr>
          <w:sz w:val="20"/>
          <w:szCs w:val="20"/>
          <w:color w:val="auto"/>
        </w:rPr>
      </w:pPr>
      <w:r>
        <w:rPr>
          <w:rFonts w:ascii="Arial" w:cs="Arial" w:eastAsia="Arial" w:hAnsi="Arial"/>
          <w:sz w:val="18"/>
          <w:szCs w:val="18"/>
          <w:color w:val="auto"/>
        </w:rPr>
        <w:t>VII.</w:t>
        <w:tab/>
        <w:t>Genentech shall use commercially reasonable efforts to obtain in [*****] a waiver and release from [*****] with respect to [*****].</w:t>
      </w:r>
    </w:p>
    <w:p>
      <w:pPr>
        <w:spacing w:after="0" w:line="131" w:lineRule="exact"/>
        <w:rPr>
          <w:sz w:val="20"/>
          <w:szCs w:val="20"/>
          <w:color w:val="auto"/>
        </w:rPr>
      </w:pPr>
    </w:p>
    <w:p>
      <w:pPr>
        <w:ind w:left="565" w:hanging="559"/>
        <w:spacing w:after="0" w:line="286" w:lineRule="auto"/>
        <w:tabs>
          <w:tab w:leader="none" w:pos="544" w:val="left"/>
        </w:tabs>
        <w:rPr>
          <w:sz w:val="20"/>
          <w:szCs w:val="20"/>
          <w:color w:val="auto"/>
        </w:rPr>
      </w:pPr>
      <w:r>
        <w:rPr>
          <w:rFonts w:ascii="Arial" w:cs="Arial" w:eastAsia="Arial" w:hAnsi="Arial"/>
          <w:sz w:val="17"/>
          <w:szCs w:val="17"/>
          <w:color w:val="auto"/>
        </w:rPr>
        <w:t>VIII.</w:t>
        <w:tab/>
        <w:t>The effective date of this Amendment is May 7, 2015 (the “Amendment Effective Date”). Any discrepancy between the terms of this Amendment and the terms of the Agreement, the terms of this Amendment shall govern with respect to the subject matter expressly addressed herein. Except as expressly amended herein, all terms and conditions of the Agreement remain in full force and effect.</w:t>
      </w:r>
    </w:p>
    <w:p>
      <w:pPr>
        <w:spacing w:after="0" w:line="71" w:lineRule="exact"/>
        <w:rPr>
          <w:sz w:val="20"/>
          <w:szCs w:val="20"/>
          <w:color w:val="auto"/>
        </w:rPr>
      </w:pPr>
    </w:p>
    <w:p>
      <w:pPr>
        <w:ind w:left="5"/>
        <w:spacing w:after="0"/>
        <w:tabs>
          <w:tab w:leader="none" w:pos="544" w:val="left"/>
        </w:tabs>
        <w:rPr>
          <w:sz w:val="20"/>
          <w:szCs w:val="20"/>
          <w:color w:val="auto"/>
        </w:rPr>
      </w:pPr>
      <w:r>
        <w:rPr>
          <w:rFonts w:ascii="Arial" w:cs="Arial" w:eastAsia="Arial" w:hAnsi="Arial"/>
          <w:sz w:val="18"/>
          <w:szCs w:val="18"/>
          <w:color w:val="auto"/>
        </w:rPr>
        <w:t>IX.</w:t>
      </w:r>
      <w:r>
        <w:rPr>
          <w:sz w:val="20"/>
          <w:szCs w:val="20"/>
          <w:color w:val="auto"/>
        </w:rPr>
        <w:tab/>
      </w:r>
      <w:r>
        <w:rPr>
          <w:rFonts w:ascii="Arial" w:cs="Arial" w:eastAsia="Arial" w:hAnsi="Arial"/>
          <w:sz w:val="18"/>
          <w:szCs w:val="18"/>
          <w:color w:val="auto"/>
        </w:rPr>
        <w:t>Section 10.1.2(a) of the Agreement is hereby deleted in its entirety and replaced with the following new Section 10.1.2(a):</w:t>
      </w:r>
    </w:p>
    <w:p>
      <w:pPr>
        <w:spacing w:after="0" w:line="117" w:lineRule="exact"/>
        <w:rPr>
          <w:sz w:val="20"/>
          <w:szCs w:val="20"/>
          <w:color w:val="auto"/>
        </w:rPr>
      </w:pPr>
    </w:p>
    <w:p>
      <w:pPr>
        <w:ind w:left="565" w:right="20"/>
        <w:spacing w:after="0" w:line="277" w:lineRule="auto"/>
        <w:rPr>
          <w:sz w:val="20"/>
          <w:szCs w:val="20"/>
          <w:color w:val="auto"/>
        </w:rPr>
      </w:pPr>
      <w:r>
        <w:rPr>
          <w:rFonts w:ascii="Arial" w:cs="Arial" w:eastAsia="Arial" w:hAnsi="Arial"/>
          <w:sz w:val="18"/>
          <w:szCs w:val="18"/>
          <w:color w:val="auto"/>
        </w:rPr>
        <w:t>“To ACi’s knowledge as of the Effective Date, ACI is the sole and exclusive owner of the ACI IP Rights existing as of the Effective Date free and clear of any liens or encumbrances.”</w:t>
      </w:r>
    </w:p>
    <w:p>
      <w:pPr>
        <w:spacing w:after="0" w:line="76" w:lineRule="exact"/>
        <w:rPr>
          <w:sz w:val="20"/>
          <w:szCs w:val="20"/>
          <w:color w:val="auto"/>
        </w:rPr>
      </w:pPr>
    </w:p>
    <w:p>
      <w:pPr>
        <w:ind w:left="565" w:right="200" w:hanging="565"/>
        <w:spacing w:after="0" w:line="264" w:lineRule="auto"/>
        <w:tabs>
          <w:tab w:leader="none" w:pos="56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 the event that a court, arbitrator or other competent authority in any jurisdiction orders Genentech to pay damages or other compensation related to [*****], then the deduction from royalties payable to ACI for such sales shall be adjusted as described in Section 5.10 as if such payment obligation to [*****] had arisen under the [*****].</w:t>
      </w:r>
    </w:p>
    <w:p>
      <w:pPr>
        <w:sectPr>
          <w:pgSz w:w="11900" w:h="16838" w:orient="portrait"/>
          <w:cols w:equalWidth="0" w:num="1">
            <w:col w:w="10805"/>
          </w:cols>
          <w:pgMar w:left="815" w:top="269" w:right="279" w:bottom="1440" w:gutter="0" w:footer="0" w:header="0"/>
        </w:sectPr>
      </w:pPr>
    </w:p>
    <w:bookmarkStart w:id="403" w:name="page404"/>
    <w:bookmarkEnd w:id="4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38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ectPr>
          <w:pgSz w:w="11900" w:h="16838" w:orient="portrait"/>
          <w:cols w:equalWidth="0" w:num="1">
            <w:col w:w="11420"/>
          </w:cols>
          <w:pgMar w:left="240" w:top="269" w:right="239" w:bottom="1440" w:gutter="0" w:footer="0" w:header="0"/>
        </w:sectPr>
      </w:pP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XI.</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Capitalized terms used and not otherwise defined herein shall have the respective meanings ascribed to them in the Agreement that is being amended hereby. The Agreement remains in full force and effect, as amended by this Amendment.</w:t>
      </w:r>
    </w:p>
    <w:p>
      <w:pPr>
        <w:spacing w:after="0" w:line="76" w:lineRule="exact"/>
        <w:rPr>
          <w:sz w:val="20"/>
          <w:szCs w:val="20"/>
          <w:color w:val="auto"/>
        </w:rPr>
      </w:pPr>
    </w:p>
    <w:p>
      <w:pPr>
        <w:sectPr>
          <w:pgSz w:w="11900" w:h="16838" w:orient="portrait"/>
          <w:cols w:equalWidth="0" w:num="2">
            <w:col w:w="820" w:space="320"/>
            <w:col w:w="10280"/>
          </w:cols>
          <w:pgMar w:left="240" w:top="269" w:right="2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XII.</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This Amendment may be executed in two or more counterparts, each of which will be deemed an original, but all of which together will constitute one and the same instrument. For purposes hereof, a facsimile copy of this Amendment, including the signature pages hereto will be deemed to be an original. Notwithstanding the foregoing, the Parties shall deliver original execution copies of this Amendment to one another as soon as practicable following execution thereof.</w:t>
      </w:r>
    </w:p>
    <w:p>
      <w:pPr>
        <w:spacing w:after="0" w:line="187" w:lineRule="exact"/>
        <w:rPr>
          <w:sz w:val="20"/>
          <w:szCs w:val="20"/>
          <w:color w:val="auto"/>
        </w:rPr>
      </w:pPr>
    </w:p>
    <w:p>
      <w:pPr>
        <w:sectPr>
          <w:pgSz w:w="11900" w:h="16838" w:orient="portrait"/>
          <w:cols w:equalWidth="0" w:num="2">
            <w:col w:w="880" w:space="260"/>
            <w:col w:w="10280"/>
          </w:cols>
          <w:pgMar w:left="240" w:top="269" w:right="239" w:bottom="1440" w:gutter="0" w:footer="0" w:header="0"/>
          <w:type w:val="continuous"/>
        </w:sectPr>
      </w:pPr>
    </w:p>
    <w:p>
      <w:pPr>
        <w:ind w:right="440"/>
        <w:spacing w:after="0" w:line="277" w:lineRule="auto"/>
        <w:rPr>
          <w:sz w:val="20"/>
          <w:szCs w:val="20"/>
          <w:color w:val="auto"/>
        </w:rPr>
      </w:pPr>
      <w:r>
        <w:rPr>
          <w:rFonts w:ascii="Arial" w:cs="Arial" w:eastAsia="Arial" w:hAnsi="Arial"/>
          <w:sz w:val="18"/>
          <w:szCs w:val="18"/>
          <w:color w:val="auto"/>
        </w:rPr>
        <w:t>IN WITNESS WHEREOF, the Parties have caused this Amendment to be signed by their duly authorized representatives effective as of the Amendment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Genentech,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Pfeifer</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Krognes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A. Pfeifer</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Steven Krognes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CEO</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CFO</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May 12, 2015</w:t>
            </w:r>
          </w:p>
        </w:tc>
        <w:tc>
          <w:tcPr>
            <w:tcW w:w="126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5/5/15</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 Fabien Maurin</w:t>
            </w: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Jean Fabien Maurin</w:t>
            </w:r>
          </w:p>
        </w:tc>
        <w:tc>
          <w:tcPr>
            <w:tcW w:w="126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CFO</w:t>
            </w: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May 12, 2015</w:t>
            </w: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type w:val="continuous"/>
        </w:sectPr>
      </w:pPr>
    </w:p>
    <w:bookmarkStart w:id="404" w:name="page405"/>
    <w:bookmarkEnd w:id="40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Royalty Reduction Examples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RESEARCH COLLABORATION AND LICENSE AGREEMENT</w:t>
      </w:r>
    </w:p>
    <w:p>
      <w:pPr>
        <w:spacing w:after="0" w:line="225" w:lineRule="exact"/>
        <w:rPr>
          <w:sz w:val="20"/>
          <w:szCs w:val="20"/>
          <w:color w:val="auto"/>
        </w:rPr>
      </w:pPr>
    </w:p>
    <w:p>
      <w:pPr>
        <w:jc w:val="both"/>
        <w:ind w:right="180" w:firstLine="456"/>
        <w:spacing w:after="0" w:line="289" w:lineRule="auto"/>
        <w:rPr>
          <w:sz w:val="20"/>
          <w:szCs w:val="20"/>
          <w:color w:val="auto"/>
        </w:rPr>
      </w:pPr>
      <w:r>
        <w:rPr>
          <w:rFonts w:ascii="Arial" w:cs="Arial" w:eastAsia="Arial" w:hAnsi="Arial"/>
          <w:sz w:val="16"/>
          <w:szCs w:val="16"/>
          <w:color w:val="auto"/>
        </w:rPr>
        <w:t>This Research Collaboration and License Agreement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the 15th day of June 2012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AC Immune SA Corporation, a Swiss corporation with a principal place of business at Parc scientifique EPFL, PSE-B, CH-1015 Lausanne, Switzerland (“</w:t>
      </w:r>
      <w:r>
        <w:rPr>
          <w:rFonts w:ascii="Arial" w:cs="Arial" w:eastAsia="Arial" w:hAnsi="Arial"/>
          <w:sz w:val="16"/>
          <w:szCs w:val="16"/>
          <w:b w:val="1"/>
          <w:bCs w:val="1"/>
          <w:color w:val="auto"/>
        </w:rPr>
        <w:t>ACI</w:t>
      </w:r>
      <w:r>
        <w:rPr>
          <w:rFonts w:ascii="Arial" w:cs="Arial" w:eastAsia="Arial" w:hAnsi="Arial"/>
          <w:sz w:val="16"/>
          <w:szCs w:val="16"/>
          <w:color w:val="auto"/>
        </w:rPr>
        <w:t>”) and Genentech, Inc., a Delaware corporation, with offices located at 1 DNA Way, South San Francisco, CA 94080 (“</w:t>
      </w:r>
      <w:r>
        <w:rPr>
          <w:rFonts w:ascii="Arial" w:cs="Arial" w:eastAsia="Arial" w:hAnsi="Arial"/>
          <w:sz w:val="16"/>
          <w:szCs w:val="16"/>
          <w:b w:val="1"/>
          <w:bCs w:val="1"/>
          <w:color w:val="auto"/>
        </w:rPr>
        <w:t>GNE</w:t>
      </w:r>
      <w:r>
        <w:rPr>
          <w:rFonts w:ascii="Arial" w:cs="Arial" w:eastAsia="Arial" w:hAnsi="Arial"/>
          <w:sz w:val="16"/>
          <w:szCs w:val="16"/>
          <w:color w:val="auto"/>
        </w:rPr>
        <w:t>”) and F.</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Hoffmann-La Roche Ltd, a Swiss corporation with its principal place of business at Grenzacherstrasse 124, CH 4070 Basel, Switzerland (“</w:t>
      </w:r>
      <w:r>
        <w:rPr>
          <w:rFonts w:ascii="Arial" w:cs="Arial" w:eastAsia="Arial" w:hAnsi="Arial"/>
          <w:sz w:val="17"/>
          <w:szCs w:val="17"/>
          <w:b w:val="1"/>
          <w:bCs w:val="1"/>
          <w:color w:val="auto"/>
        </w:rPr>
        <w:t>Roche</w:t>
      </w:r>
      <w:r>
        <w:rPr>
          <w:rFonts w:ascii="Arial" w:cs="Arial" w:eastAsia="Arial" w:hAnsi="Arial"/>
          <w:sz w:val="17"/>
          <w:szCs w:val="17"/>
          <w:color w:val="auto"/>
        </w:rPr>
        <w:t>”) (GNE and Roche, collectively, “</w:t>
      </w:r>
      <w:r>
        <w:rPr>
          <w:rFonts w:ascii="Arial" w:cs="Arial" w:eastAsia="Arial" w:hAnsi="Arial"/>
          <w:sz w:val="17"/>
          <w:szCs w:val="17"/>
          <w:b w:val="1"/>
          <w:bCs w:val="1"/>
          <w:color w:val="auto"/>
        </w:rPr>
        <w:t>Genentech</w:t>
      </w:r>
      <w:r>
        <w:rPr>
          <w:rFonts w:ascii="Arial" w:cs="Arial" w:eastAsia="Arial" w:hAnsi="Arial"/>
          <w:sz w:val="17"/>
          <w:szCs w:val="17"/>
          <w:color w:val="auto"/>
        </w:rPr>
        <w:t>”). ACI and Genentech are each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ACI possesses certain expertise and proprietary technologies related to antibody products that interact with tau protein and its derivatives.</w:t>
      </w:r>
    </w:p>
    <w:p>
      <w:pPr>
        <w:spacing w:after="0" w:line="24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WHEREAS ACI and Genentech wish to collaborate in further research related to antibody materials that interact with tau protein and its derivatives for the diagnosis, prevention and treatment of diseases;</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WHEREAS Genentech is a health care company with expertise and capability in researching, developing, manufacturing and marketing human therapeutics and diagnostics;</w:t>
      </w:r>
    </w:p>
    <w:p>
      <w:pPr>
        <w:spacing w:after="0" w:line="170"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WHEREAS, ACI and Genentech wish to enter into an exclusive licensing arrangement whereby Genentech will have exclusive rights to research, develop and commercialize antibody products that interact with tau protein derivatives for the selection and evaluation of patients and the treatment of Alzheimer’s disease and other indications in exchange for upfront, milestone and royalty payments.</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for other good and valuable consideration, the amount and sufficiency of which are hereby acknowledged,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ACI Antibodies</w:t>
      </w:r>
      <w:r>
        <w:rPr>
          <w:rFonts w:ascii="Arial" w:cs="Arial" w:eastAsia="Arial" w:hAnsi="Arial"/>
          <w:sz w:val="18"/>
          <w:szCs w:val="18"/>
          <w:color w:val="auto"/>
        </w:rPr>
        <w:t>” means all Tau-Active Antibodies that are owned or Controlled by ACI as of the Effective Date, or during the Term of this Agreement, or provided by, or on behalf of, ACI to the Research Program; but [*****].</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ACI Confidential Information</w:t>
      </w:r>
      <w:r>
        <w:rPr>
          <w:rFonts w:ascii="Arial" w:cs="Arial" w:eastAsia="Arial" w:hAnsi="Arial"/>
          <w:sz w:val="18"/>
          <w:szCs w:val="18"/>
          <w:color w:val="auto"/>
        </w:rPr>
        <w:t>” means Confidential Information disclosed or provided by, or on behalf of, ACI to Genentech or its designees, other than [*****].</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ACI IP Rights</w:t>
      </w:r>
      <w:r>
        <w:rPr>
          <w:rFonts w:ascii="Arial" w:cs="Arial" w:eastAsia="Arial" w:hAnsi="Arial"/>
          <w:sz w:val="18"/>
          <w:szCs w:val="18"/>
          <w:color w:val="auto"/>
        </w:rPr>
        <w:t xml:space="preserve">” means (i) all Patents which claim Tau-Active Antibodies (including assays, and methods of immunization to generate, methods of making or methods of using any of the foregoing) or methods of screening or detecting Tau interaction, binding or modulation activity, which Patents include but are not limited to those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and (ii) all other intellectual property rights in and to Know-How related to Licensed Products and Tau-Active Antibodies (including assays, and methods of immunization to generate, methods of making or methods of using any of the foregoing) or methods of screening or detecting Tau interaction, binding or modulation activity; in each case (a) owned or Controlled by ACI or its Affiliates as of the Effective Date or during the Term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121" w:right="239" w:bottom="1440" w:gutter="0" w:footer="0" w:header="0"/>
        </w:sectPr>
      </w:pPr>
    </w:p>
    <w:bookmarkStart w:id="406" w:name="page407"/>
    <w:bookmarkEnd w:id="4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Agreement, which shall include (A) those antibodies that have been generated as of the Effective Date utilizing the antigens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but have not yet been sequenced or characterized and (B) those antibodies that will be generated by ACI through the use of the antigens listed on Exhibit C (each in clauses (A) and (B), a “</w:t>
      </w:r>
      <w:r>
        <w:rPr>
          <w:rFonts w:ascii="Arial" w:cs="Arial" w:eastAsia="Arial" w:hAnsi="Arial"/>
          <w:sz w:val="17"/>
          <w:szCs w:val="17"/>
          <w:u w:val="single" w:color="auto"/>
          <w:color w:val="auto"/>
        </w:rPr>
        <w:t>Discovery Antibody</w:t>
      </w:r>
      <w:r>
        <w:rPr>
          <w:rFonts w:ascii="Arial" w:cs="Arial" w:eastAsia="Arial" w:hAnsi="Arial"/>
          <w:sz w:val="17"/>
          <w:szCs w:val="17"/>
          <w:color w:val="auto"/>
        </w:rPr>
        <w:t>” or collectively the “</w:t>
      </w:r>
      <w:r>
        <w:rPr>
          <w:rFonts w:ascii="Arial" w:cs="Arial" w:eastAsia="Arial" w:hAnsi="Arial"/>
          <w:sz w:val="17"/>
          <w:szCs w:val="17"/>
          <w:u w:val="single" w:color="auto"/>
          <w:color w:val="auto"/>
        </w:rPr>
        <w:t>Discovery Antibodies</w:t>
      </w:r>
      <w:r>
        <w:rPr>
          <w:rFonts w:ascii="Arial" w:cs="Arial" w:eastAsia="Arial" w:hAnsi="Arial"/>
          <w:sz w:val="17"/>
          <w:szCs w:val="17"/>
          <w:color w:val="auto"/>
        </w:rPr>
        <w:t>”) (b) excluding (1) any [*****], (2) any claims which are specific to [*****], but in each case except to the extent rights to and under such claims which are specific to a [*****] are necessary for Genentech to fully exploit its rights and activities as contemplated in this Agreement, including research, development and commercialization of Licensed Products in the Genentech Field and (3) any claims specifically directed to methods for producing antibodies other than Tau-Active Antibodies [*****] Tau.</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ACI Licensee</w:t>
      </w:r>
      <w:r>
        <w:rPr>
          <w:rFonts w:ascii="Arial" w:cs="Arial" w:eastAsia="Arial" w:hAnsi="Arial"/>
          <w:sz w:val="18"/>
          <w:szCs w:val="18"/>
          <w:color w:val="auto"/>
        </w:rPr>
        <w:t>” means any Third Party which enters into an agreement with ACI or an Affiliate of ACI involving the grant to such Third Party of a right to make, use, sell, offer for sale or import a Tau-Active Antibody outside the Genentech Field.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ACI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Additional Indication</w:t>
      </w:r>
      <w:r>
        <w:rPr>
          <w:rFonts w:ascii="Arial" w:cs="Arial" w:eastAsia="Arial" w:hAnsi="Arial"/>
          <w:sz w:val="18"/>
          <w:szCs w:val="18"/>
          <w:color w:val="auto"/>
        </w:rPr>
        <w:t>” means any disease condition, [*****].</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any Person that, directly or indirectly (through one or more intermediaries) controls, is controlled by, or is under common control with a Party. For purposes of this </w:t>
      </w:r>
      <w:r>
        <w:rPr>
          <w:rFonts w:ascii="Arial" w:cs="Arial" w:eastAsia="Arial" w:hAnsi="Arial"/>
          <w:sz w:val="18"/>
          <w:szCs w:val="18"/>
          <w:u w:val="single" w:color="auto"/>
          <w:color w:val="auto"/>
        </w:rPr>
        <w:t>Section 1.9</w:t>
      </w:r>
      <w:r>
        <w:rPr>
          <w:rFonts w:ascii="Arial" w:cs="Arial" w:eastAsia="Arial" w:hAnsi="Arial"/>
          <w:sz w:val="18"/>
          <w:szCs w:val="18"/>
          <w:color w:val="auto"/>
        </w:rPr>
        <w:t>, “</w:t>
      </w:r>
      <w:r>
        <w:rPr>
          <w:rFonts w:ascii="Arial" w:cs="Arial" w:eastAsia="Arial" w:hAnsi="Arial"/>
          <w:sz w:val="18"/>
          <w:szCs w:val="18"/>
          <w:u w:val="single" w:color="auto"/>
          <w:color w:val="auto"/>
        </w:rPr>
        <w:t>control</w:t>
      </w:r>
      <w:r>
        <w:rPr>
          <w:rFonts w:ascii="Arial" w:cs="Arial" w:eastAsia="Arial" w:hAnsi="Arial"/>
          <w:sz w:val="18"/>
          <w:szCs w:val="18"/>
          <w:color w:val="auto"/>
        </w:rPr>
        <w:t>” means (i) the direct or indirect ownership of fifty percent (50%) or more of the voting stock or other voting interests or interest in the profits of the Party, or (ii) the ability to otherwise control or direct the decisions of the board of directors or equivalent governing body thereof. For purposes of this Agreement, with respect to Genentech, the term “</w:t>
      </w:r>
      <w:r>
        <w:rPr>
          <w:rFonts w:ascii="Arial" w:cs="Arial" w:eastAsia="Arial" w:hAnsi="Arial"/>
          <w:sz w:val="18"/>
          <w:szCs w:val="18"/>
          <w:u w:val="single" w:color="auto"/>
          <w:color w:val="auto"/>
        </w:rPr>
        <w:t>Affiliate</w:t>
      </w:r>
      <w:r>
        <w:rPr>
          <w:rFonts w:ascii="Arial" w:cs="Arial" w:eastAsia="Arial" w:hAnsi="Arial"/>
          <w:sz w:val="18"/>
          <w:szCs w:val="18"/>
          <w:color w:val="auto"/>
        </w:rPr>
        <w:t>” shall not include [*****] and its successors, or any entity that controls, is controlled by or is under common control with [*****], in each case that is not controlled by Genentech unless and until GNE [*****] provides written notice to ACI specifying [*****] as an Affiliate of Genentech.</w:t>
      </w:r>
    </w:p>
    <w:p>
      <w:pPr>
        <w:spacing w:after="0" w:line="193" w:lineRule="exact"/>
        <w:rPr>
          <w:sz w:val="20"/>
          <w:szCs w:val="20"/>
          <w:color w:val="auto"/>
        </w:rPr>
      </w:pPr>
    </w:p>
    <w:p>
      <w:pPr>
        <w:jc w:val="both"/>
        <w:ind w:right="160" w:firstLine="456"/>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all applicable statutes, ordinances, regulations, rules, or orders of any kind whatsoever of any government or regulatory authority, or court, of competent jurisdiction.</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BLA</w:t>
      </w:r>
      <w:r>
        <w:rPr>
          <w:rFonts w:ascii="Arial" w:cs="Arial" w:eastAsia="Arial" w:hAnsi="Arial"/>
          <w:sz w:val="18"/>
          <w:szCs w:val="18"/>
          <w:color w:val="auto"/>
        </w:rPr>
        <w:t>” means a complete biologics license application as defined in, and containing the content, and in the format, required by 21 C.F.R. § 600 et seq filed with the FDA, or a corresponding application with a Regulatory Authority in a country other than the United States, together with all replacements, additions, deletions, and supplements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Blocking Third Party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5.7.2</w:t>
      </w:r>
      <w:r>
        <w:rPr>
          <w:rFonts w:ascii="Arial" w:cs="Arial" w:eastAsia="Arial" w:hAnsi="Arial"/>
          <w:sz w:val="18"/>
          <w:szCs w:val="18"/>
          <w:color w:val="auto"/>
        </w:rPr>
        <w:t>.</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Business Day(s)</w:t>
      </w:r>
      <w:r>
        <w:rPr>
          <w:rFonts w:ascii="Arial" w:cs="Arial" w:eastAsia="Arial" w:hAnsi="Arial"/>
          <w:sz w:val="18"/>
          <w:szCs w:val="18"/>
          <w:color w:val="auto"/>
        </w:rPr>
        <w:t>” means any day, other than a Saturday, Sunday or day on which commercial banks located in San Francisco or Lausanne are authorized or required by law or regulation to close.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set forth in Section 14.3.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means the exercise of such efforts and commitment of such resources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70" w:right="239" w:bottom="1440" w:gutter="0" w:footer="0" w:header="0"/>
        </w:sectPr>
      </w:pPr>
    </w:p>
    <w:bookmarkStart w:id="407" w:name="page408"/>
    <w:bookmarkEnd w:id="4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Competitor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(i) all information and materials (of whatever kind and in whatever form or medium) disclosed by or on behalf of a Party to the other Party (or its designee) in connection with this Agreement, including any Know-How, whether prior to or during the term of this Agreement (including any such information and materials disclosed pursuant to the Confidential Disclosure Agreement between the Parties dated March 18, 2010, as amended) and whether provided orally, electronically, visually, or in writing; (ii) all copies of the information and materials described in (i) above; and (iii) the existence and each of the terms and conditions of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not include, to the extent a Party can demonstrate, through its contemporaneous written records, information and materials (a) known to the receiving Party, or in the public domain, at the time of its receipt by a Party, or which thereafter becomes part of the public domain other than by virtue of a breach of this Agreement or the obligations of confidentiality under this Agreement; (b) received without an obligation of confidentiality from a Third Party having the right to disclose without restriction such information; (c) independently developed by the receiving Party without use of or reference to Confidential Information disclosed by the other Party; and (d) released from the restrictions set forth in this Agreement by the express prior written consent of the disclosing Party.</w:t>
      </w:r>
    </w:p>
    <w:p>
      <w:pPr>
        <w:spacing w:after="0" w:line="16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u w:val="single" w:color="auto"/>
          <w:color w:val="auto"/>
        </w:rPr>
        <w:t>Control(s)</w:t>
      </w:r>
      <w:r>
        <w:rPr>
          <w:rFonts w:ascii="Arial" w:cs="Arial" w:eastAsia="Arial" w:hAnsi="Arial"/>
          <w:sz w:val="16"/>
          <w:szCs w:val="16"/>
          <w:color w:val="auto"/>
        </w:rPr>
        <w:t>” or “</w:t>
      </w:r>
      <w:r>
        <w:rPr>
          <w:rFonts w:ascii="Arial" w:cs="Arial" w:eastAsia="Arial" w:hAnsi="Arial"/>
          <w:sz w:val="16"/>
          <w:szCs w:val="16"/>
          <w:u w:val="single" w:color="auto"/>
          <w:color w:val="auto"/>
        </w:rPr>
        <w:t>Controlled</w:t>
      </w:r>
      <w:r>
        <w:rPr>
          <w:rFonts w:ascii="Arial" w:cs="Arial" w:eastAsia="Arial" w:hAnsi="Arial"/>
          <w:sz w:val="16"/>
          <w:szCs w:val="16"/>
          <w:color w:val="auto"/>
        </w:rPr>
        <w:t>” means the possession by a Party, as of the Effective Date or during the term of this Agreement, with respect to Know How or Patent rights either (i) physical possession or the right to such physical possession of those items, with the right to provide them to Third Parties; or</w:t>
      </w:r>
    </w:p>
    <w:p>
      <w:pPr>
        <w:ind w:right="320" w:firstLine="8"/>
        <w:spacing w:after="0" w:line="261" w:lineRule="auto"/>
        <w:tabs>
          <w:tab w:leader="none" w:pos="26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rights sufficient to grant the applicable license or sublicense under this Agreement, in each case without violating the terms of any agreement with any Third Party.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CRO</w:t>
      </w:r>
      <w:r>
        <w:rPr>
          <w:rFonts w:ascii="Arial" w:cs="Arial" w:eastAsia="Arial" w:hAnsi="Arial"/>
          <w:sz w:val="18"/>
          <w:szCs w:val="18"/>
          <w:color w:val="auto"/>
        </w:rPr>
        <w:t>” means a Third Party contract research organization.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Covers</w:t>
      </w:r>
      <w:r>
        <w:rPr>
          <w:rFonts w:ascii="Arial" w:cs="Arial" w:eastAsia="Arial" w:hAnsi="Arial"/>
          <w:sz w:val="18"/>
          <w:szCs w:val="18"/>
          <w:color w:val="auto"/>
        </w:rPr>
        <w:t>” or “</w:t>
      </w:r>
      <w:r>
        <w:rPr>
          <w:rFonts w:ascii="Arial" w:cs="Arial" w:eastAsia="Arial" w:hAnsi="Arial"/>
          <w:sz w:val="18"/>
          <w:szCs w:val="18"/>
          <w:u w:val="single" w:color="auto"/>
          <w:color w:val="auto"/>
        </w:rPr>
        <w:t>Covered by</w:t>
      </w:r>
      <w:r>
        <w:rPr>
          <w:rFonts w:ascii="Arial" w:cs="Arial" w:eastAsia="Arial" w:hAnsi="Arial"/>
          <w:sz w:val="18"/>
          <w:szCs w:val="18"/>
          <w:color w:val="auto"/>
        </w:rPr>
        <w:t>,” or the like, with reference to a particular Licensed Product means that the making, using, selling, offering for sale, or importing of such Licensed Product would, but for ownership of, or a license granted under this Agreement to, the relevant Patent infringe a Valid Patent Claim of the relevant Patent in the country in which the activity occurs.</w:t>
      </w:r>
    </w:p>
    <w:p>
      <w:pPr>
        <w:spacing w:after="0" w:line="181"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1.19 “</w:t>
      </w:r>
      <w:r>
        <w:rPr>
          <w:rFonts w:ascii="Arial" w:cs="Arial" w:eastAsia="Arial" w:hAnsi="Arial"/>
          <w:sz w:val="17"/>
          <w:szCs w:val="17"/>
          <w:u w:val="single" w:color="auto"/>
          <w:color w:val="auto"/>
        </w:rPr>
        <w:t>Diagnostic Field</w:t>
      </w:r>
      <w:r>
        <w:rPr>
          <w:rFonts w:ascii="Arial" w:cs="Arial" w:eastAsia="Arial" w:hAnsi="Arial"/>
          <w:sz w:val="17"/>
          <w:szCs w:val="17"/>
          <w:color w:val="auto"/>
        </w:rPr>
        <w:t>” means the detection and/or quantification of the presence or amount of an analyte in body fluids or tissue that affects the pathogenesis of any disease or a biological marker or a set of biological markers shown to indicate a predisposition to any disease.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Diagnostic Net Sales</w:t>
      </w:r>
      <w:r>
        <w:rPr>
          <w:rFonts w:ascii="Arial" w:cs="Arial" w:eastAsia="Arial" w:hAnsi="Arial"/>
          <w:sz w:val="18"/>
          <w:szCs w:val="18"/>
          <w:color w:val="auto"/>
        </w:rPr>
        <w:t>” mean, with respect to sales or other dispositions of a Diagnostic Product, [*****]</w:t>
      </w:r>
    </w:p>
    <w:p>
      <w:pPr>
        <w:spacing w:after="0" w:line="131" w:lineRule="exact"/>
        <w:rPr>
          <w:sz w:val="20"/>
          <w:szCs w:val="20"/>
          <w:color w:val="auto"/>
        </w:rPr>
      </w:pPr>
    </w:p>
    <w:p>
      <w:pPr>
        <w:ind w:left="900" w:hanging="446"/>
        <w:spacing w:after="0"/>
        <w:tabs>
          <w:tab w:leader="none" w:pos="9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269" w:right="239" w:bottom="1440" w:gutter="0" w:footer="0" w:header="0"/>
        </w:sectPr>
      </w:pPr>
    </w:p>
    <w:bookmarkStart w:id="408" w:name="page409"/>
    <w:bookmarkEnd w:id="4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Diagnostic Product</w:t>
      </w:r>
      <w:r>
        <w:rPr>
          <w:rFonts w:ascii="Arial" w:cs="Arial" w:eastAsia="Arial" w:hAnsi="Arial"/>
          <w:sz w:val="18"/>
          <w:szCs w:val="18"/>
          <w:color w:val="auto"/>
        </w:rPr>
        <w:t>” means any product, method or technologies in the form of a device, compound, kit or service that contains a Tau Active Antibody for use in the Diagnostic Field.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Discovery Antibody IP Rights</w:t>
      </w:r>
      <w:r>
        <w:rPr>
          <w:rFonts w:ascii="Arial" w:cs="Arial" w:eastAsia="Arial" w:hAnsi="Arial"/>
          <w:sz w:val="18"/>
          <w:szCs w:val="18"/>
          <w:color w:val="auto"/>
        </w:rPr>
        <w:t>” means a Valid Patent Claim within the ACI IP Rights that Covers a Discovery Antibody.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Discovery Antibody(ies)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ED-Go Decision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EMA</w:t>
      </w:r>
      <w:r>
        <w:rPr>
          <w:rFonts w:ascii="Arial" w:cs="Arial" w:eastAsia="Arial" w:hAnsi="Arial"/>
          <w:sz w:val="18"/>
          <w:szCs w:val="18"/>
          <w:color w:val="auto"/>
        </w:rPr>
        <w:t>” means the European Medicines Agency, or any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1.28 “</w:t>
      </w:r>
      <w:r>
        <w:rPr>
          <w:rFonts w:ascii="Arial" w:cs="Arial" w:eastAsia="Arial" w:hAnsi="Arial"/>
          <w:sz w:val="17"/>
          <w:szCs w:val="17"/>
          <w:u w:val="single" w:color="auto"/>
          <w:color w:val="auto"/>
        </w:rPr>
        <w:t>FDA</w:t>
      </w:r>
      <w:r>
        <w:rPr>
          <w:rFonts w:ascii="Arial" w:cs="Arial" w:eastAsia="Arial" w:hAnsi="Arial"/>
          <w:sz w:val="17"/>
          <w:szCs w:val="17"/>
          <w:color w:val="auto"/>
        </w:rPr>
        <w:t>” means the U.S. Food and Drug Administration or corresponding governmental authority in another country, or any successor thereto.</w:t>
      </w:r>
    </w:p>
    <w:p>
      <w:pPr>
        <w:spacing w:after="0" w:line="23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Filing</w:t>
      </w:r>
      <w:r>
        <w:rPr>
          <w:rFonts w:ascii="Arial" w:cs="Arial" w:eastAsia="Arial" w:hAnsi="Arial"/>
          <w:sz w:val="18"/>
          <w:szCs w:val="18"/>
          <w:color w:val="auto"/>
        </w:rPr>
        <w:t>” or “</w:t>
      </w:r>
      <w:r>
        <w:rPr>
          <w:rFonts w:ascii="Arial" w:cs="Arial" w:eastAsia="Arial" w:hAnsi="Arial"/>
          <w:sz w:val="18"/>
          <w:szCs w:val="18"/>
          <w:u w:val="single" w:color="auto"/>
          <w:color w:val="auto"/>
        </w:rPr>
        <w:t>Filed</w:t>
      </w:r>
      <w:r>
        <w:rPr>
          <w:rFonts w:ascii="Arial" w:cs="Arial" w:eastAsia="Arial" w:hAnsi="Arial"/>
          <w:sz w:val="18"/>
          <w:szCs w:val="18"/>
          <w:color w:val="auto"/>
        </w:rPr>
        <w:t>” means, with respect to an application for Marketing Approval that such application has been filed with and accepted for review by the appropriate Regulatory Authority.</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with respect to a particular Licensed Product in a given country, the first bona fide arm’s length commercial sale of such Licensed Product following Marketing Approval in such country by or under authority of Genentech, its Affiliates or Genentech Licensees to a Third Party.</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u w:val="single" w:color="auto"/>
          <w:color w:val="auto"/>
        </w:rPr>
        <w:t>FTE</w:t>
      </w:r>
      <w:r>
        <w:rPr>
          <w:rFonts w:ascii="Arial" w:cs="Arial" w:eastAsia="Arial" w:hAnsi="Arial"/>
          <w:sz w:val="18"/>
          <w:szCs w:val="18"/>
          <w:color w:val="auto"/>
        </w:rPr>
        <w:t>” means a full-time person, or more than one person working the equivalent of a full-time person, where “full-time” is determined by the standard practices in the biopharmaceutical industry in the geographic area in which such personnel are working.</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u w:val="single" w:color="auto"/>
          <w:color w:val="auto"/>
        </w:rPr>
        <w:t>Genentech Confidential Information</w:t>
      </w:r>
      <w:r>
        <w:rPr>
          <w:rFonts w:ascii="Arial" w:cs="Arial" w:eastAsia="Arial" w:hAnsi="Arial"/>
          <w:sz w:val="18"/>
          <w:szCs w:val="18"/>
          <w:color w:val="auto"/>
        </w:rPr>
        <w:t>” means Confidential Information disclosed or provided by, or on behalf of, Genentech to ACI or its designees, other than Program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8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69" w:right="239" w:bottom="1440" w:gutter="0" w:footer="0" w:header="0"/>
        </w:sectPr>
      </w:pPr>
    </w:p>
    <w:bookmarkStart w:id="409" w:name="page410"/>
    <w:bookmarkEnd w:id="4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u w:val="single" w:color="auto"/>
          <w:color w:val="auto"/>
        </w:rPr>
        <w:t>Genentech Field</w:t>
      </w:r>
      <w:r>
        <w:rPr>
          <w:rFonts w:ascii="Arial" w:cs="Arial" w:eastAsia="Arial" w:hAnsi="Arial"/>
          <w:sz w:val="18"/>
          <w:szCs w:val="18"/>
          <w:color w:val="auto"/>
        </w:rPr>
        <w:t>” means the [*****].</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u w:val="single" w:color="auto"/>
          <w:color w:val="auto"/>
        </w:rPr>
        <w:t>Genentech IP Rights</w:t>
      </w:r>
      <w:r>
        <w:rPr>
          <w:rFonts w:ascii="Arial" w:cs="Arial" w:eastAsia="Arial" w:hAnsi="Arial"/>
          <w:sz w:val="18"/>
          <w:szCs w:val="18"/>
          <w:color w:val="auto"/>
        </w:rPr>
        <w:t>” means (i) all Patents which claim a Tau-Active Antibody (including a method of making or using a Tau-Active Antibody) or assays, methods of screening or detecting Tau interaction and (ii) all other intellectual property rights, or rights in confidential or proprietary information, relating to a Tau-Active Antibody; in each case owned or Controlled by GNE as of the Effective Date or during the Term of this Agreement and all Genentech Program IP Rights and Genentech’s interest in the Joint Program IP Rights. Genentech IP Rights are exclusive of any ACI IP Rights licensed to Genentech under this Agreement.</w:t>
      </w:r>
    </w:p>
    <w:p>
      <w:pPr>
        <w:spacing w:after="0" w:line="18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u w:val="single" w:color="auto"/>
          <w:color w:val="auto"/>
        </w:rPr>
        <w:t>Genentech Licensee(s)</w:t>
      </w:r>
      <w:r>
        <w:rPr>
          <w:rFonts w:ascii="Arial" w:cs="Arial" w:eastAsia="Arial" w:hAnsi="Arial"/>
          <w:sz w:val="18"/>
          <w:szCs w:val="18"/>
          <w:color w:val="auto"/>
        </w:rPr>
        <w:t>” means any Third Party which enters into an agreement with Genentech or an Affiliate of Genentech involving the grant to such Third Party of a right to make, use, sell, offer for sale or import a Tau-Active Antibody or Licensed Product or a sublicense under any of the licenses granted to Genentech hereunder.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Genentech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u w:val="single" w:color="auto"/>
          <w:color w:val="auto"/>
        </w:rPr>
        <w:t>ICC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1.38 “</w:t>
      </w:r>
      <w:r>
        <w:rPr>
          <w:rFonts w:ascii="Arial" w:cs="Arial" w:eastAsia="Arial" w:hAnsi="Arial"/>
          <w:sz w:val="18"/>
          <w:szCs w:val="18"/>
          <w:u w:val="single" w:color="auto"/>
          <w:color w:val="auto"/>
        </w:rPr>
        <w:t>ICC Rules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 “</w:t>
      </w:r>
      <w:r>
        <w:rPr>
          <w:rFonts w:ascii="Arial" w:cs="Arial" w:eastAsia="Arial" w:hAnsi="Arial"/>
          <w:sz w:val="18"/>
          <w:szCs w:val="18"/>
          <w:u w:val="single" w:color="auto"/>
          <w:color w:val="auto"/>
        </w:rPr>
        <w:t>IFRS</w:t>
      </w:r>
      <w:r>
        <w:rPr>
          <w:rFonts w:ascii="Arial" w:cs="Arial" w:eastAsia="Arial" w:hAnsi="Arial"/>
          <w:sz w:val="18"/>
          <w:szCs w:val="18"/>
          <w:color w:val="auto"/>
        </w:rPr>
        <w:t>” shall mean the International Financial Reporting Standards (IFRS), consistently applied.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u w:val="single" w:color="auto"/>
          <w:color w:val="auto"/>
        </w:rPr>
        <w:t>Improvements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7.2.2</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u w:val="single" w:color="auto"/>
          <w:color w:val="auto"/>
        </w:rPr>
        <w:t>IND</w:t>
      </w:r>
      <w:r>
        <w:rPr>
          <w:rFonts w:ascii="Arial" w:cs="Arial" w:eastAsia="Arial" w:hAnsi="Arial"/>
          <w:sz w:val="18"/>
          <w:szCs w:val="18"/>
          <w:color w:val="auto"/>
        </w:rPr>
        <w:t>” means a complete “</w:t>
      </w:r>
      <w:r>
        <w:rPr>
          <w:rFonts w:ascii="Arial" w:cs="Arial" w:eastAsia="Arial" w:hAnsi="Arial"/>
          <w:sz w:val="18"/>
          <w:szCs w:val="18"/>
          <w:u w:val="single" w:color="auto"/>
          <w:color w:val="auto"/>
        </w:rPr>
        <w:t>Investigational New Drug Application</w:t>
      </w:r>
      <w:r>
        <w:rPr>
          <w:rFonts w:ascii="Arial" w:cs="Arial" w:eastAsia="Arial" w:hAnsi="Arial"/>
          <w:sz w:val="18"/>
          <w:szCs w:val="18"/>
          <w:color w:val="auto"/>
        </w:rPr>
        <w:t>” as defined in 21 C.F.R. 312.3 and containing the content, and in the format, required by 21 C.F.R. 312.23, or a corresponding application with a regulatory agency in a country other than the United States, together with all additions, deletions, and supplements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Joint Program IP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1.43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 or “</w:t>
      </w:r>
      <w:r>
        <w:rPr>
          <w:rFonts w:ascii="Arial" w:cs="Arial" w:eastAsia="Arial" w:hAnsi="Arial"/>
          <w:sz w:val="18"/>
          <w:szCs w:val="18"/>
          <w:u w:val="single" w:color="auto"/>
          <w:color w:val="auto"/>
        </w:rPr>
        <w:t>JRC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1.44 “</w:t>
      </w:r>
      <w:r>
        <w:rPr>
          <w:rFonts w:ascii="Arial" w:cs="Arial" w:eastAsia="Arial" w:hAnsi="Arial"/>
          <w:sz w:val="16"/>
          <w:szCs w:val="16"/>
          <w:u w:val="single" w:color="auto"/>
          <w:color w:val="auto"/>
        </w:rPr>
        <w:t>Know-How</w:t>
      </w:r>
      <w:r>
        <w:rPr>
          <w:rFonts w:ascii="Arial" w:cs="Arial" w:eastAsia="Arial" w:hAnsi="Arial"/>
          <w:sz w:val="16"/>
          <w:szCs w:val="16"/>
          <w:color w:val="auto"/>
        </w:rPr>
        <w:t>” means all compositions of matter, techniques and data and other know-how and technical information, including inventions (whether or not patentable), improvements and developments, practices, methods, concepts, know-how, trade secrets, documents, computer data, computer code, apparatus, clinical and regulatory strategies, test data, analytical and quality control data, formulation, manufacturing, patent data or descriptions, development information, drawings, specifications, designs, plans, proposals and technical data and manuals and all other proprietary information.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1.45 “</w:t>
      </w:r>
      <w:r>
        <w:rPr>
          <w:rFonts w:ascii="Arial" w:cs="Arial" w:eastAsia="Arial" w:hAnsi="Arial"/>
          <w:sz w:val="18"/>
          <w:szCs w:val="18"/>
          <w:u w:val="single" w:color="auto"/>
          <w:color w:val="auto"/>
        </w:rPr>
        <w:t>K.U. Leuven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1.46 “</w:t>
      </w:r>
      <w:r>
        <w:rPr>
          <w:rFonts w:ascii="Arial" w:cs="Arial" w:eastAsia="Arial" w:hAnsi="Arial"/>
          <w:sz w:val="17"/>
          <w:szCs w:val="17"/>
          <w:u w:val="single" w:color="auto"/>
          <w:color w:val="auto"/>
        </w:rPr>
        <w:t>Licensed Product(s)</w:t>
      </w:r>
      <w:r>
        <w:rPr>
          <w:rFonts w:ascii="Arial" w:cs="Arial" w:eastAsia="Arial" w:hAnsi="Arial"/>
          <w:sz w:val="17"/>
          <w:szCs w:val="17"/>
          <w:color w:val="auto"/>
        </w:rPr>
        <w:t>” means (i) any product containing a Tau-Active Antibody for use in the Therapeutics Field or (ii) a Diagnostic Product.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Major European Country</w:t>
      </w:r>
      <w:r>
        <w:rPr>
          <w:rFonts w:ascii="Arial" w:cs="Arial" w:eastAsia="Arial" w:hAnsi="Arial"/>
          <w:sz w:val="18"/>
          <w:szCs w:val="18"/>
          <w:color w:val="auto"/>
        </w:rPr>
        <w:t>” means Germany, France, the United Kingdom, Spain or 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70" w:right="239" w:bottom="1440" w:gutter="0" w:footer="0" w:header="0"/>
        </w:sectPr>
      </w:pPr>
    </w:p>
    <w:bookmarkStart w:id="410" w:name="page411"/>
    <w:bookmarkEnd w:id="4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u w:val="single" w:color="auto"/>
          <w:color w:val="auto"/>
        </w:rPr>
        <w:t>Marketing Approval</w:t>
      </w:r>
      <w:r>
        <w:rPr>
          <w:rFonts w:ascii="Arial" w:cs="Arial" w:eastAsia="Arial" w:hAnsi="Arial"/>
          <w:sz w:val="18"/>
          <w:szCs w:val="18"/>
          <w:color w:val="auto"/>
        </w:rPr>
        <w:t>” means all approvals, licenses, registrations or authorizations of any federal, state or local regulatory agency, department, bureau or other governmental entity, necessary for the manufacturing, use, storage, import, transport, marketing and sale of Licensed Products in a country or regulatory jurisdiction. For countries where governmental approval is required for pricing or reimbursement for the Licensed Product, “</w:t>
      </w:r>
      <w:r>
        <w:rPr>
          <w:rFonts w:ascii="Arial" w:cs="Arial" w:eastAsia="Arial" w:hAnsi="Arial"/>
          <w:sz w:val="18"/>
          <w:szCs w:val="18"/>
          <w:u w:val="single" w:color="auto"/>
          <w:color w:val="auto"/>
        </w:rPr>
        <w:t>Marketing Approval</w:t>
      </w:r>
      <w:r>
        <w:rPr>
          <w:rFonts w:ascii="Arial" w:cs="Arial" w:eastAsia="Arial" w:hAnsi="Arial"/>
          <w:sz w:val="18"/>
          <w:szCs w:val="18"/>
          <w:color w:val="auto"/>
        </w:rPr>
        <w:t>” shall not be deemed to occur until such pricing or reimbursement approval is obtained.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1.49 “</w:t>
      </w:r>
      <w:r>
        <w:rPr>
          <w:rFonts w:ascii="Arial" w:cs="Arial" w:eastAsia="Arial" w:hAnsi="Arial"/>
          <w:sz w:val="18"/>
          <w:szCs w:val="18"/>
          <w:u w:val="single" w:color="auto"/>
          <w:color w:val="auto"/>
        </w:rPr>
        <w:t>Milestone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Net Sales</w:t>
      </w:r>
      <w:r>
        <w:rPr>
          <w:rFonts w:ascii="Arial" w:cs="Arial" w:eastAsia="Arial" w:hAnsi="Arial"/>
          <w:sz w:val="18"/>
          <w:szCs w:val="18"/>
          <w:color w:val="auto"/>
        </w:rPr>
        <w:t>” of a Licensed Product in a particular period means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270" w:right="239" w:bottom="1440" w:gutter="0" w:footer="0" w:header="0"/>
        </w:sectPr>
      </w:pPr>
    </w:p>
    <w:bookmarkStart w:id="411" w:name="page412"/>
    <w:bookmarkEnd w:id="4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Outside Patent Counsel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7.4.3</w:t>
      </w:r>
      <w:r>
        <w:rPr>
          <w:rFonts w:ascii="Arial" w:cs="Arial" w:eastAsia="Arial" w:hAnsi="Arial"/>
          <w:sz w:val="18"/>
          <w:szCs w:val="18"/>
          <w:color w:val="auto"/>
        </w:rPr>
        <w:t>.</w:t>
      </w:r>
    </w:p>
    <w:p>
      <w:pPr>
        <w:spacing w:after="0" w:line="225"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Patent(s)</w:t>
      </w:r>
      <w:r>
        <w:rPr>
          <w:rFonts w:ascii="Arial" w:cs="Arial" w:eastAsia="Arial" w:hAnsi="Arial"/>
          <w:sz w:val="18"/>
          <w:szCs w:val="18"/>
          <w:color w:val="auto"/>
        </w:rPr>
        <w:t>” means a patent or a patent application, including any additions, divisions, continuations, continuations-in-part, pipeline protection, invention certificates, substitutions, reissues, reexaminations, extensions, registrations, patent term extensions, supplementary protection certificates and renewals of any of the above.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1.53 “</w:t>
      </w:r>
      <w:r>
        <w:rPr>
          <w:rFonts w:ascii="Arial" w:cs="Arial" w:eastAsia="Arial" w:hAnsi="Arial"/>
          <w:sz w:val="18"/>
          <w:szCs w:val="18"/>
          <w:u w:val="single" w:color="auto"/>
          <w:color w:val="auto"/>
        </w:rPr>
        <w:t>Patent Infringement 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13.3</w:t>
      </w:r>
      <w:r>
        <w:rPr>
          <w:rFonts w:ascii="Arial" w:cs="Arial" w:eastAsia="Arial" w:hAnsi="Arial"/>
          <w:sz w:val="18"/>
          <w:szCs w:val="18"/>
          <w:color w:val="auto"/>
        </w:rPr>
        <w:t>.</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Person</w:t>
      </w:r>
      <w:r>
        <w:rPr>
          <w:rFonts w:ascii="Arial" w:cs="Arial" w:eastAsia="Arial" w:hAnsi="Arial"/>
          <w:sz w:val="18"/>
          <w:szCs w:val="18"/>
          <w:color w:val="auto"/>
        </w:rPr>
        <w:t>” means any person or entity, including any individual, trustee, corporation, partnership, trust, unincorporated organization, limited liability company, business association, firm, joint venture or governmental agency or authority.</w:t>
      </w:r>
    </w:p>
    <w:p>
      <w:pPr>
        <w:spacing w:after="0" w:line="170"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1.55 “</w:t>
      </w:r>
      <w:r>
        <w:rPr>
          <w:rFonts w:ascii="Arial" w:cs="Arial" w:eastAsia="Arial" w:hAnsi="Arial"/>
          <w:sz w:val="17"/>
          <w:szCs w:val="17"/>
          <w:u w:val="single" w:color="auto"/>
          <w:color w:val="auto"/>
        </w:rPr>
        <w:t>Phase I Clinical Trial</w:t>
      </w:r>
      <w:r>
        <w:rPr>
          <w:rFonts w:ascii="Arial" w:cs="Arial" w:eastAsia="Arial" w:hAnsi="Arial"/>
          <w:sz w:val="17"/>
          <w:szCs w:val="17"/>
          <w:color w:val="auto"/>
        </w:rPr>
        <w:t>” means, as to a specific Therapeutic Product, a controlled and lawful study in humans designed with the principal purpose of preliminarily determining the safety of a pharmaceutical product in healthy individuals or patients, and for which there are no primary endpoints related to efficacy, as further defined in 21 C.F.R. § 312.21(a); or similar clinical study in a country other than the United States.</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1.56 “</w:t>
      </w:r>
      <w:r>
        <w:rPr>
          <w:rFonts w:ascii="Arial" w:cs="Arial" w:eastAsia="Arial" w:hAnsi="Arial"/>
          <w:sz w:val="18"/>
          <w:szCs w:val="18"/>
          <w:u w:val="single" w:color="auto"/>
          <w:color w:val="auto"/>
        </w:rPr>
        <w:t>Phase II Clinical Trial</w:t>
      </w:r>
      <w:r>
        <w:rPr>
          <w:rFonts w:ascii="Arial" w:cs="Arial" w:eastAsia="Arial" w:hAnsi="Arial"/>
          <w:sz w:val="18"/>
          <w:szCs w:val="18"/>
          <w:color w:val="auto"/>
        </w:rPr>
        <w:t>” means, as to a specific Therapeutic Product, a controlled and lawful study in humans designed with the principal purpose of determining initial efficacy and dosing of such Licensed Product in patients for the indication(s) being studied, as further defined in 21 C.F.R. § 312.21(b); or similar clinical study in a country other than the United States.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1.57 “</w:t>
      </w:r>
      <w:r>
        <w:rPr>
          <w:rFonts w:ascii="Arial" w:cs="Arial" w:eastAsia="Arial" w:hAnsi="Arial"/>
          <w:sz w:val="18"/>
          <w:szCs w:val="18"/>
          <w:u w:val="single" w:color="auto"/>
          <w:color w:val="auto"/>
        </w:rPr>
        <w:t>Phase III Clinical Trial</w:t>
      </w:r>
      <w:r>
        <w:rPr>
          <w:rFonts w:ascii="Arial" w:cs="Arial" w:eastAsia="Arial" w:hAnsi="Arial"/>
          <w:sz w:val="18"/>
          <w:szCs w:val="18"/>
          <w:color w:val="auto"/>
        </w:rPr>
        <w:t>” means, as to a specific Therapeutic Product, a controlled and lawful study in humans of the efficacy and safety of such Licensed Product, which is prospectively designed to demonstrate statistically whether such Licensed Product is effective and safe for use in a particular indication in a manner sufficient to file an application to obtain Marketing Approval to market and sell that Licensed Product in the United States or another country for the indication being investigated by the study, as further defined in 21 C.F.R. § 312.21; or similar clinical study in a country other than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270" w:right="23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 “</w:t>
      </w:r>
      <w:r>
        <w:rPr>
          <w:rFonts w:ascii="Arial" w:cs="Arial" w:eastAsia="Arial" w:hAnsi="Arial"/>
          <w:sz w:val="18"/>
          <w:szCs w:val="18"/>
          <w:u w:val="single" w:color="auto"/>
          <w:color w:val="auto"/>
        </w:rPr>
        <w:t>Product Reversion Package</w:t>
      </w:r>
      <w:r>
        <w:rPr>
          <w:rFonts w:ascii="Arial" w:cs="Arial" w:eastAsia="Arial" w:hAnsi="Arial"/>
          <w:sz w:val="18"/>
          <w:szCs w:val="18"/>
          <w:color w:val="auto"/>
        </w:rPr>
        <w:t>” means, [*****].</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1.59 “</w:t>
      </w:r>
      <w:r>
        <w:rPr>
          <w:rFonts w:ascii="Arial" w:cs="Arial" w:eastAsia="Arial" w:hAnsi="Arial"/>
          <w:sz w:val="18"/>
          <w:szCs w:val="18"/>
          <w:u w:val="single" w:color="auto"/>
          <w:color w:val="auto"/>
        </w:rPr>
        <w:t>Program Antibody</w:t>
      </w:r>
      <w:r>
        <w:rPr>
          <w:rFonts w:ascii="Arial" w:cs="Arial" w:eastAsia="Arial" w:hAnsi="Arial"/>
          <w:sz w:val="18"/>
          <w:szCs w:val="18"/>
          <w:color w:val="auto"/>
        </w:rPr>
        <w:t>” means any Tau-Active Antibody created, discovered, conceived or reduced to practice by the Parties jointly or solely by either Party during the conduct of activities under the Research Program or Research Plan during the Research Term.</w:t>
      </w:r>
    </w:p>
    <w:p>
      <w:pPr>
        <w:spacing w:after="0" w:line="170"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1.60 “</w:t>
      </w:r>
      <w:r>
        <w:rPr>
          <w:rFonts w:ascii="Arial" w:cs="Arial" w:eastAsia="Arial" w:hAnsi="Arial"/>
          <w:sz w:val="17"/>
          <w:szCs w:val="17"/>
          <w:u w:val="single" w:color="auto"/>
          <w:color w:val="auto"/>
        </w:rPr>
        <w:t>Program IP Rights</w:t>
      </w:r>
      <w:r>
        <w:rPr>
          <w:rFonts w:ascii="Arial" w:cs="Arial" w:eastAsia="Arial" w:hAnsi="Arial"/>
          <w:sz w:val="17"/>
          <w:szCs w:val="17"/>
          <w:color w:val="auto"/>
        </w:rPr>
        <w:t>” means (i) all Patents which claim a (including a method of making or using) Know How conceived, reduced to practice or otherwise created during the conduct of and in connection with activities under the Research Program or Research Plan (whether solely by one Party and/or its respective employees, contractors or consultants or jointly by the Parties and/or their employees, contractors or consultants), and (ii) all other intellectual property rights, or rights in confidential or proprietary information, in and to Know-How conceived, reduced to practice or otherwise created during the conduct of and in connection with activities under the Research Program or Research Plan (whether solely by one Party and/or its respective employees, contractors or consultants or jointly by the Parties and/or their employees, contractors or consultants). [*****].</w:t>
      </w:r>
    </w:p>
    <w:p>
      <w:pPr>
        <w:spacing w:after="0" w:line="17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1.61 “</w:t>
      </w:r>
      <w:r>
        <w:rPr>
          <w:rFonts w:ascii="Arial" w:cs="Arial" w:eastAsia="Arial" w:hAnsi="Arial"/>
          <w:sz w:val="16"/>
          <w:szCs w:val="16"/>
          <w:u w:val="single" w:color="auto"/>
          <w:color w:val="auto"/>
        </w:rPr>
        <w:t>Program Confidential Information</w:t>
      </w:r>
      <w:r>
        <w:rPr>
          <w:rFonts w:ascii="Arial" w:cs="Arial" w:eastAsia="Arial" w:hAnsi="Arial"/>
          <w:sz w:val="16"/>
          <w:szCs w:val="16"/>
          <w:color w:val="auto"/>
        </w:rPr>
        <w:t>” means (i) all information and materials (of whatever kind and in whatever form or medium), including any Know-How, created by, or on behalf of, either Party, or created jointly by the Parties during the course of performing the activities contemplated by the Research Plan and (ii) all copies of the information and materials described in (i) above. “</w:t>
      </w:r>
      <w:r>
        <w:rPr>
          <w:rFonts w:ascii="Arial" w:cs="Arial" w:eastAsia="Arial" w:hAnsi="Arial"/>
          <w:sz w:val="16"/>
          <w:szCs w:val="16"/>
          <w:u w:val="single" w:color="auto"/>
          <w:color w:val="auto"/>
        </w:rPr>
        <w:t>Program Confidential Information</w:t>
      </w:r>
      <w:r>
        <w:rPr>
          <w:rFonts w:ascii="Arial" w:cs="Arial" w:eastAsia="Arial" w:hAnsi="Arial"/>
          <w:sz w:val="16"/>
          <w:szCs w:val="16"/>
          <w:color w:val="auto"/>
        </w:rPr>
        <w:t>” shall not include, to the extent a Party can demonstrate, through its contemporaneous written records, information and materials (a) known to either Party, or in the public domain, prior to its creation hereunder, or which thereafter becomes part of the public domain other than by virtue of a breach of this Agreement or the obligations of confidentiality under the Agreement; (b) received without an obligation of confidentiality from a Third Party having the right to disclose without restrictions such information; and (c) released from the restrictions set forth in this Agreement by the express prior written consent of the other Party.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xml:space="preserve">” or “Prosecute and Maintain,” has the meaning set forth in </w:t>
      </w:r>
      <w:r>
        <w:rPr>
          <w:rFonts w:ascii="Arial" w:cs="Arial" w:eastAsia="Arial" w:hAnsi="Arial"/>
          <w:sz w:val="18"/>
          <w:szCs w:val="18"/>
          <w:u w:val="single" w:color="auto"/>
          <w:color w:val="auto"/>
        </w:rPr>
        <w:t>Section 7.4.1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269" w:right="239" w:bottom="1440" w:gutter="0" w:footer="0" w:header="0"/>
        </w:sectPr>
      </w:pPr>
    </w:p>
    <w:bookmarkStart w:id="413" w:name="page414"/>
    <w:bookmarkEnd w:id="4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1.63 “</w:t>
      </w:r>
      <w:r>
        <w:rPr>
          <w:rFonts w:ascii="Arial" w:cs="Arial" w:eastAsia="Arial" w:hAnsi="Arial"/>
          <w:sz w:val="17"/>
          <w:szCs w:val="17"/>
          <w:u w:val="single" w:color="auto"/>
          <w:color w:val="auto"/>
        </w:rPr>
        <w:t>Regulatory Authority</w:t>
      </w:r>
      <w:r>
        <w:rPr>
          <w:rFonts w:ascii="Arial" w:cs="Arial" w:eastAsia="Arial" w:hAnsi="Arial"/>
          <w:sz w:val="17"/>
          <w:szCs w:val="17"/>
          <w:color w:val="auto"/>
        </w:rPr>
        <w:t>” means any national (</w:t>
      </w:r>
      <w:r>
        <w:rPr>
          <w:rFonts w:ascii="Arial" w:cs="Arial" w:eastAsia="Arial" w:hAnsi="Arial"/>
          <w:sz w:val="17"/>
          <w:szCs w:val="17"/>
          <w:i w:val="1"/>
          <w:iCs w:val="1"/>
          <w:color w:val="auto"/>
        </w:rPr>
        <w:t>e.g</w:t>
      </w:r>
      <w:r>
        <w:rPr>
          <w:rFonts w:ascii="Arial" w:cs="Arial" w:eastAsia="Arial" w:hAnsi="Arial"/>
          <w:sz w:val="17"/>
          <w:szCs w:val="17"/>
          <w:color w:val="auto"/>
        </w:rPr>
        <w:t>., the FDA), supra-national (</w:t>
      </w:r>
      <w:r>
        <w:rPr>
          <w:rFonts w:ascii="Arial" w:cs="Arial" w:eastAsia="Arial" w:hAnsi="Arial"/>
          <w:sz w:val="17"/>
          <w:szCs w:val="17"/>
          <w:i w:val="1"/>
          <w:iCs w:val="1"/>
          <w:color w:val="auto"/>
        </w:rPr>
        <w:t>e.g</w:t>
      </w:r>
      <w:r>
        <w:rPr>
          <w:rFonts w:ascii="Arial" w:cs="Arial" w:eastAsia="Arial" w:hAnsi="Arial"/>
          <w:sz w:val="17"/>
          <w:szCs w:val="17"/>
          <w:color w:val="auto"/>
        </w:rPr>
        <w:t>., the EMA), regional, state or local regulatory agency, department, bureau, commission, council or other governmental entity, in any jurisdiction of the world, involved in the granting of Marketing Approval.</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1.64 “</w:t>
      </w:r>
      <w:r>
        <w:rPr>
          <w:rFonts w:ascii="Arial" w:cs="Arial" w:eastAsia="Arial" w:hAnsi="Arial"/>
          <w:sz w:val="18"/>
          <w:szCs w:val="18"/>
          <w:u w:val="single" w:color="auto"/>
          <w:color w:val="auto"/>
        </w:rPr>
        <w:t>Research Plan</w:t>
      </w:r>
      <w:r>
        <w:rPr>
          <w:rFonts w:ascii="Arial" w:cs="Arial" w:eastAsia="Arial" w:hAnsi="Arial"/>
          <w:sz w:val="18"/>
          <w:szCs w:val="18"/>
          <w:color w:val="auto"/>
        </w:rPr>
        <w:t xml:space="preserve">” means the written research plan for the Research Program to be prepared by the Parties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The initial draft Research Plan is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The Research Plan may be amended or modified from time to time by the Joint Research Committee by written agreement or as evidenced in the approved minutes of the JRC meetings.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1.65 “</w:t>
      </w:r>
      <w:r>
        <w:rPr>
          <w:rFonts w:ascii="Arial" w:cs="Arial" w:eastAsia="Arial" w:hAnsi="Arial"/>
          <w:sz w:val="18"/>
          <w:szCs w:val="18"/>
          <w:u w:val="single" w:color="auto"/>
          <w:color w:val="auto"/>
        </w:rPr>
        <w:t>Research Program</w:t>
      </w:r>
      <w:r>
        <w:rPr>
          <w:rFonts w:ascii="Arial" w:cs="Arial" w:eastAsia="Arial" w:hAnsi="Arial"/>
          <w:sz w:val="18"/>
          <w:szCs w:val="18"/>
          <w:color w:val="auto"/>
        </w:rPr>
        <w:t>” means the program of research and preclinical development the Parties engage in under this Agreement, which program is set forth on the Research Plan.</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1.66 “</w:t>
      </w:r>
      <w:r>
        <w:rPr>
          <w:rFonts w:ascii="Arial" w:cs="Arial" w:eastAsia="Arial" w:hAnsi="Arial"/>
          <w:sz w:val="18"/>
          <w:szCs w:val="18"/>
          <w:u w:val="single" w:color="auto"/>
          <w:color w:val="auto"/>
        </w:rPr>
        <w:t>Research Term</w:t>
      </w:r>
      <w:r>
        <w:rPr>
          <w:rFonts w:ascii="Arial" w:cs="Arial" w:eastAsia="Arial" w:hAnsi="Arial"/>
          <w:sz w:val="18"/>
          <w:szCs w:val="18"/>
          <w:color w:val="auto"/>
        </w:rPr>
        <w:t xml:space="preserve">” means the period of time during which each Party will undertake activities in the Research Program or on the Research Plan, as such period of time is identified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1.67 “</w:t>
      </w:r>
      <w:r>
        <w:rPr>
          <w:rFonts w:ascii="Arial" w:cs="Arial" w:eastAsia="Arial" w:hAnsi="Arial"/>
          <w:sz w:val="18"/>
          <w:szCs w:val="18"/>
          <w:u w:val="single" w:color="auto"/>
          <w:color w:val="auto"/>
        </w:rPr>
        <w:t>ROFN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1.68 “</w:t>
      </w:r>
      <w:r>
        <w:rPr>
          <w:rFonts w:ascii="Arial" w:cs="Arial" w:eastAsia="Arial" w:hAnsi="Arial"/>
          <w:sz w:val="18"/>
          <w:szCs w:val="18"/>
          <w:u w:val="single" w:color="auto"/>
          <w:color w:val="auto"/>
        </w:rPr>
        <w:t>Tau</w:t>
      </w:r>
      <w:r>
        <w:rPr>
          <w:rFonts w:ascii="Arial" w:cs="Arial" w:eastAsia="Arial" w:hAnsi="Arial"/>
          <w:sz w:val="18"/>
          <w:szCs w:val="18"/>
          <w:color w:val="auto"/>
        </w:rPr>
        <w:t>” means the microtubule-associated protein known as tau and all isoforms thereof.</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1.69 “</w:t>
      </w:r>
      <w:r>
        <w:rPr>
          <w:rFonts w:ascii="Arial" w:cs="Arial" w:eastAsia="Arial" w:hAnsi="Arial"/>
          <w:sz w:val="18"/>
          <w:szCs w:val="18"/>
          <w:u w:val="single" w:color="auto"/>
          <w:color w:val="auto"/>
        </w:rPr>
        <w:t>Tau-Active Antibody</w:t>
      </w:r>
      <w:r>
        <w:rPr>
          <w:rFonts w:ascii="Arial" w:cs="Arial" w:eastAsia="Arial" w:hAnsi="Arial"/>
          <w:sz w:val="18"/>
          <w:szCs w:val="18"/>
          <w:color w:val="auto"/>
        </w:rPr>
        <w:t>” means any antibody protein, including variants, modifications, fragments or derivatives thereof, that binds to and interacts with or modulates Tau or variants, modifications, derivatives or fragments of Tau.</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1.70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1.71 “</w:t>
      </w:r>
      <w:r>
        <w:rPr>
          <w:rFonts w:ascii="Arial" w:cs="Arial" w:eastAsia="Arial" w:hAnsi="Arial"/>
          <w:sz w:val="17"/>
          <w:szCs w:val="17"/>
          <w:u w:val="single" w:color="auto"/>
          <w:color w:val="auto"/>
        </w:rPr>
        <w:t>Termination Product</w:t>
      </w:r>
      <w:r>
        <w:rPr>
          <w:rFonts w:ascii="Arial" w:cs="Arial" w:eastAsia="Arial" w:hAnsi="Arial"/>
          <w:sz w:val="17"/>
          <w:szCs w:val="17"/>
          <w:color w:val="auto"/>
        </w:rPr>
        <w:t>” means a Therapeutic Product that (a) exists as of the date of termination (but not expiration) of this Agreement and</w:t>
      </w:r>
    </w:p>
    <w:p>
      <w:pPr>
        <w:spacing w:after="0" w:line="35" w:lineRule="exact"/>
        <w:rPr>
          <w:sz w:val="20"/>
          <w:szCs w:val="20"/>
          <w:color w:val="auto"/>
        </w:rPr>
      </w:pPr>
    </w:p>
    <w:p>
      <w:pPr>
        <w:ind w:left="460" w:right="8060" w:hanging="452"/>
        <w:spacing w:after="0" w:line="554" w:lineRule="auto"/>
        <w:tabs>
          <w:tab w:leader="none" w:pos="259" w:val="left"/>
        </w:tabs>
        <w:numPr>
          <w:ilvl w:val="0"/>
          <w:numId w:val="332"/>
        </w:numPr>
        <w:rPr>
          <w:rFonts w:ascii="Arial" w:cs="Arial" w:eastAsia="Arial" w:hAnsi="Arial"/>
          <w:sz w:val="16"/>
          <w:szCs w:val="16"/>
          <w:color w:val="auto"/>
        </w:rPr>
      </w:pPr>
      <w:r>
        <w:rPr>
          <w:rFonts w:ascii="Arial" w:cs="Arial" w:eastAsia="Arial" w:hAnsi="Arial"/>
          <w:sz w:val="16"/>
          <w:szCs w:val="16"/>
          <w:color w:val="auto"/>
        </w:rPr>
        <w:t>contains [*****] as an active ingredient. 1.72 “</w:t>
      </w:r>
      <w:r>
        <w:rPr>
          <w:rFonts w:ascii="Arial" w:cs="Arial" w:eastAsia="Arial" w:hAnsi="Arial"/>
          <w:sz w:val="16"/>
          <w:szCs w:val="16"/>
          <w:u w:val="single" w:color="auto"/>
          <w:color w:val="auto"/>
        </w:rPr>
        <w:t>Territory</w:t>
      </w:r>
      <w:r>
        <w:rPr>
          <w:rFonts w:ascii="Arial" w:cs="Arial" w:eastAsia="Arial" w:hAnsi="Arial"/>
          <w:sz w:val="16"/>
          <w:szCs w:val="16"/>
          <w:color w:val="auto"/>
        </w:rPr>
        <w:t>” means the entire world.</w:t>
      </w:r>
    </w:p>
    <w:p>
      <w:pPr>
        <w:spacing w:after="0" w:line="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1.73 “</w:t>
      </w:r>
      <w:r>
        <w:rPr>
          <w:rFonts w:ascii="Arial" w:cs="Arial" w:eastAsia="Arial" w:hAnsi="Arial"/>
          <w:sz w:val="18"/>
          <w:szCs w:val="18"/>
          <w:u w:val="single" w:color="auto"/>
          <w:color w:val="auto"/>
        </w:rPr>
        <w:t>Therapeutic Field</w:t>
      </w:r>
      <w:r>
        <w:rPr>
          <w:rFonts w:ascii="Arial" w:cs="Arial" w:eastAsia="Arial" w:hAnsi="Arial"/>
          <w:sz w:val="18"/>
          <w:szCs w:val="18"/>
          <w:color w:val="auto"/>
        </w:rPr>
        <w:t>” means the prevention, cure, amelioration or treatment of any disease or condition, in each case other than by means of [*****].</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1.74 “</w:t>
      </w:r>
      <w:r>
        <w:rPr>
          <w:rFonts w:ascii="Arial" w:cs="Arial" w:eastAsia="Arial" w:hAnsi="Arial"/>
          <w:sz w:val="16"/>
          <w:szCs w:val="16"/>
          <w:u w:val="single" w:color="auto"/>
          <w:color w:val="auto"/>
        </w:rPr>
        <w:t>Therapeutic Product</w:t>
      </w:r>
      <w:r>
        <w:rPr>
          <w:rFonts w:ascii="Arial" w:cs="Arial" w:eastAsia="Arial" w:hAnsi="Arial"/>
          <w:sz w:val="16"/>
          <w:szCs w:val="16"/>
          <w:color w:val="auto"/>
        </w:rPr>
        <w:t>” means any Licensed Product developed and/or marketed for use in the Therapeutic Field, but expressly excluding [*****].</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1.75 “</w:t>
      </w:r>
      <w:r>
        <w:rPr>
          <w:rFonts w:ascii="Arial" w:cs="Arial" w:eastAsia="Arial" w:hAnsi="Arial"/>
          <w:sz w:val="18"/>
          <w:szCs w:val="18"/>
          <w:u w:val="single" w:color="auto"/>
          <w:color w:val="auto"/>
        </w:rPr>
        <w:t>Third Party</w:t>
      </w:r>
      <w:r>
        <w:rPr>
          <w:rFonts w:ascii="Arial" w:cs="Arial" w:eastAsia="Arial" w:hAnsi="Arial"/>
          <w:sz w:val="18"/>
          <w:szCs w:val="18"/>
          <w:color w:val="auto"/>
        </w:rPr>
        <w:t>” means a Person that is not a Party to this Agreement or an Affiliate of a Party to this Agreement.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its territories and possessions as of the Effective Date, including the Commonwealth of Puerto Rico.</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1.77 “</w:t>
      </w:r>
      <w:r>
        <w:rPr>
          <w:rFonts w:ascii="Arial" w:cs="Arial" w:eastAsia="Arial" w:hAnsi="Arial"/>
          <w:sz w:val="18"/>
          <w:szCs w:val="18"/>
          <w:u w:val="single" w:color="auto"/>
          <w:color w:val="auto"/>
        </w:rPr>
        <w:t>Valid Patent Claim</w:t>
      </w:r>
      <w:r>
        <w:rPr>
          <w:rFonts w:ascii="Arial" w:cs="Arial" w:eastAsia="Arial" w:hAnsi="Arial"/>
          <w:sz w:val="18"/>
          <w:szCs w:val="18"/>
          <w:color w:val="auto"/>
        </w:rPr>
        <w:t>” means a claim of an issued and unexpired Patent which has not been disclaimed, revoked, held unenforceable or invalid by a decision of a court or other governmental agency of competent jurisdiction, unappealable or unappealed within the time allowed for appeal, and which has not been admitted to be invalid or unenforceable through reissue or disclaimer or otherwise.</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1.78 “</w:t>
      </w:r>
      <w:r>
        <w:rPr>
          <w:rFonts w:ascii="Arial" w:cs="Arial" w:eastAsia="Arial" w:hAnsi="Arial"/>
          <w:sz w:val="18"/>
          <w:szCs w:val="18"/>
          <w:u w:val="single" w:color="auto"/>
          <w:color w:val="auto"/>
        </w:rPr>
        <w:t>Vaccine Product</w:t>
      </w:r>
      <w:r>
        <w:rPr>
          <w:rFonts w:ascii="Arial" w:cs="Arial" w:eastAsia="Arial" w:hAnsi="Arial"/>
          <w:sz w:val="18"/>
          <w:szCs w:val="18"/>
          <w:color w:val="auto"/>
        </w:rPr>
        <w:t>” means an active vaccination product that incorporates Tau or any variant, derivative, modification, or fragment of Tau for use as a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2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269" w:right="239" w:bottom="1440" w:gutter="0" w:footer="0" w:header="0"/>
        </w:sectPr>
      </w:pPr>
    </w:p>
    <w:bookmarkStart w:id="414" w:name="page415"/>
    <w:bookmarkEnd w:id="4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u w:val="single" w:color="auto"/>
          <w:color w:val="auto"/>
        </w:rPr>
        <w:t>Vaccine Product Rights</w:t>
      </w:r>
      <w:r>
        <w:rPr>
          <w:rFonts w:ascii="Arial" w:cs="Arial" w:eastAsia="Arial" w:hAnsi="Arial"/>
          <w:sz w:val="18"/>
          <w:szCs w:val="18"/>
          <w:color w:val="auto"/>
        </w:rPr>
        <w:t>” mean (i) all Patents which claim Know-How related to Vaccine Products (including methods of making or using Vaccine Products), and (ii) all other intellectual property rights, or rights in confidential or proprietary information, in and to Know-How specific to a Vaccine Product; in each case owned or Controlled by ACI as of the Effective Date or during the Term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RESEARCH PROGRAM</w:t>
      </w:r>
    </w:p>
    <w:p>
      <w:pPr>
        <w:spacing w:after="0" w:line="22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Research Program Overview and Responsibilities</w:t>
      </w:r>
      <w:r>
        <w:rPr>
          <w:rFonts w:ascii="Arial" w:cs="Arial" w:eastAsia="Arial" w:hAnsi="Arial"/>
          <w:sz w:val="16"/>
          <w:szCs w:val="16"/>
          <w:color w:val="auto"/>
        </w:rPr>
        <w:t>. Under this Agreement, the Parties are establishing a Research Program directed to the advancement and research of existing ACI Antibodies and the development of new antibodies. The Research Program will be coordinated by the Joint Research Committee. The Research Program will be described, and the Parties’ responsibilities with respect to the Research Program will be set forth, in the Research Plan. Each Party shall use diligent efforts to perform its respective responsibilities under the Research Plan and for the Research Program, and shall cooperate with and provide reasonable support to the other Party in such other Party’s performance of its responsibilities thereunder.</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Joint Research Committee</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The JRC</w:t>
      </w:r>
      <w:r>
        <w:rPr>
          <w:rFonts w:ascii="Arial" w:cs="Arial" w:eastAsia="Arial" w:hAnsi="Arial"/>
          <w:sz w:val="17"/>
          <w:szCs w:val="17"/>
          <w:color w:val="auto"/>
        </w:rPr>
        <w:t>. Within [*****] days after the Effective Date, the Parties shall establish a committee to oversee the Research Program, and to plan and coordinate the activities under the Research Plan (“</w:t>
      </w:r>
      <w:r>
        <w:rPr>
          <w:rFonts w:ascii="Arial" w:cs="Arial" w:eastAsia="Arial" w:hAnsi="Arial"/>
          <w:sz w:val="17"/>
          <w:szCs w:val="17"/>
          <w:u w:val="single" w:color="auto"/>
          <w:color w:val="auto"/>
        </w:rPr>
        <w:t>Joint Research Committee</w:t>
      </w:r>
      <w:r>
        <w:rPr>
          <w:rFonts w:ascii="Arial" w:cs="Arial" w:eastAsia="Arial" w:hAnsi="Arial"/>
          <w:sz w:val="17"/>
          <w:szCs w:val="17"/>
          <w:color w:val="auto"/>
        </w:rPr>
        <w:t>” or “</w:t>
      </w:r>
      <w:r>
        <w:rPr>
          <w:rFonts w:ascii="Arial" w:cs="Arial" w:eastAsia="Arial" w:hAnsi="Arial"/>
          <w:sz w:val="17"/>
          <w:szCs w:val="17"/>
          <w:u w:val="single" w:color="auto"/>
          <w:color w:val="auto"/>
        </w:rPr>
        <w:t>JRC</w:t>
      </w:r>
      <w:r>
        <w:rPr>
          <w:rFonts w:ascii="Arial" w:cs="Arial" w:eastAsia="Arial" w:hAnsi="Arial"/>
          <w:sz w:val="17"/>
          <w:szCs w:val="17"/>
          <w:color w:val="auto"/>
        </w:rPr>
        <w:t>”). The JRC will be composed of three (3) representatives designated by each Party (or such other number as the Parties may agree, provided that each of the Parties shall have the same number of JRC members). Representatives must be appropriate for the tasks then being undertaken and the stage of research or pre-clinical development, in terms of their seniority, availability, function in their respective organizations, training and experience. Each Party shall designate one of its representatives as its primary JRC contact. Either Party may replace any or all of its representatives to the JRC at any time upon prior written notice to the other Party. If a Party’s representative is unable to attend a meeting, that Party may designate an alternate representative.</w:t>
      </w:r>
    </w:p>
    <w:p>
      <w:pPr>
        <w:spacing w:after="0" w:line="178"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Meetings</w:t>
      </w:r>
      <w:r>
        <w:rPr>
          <w:rFonts w:ascii="Arial" w:cs="Arial" w:eastAsia="Arial" w:hAnsi="Arial"/>
          <w:sz w:val="17"/>
          <w:szCs w:val="17"/>
          <w:color w:val="auto"/>
        </w:rPr>
        <w:t xml:space="preserve">. The JRC shall meet at such times as are unanimously agreed to by the JRC members, but no less than once each calendar quarter. Such meetings may be in-person, via videoconference, or via teleconference,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least one meeting per calendar year shall be held in person. JRC meetings must be attended by at least one representative from each Party. The location of in-person JRC meetings will alternate between South San Francisco, California and Lausanne, Switzerland, unless otherwise agreed to by the Parties. Each Party will bear the expense of its respective Committee members’ participation in JRC meetings. he JRC shall record all decisions made, and otherwise take minutes as appropriate. Genentech shall have the responsibility for keeping minutes. JRC meeting minutes will be sent to each member of the JRC for review as soon as practicable after a meeting. A Party may, with the prior written consent of the other Party, invite a reasonable number of non-voting employees, consultants or scientific advisors to attend a meeting of the JRC. Those invitees must be bound by appropriate confidentiality obligations.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Responsibilities of the JRC</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2.2.4</w:t>
      </w:r>
      <w:r>
        <w:rPr>
          <w:rFonts w:ascii="Arial" w:cs="Arial" w:eastAsia="Arial" w:hAnsi="Arial"/>
          <w:sz w:val="18"/>
          <w:szCs w:val="18"/>
          <w:color w:val="auto"/>
        </w:rPr>
        <w:t>, the Joint Research Committee shall perform the following functions:</w:t>
      </w:r>
    </w:p>
    <w:p>
      <w:pPr>
        <w:spacing w:after="0" w:line="117" w:lineRule="exact"/>
        <w:rPr>
          <w:sz w:val="20"/>
          <w:szCs w:val="20"/>
          <w:color w:val="auto"/>
        </w:rPr>
      </w:pPr>
    </w:p>
    <w:p>
      <w:pPr>
        <w:ind w:left="1120" w:hanging="217"/>
        <w:spacing w:after="0"/>
        <w:tabs>
          <w:tab w:leader="none" w:pos="11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review and amend the Research Plan, as needed;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review the allocation of resources and efforts for the Research Program;</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monitor the progress of the Research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270" w:right="239" w:bottom="1440" w:gutter="0" w:footer="0" w:header="0"/>
        </w:sectPr>
      </w:pPr>
    </w:p>
    <w:bookmarkStart w:id="415" w:name="page416"/>
    <w:bookmarkEnd w:id="4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right="220" w:firstLine="443"/>
        <w:spacing w:after="0" w:line="277" w:lineRule="auto"/>
        <w:tabs>
          <w:tab w:leader="none" w:pos="1203"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2.3</w:t>
      </w:r>
      <w:r>
        <w:rPr>
          <w:rFonts w:ascii="Arial" w:cs="Arial" w:eastAsia="Arial" w:hAnsi="Arial"/>
          <w:sz w:val="18"/>
          <w:szCs w:val="18"/>
          <w:color w:val="auto"/>
        </w:rPr>
        <w:t>, coordinate, and be the primary conduit for, the transfer of ACI Antibodies, Program Antibodies and related research materials, Know-How, and Confidential Information between the Parties; and</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Perform such other functions referred to in the Research Plan, as appropriate to further the purposes of the Research Program, or as otherwise specified in this Agreement or agreed to by the Parties.</w:t>
      </w:r>
    </w:p>
    <w:p>
      <w:pPr>
        <w:spacing w:after="0" w:line="170" w:lineRule="exact"/>
        <w:rPr>
          <w:sz w:val="20"/>
          <w:szCs w:val="20"/>
          <w:color w:val="auto"/>
        </w:rPr>
      </w:pPr>
    </w:p>
    <w:p>
      <w:pPr>
        <w:ind w:right="740" w:firstLine="913"/>
        <w:spacing w:after="0" w:line="34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Decision-Making Authority</w:t>
      </w:r>
      <w:r>
        <w:rPr>
          <w:rFonts w:ascii="Arial" w:cs="Arial" w:eastAsia="Arial" w:hAnsi="Arial"/>
          <w:sz w:val="16"/>
          <w:szCs w:val="16"/>
          <w:color w:val="auto"/>
        </w:rPr>
        <w:t>. The Joint Research Committee will attempt to make decisions by consensus. If the JRC cannot reach consensus, then Genentech shall have final decision making authority; except for the following, which require agreement of the Parties: [*****].</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of Know-How During Research Term</w:t>
      </w:r>
      <w:r>
        <w:rPr>
          <w:rFonts w:ascii="Arial" w:cs="Arial" w:eastAsia="Arial" w:hAnsi="Arial"/>
          <w:sz w:val="18"/>
          <w:szCs w:val="18"/>
          <w:color w:val="auto"/>
        </w:rPr>
        <w:t>.</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JRC Meetings and Communication</w:t>
      </w:r>
      <w:r>
        <w:rPr>
          <w:rFonts w:ascii="Arial" w:cs="Arial" w:eastAsia="Arial" w:hAnsi="Arial"/>
          <w:sz w:val="18"/>
          <w:szCs w:val="18"/>
          <w:color w:val="auto"/>
        </w:rPr>
        <w:t>. In addition to JRC meetings, project team scientists working on the Research Plan shall have periodic meetings or teleconference or videoconference discussions.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Ongoing Transfer of ACI Antibodies and related Know-How</w:t>
      </w:r>
      <w:r>
        <w:rPr>
          <w:rFonts w:ascii="Arial" w:cs="Arial" w:eastAsia="Arial" w:hAnsi="Arial"/>
          <w:sz w:val="17"/>
          <w:szCs w:val="17"/>
          <w:color w:val="auto"/>
        </w:rPr>
        <w:t>. Within [*****] days of the Effective Date, ACI shall deliver to Genentech:</w:t>
      </w:r>
    </w:p>
    <w:p>
      <w:pPr>
        <w:spacing w:after="0" w:line="35" w:lineRule="exact"/>
        <w:rPr>
          <w:sz w:val="20"/>
          <w:szCs w:val="20"/>
          <w:color w:val="auto"/>
        </w:rPr>
      </w:pPr>
    </w:p>
    <w:p>
      <w:pPr>
        <w:jc w:val="both"/>
        <w:ind w:firstLine="8"/>
        <w:spacing w:after="0" w:line="302" w:lineRule="auto"/>
        <w:tabs>
          <w:tab w:leader="none" w:pos="24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 reasonable amount of research materials [*****] and (b) other Know-How related to the rights granted to Genentech by this Agreement in ACI’s control as of the Effective Date. On an ongoing basis during the Term, ACI shall, as determined by the JRC, deliver to Genentech: (i) a reasonable amount of research materials [*****] and (ii) other Know-How created under the Research Plan or otherwise obtained by ACI and not already in Genentech’s possession.</w:t>
      </w:r>
    </w:p>
    <w:p>
      <w:pPr>
        <w:spacing w:after="0" w:line="15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Written Reports</w:t>
      </w:r>
      <w:r>
        <w:rPr>
          <w:rFonts w:ascii="Arial" w:cs="Arial" w:eastAsia="Arial" w:hAnsi="Arial"/>
          <w:sz w:val="16"/>
          <w:szCs w:val="16"/>
          <w:color w:val="auto"/>
        </w:rPr>
        <w:t>. At least once every calendar quarter during the Research Term and within [*****] following the end of the Research Term, ACI shall provide to Genentech, through the JRC, the following written communications regarding work undertaken or assigned as part of the Research Program: (a) a written description of significant discoveries or advances, promptly after such results are obtained or their significance is appreciated; (b) a written summary of research conducted and the results thereof, including any antibodies made or discovered, the results of in vitro and in vivo studies, any inventions conceived or reduced to practice, on at least a calendar quarter basis; (c) raw data for research undertaken under the Research Program, upon request of Genentech; and (d) a list of the CROs performing activities during that calendar quarter and a brief summary of the work performed by each CRO. The foregoing reporting obligation may be satisfied in the form of a joint report created by the Parties following a JRC meeting, such joint report to reflect the information contained in Research Program updates made by the Parties at such JRC meeting along with supporting raw data.</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Subcontracting</w:t>
      </w:r>
      <w:r>
        <w:rPr>
          <w:rFonts w:ascii="Arial" w:cs="Arial" w:eastAsia="Arial" w:hAnsi="Arial"/>
          <w:sz w:val="18"/>
          <w:szCs w:val="18"/>
          <w:color w:val="auto"/>
        </w:rPr>
        <w:t>. ACI may use CROs or research institutions to outsource some of its activities under the Research Plan provided that ACI shall delegate such responsibilities to CROs or research institutions in writing. All individual contractors or consultants performing any of ACI’s activities under a Research Plan must have entered into a written agreement with ACI that includes terms and conditions protecting and limiting use and disclosure of Confidential Information and Know-How to the same extent as under this Agreement, and requiring all such individuals to assign to ACI all right, title and interest in and to any intellectual property (and intellectual property rights) created, discovered, conceived or reduced to practice in conducting such activities. ACI is responsible for compliance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270" w:right="239" w:bottom="1440" w:gutter="0" w:footer="0" w:header="0"/>
        </w:sectPr>
      </w:pPr>
    </w:p>
    <w:bookmarkStart w:id="416" w:name="page417"/>
    <w:bookmarkEnd w:id="4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CROs, research institutions and Third Party FTEs with the terms and conditions of this Agreement as if those CROs, research institutions and Third Party FTEs were ACI’s employees.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Research Costs</w:t>
      </w:r>
      <w:r>
        <w:rPr>
          <w:rFonts w:ascii="Arial" w:cs="Arial" w:eastAsia="Arial" w:hAnsi="Arial"/>
          <w:sz w:val="18"/>
          <w:szCs w:val="18"/>
          <w:color w:val="auto"/>
        </w:rPr>
        <w:t>. During the Research Term, each Party shall perform, at its expense, those activities to be undertaken by such Party as set forth in the Research Plan.</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Research Term</w:t>
      </w:r>
      <w:r>
        <w:rPr>
          <w:rFonts w:ascii="Arial" w:cs="Arial" w:eastAsia="Arial" w:hAnsi="Arial"/>
          <w:sz w:val="17"/>
          <w:szCs w:val="17"/>
          <w:color w:val="auto"/>
        </w:rPr>
        <w:t>. The Research Term commences as of the Effective Date and, unless the Agreement is earlier terminated under Article 9, or the Research Program is earlier terminated under Section 14.1, shall continue until either (a) Genentech notifies ACI of termination of the Research Term at any time following the [*****] of the Effective Date or (b) ACI notifies Genentech of termination of the Research Term at any time following the earlier of (i) the date on which the first Therapeutic Product is administered to the first human subject in a Phase I Clinical Trial, or (ii) [*****] years after the Effective Date. After [*****] months following the end of the Research Term, the JRC is no longer required to meet.</w:t>
      </w:r>
    </w:p>
    <w:p>
      <w:pPr>
        <w:spacing w:after="0" w:line="38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ARTICLE 3: DEVELOPMENT AND COMMERCIALIZATION EFFORTS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Development and Commercialization Responsibilities</w:t>
      </w:r>
      <w:r>
        <w:rPr>
          <w:rFonts w:ascii="Arial" w:cs="Arial" w:eastAsia="Arial" w:hAnsi="Arial"/>
          <w:sz w:val="18"/>
          <w:szCs w:val="18"/>
          <w:color w:val="auto"/>
        </w:rPr>
        <w:t>.</w:t>
      </w:r>
    </w:p>
    <w:p>
      <w:pPr>
        <w:spacing w:after="0" w:line="11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Exclusive Genentech Right</w:t>
      </w:r>
      <w:r>
        <w:rPr>
          <w:rFonts w:ascii="Arial" w:cs="Arial" w:eastAsia="Arial" w:hAnsi="Arial"/>
          <w:sz w:val="18"/>
          <w:szCs w:val="18"/>
          <w:color w:val="auto"/>
        </w:rPr>
        <w:t>. Except for those activities set forth in the Research Plan, as between the Parties, Genentech (and, if applicable, Genentech Licensees) have the sole right and responsibility for, and control over, all research, development, manufacturing and commercialization activities, including all regulatory activities, with respect to any Licensed Products.</w:t>
      </w:r>
    </w:p>
    <w:p>
      <w:pPr>
        <w:spacing w:after="0" w:line="181"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Development Costs</w:t>
      </w:r>
      <w:r>
        <w:rPr>
          <w:rFonts w:ascii="Arial" w:cs="Arial" w:eastAsia="Arial" w:hAnsi="Arial"/>
          <w:sz w:val="18"/>
          <w:szCs w:val="18"/>
          <w:color w:val="auto"/>
        </w:rPr>
        <w:t>. Except as otherwise agreed to by the Parties, [*****] shall bear all costs and expenses associated with research, development, manufacturing and commercialization activities with respect to Licensed Products, excluding costs incurred by [*****] in performance of its activities under the Research Plan.</w:t>
      </w:r>
    </w:p>
    <w:p>
      <w:pPr>
        <w:spacing w:after="0" w:line="18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ACI Cooperation</w:t>
      </w:r>
      <w:r>
        <w:rPr>
          <w:rFonts w:ascii="Arial" w:cs="Arial" w:eastAsia="Arial" w:hAnsi="Arial"/>
          <w:sz w:val="18"/>
          <w:szCs w:val="18"/>
          <w:color w:val="auto"/>
        </w:rPr>
        <w:t>. ACI shall, and shall cause its employees, contractors and agents to, cooperate with and provide reasonable support and assistance to Genentech in its conduct of any activities in the research, development, manufacturing and commercialization, including in the seeking of Marketing Approval, of Licensed Products. [*****] shall [*****] for any [*****] reasonably incurred by [*****] in connection with such cooperation and support provided that such [*****] are approved in advance by [*****].</w:t>
      </w:r>
    </w:p>
    <w:p>
      <w:pPr>
        <w:spacing w:after="0" w:line="18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Development Updates</w:t>
      </w:r>
      <w:r>
        <w:rPr>
          <w:rFonts w:ascii="Arial" w:cs="Arial" w:eastAsia="Arial" w:hAnsi="Arial"/>
          <w:sz w:val="16"/>
          <w:szCs w:val="16"/>
          <w:color w:val="auto"/>
        </w:rPr>
        <w:t xml:space="preserve">. Throughout the Term, Genentech shall provide to ACI periodic updates on the plan for development of Licensed Products containing ACI Antibody(ies) or Program Antibody(ies) under this Agreement on at least a [*****] basis. Such updates to include a summary of any significant progress or advances along with a general description of Genentech’s then-current plan of development. It is understood and agreed that the development plan summaries provided under this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are non-binding and provided to ACI for informational purposes only.</w:t>
      </w:r>
    </w:p>
    <w:p>
      <w:pPr>
        <w:spacing w:after="0" w:line="154"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Genentech Diligence</w:t>
      </w:r>
      <w:r>
        <w:rPr>
          <w:rFonts w:ascii="Arial" w:cs="Arial" w:eastAsia="Arial" w:hAnsi="Arial"/>
          <w:sz w:val="17"/>
          <w:szCs w:val="17"/>
          <w:color w:val="auto"/>
        </w:rPr>
        <w:t xml:space="preserve">. Genentech shall use Commercially Reasonable Efforts to develop and commercialize at least one Licensed Product (other than a Diagnostic Product) for Alzheimer’s disease [*****] as indicated by compelling biologic rationale and commercial viability, and one Diagnostic Product for Alzheimer’s disease (whereby the failure to use Commercially Reasonable Efforts to develop a Diagnostic Product only entitles ACI to pursuant to </w:t>
      </w:r>
      <w:r>
        <w:rPr>
          <w:rFonts w:ascii="Arial" w:cs="Arial" w:eastAsia="Arial" w:hAnsi="Arial"/>
          <w:sz w:val="17"/>
          <w:szCs w:val="17"/>
          <w:u w:val="single" w:color="auto"/>
          <w:color w:val="auto"/>
        </w:rPr>
        <w:t>Section 9.2.1</w:t>
      </w:r>
      <w:r>
        <w:rPr>
          <w:rFonts w:ascii="Arial" w:cs="Arial" w:eastAsia="Arial" w:hAnsi="Arial"/>
          <w:sz w:val="17"/>
          <w:szCs w:val="17"/>
          <w:color w:val="auto"/>
        </w:rPr>
        <w:t xml:space="preserve"> partially terminate the license for Diagnostic Products). Activities by Genentech Licensees and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270" w:right="239" w:bottom="1440" w:gutter="0" w:footer="0" w:header="0"/>
        </w:sectPr>
      </w:pPr>
    </w:p>
    <w:bookmarkStart w:id="417" w:name="page418"/>
    <w:bookmarkEnd w:id="4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will be considered as Genentech’s activities under this Agreement for purposes of determining whether Genentech has complied with its obligations under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Development of Licensed Products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Generally</w:t>
      </w:r>
      <w:r>
        <w:rPr>
          <w:rFonts w:ascii="Arial" w:cs="Arial" w:eastAsia="Arial" w:hAnsi="Arial"/>
          <w:sz w:val="17"/>
          <w:szCs w:val="17"/>
          <w:color w:val="auto"/>
        </w:rPr>
        <w:t>. The Parties intend and agree that filing for any Marketing Approval and commercialization of Licensed Products shall be controlled by Genentech. Without limiting the generality of the foregoing, Genentech shall be responsible for making and have authority to make all decisions, and undertake any actions necessary as a result of such decisions, regarding development (including additional preclinical and clinical development and testing), selecting drug candidates and preparing and filing BLAs and any other applications for Marketing Approval. Genentech shall own all regulatory submissions, including all Marketing Approvals and applications therefor, for Licensed Products in the United States.</w:t>
      </w:r>
    </w:p>
    <w:p>
      <w:pPr>
        <w:spacing w:after="0" w:line="17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Cooperation</w:t>
      </w:r>
      <w:r>
        <w:rPr>
          <w:rFonts w:ascii="Arial" w:cs="Arial" w:eastAsia="Arial" w:hAnsi="Arial"/>
          <w:sz w:val="18"/>
          <w:szCs w:val="18"/>
          <w:color w:val="auto"/>
        </w:rPr>
        <w:t>. ACI shall cooperate with and provide reasonable support to Genentech in its conduct of any activities in the development and seeking of Marketing Approval of Licensed Products. Without limiting the generality of the foregoing, ACI shall assist Genentech and any Genentech Licensee in the preparation and filing of any applications for Marketing Approval with respect to Licensed Products, including by delivering all information in ACI’s Control (in a complete and accurate form) necessary or useful to complete and file any Marketing Approval for a Licensed Product in the United States. [*****] shall [*****] for any [*****] reasonably incurred by [*****] in connection with such cooperation and support provided that such [*****] are approved in advance by [*****].</w:t>
      </w:r>
    </w:p>
    <w:p>
      <w:pPr>
        <w:spacing w:after="0" w:line="19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Transfer of Information and Regulatory Filings</w:t>
      </w:r>
      <w:r>
        <w:rPr>
          <w:rFonts w:ascii="Arial" w:cs="Arial" w:eastAsia="Arial" w:hAnsi="Arial"/>
          <w:sz w:val="18"/>
          <w:szCs w:val="18"/>
          <w:color w:val="auto"/>
        </w:rPr>
        <w:t>. Within [*****] days following the Effective Date and on an ongoing basis during the Term, ACI agrees to transfer to Genentech all Know-How, including any preclinical data, assays and associated materials, protocols, reports, procedures and any other information in ACI’s Control, necessary or useful to continue or initiate pre-clinical or clinical development, or in seeking Marketing Approval, of Licensed Products.</w:t>
      </w:r>
    </w:p>
    <w:p>
      <w:pPr>
        <w:spacing w:after="0" w:line="187"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Manufacturing and Supply</w:t>
      </w:r>
      <w:r>
        <w:rPr>
          <w:rFonts w:ascii="Arial" w:cs="Arial" w:eastAsia="Arial" w:hAnsi="Arial"/>
          <w:sz w:val="18"/>
          <w:szCs w:val="18"/>
          <w:color w:val="auto"/>
        </w:rPr>
        <w:t>. Genentech shall be responsible for manufacturing and supplying Licensed Products for clinical use and commercial sale in the Genentech Field.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LICENSE GRANTS, NEGOTIATION RIGHT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License Grants to Genentech</w:t>
      </w:r>
      <w:r>
        <w:rPr>
          <w:rFonts w:ascii="Arial" w:cs="Arial" w:eastAsia="Arial" w:hAnsi="Arial"/>
          <w:sz w:val="18"/>
          <w:szCs w:val="18"/>
          <w:color w:val="auto"/>
        </w:rPr>
        <w:t>.</w:t>
      </w:r>
    </w:p>
    <w:p>
      <w:pPr>
        <w:spacing w:after="0" w:line="117"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Therapeutic License</w:t>
      </w:r>
      <w:r>
        <w:rPr>
          <w:rFonts w:ascii="Arial" w:cs="Arial" w:eastAsia="Arial" w:hAnsi="Arial"/>
          <w:sz w:val="16"/>
          <w:szCs w:val="16"/>
          <w:color w:val="auto"/>
        </w:rPr>
        <w:t xml:space="preserve">. ACI hereby grants to Genentech, and Genentech hereby accepts an exclusive (even as to ACI) right and license under the ACI IP Rights, the ACI Program IP Rights and ACI’s interest in the Joint Program IP Rights to research, develop, make, have made, use, sell, offer for sale and import Tau-Active Antibodies and Licensed Products in each case for use in the Therapeutic Field in the Territory. The license granted to Genentech in this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shall include the right to sublicense to multiple tiers of Third Parties in accordance with the terms of </w:t>
      </w:r>
      <w:r>
        <w:rPr>
          <w:rFonts w:ascii="Arial" w:cs="Arial" w:eastAsia="Arial" w:hAnsi="Arial"/>
          <w:sz w:val="16"/>
          <w:szCs w:val="16"/>
          <w:u w:val="single" w:color="auto"/>
          <w:color w:val="auto"/>
        </w:rPr>
        <w:t>Section 4.6</w:t>
      </w:r>
      <w:r>
        <w:rPr>
          <w:rFonts w:ascii="Arial" w:cs="Arial" w:eastAsia="Arial" w:hAnsi="Arial"/>
          <w:sz w:val="16"/>
          <w:szCs w:val="16"/>
          <w:color w:val="auto"/>
        </w:rPr>
        <w:t>.</w:t>
      </w:r>
    </w:p>
    <w:p>
      <w:pPr>
        <w:spacing w:after="0" w:line="154"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Diagnostic License</w:t>
      </w:r>
      <w:r>
        <w:rPr>
          <w:rFonts w:ascii="Arial" w:cs="Arial" w:eastAsia="Arial" w:hAnsi="Arial"/>
          <w:sz w:val="17"/>
          <w:szCs w:val="17"/>
          <w:color w:val="auto"/>
        </w:rPr>
        <w:t xml:space="preserve">. ACI hereby grants to Genentech, and Genentech hereby accepts an exclusive (even as to ACI) right and license under the ACI IP Rights, the ACI Program IP Rights and ACI’s interest in the Joint Program IP Rights to research, develop, make, have made, use, sell, offer for sale and import Tau-Active Antibodies and Licensed Products for use in the Diagnostic Field in the Territory. The license granted to Genentech in this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shall include the right to sublicense to multiple tiers of Third Parties in accordance with the terms of </w:t>
      </w:r>
      <w:r>
        <w:rPr>
          <w:rFonts w:ascii="Arial" w:cs="Arial" w:eastAsia="Arial" w:hAnsi="Arial"/>
          <w:sz w:val="17"/>
          <w:szCs w:val="17"/>
          <w:u w:val="single" w:color="auto"/>
          <w:color w:val="auto"/>
        </w:rPr>
        <w:t>Section 4.6</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269" w:right="23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240" w:firstLine="913"/>
        <w:spacing w:after="0" w:line="342" w:lineRule="auto"/>
        <w:rPr>
          <w:sz w:val="20"/>
          <w:szCs w:val="20"/>
          <w:color w:val="auto"/>
        </w:rPr>
      </w:pPr>
      <w:r>
        <w:rPr>
          <w:rFonts w:ascii="Arial" w:cs="Arial" w:eastAsia="Arial" w:hAnsi="Arial"/>
          <w:sz w:val="16"/>
          <w:szCs w:val="16"/>
          <w:color w:val="auto"/>
        </w:rPr>
        <w:t>4.1.3 For the avoidance of doubt, no license is granted to Genentech to make, use, sell, offer for sale or import [*****], provided however that nothing in this Section 4.1.3 shall limit Genentech’s right to make any biological materials for use in the research and development of Licensed Products.</w:t>
      </w:r>
    </w:p>
    <w:p>
      <w:pPr>
        <w:spacing w:after="0" w:line="12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License Grant to ACI for Conduct of the Research Program</w:t>
      </w:r>
      <w:r>
        <w:rPr>
          <w:rFonts w:ascii="Arial" w:cs="Arial" w:eastAsia="Arial" w:hAnsi="Arial"/>
          <w:sz w:val="18"/>
          <w:szCs w:val="18"/>
          <w:color w:val="auto"/>
        </w:rPr>
        <w:t>. Subject to the terms of this Agreement, Genentech hereby grants to ACI a non-exclusive, non-transferable, non-sublicenseable (except as expressly provided in Section 2.4), right and license under the (i) ACI IP Rights (to the extent exclusively licensed to Genentech hereunder), (ii) ACI Program IP Rights and ACI’s interest in the Joint Program IP Rights (each to the extent exclusively licensed to Genentech hereunder), and (iii) Genentech IP Rights, in each case to research, develop, make and use (but not to sell or offer for sale) Tau-Active Antibodies solely to the extent necessary for ACI to conduct those activities specified in the Research Plan or to otherwise generate and develop Discovery Antibodies for use or inclusion in the Research Program.</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Exclusivity; Restrictions</w:t>
      </w:r>
      <w:r>
        <w:rPr>
          <w:rFonts w:ascii="Arial" w:cs="Arial" w:eastAsia="Arial" w:hAnsi="Arial"/>
          <w:sz w:val="18"/>
          <w:szCs w:val="18"/>
          <w:color w:val="auto"/>
        </w:rPr>
        <w:t>.</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4.3.1 ACI shall not (i) provide any Tau-Active Antibodies or Licensed Products to any Third Party; or (ii) provide to any Third Party any methods of screening for, identifying or making any Tau-Active Antibodies or Licensed Products, except as expressly provided in, and in strict accordance with, </w:t>
      </w:r>
      <w:r>
        <w:rPr>
          <w:rFonts w:ascii="Arial" w:cs="Arial" w:eastAsia="Arial" w:hAnsi="Arial"/>
          <w:sz w:val="18"/>
          <w:szCs w:val="18"/>
          <w:u w:val="single" w:color="auto"/>
          <w:color w:val="auto"/>
        </w:rPr>
        <w:t>Section 2.4</w:t>
      </w:r>
      <w:r>
        <w:rPr>
          <w:rFonts w:ascii="Arial" w:cs="Arial" w:eastAsia="Arial" w:hAnsi="Arial"/>
          <w:sz w:val="18"/>
          <w:szCs w:val="18"/>
          <w:color w:val="auto"/>
        </w:rPr>
        <w:t>. For clarity, the foregoing restriction will not apply to limit ACI’s use or transfer of Tau-Active Antibodies and related methods of screening, identification or manufacture, with respect to ACI’s activities outside the Genentech Field, including without limitation the research, development and commercialization of Vaccine Products.</w:t>
      </w:r>
    </w:p>
    <w:p>
      <w:pPr>
        <w:spacing w:after="0" w:line="188"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4.3.2 During the Term, the Parties agree that Genentech shall have the sole right to develop and commercialize Tau-Active Antibodies and ACI shall not have any rights to develop or commercialize products containing Tau-Active Antibodies for any purpose.</w:t>
      </w:r>
    </w:p>
    <w:p>
      <w:pPr>
        <w:spacing w:after="0" w:line="17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Academic Research</w:t>
      </w:r>
      <w:r>
        <w:rPr>
          <w:rFonts w:ascii="Arial" w:cs="Arial" w:eastAsia="Arial" w:hAnsi="Arial"/>
          <w:sz w:val="18"/>
          <w:szCs w:val="18"/>
          <w:color w:val="auto"/>
        </w:rPr>
        <w:t>. ACI may provide Tau-Active Antibody material existing prior the Effective Date to Katholieke Universiteit Leuven (“</w:t>
      </w:r>
      <w:r>
        <w:rPr>
          <w:rFonts w:ascii="Arial" w:cs="Arial" w:eastAsia="Arial" w:hAnsi="Arial"/>
          <w:sz w:val="18"/>
          <w:szCs w:val="18"/>
          <w:u w:val="single" w:color="auto"/>
          <w:color w:val="auto"/>
        </w:rPr>
        <w:t>K.U. Leuven</w:t>
      </w:r>
      <w:r>
        <w:rPr>
          <w:rFonts w:ascii="Arial" w:cs="Arial" w:eastAsia="Arial" w:hAnsi="Arial"/>
          <w:sz w:val="18"/>
          <w:szCs w:val="18"/>
          <w:color w:val="auto"/>
        </w:rPr>
        <w:t>”) solely for use in the academic research performed under the agreement entered into between ACI and K.U. Leuven effective as of July 1, 2008 (the “</w:t>
      </w:r>
      <w:r>
        <w:rPr>
          <w:rFonts w:ascii="Arial" w:cs="Arial" w:eastAsia="Arial" w:hAnsi="Arial"/>
          <w:sz w:val="18"/>
          <w:szCs w:val="18"/>
          <w:u w:val="single" w:color="auto"/>
          <w:color w:val="auto"/>
        </w:rPr>
        <w:t>K.U. Leuven Agreement</w:t>
      </w:r>
      <w:r>
        <w:rPr>
          <w:rFonts w:ascii="Arial" w:cs="Arial" w:eastAsia="Arial" w:hAnsi="Arial"/>
          <w:sz w:val="18"/>
          <w:szCs w:val="18"/>
          <w:color w:val="auto"/>
        </w:rPr>
        <w:t>”) provided, however, that (i) use of such Tau-Active Antibodies shall not conflict with Genentech’s exclusive rights under this Agreement; and (ii) all intellectual property rights (including but not limited to Patents and Know-How) made pursuant to the K.U. Leuven Agreement shall be included within the ACI IP Rights to the extent necessary or useful to Genentech in exercising its rights under the licenses granted in this Agreement.</w:t>
      </w:r>
    </w:p>
    <w:p>
      <w:pPr>
        <w:spacing w:after="0" w:line="193"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 xml:space="preserve">4.3.4 </w:t>
      </w:r>
      <w:r>
        <w:rPr>
          <w:rFonts w:ascii="Arial" w:cs="Arial" w:eastAsia="Arial" w:hAnsi="Arial"/>
          <w:sz w:val="17"/>
          <w:szCs w:val="17"/>
          <w:u w:val="single" w:color="auto"/>
          <w:color w:val="auto"/>
        </w:rPr>
        <w:t>Leuven License</w:t>
      </w:r>
      <w:r>
        <w:rPr>
          <w:rFonts w:ascii="Arial" w:cs="Arial" w:eastAsia="Arial" w:hAnsi="Arial"/>
          <w:sz w:val="17"/>
          <w:szCs w:val="17"/>
          <w:color w:val="auto"/>
        </w:rPr>
        <w:t>. ACI has provided to Genentech a true and correct copy (except for redactions of financial terms) of that certain License Agreement between ACI and K. U. Leuven dated September 22, 2010 (the “</w:t>
      </w:r>
      <w:r>
        <w:rPr>
          <w:rFonts w:ascii="Arial" w:cs="Arial" w:eastAsia="Arial" w:hAnsi="Arial"/>
          <w:sz w:val="17"/>
          <w:szCs w:val="17"/>
          <w:u w:val="single" w:color="auto"/>
          <w:color w:val="auto"/>
        </w:rPr>
        <w:t>Leuven License</w:t>
      </w:r>
      <w:r>
        <w:rPr>
          <w:rFonts w:ascii="Arial" w:cs="Arial" w:eastAsia="Arial" w:hAnsi="Arial"/>
          <w:sz w:val="17"/>
          <w:szCs w:val="17"/>
          <w:color w:val="auto"/>
        </w:rPr>
        <w:t>”). Genentech acknowledges that Leuven retained certain rights as set forth in the License Agreement and ACT has certain obligations owed to Leuven and that the rights granted under this Agreement are subject to those retained rights and obligations. ACI shall not commit any acts or omissions that could cause a material breach of the Leuven License, such that K. U. Leuven would be entitled to terminate the Leuven License or amend it in any way that would adversely affect a license or other rights granted to GNE under this Agreement. In addition, (i) without the prior written consent of GNE, ACI shall not exercise any rights it may have with respect to the Leuven License or amend, terminate, or waive any of its rights under, the Leuven License in any way that would adversely affect a license or other rights granted to GNE under this Agreement and (ii) ACI agrees to promptly notify GNE in the event that ACI receives notice of any alleged breach of the Leuven License or otherwise has reason to believe such an allegation is likely. ACI agrees that GNE may take any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270" w:right="239" w:bottom="1440" w:gutter="0" w:footer="0" w:header="0"/>
        </w:sectPr>
      </w:pPr>
    </w:p>
    <w:bookmarkStart w:id="419" w:name="page420"/>
    <w:bookmarkEnd w:id="4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necessary to remedy any actual or alleged breach of the Leuven License where such action does not relieve ACI from any obligation hereunder.</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Each Party acknowledges that the licenses granted under this Article 4 are limited to the scope expressly granted, and all other rights under a Party’s Patents and other intellectual property rights are expressly reserved to the granting Party.</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Right of First Negotiation</w:t>
      </w:r>
      <w:r>
        <w:rPr>
          <w:rFonts w:ascii="Arial" w:cs="Arial" w:eastAsia="Arial" w:hAnsi="Arial"/>
          <w:sz w:val="17"/>
          <w:szCs w:val="17"/>
          <w:color w:val="auto"/>
        </w:rPr>
        <w:t>. Promptly following the Effective Date, ACI shall provide to Genentech all information in ACI’s Control as reasonably necessary or useful for Genentech to evaluate its interest in the Vaccine Product Rights (including information and data regarding safety, efficacy, toxicity, potential side effects and any and all Marketing Approval filings). Genentech shall have [*****] calendar days from receipt of such notice to notify ACI of Genentech’s intent to negotiate for the Vaccine Product Rights. Upon receipt by ACI of Genentech’s notice of intent to negotiate, ACI shall negotiate solely and in good faith with Genentech for a period of [*****] calendar days (the “</w:t>
      </w:r>
      <w:r>
        <w:rPr>
          <w:rFonts w:ascii="Arial" w:cs="Arial" w:eastAsia="Arial" w:hAnsi="Arial"/>
          <w:sz w:val="17"/>
          <w:szCs w:val="17"/>
          <w:u w:val="single" w:color="auto"/>
          <w:color w:val="auto"/>
        </w:rPr>
        <w:t>ROFN Period</w:t>
      </w:r>
      <w:r>
        <w:rPr>
          <w:rFonts w:ascii="Arial" w:cs="Arial" w:eastAsia="Arial" w:hAnsi="Arial"/>
          <w:sz w:val="17"/>
          <w:szCs w:val="17"/>
          <w:color w:val="auto"/>
        </w:rPr>
        <w:t>”). If the Parties are unable to agree on substantive terms within the ROFN Period, Genentech shall promptly reduce to writing its last offer to ACI and provide such writing to ACI, and ACI shall be free to enter into an agreement with a Third Party for the sale or licensing of the ACI Vaccine Rights provided that the terms of such agreement when taken as a whole shall be no more favorable to the Third Party than those last offered by Genentech. If ACI is unable to enter into an agreement with a Third Party on terms that are not more favorable to the Third Party than those terms last offered by Genentech and ACI notifies Genentech of ACI’s desire to resume negotiations, the Parties agree to negotiate in good faith to reach a definitive agreement on mutually acceptable terms.</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Sublicenses</w:t>
      </w:r>
      <w:r>
        <w:rPr>
          <w:rFonts w:ascii="Arial" w:cs="Arial" w:eastAsia="Arial" w:hAnsi="Arial"/>
          <w:sz w:val="18"/>
          <w:szCs w:val="18"/>
          <w:color w:val="auto"/>
        </w:rPr>
        <w:t xml:space="preserve">. Genentech may sublicense its rights under the license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provided that any such sublicense agreement is consistent with the terms and conditions of this Agreement. In the event of any such sublicense, Genentech shall continue to remain primarily liable for all liabilities and obligations under this Agreement, including the payment obligations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Genentech is responsible for compliance by Genentech Licensees with the terms and conditions of this Agreement and the applicable sublicense agreement, including the diligence obligations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PAYMENTS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Up-Front Payment</w:t>
      </w:r>
      <w:r>
        <w:rPr>
          <w:rFonts w:ascii="Arial" w:cs="Arial" w:eastAsia="Arial" w:hAnsi="Arial"/>
          <w:sz w:val="18"/>
          <w:szCs w:val="18"/>
          <w:color w:val="auto"/>
        </w:rPr>
        <w:t xml:space="preserve">. In consideration for the rights granted and promises made hereunder, including the license granted to Genentech under the ACI IP Rights, Genentech shall, within thirty (30) days of the Effective Date, pay to ACI a one-time payment of </w:t>
      </w:r>
      <w:r>
        <w:rPr>
          <w:rFonts w:ascii="Arial" w:cs="Arial" w:eastAsia="Arial" w:hAnsi="Arial"/>
          <w:sz w:val="18"/>
          <w:szCs w:val="18"/>
          <w:b w:val="1"/>
          <w:bCs w:val="1"/>
          <w:color w:val="auto"/>
        </w:rPr>
        <w:t>seventeen million Swiss Francs (CHF</w:t>
      </w:r>
      <w:r>
        <w:rPr>
          <w:rFonts w:ascii="Arial" w:cs="Arial" w:eastAsia="Arial" w:hAnsi="Arial"/>
          <w:sz w:val="18"/>
          <w:szCs w:val="18"/>
          <w:color w:val="auto"/>
        </w:rPr>
        <w:t xml:space="preserve"> </w:t>
      </w:r>
      <w:r>
        <w:rPr>
          <w:rFonts w:ascii="Arial" w:cs="Arial" w:eastAsia="Arial" w:hAnsi="Arial"/>
          <w:sz w:val="18"/>
          <w:szCs w:val="18"/>
          <w:b w:val="1"/>
          <w:bCs w:val="1"/>
          <w:color w:val="auto"/>
        </w:rPr>
        <w:t>17,000,000).</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5.2 Therapeutic Product Milestone Payments.</w:t>
      </w:r>
    </w:p>
    <w:p>
      <w:pPr>
        <w:spacing w:after="0" w:line="117"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5.2.1 With respect to the first Therapeutic Product containing an ACI Antibody (including a Discovery Antibody) or a Program Antibody (each a “</w:t>
      </w:r>
      <w:r>
        <w:rPr>
          <w:rFonts w:ascii="Arial" w:cs="Arial" w:eastAsia="Arial" w:hAnsi="Arial"/>
          <w:sz w:val="16"/>
          <w:szCs w:val="16"/>
          <w:u w:val="single" w:color="auto"/>
          <w:color w:val="auto"/>
        </w:rPr>
        <w:t>Milestone Product</w:t>
      </w:r>
      <w:r>
        <w:rPr>
          <w:rFonts w:ascii="Arial" w:cs="Arial" w:eastAsia="Arial" w:hAnsi="Arial"/>
          <w:sz w:val="16"/>
          <w:szCs w:val="16"/>
          <w:color w:val="auto"/>
        </w:rPr>
        <w:t>”) to achieve the clinical development, Marketing Approval Filing, or First Commercial Sale milestones (each a “</w:t>
      </w:r>
      <w:r>
        <w:rPr>
          <w:rFonts w:ascii="Arial" w:cs="Arial" w:eastAsia="Arial" w:hAnsi="Arial"/>
          <w:sz w:val="16"/>
          <w:szCs w:val="16"/>
          <w:u w:val="single" w:color="auto"/>
          <w:color w:val="auto"/>
        </w:rPr>
        <w:t>Milestone</w:t>
      </w:r>
      <w:r>
        <w:rPr>
          <w:rFonts w:ascii="Arial" w:cs="Arial" w:eastAsia="Arial" w:hAnsi="Arial"/>
          <w:sz w:val="16"/>
          <w:szCs w:val="16"/>
          <w:color w:val="auto"/>
        </w:rPr>
        <w:t>”) set forth below, within [*****] days of the first occurrence that each such Milestone is achieved, Genentech shall pay ACI the amounts set forth herein below.</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 upon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270" w:right="239" w:bottom="1440" w:gutter="0" w:footer="0" w:header="0"/>
        </w:sectPr>
      </w:pPr>
    </w:p>
    <w:bookmarkStart w:id="420" w:name="page421"/>
    <w:bookmarkEnd w:id="4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38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ectPr>
          <w:pgSz w:w="11900" w:h="16838" w:orient="portrait"/>
          <w:cols w:equalWidth="0" w:num="1">
            <w:col w:w="11420"/>
          </w:cols>
          <w:pgMar w:left="240" w:top="269" w:right="239" w:bottom="1440" w:gutter="0" w:footer="0" w:header="0"/>
        </w:sectPr>
      </w:pPr>
    </w:p>
    <w:p>
      <w:pPr>
        <w:spacing w:after="0" w:line="20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CONFIDENTIAL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FINAL EXECUTION VERSION</w:t>
      </w:r>
    </w:p>
    <w:p>
      <w:pPr>
        <w:spacing w:after="0" w:line="493" w:lineRule="exact"/>
        <w:rPr>
          <w:sz w:val="20"/>
          <w:szCs w:val="20"/>
          <w:color w:val="auto"/>
        </w:rPr>
      </w:pPr>
    </w:p>
    <w:p>
      <w:pPr>
        <w:sectPr>
          <w:pgSz w:w="11900" w:h="16838" w:orient="portrait"/>
          <w:cols w:equalWidth="0" w:num="2">
            <w:col w:w="6140" w:space="720"/>
            <w:col w:w="4560"/>
          </w:cols>
          <w:pgMar w:left="240" w:top="269" w:right="239" w:bottom="1440" w:gutter="0" w:footer="0" w:header="0"/>
          <w:type w:val="continuous"/>
        </w:sectPr>
      </w:pPr>
    </w:p>
    <w:p>
      <w:pPr>
        <w:ind w:left="1740" w:hanging="248"/>
        <w:spacing w:after="0"/>
        <w:tabs>
          <w:tab w:leader="none" w:pos="174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 upon commencement [*****]</w:t>
      </w:r>
    </w:p>
    <w:p>
      <w:pPr>
        <w:spacing w:after="0" w:line="333" w:lineRule="exact"/>
        <w:rPr>
          <w:rFonts w:ascii="Arial" w:cs="Arial" w:eastAsia="Arial" w:hAnsi="Arial"/>
          <w:sz w:val="18"/>
          <w:szCs w:val="18"/>
          <w:color w:val="auto"/>
        </w:rPr>
      </w:pPr>
    </w:p>
    <w:p>
      <w:pPr>
        <w:ind w:left="1740" w:hanging="248"/>
        <w:spacing w:after="0"/>
        <w:tabs>
          <w:tab w:leader="none" w:pos="1740" w:val="left"/>
        </w:tabs>
        <w:numPr>
          <w:ilvl w:val="1"/>
          <w:numId w:val="336"/>
        </w:numPr>
        <w:rPr>
          <w:rFonts w:ascii="Arial" w:cs="Arial" w:eastAsia="Arial" w:hAnsi="Arial"/>
          <w:sz w:val="18"/>
          <w:szCs w:val="18"/>
          <w:color w:val="auto"/>
        </w:rPr>
      </w:pPr>
      <w:r>
        <w:rPr>
          <w:rFonts w:ascii="Arial" w:cs="Arial" w:eastAsia="Arial" w:hAnsi="Arial"/>
          <w:sz w:val="18"/>
          <w:szCs w:val="18"/>
          <w:u w:val="single" w:color="auto"/>
          <w:color w:val="auto"/>
        </w:rPr>
        <w:t>With respect to Alzheimer’s disease indication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upon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upon [*****].</w:t>
      </w:r>
    </w:p>
    <w:p>
      <w:pPr>
        <w:spacing w:after="0" w:line="333" w:lineRule="exact"/>
        <w:rPr>
          <w:rFonts w:ascii="Arial" w:cs="Arial" w:eastAsia="Arial" w:hAnsi="Arial"/>
          <w:sz w:val="18"/>
          <w:szCs w:val="18"/>
          <w:color w:val="auto"/>
        </w:rPr>
      </w:pPr>
    </w:p>
    <w:p>
      <w:pPr>
        <w:ind w:left="1740" w:hanging="248"/>
        <w:spacing w:after="0"/>
        <w:tabs>
          <w:tab w:leader="none" w:pos="1740"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With respect to each of the first [*****] to achieve the applicable Milestone</w:t>
      </w:r>
      <w:r>
        <w:rPr>
          <w:rFonts w:ascii="Arial" w:cs="Arial" w:eastAsia="Arial" w:hAnsi="Arial"/>
          <w:sz w:val="18"/>
          <w:szCs w:val="18"/>
          <w:color w:val="auto"/>
        </w:rPr>
        <w:t>:</w:t>
      </w:r>
    </w:p>
    <w:p>
      <w:pPr>
        <w:spacing w:after="0" w:line="131" w:lineRule="exact"/>
        <w:rPr>
          <w:sz w:val="20"/>
          <w:szCs w:val="20"/>
          <w:color w:val="auto"/>
        </w:rPr>
      </w:pPr>
    </w:p>
    <w:p>
      <w:pPr>
        <w:ind w:left="1480" w:hanging="567"/>
        <w:spacing w:after="0"/>
        <w:tabs>
          <w:tab w:leader="none" w:pos="14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upon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269" w:right="239" w:bottom="1440" w:gutter="0" w:footer="0" w:header="0"/>
          <w:type w:val="continuous"/>
        </w:sectPr>
      </w:pPr>
    </w:p>
    <w:bookmarkStart w:id="421" w:name="page422"/>
    <w:bookmarkEnd w:id="4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1480" w:hanging="567"/>
        <w:spacing w:after="0"/>
        <w:tabs>
          <w:tab w:leader="none" w:pos="1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upon [*****];</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upon [*****];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upon [*****].</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Diagnostic Product Milestone Payments</w:t>
      </w:r>
      <w:r>
        <w:rPr>
          <w:rFonts w:ascii="Arial" w:cs="Arial" w:eastAsia="Arial" w:hAnsi="Arial"/>
          <w:sz w:val="18"/>
          <w:szCs w:val="18"/>
          <w:color w:val="auto"/>
        </w:rPr>
        <w:t>. Upon [*****], Genentech shall pay ACI [*****]. Within [*****] days following the end of the first calendar year in which Diagnostic Net Sales for such calendar year equal or exceed [*****] Genentech shall pay ACI [*****].</w:t>
      </w:r>
    </w:p>
    <w:p>
      <w:pPr>
        <w:spacing w:after="0" w:line="170" w:lineRule="exact"/>
        <w:rPr>
          <w:sz w:val="20"/>
          <w:szCs w:val="20"/>
          <w:color w:val="auto"/>
        </w:rPr>
      </w:pPr>
    </w:p>
    <w:p>
      <w:pPr>
        <w:jc w:val="both"/>
        <w:ind w:right="380" w:firstLine="456"/>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Therapeutic Product Royalties</w:t>
      </w:r>
      <w:r>
        <w:rPr>
          <w:rFonts w:ascii="Arial" w:cs="Arial" w:eastAsia="Arial" w:hAnsi="Arial"/>
          <w:sz w:val="18"/>
          <w:szCs w:val="18"/>
          <w:color w:val="auto"/>
        </w:rPr>
        <w:t>. In consideration for the rights granted hereunder, in each calendar quarter during the Term of this Agreement in which Genentech records Net Sales of a Therapeutic Product, royalties as follows:</w:t>
      </w:r>
    </w:p>
    <w:p>
      <w:pPr>
        <w:spacing w:after="0" w:line="170" w:lineRule="exact"/>
        <w:rPr>
          <w:sz w:val="20"/>
          <w:szCs w:val="20"/>
          <w:color w:val="auto"/>
        </w:rPr>
      </w:pPr>
    </w:p>
    <w:p>
      <w:pPr>
        <w:jc w:val="both"/>
        <w:ind w:right="400" w:firstLine="913"/>
        <w:spacing w:after="0" w:line="312" w:lineRule="auto"/>
        <w:rPr>
          <w:sz w:val="20"/>
          <w:szCs w:val="20"/>
          <w:color w:val="auto"/>
        </w:rPr>
      </w:pPr>
      <w:r>
        <w:rPr>
          <w:rFonts w:ascii="Arial" w:cs="Arial" w:eastAsia="Arial" w:hAnsi="Arial"/>
          <w:sz w:val="16"/>
          <w:szCs w:val="16"/>
          <w:color w:val="auto"/>
        </w:rPr>
        <w:t>5.4.1 For Net Sales of a Therapeutic Product Covered by a Valid Patent Claim within the ACI IP Rights in the country of sale other than the Discovery Antibody IP Rights in such country, and subject to and in accordance with the terms and conditions of this Agreement, Genentech shall pay to ACI, on a Therapeutic Product-by-Therapeutic Product and country-by-country basis, an amount equal to [*****] of such annual Net Sales.</w:t>
      </w:r>
    </w:p>
    <w:p>
      <w:pPr>
        <w:spacing w:after="0" w:line="147" w:lineRule="exact"/>
        <w:rPr>
          <w:sz w:val="20"/>
          <w:szCs w:val="20"/>
          <w:color w:val="auto"/>
        </w:rPr>
      </w:pPr>
    </w:p>
    <w:p>
      <w:pPr>
        <w:jc w:val="both"/>
        <w:ind w:right="160" w:firstLine="913"/>
        <w:spacing w:after="0" w:line="312" w:lineRule="auto"/>
        <w:rPr>
          <w:sz w:val="20"/>
          <w:szCs w:val="20"/>
          <w:color w:val="auto"/>
        </w:rPr>
      </w:pPr>
      <w:r>
        <w:rPr>
          <w:rFonts w:ascii="Arial" w:cs="Arial" w:eastAsia="Arial" w:hAnsi="Arial"/>
          <w:sz w:val="16"/>
          <w:szCs w:val="16"/>
          <w:color w:val="auto"/>
        </w:rPr>
        <w:t>5.4.2 For Net Sales of a Therapeutic Product Covered by the Discovery Antibody IP Rights in the country of sale and not Covered by any other Valid Patent Claim within the ACI IP Rights in such country, and subject to and in accordance with the terms and conditions of this Agreement, Genentech shall pay to ACI, on a Therapeutic Product-by-Therapeutic Product and country-by-country basis, an amount equal to [*****] of such annual Net Sales.</w:t>
      </w:r>
    </w:p>
    <w:p>
      <w:pPr>
        <w:spacing w:after="0" w:line="147"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5.4.3 For Net Sales of a Therapeutic Product Covered by a Valid Patent Claim within the ACI Program IP Rights or ACI’s interest in the Joint Program IP Rights in the country of sale (and not covered by a Valid Patent Claim within the ACI IP Rights), and subject to and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270" w:right="239" w:bottom="1440" w:gutter="0" w:footer="0" w:header="0"/>
        </w:sectPr>
      </w:pPr>
    </w:p>
    <w:bookmarkStart w:id="422" w:name="page423"/>
    <w:bookmarkEnd w:id="4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terms and conditions of this Agreement, Genentech shall pay to ACI, on a Therapeutic Product-by- Therapeutic Product and country-by-country basis, an amount equal to [*****] of such annual Net Sales.</w:t>
      </w:r>
    </w:p>
    <w:p>
      <w:pPr>
        <w:spacing w:after="0" w:line="170"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5.4.4 For Net Sales of Therapeutic Products that contain as an active ingredient a Tau-Active Antibody that is (i) an ACI Antibody or (ii) is generated by Genentech using proprietary screening technology within the ACI IP Rights and such Therapeutic Product is not Covered by a Valid Patent Claim within the ACI IP Rights (including the Discovery Antibody IP Rights), the ACI Program IP Rights or the Joint Program IP Rights in the country of sale, a royalty equal to [*****] of annual Net Sales, provided, however, that royalty payment obligations under this Section 5.4.4 shall terminate, on a country-by-country basis, upon the date that is [*****] years from the date of First Commercial Sale of the applicable Therapeutic Product in a country. For the sake of clarity, royalties paid under this Section 5.4.4 shall be mutually exclusive of royalties to be paid under </w:t>
      </w:r>
      <w:r>
        <w:rPr>
          <w:rFonts w:ascii="Arial" w:cs="Arial" w:eastAsia="Arial" w:hAnsi="Arial"/>
          <w:sz w:val="16"/>
          <w:szCs w:val="16"/>
          <w:u w:val="single" w:color="auto"/>
          <w:color w:val="auto"/>
        </w:rPr>
        <w:t>Sections 5.4.1-5.4.3</w:t>
      </w:r>
      <w:r>
        <w:rPr>
          <w:rFonts w:ascii="Arial" w:cs="Arial" w:eastAsia="Arial" w:hAnsi="Arial"/>
          <w:sz w:val="16"/>
          <w:szCs w:val="16"/>
          <w:color w:val="auto"/>
        </w:rPr>
        <w:t xml:space="preserve">; in no event shall royalties be paid under this </w:t>
      </w:r>
      <w:r>
        <w:rPr>
          <w:rFonts w:ascii="Arial" w:cs="Arial" w:eastAsia="Arial" w:hAnsi="Arial"/>
          <w:sz w:val="16"/>
          <w:szCs w:val="16"/>
          <w:u w:val="single" w:color="auto"/>
          <w:color w:val="auto"/>
        </w:rPr>
        <w:t>Section 5.4.4</w:t>
      </w:r>
      <w:r>
        <w:rPr>
          <w:rFonts w:ascii="Arial" w:cs="Arial" w:eastAsia="Arial" w:hAnsi="Arial"/>
          <w:sz w:val="16"/>
          <w:szCs w:val="16"/>
          <w:color w:val="auto"/>
        </w:rPr>
        <w:t xml:space="preserve"> on Net Sales of Therapeutic Products Covered by a Valid Patent Claim of the ACI IP Rights for which the royalty is paid under </w:t>
      </w:r>
      <w:r>
        <w:rPr>
          <w:rFonts w:ascii="Arial" w:cs="Arial" w:eastAsia="Arial" w:hAnsi="Arial"/>
          <w:sz w:val="16"/>
          <w:szCs w:val="16"/>
          <w:u w:val="single" w:color="auto"/>
          <w:color w:val="auto"/>
        </w:rPr>
        <w:t>Section 5.4.1 or 5.4.2</w:t>
      </w:r>
      <w:r>
        <w:rPr>
          <w:rFonts w:ascii="Arial" w:cs="Arial" w:eastAsia="Arial" w:hAnsi="Arial"/>
          <w:sz w:val="16"/>
          <w:szCs w:val="16"/>
          <w:color w:val="auto"/>
        </w:rPr>
        <w:t xml:space="preserve"> or of the ACI Program IP Rights or Joint Program IP Rights for which a royalty is paid under </w:t>
      </w:r>
      <w:r>
        <w:rPr>
          <w:rFonts w:ascii="Arial" w:cs="Arial" w:eastAsia="Arial" w:hAnsi="Arial"/>
          <w:sz w:val="16"/>
          <w:szCs w:val="16"/>
          <w:u w:val="single" w:color="auto"/>
          <w:color w:val="auto"/>
        </w:rPr>
        <w:t>5.4.3</w:t>
      </w:r>
      <w:r>
        <w:rPr>
          <w:rFonts w:ascii="Arial" w:cs="Arial" w:eastAsia="Arial" w:hAnsi="Arial"/>
          <w:sz w:val="16"/>
          <w:szCs w:val="16"/>
          <w:color w:val="auto"/>
        </w:rPr>
        <w:t>.</w:t>
      </w:r>
    </w:p>
    <w:p>
      <w:pPr>
        <w:spacing w:after="0" w:line="166"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Diagnostic Product Royalties</w:t>
      </w:r>
      <w:r>
        <w:rPr>
          <w:rFonts w:ascii="Arial" w:cs="Arial" w:eastAsia="Arial" w:hAnsi="Arial"/>
          <w:sz w:val="18"/>
          <w:szCs w:val="18"/>
          <w:color w:val="auto"/>
        </w:rPr>
        <w:t>. In consideration for the rights granted hereunder, in each calendar quarter during the Term of this Agreement in which Genentech records Diagnostic Net Sales of a Diagnostic Product Covered by a Valid Patent Claim within the ACI IP Rights, the ACI Program IP Rights or the Joint Program IP Rights in the country of sale, and subject to and in accordance with the terms and conditions of this Agreement, Genentech shall pay to ACI, on a Diagnostic Product-by- Diagnostic Product and country-by-country basis, an amount equal to [*****] of such annual Diagnostic Net Sales.</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Timing of Payments</w:t>
      </w:r>
      <w:r>
        <w:rPr>
          <w:rFonts w:ascii="Arial" w:cs="Arial" w:eastAsia="Arial" w:hAnsi="Arial"/>
          <w:sz w:val="18"/>
          <w:szCs w:val="18"/>
          <w:color w:val="auto"/>
        </w:rPr>
        <w:t>. All payments due under Sections 5.4 and 5.5 shall be paid in quarterly installments and be paid within [*****] days following the end of each calendar quarter.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Deductions from Payments</w:t>
      </w:r>
      <w:r>
        <w:rPr>
          <w:rFonts w:ascii="Arial" w:cs="Arial" w:eastAsia="Arial" w:hAnsi="Arial"/>
          <w:sz w:val="18"/>
          <w:szCs w:val="18"/>
          <w:color w:val="auto"/>
        </w:rPr>
        <w:t>.</w:t>
      </w:r>
    </w:p>
    <w:p>
      <w:pPr>
        <w:spacing w:after="0" w:line="117"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 xml:space="preserve">5.7.1 If in Genentech’s reasonable business judgment it is necessary to obtain a license under a issued patent of a Third Party in connection with the research, development, manufacture, distribution, use, sale, import or export of a Therapeutic Product, [*****], including fee, royalty or other payment, against the royalties payable pursuant to </w:t>
      </w:r>
      <w:r>
        <w:rPr>
          <w:rFonts w:ascii="Arial" w:cs="Arial" w:eastAsia="Arial" w:hAnsi="Arial"/>
          <w:sz w:val="18"/>
          <w:szCs w:val="18"/>
          <w:u w:val="single" w:color="auto"/>
          <w:color w:val="auto"/>
        </w:rPr>
        <w:t>Section 5.4.1 – 5.4.3</w:t>
      </w:r>
      <w:r>
        <w:rPr>
          <w:rFonts w:ascii="Arial" w:cs="Arial" w:eastAsia="Arial" w:hAnsi="Arial"/>
          <w:sz w:val="18"/>
          <w:szCs w:val="18"/>
          <w:color w:val="auto"/>
        </w:rPr>
        <w:t xml:space="preserve"> above; provided, that [*****].</w:t>
      </w:r>
    </w:p>
    <w:p>
      <w:pPr>
        <w:spacing w:after="0" w:line="181" w:lineRule="exact"/>
        <w:rPr>
          <w:sz w:val="20"/>
          <w:szCs w:val="20"/>
          <w:color w:val="auto"/>
        </w:rPr>
      </w:pPr>
    </w:p>
    <w:p>
      <w:pPr>
        <w:ind w:right="220" w:firstLine="913"/>
        <w:spacing w:after="0" w:line="276" w:lineRule="auto"/>
        <w:rPr>
          <w:sz w:val="20"/>
          <w:szCs w:val="20"/>
          <w:color w:val="auto"/>
        </w:rPr>
      </w:pPr>
      <w:r>
        <w:rPr>
          <w:rFonts w:ascii="Arial" w:cs="Arial" w:eastAsia="Arial" w:hAnsi="Arial"/>
          <w:sz w:val="17"/>
          <w:szCs w:val="17"/>
          <w:color w:val="auto"/>
        </w:rPr>
        <w:t xml:space="preserve">5.7.2 If in Genentech’s reasonable business judgment it is necessary to obtain a license under any Blocking Third Party Intellectual Property in connection with the research, development, manufacture, distribution, use, sale, import or export of a Diagnostic Product, [*****], including fee, royalty or other payment, against the royalties payable pursuant to Section 5.5 above; [*****] shall be in addition to, and not in lieu of, any other rights or claims Genentech may have under this Agreement or otherwise. For the purposes of this </w:t>
      </w:r>
      <w:r>
        <w:rPr>
          <w:rFonts w:ascii="Arial" w:cs="Arial" w:eastAsia="Arial" w:hAnsi="Arial"/>
          <w:sz w:val="17"/>
          <w:szCs w:val="17"/>
          <w:u w:val="single" w:color="auto"/>
          <w:color w:val="auto"/>
        </w:rPr>
        <w:t>Section 5.7.2</w:t>
      </w:r>
      <w:r>
        <w:rPr>
          <w:rFonts w:ascii="Arial" w:cs="Arial" w:eastAsia="Arial" w:hAnsi="Arial"/>
          <w:sz w:val="17"/>
          <w:szCs w:val="17"/>
          <w:color w:val="auto"/>
        </w:rPr>
        <w:t>, “Blocking Third Party Intellectual Property” means, with respect to any country in the Territory, Patent rights in such country owned or controlled by a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269" w:right="239" w:bottom="1440" w:gutter="0" w:footer="0" w:header="0"/>
        </w:sectPr>
      </w:pPr>
    </w:p>
    <w:bookmarkStart w:id="423" w:name="page424"/>
    <w:bookmarkEnd w:id="4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Party that cover specific reagents, assays and/or platform or any other technology required for use or sale of a Diagnostic Product, if the manufacture, use or sale of such Diagnostic Product would in the absence of a license granted by such Third Party, infringe such Patent rights.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5.7.3 For clarity, in no event will royalties payable on Therapeutic Products pursuant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be reduced below a rate of [*****] of annual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Additional Royalty Terms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 xml:space="preserve">5.8.1 </w:t>
      </w:r>
      <w:r>
        <w:rPr>
          <w:rFonts w:ascii="Arial" w:cs="Arial" w:eastAsia="Arial" w:hAnsi="Arial"/>
          <w:sz w:val="18"/>
          <w:szCs w:val="18"/>
          <w:u w:val="single" w:color="auto"/>
          <w:color w:val="auto"/>
        </w:rPr>
        <w:t>Single Royalty</w:t>
      </w:r>
      <w:r>
        <w:rPr>
          <w:rFonts w:ascii="Arial" w:cs="Arial" w:eastAsia="Arial" w:hAnsi="Arial"/>
          <w:sz w:val="18"/>
          <w:szCs w:val="18"/>
          <w:color w:val="auto"/>
        </w:rPr>
        <w:t>. Notwithstanding anything herein to the contrary, with respect to any Licensed Product only a single royalty payment shall be due and payable, regardless if such Licensed Product is covered by more than one Valid Patent Claim or contains more than one component Covered by a Valid Patent Claim.</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5.8.2 </w:t>
      </w:r>
      <w:r>
        <w:rPr>
          <w:rFonts w:ascii="Arial" w:cs="Arial" w:eastAsia="Arial" w:hAnsi="Arial"/>
          <w:sz w:val="18"/>
          <w:szCs w:val="18"/>
          <w:u w:val="single" w:color="auto"/>
          <w:color w:val="auto"/>
        </w:rPr>
        <w:t>Royalty Term; Fully Paid Licenses</w:t>
      </w:r>
      <w:r>
        <w:rPr>
          <w:rFonts w:ascii="Arial" w:cs="Arial" w:eastAsia="Arial" w:hAnsi="Arial"/>
          <w:sz w:val="18"/>
          <w:szCs w:val="18"/>
          <w:color w:val="auto"/>
        </w:rPr>
        <w:t xml:space="preserve">. Where tied to a Valid Patent Claim, royalties under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are payable only during time periods in which sale of the applicable Licensed Product is Covered by a Valid Patent Claim in the applicable country. Upon expiration of the obligation to pay royalties for a particular Licensed Product in a given country under Section 5.4 and Section 5.5, the licenses granted to the Party under this Agreement with respect to such Licensed Product in such country shall become fully paid and irrevocable.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REPORTS, AUDITS AND FINANCIAL TERMS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11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Royalty Reports</w:t>
      </w:r>
      <w:r>
        <w:rPr>
          <w:rFonts w:ascii="Arial" w:cs="Arial" w:eastAsia="Arial" w:hAnsi="Arial"/>
          <w:sz w:val="18"/>
          <w:szCs w:val="18"/>
          <w:color w:val="auto"/>
        </w:rPr>
        <w:t>. Within [*****], Genentech shall send to ACI a report of Net Sales of the Licensed Products for which a royalty is due, which report sets forth for such calendar quarter the following information: (i) total Net Sales of all Licensed Products sold in the Territory during such calendar quarter, (ii) the exchange rate used to convert Net Sales from the currency in which they are earned to Swiss Francs (CHF), (iii) Net Sales on a country-by-country basis for each of [*****] and (iv) the total royalty payments due.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Financial Terms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Currency</w:t>
      </w:r>
      <w:r>
        <w:rPr>
          <w:rFonts w:ascii="Arial" w:cs="Arial" w:eastAsia="Arial" w:hAnsi="Arial"/>
          <w:sz w:val="18"/>
          <w:szCs w:val="18"/>
          <w:color w:val="auto"/>
        </w:rPr>
        <w:t>. All payments to be made under this Agreement shall be made in Swiss Francs (CHF). Amounts invoiced in a currency other than Swiss Francs must be expressed in the Swiss Francs (CHF) equivalent as well as any local currency. Net Sales shall be first determined in the currency in which they are earned and shall then be converted into an amount in Swiss Francs (CHF). All currency conversions shall use the conversion rate used by Roche for its then-current external reporting requirements, consistently applied.</w:t>
      </w:r>
    </w:p>
    <w:p>
      <w:pPr>
        <w:spacing w:after="0" w:line="18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Payment Type</w:t>
      </w:r>
      <w:r>
        <w:rPr>
          <w:rFonts w:ascii="Arial" w:cs="Arial" w:eastAsia="Arial" w:hAnsi="Arial"/>
          <w:sz w:val="18"/>
          <w:szCs w:val="18"/>
          <w:color w:val="auto"/>
        </w:rPr>
        <w:t>. Amounts paid by one Party to the other under this Agreement shall be paid in Swiss Francs (CHF), in immediately available funds, by means of wire transfer to an account identified by the payee.</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Withholding of Taxes</w:t>
      </w:r>
      <w:r>
        <w:rPr>
          <w:rFonts w:ascii="Arial" w:cs="Arial" w:eastAsia="Arial" w:hAnsi="Arial"/>
          <w:sz w:val="18"/>
          <w:szCs w:val="18"/>
          <w:color w:val="auto"/>
        </w:rPr>
        <w:t>. Each Party may withhold from payments due to the other Party amounts for payment of any withholding tax that is required by law to be paid to any taxing authority with respect to such payments. The Party withholding the tax shall provide to the other Party all relevant documents and correspondence, and shall also provide to the Party from whose payment that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270" w:right="239" w:bottom="1440" w:gutter="0" w:footer="0" w:header="0"/>
        </w:sectPr>
      </w:pPr>
    </w:p>
    <w:bookmarkStart w:id="424" w:name="page425"/>
    <w:bookmarkEnd w:id="4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was withheld any other cooperation or assistance on a reasonable basis as may be necessary to enable that Party subject to withholding to claim exemption from such withholding taxes and to receive a full refund of such withholding tax or claim a foreign tax credit. The Party withholding the tax shall give proper evidence from time to time as to the payment of such tax. The Parties shall cooperate with each other in seeking deductions under any double taxation or other similar treaty or agreement from time to time in force. Such cooperation may include Genentech making payments from a single source in the U.S., where possible or Switzerland.</w:t>
      </w:r>
    </w:p>
    <w:p>
      <w:pPr>
        <w:spacing w:after="0" w:line="18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Late Payments</w:t>
      </w:r>
      <w:r>
        <w:rPr>
          <w:rFonts w:ascii="Arial" w:cs="Arial" w:eastAsia="Arial" w:hAnsi="Arial"/>
          <w:sz w:val="18"/>
          <w:szCs w:val="18"/>
          <w:color w:val="auto"/>
        </w:rPr>
        <w:t>. Any amounts not paid within [*****] days after the date due under this Agreement are subject to interest from the date due through and including the date upon which payment is received. Interest is calculated, over the period between the date due and the date paid, at a rate equal to [*****].</w:t>
      </w:r>
    </w:p>
    <w:p>
      <w:pPr>
        <w:spacing w:after="0" w:line="181"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6.2.5 </w:t>
      </w:r>
      <w:r>
        <w:rPr>
          <w:rFonts w:ascii="Arial" w:cs="Arial" w:eastAsia="Arial" w:hAnsi="Arial"/>
          <w:sz w:val="17"/>
          <w:szCs w:val="17"/>
          <w:u w:val="single" w:color="auto"/>
          <w:color w:val="auto"/>
        </w:rPr>
        <w:t>Blocked Currency</w:t>
      </w:r>
      <w:r>
        <w:rPr>
          <w:rFonts w:ascii="Arial" w:cs="Arial" w:eastAsia="Arial" w:hAnsi="Arial"/>
          <w:sz w:val="17"/>
          <w:szCs w:val="17"/>
          <w:color w:val="auto"/>
        </w:rPr>
        <w:t>. If, at any time, legal restrictions prevent the prompt remittance of part or all royalties with respect to any country where a Licensed Product is sold, payment shall be made through such lawful means or methods as the Party paying may determine. When in any country, the law or regulations prohibit both the transmittal and deposit of royalties or other payments, the Party paying shall continue to report all such amounts, but may suspend payment for as long as such prohibition is in effect. As soon as such prohibition ceases to be in effect, all amounts that would have been obligated to be transmitted or deposited, but for the prohibition, shall forthwith be deposited or transmitted promptly.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Accounts and Audit</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6.3.1 </w:t>
      </w:r>
      <w:r>
        <w:rPr>
          <w:rFonts w:ascii="Arial" w:cs="Arial" w:eastAsia="Arial" w:hAnsi="Arial"/>
          <w:sz w:val="18"/>
          <w:szCs w:val="18"/>
          <w:u w:val="single" w:color="auto"/>
          <w:color w:val="auto"/>
        </w:rPr>
        <w:t>Records</w:t>
      </w:r>
      <w:r>
        <w:rPr>
          <w:rFonts w:ascii="Arial" w:cs="Arial" w:eastAsia="Arial" w:hAnsi="Arial"/>
          <w:sz w:val="18"/>
          <w:szCs w:val="18"/>
          <w:color w:val="auto"/>
        </w:rPr>
        <w:t>. Each Party shall keep full, true and accurate books of account containing the particulars of Net Sales, the calculation of royalties. Each Party shall keep such books of account and the supporting data and other records. Such books and records must be maintained available for examination in accordance with this Section for [*****] calendar years after the end of the calendar year to which they pertain, and otherwise as reasonably required to comply with IFRS.</w:t>
      </w:r>
    </w:p>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6.3.2 </w:t>
      </w:r>
      <w:r>
        <w:rPr>
          <w:rFonts w:ascii="Arial" w:cs="Arial" w:eastAsia="Arial" w:hAnsi="Arial"/>
          <w:sz w:val="18"/>
          <w:szCs w:val="18"/>
          <w:u w:val="single" w:color="auto"/>
          <w:color w:val="auto"/>
        </w:rPr>
        <w:t>Appointment of Auditor</w:t>
      </w:r>
      <w:r>
        <w:rPr>
          <w:rFonts w:ascii="Arial" w:cs="Arial" w:eastAsia="Arial" w:hAnsi="Arial"/>
          <w:sz w:val="18"/>
          <w:szCs w:val="18"/>
          <w:color w:val="auto"/>
        </w:rPr>
        <w:t>. Each Party may appoint an internationally-recognized independent accounting firm reasonably acceptable to the audited Party to inspect the relevant books of account of the audited Party to verify any reports or statements provided, or amounts paid or invoiced (as appropriate), by that audited Party. The independent accounting firm (and any individuals, if applicable) appointed to perform the examination under this Agreement must execute a confidential disclosure agreement with the audited Party, or otherwise be subject to terms governing non-use and non-disclosure of information that the audited Party has agreed in writing are acceptable.</w:t>
      </w:r>
    </w:p>
    <w:p>
      <w:pPr>
        <w:spacing w:after="0" w:line="188"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 xml:space="preserve">6.3.3 </w:t>
      </w:r>
      <w:r>
        <w:rPr>
          <w:rFonts w:ascii="Arial" w:cs="Arial" w:eastAsia="Arial" w:hAnsi="Arial"/>
          <w:sz w:val="18"/>
          <w:szCs w:val="18"/>
          <w:u w:val="single" w:color="auto"/>
          <w:color w:val="auto"/>
        </w:rPr>
        <w:t>Procedures for Audit</w:t>
      </w:r>
      <w:r>
        <w:rPr>
          <w:rFonts w:ascii="Arial" w:cs="Arial" w:eastAsia="Arial" w:hAnsi="Arial"/>
          <w:sz w:val="18"/>
          <w:szCs w:val="18"/>
          <w:color w:val="auto"/>
        </w:rPr>
        <w:t>. Each Party may exercise its right to have the other Party’s relevant records examined only during the [*****] year period during which the audited Party is required to maintain records, no more than once in any consecutive [*****] calendar quarter period, and only once with respect to records covering any specific period of time. The audited Party is required to make its records available for inspection only during regular business hours, only at such place or places where such records are customarily kept, and only upon receipt of at least [*****] days written advance notice from the other Party.</w:t>
      </w:r>
    </w:p>
    <w:p>
      <w:pPr>
        <w:spacing w:after="0" w:line="18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6.3.4 </w:t>
      </w:r>
      <w:r>
        <w:rPr>
          <w:rFonts w:ascii="Arial" w:cs="Arial" w:eastAsia="Arial" w:hAnsi="Arial"/>
          <w:sz w:val="18"/>
          <w:szCs w:val="18"/>
          <w:u w:val="single" w:color="auto"/>
          <w:color w:val="auto"/>
        </w:rPr>
        <w:t>Audit Report</w:t>
      </w:r>
      <w:r>
        <w:rPr>
          <w:rFonts w:ascii="Arial" w:cs="Arial" w:eastAsia="Arial" w:hAnsi="Arial"/>
          <w:sz w:val="18"/>
          <w:szCs w:val="18"/>
          <w:color w:val="auto"/>
        </w:rPr>
        <w:t>. The independent accountant will be instructed to provide an audit report containing its conclusions regarding the audit, and specifying whether the amounts paid were correct, and, if incorrect, the amount of any underpayment or overpayment. The independent accountant further will be instructed to provide that audit report first to the audited Party, and will be further instructed to redact any proprietary information of the audited Party not relevant to the calculation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270" w:right="239" w:bottom="1440" w:gutter="0" w:footer="0" w:header="0"/>
        </w:sectPr>
      </w:pPr>
    </w:p>
    <w:bookmarkStart w:id="425" w:name="page426"/>
    <w:bookmarkEnd w:id="4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royalties prior to providing that audit report to the other Party. That audit report shall be deemed to be Confidential Information of the audited Party, and used only for purposes germane to this Section.</w:t>
      </w:r>
    </w:p>
    <w:p>
      <w:pPr>
        <w:spacing w:after="0" w:line="170"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 xml:space="preserve">6.3.5 </w:t>
      </w:r>
      <w:r>
        <w:rPr>
          <w:rFonts w:ascii="Arial" w:cs="Arial" w:eastAsia="Arial" w:hAnsi="Arial"/>
          <w:sz w:val="18"/>
          <w:szCs w:val="18"/>
          <w:u w:val="single" w:color="auto"/>
          <w:color w:val="auto"/>
        </w:rPr>
        <w:t>Underpayment and Overpayment</w:t>
      </w:r>
      <w:r>
        <w:rPr>
          <w:rFonts w:ascii="Arial" w:cs="Arial" w:eastAsia="Arial" w:hAnsi="Arial"/>
          <w:sz w:val="18"/>
          <w:szCs w:val="18"/>
          <w:color w:val="auto"/>
        </w:rPr>
        <w:t xml:space="preserve">. After review of the auditor’s report: (i) if there is an uncontested underpayment by the audited Party for the period in question, then the audited Party shall pay to the other Party the full amount of that uncontested underpayment, and (ii) if there is an uncontested overpayment by the audited Party for the period in question, then the other Party shall provide to the audited Party a credit against future payments (such credit equal to the full amount of that overpayment), or, if the audited Party is not obligated to make any future payments, then the other Party shall pay to the audited Party the full amount of that overpayment. Contested amounts are subject to dispute resolution under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If the total amount of any underpayment (as agreed to by the audited Party or as determined under </w:t>
      </w:r>
      <w:r>
        <w:rPr>
          <w:rFonts w:ascii="Arial" w:cs="Arial" w:eastAsia="Arial" w:hAnsi="Arial"/>
          <w:sz w:val="18"/>
          <w:szCs w:val="18"/>
          <w:u w:val="single" w:color="auto"/>
          <w:color w:val="auto"/>
        </w:rPr>
        <w:t>Article 13</w:t>
      </w:r>
      <w:r>
        <w:rPr>
          <w:rFonts w:ascii="Arial" w:cs="Arial" w:eastAsia="Arial" w:hAnsi="Arial"/>
          <w:sz w:val="18"/>
          <w:szCs w:val="18"/>
          <w:color w:val="auto"/>
        </w:rPr>
        <w:t>) exceeds [*****] of the amount previously paid by the audited Party for the period subject to audit (as long as that period is at least [*****] consecutive calendar quarters), then the audited Party shall pay the reasonable costs for the audit.</w:t>
      </w:r>
    </w:p>
    <w:p>
      <w:pPr>
        <w:spacing w:after="0" w:line="19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Rights Regarding Consolidation of ACI Financial Data</w:t>
      </w:r>
      <w:r>
        <w:rPr>
          <w:rFonts w:ascii="Arial" w:cs="Arial" w:eastAsia="Arial" w:hAnsi="Arial"/>
          <w:sz w:val="17"/>
          <w:szCs w:val="17"/>
          <w:color w:val="auto"/>
        </w:rPr>
        <w:t xml:space="preserve">. If, at any time during the term of this Agreement, compliance with any term or condition of this Agreement would, in Genentech’s opinion and with the concurrence of Genentech’s independent auditors, require Genentech to consolidate ACI within Genentech’s financial statements in order to comply with Accounting Standards in effect at that time, then upon Genentech’s request, ACI shall provide to Genentech (a) ACI’s unaudited quarterly consolidated financial statements, prepared in accordance with IFRS (i.e., balance sheet, income statement and statement of cash flows) for each calendar quarter within [*****] days after the end of the calendar quarter, and (b) subject to the obligations under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regarding Confidential Information, ACI’s forecasted results for a given calendar quarter, based on its best available estimates, no earlier than [*****] days prior to, and no later than [*****] days prior to, the close of such calendar quarter. Those forecasted results must be based on at least [*****] months of actual results and will encompass all of the financial statements noted above.</w:t>
      </w:r>
    </w:p>
    <w:p>
      <w:pPr>
        <w:spacing w:after="0" w:line="39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ARTICLE 7: INTELLECTUAL PROPERTY; PATENT PROSECUTION AND MAINTENANCE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Disclosure of Inventions</w:t>
      </w:r>
      <w:r>
        <w:rPr>
          <w:rFonts w:ascii="Arial" w:cs="Arial" w:eastAsia="Arial" w:hAnsi="Arial"/>
          <w:sz w:val="18"/>
          <w:szCs w:val="18"/>
          <w:color w:val="auto"/>
        </w:rPr>
        <w:t>.</w:t>
      </w:r>
    </w:p>
    <w:p>
      <w:pPr>
        <w:spacing w:after="0" w:line="117"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7.1.1 ACI shall promptly disclose to GNE any inventions or other Know-How created, discovered, conceived or reduced to practice pursuant to the Research Program and the activities in the Research Plan. During the Research Term and the remainder of the Term of the Agreement, ACI shall disclose to GNE all Patents within ACI IP Rights and Program IP Rights (including in each case, any such Patents of which ACI acquires Control after the Effective Date).</w:t>
      </w:r>
    </w:p>
    <w:p>
      <w:pPr>
        <w:spacing w:after="0" w:line="18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7.1.2 Promptly after the Effective Date, ACI shall deliver to GNE copies of all patent applications, amendments, correspondence with patent offices and information relating to Patents within the ACI IP Rights. ACI shall timely deliver to GNE within [*****] days of its receipt, copies of any patent applications, amendments, correspondence or other materials that ACI receives following the Effective Date from the U.S. Patent and Trademark Office and all other patent offices relating to the Patents within the ACI IP Rights.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Ownership of IP Rights</w:t>
      </w:r>
      <w:r>
        <w:rPr>
          <w:rFonts w:ascii="Arial" w:cs="Arial" w:eastAsia="Arial" w:hAnsi="Arial"/>
          <w:sz w:val="18"/>
          <w:szCs w:val="18"/>
          <w:color w:val="auto"/>
        </w:rPr>
        <w:t>.</w:t>
      </w:r>
    </w:p>
    <w:p>
      <w:pPr>
        <w:spacing w:after="0" w:line="11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Program IP Rights</w:t>
      </w:r>
      <w:r>
        <w:rPr>
          <w:rFonts w:ascii="Arial" w:cs="Arial" w:eastAsia="Arial" w:hAnsi="Arial"/>
          <w:sz w:val="18"/>
          <w:szCs w:val="18"/>
          <w:color w:val="auto"/>
        </w:rPr>
        <w:t>. As between the Parties, (i) Program IP Rights that are invented by employees of ACI solely (or jointly with a Third Party subcontractor of ACI) (“</w:t>
      </w:r>
      <w:r>
        <w:rPr>
          <w:rFonts w:ascii="Arial" w:cs="Arial" w:eastAsia="Arial" w:hAnsi="Arial"/>
          <w:sz w:val="18"/>
          <w:szCs w:val="18"/>
          <w:u w:val="single" w:color="auto"/>
          <w:color w:val="auto"/>
        </w:rPr>
        <w:t>ACI Program IP Rights</w:t>
      </w:r>
      <w:r>
        <w:rPr>
          <w:rFonts w:ascii="Arial" w:cs="Arial" w:eastAsia="Arial" w:hAnsi="Arial"/>
          <w:sz w:val="18"/>
          <w:szCs w:val="18"/>
          <w:color w:val="auto"/>
        </w:rPr>
        <w:t>”) will be solely owned by ACI; (ii) Program IP Rights that are invented by employees of Genentech solely (or jointly with a Third Party subcontractor of Genentech) (“</w:t>
      </w:r>
      <w:r>
        <w:rPr>
          <w:rFonts w:ascii="Arial" w:cs="Arial" w:eastAsia="Arial" w:hAnsi="Arial"/>
          <w:sz w:val="18"/>
          <w:szCs w:val="18"/>
          <w:u w:val="single" w:color="auto"/>
          <w:color w:val="auto"/>
        </w:rPr>
        <w:t>Genentech Program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269" w:right="239" w:bottom="1440" w:gutter="0" w:footer="0" w:header="0"/>
        </w:sectPr>
      </w:pPr>
    </w:p>
    <w:bookmarkStart w:id="426" w:name="page427"/>
    <w:bookmarkEnd w:id="4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u w:val="single" w:color="auto"/>
          <w:color w:val="auto"/>
        </w:rPr>
        <w:t>Rights</w:t>
      </w:r>
      <w:r>
        <w:rPr>
          <w:rFonts w:ascii="Arial" w:cs="Arial" w:eastAsia="Arial" w:hAnsi="Arial"/>
          <w:sz w:val="18"/>
          <w:szCs w:val="18"/>
          <w:color w:val="auto"/>
        </w:rPr>
        <w:t>”) will be solely owned by Genentech; and (iii) Program IP Rights that are invented by an employee of Genentech (or a Third Party subcontractor of Genentech) and an employee of ACI (or a Third Party subcontractor of ACI) jointly (“</w:t>
      </w:r>
      <w:r>
        <w:rPr>
          <w:rFonts w:ascii="Arial" w:cs="Arial" w:eastAsia="Arial" w:hAnsi="Arial"/>
          <w:sz w:val="18"/>
          <w:szCs w:val="18"/>
          <w:u w:val="single" w:color="auto"/>
          <w:color w:val="auto"/>
        </w:rPr>
        <w:t>Joint Program IP Rights</w:t>
      </w:r>
      <w:r>
        <w:rPr>
          <w:rFonts w:ascii="Arial" w:cs="Arial" w:eastAsia="Arial" w:hAnsi="Arial"/>
          <w:sz w:val="18"/>
          <w:szCs w:val="18"/>
          <w:color w:val="auto"/>
        </w:rPr>
        <w:t xml:space="preserve">”) will be jointly owned by Genentech and ACI. Inventorship for purposes of determining ownership under this Section is determined under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181" w:lineRule="exact"/>
        <w:rPr>
          <w:sz w:val="20"/>
          <w:szCs w:val="20"/>
          <w:color w:val="auto"/>
        </w:rPr>
      </w:pPr>
    </w:p>
    <w:p>
      <w:pPr>
        <w:ind w:right="240" w:firstLine="913"/>
        <w:spacing w:after="0" w:line="288" w:lineRule="auto"/>
        <w:rPr>
          <w:sz w:val="20"/>
          <w:szCs w:val="20"/>
          <w:color w:val="auto"/>
        </w:rPr>
      </w:pPr>
      <w:r>
        <w:rPr>
          <w:rFonts w:ascii="Arial" w:cs="Arial" w:eastAsia="Arial" w:hAnsi="Arial"/>
          <w:sz w:val="16"/>
          <w:szCs w:val="16"/>
          <w:color w:val="auto"/>
        </w:rPr>
        <w:t xml:space="preserve">7.2.2 </w:t>
      </w:r>
      <w:r>
        <w:rPr>
          <w:rFonts w:ascii="Arial" w:cs="Arial" w:eastAsia="Arial" w:hAnsi="Arial"/>
          <w:sz w:val="16"/>
          <w:szCs w:val="16"/>
          <w:u w:val="single" w:color="auto"/>
          <w:color w:val="auto"/>
        </w:rPr>
        <w:t>Joint Ownership</w:t>
      </w:r>
      <w:r>
        <w:rPr>
          <w:rFonts w:ascii="Arial" w:cs="Arial" w:eastAsia="Arial" w:hAnsi="Arial"/>
          <w:sz w:val="16"/>
          <w:szCs w:val="16"/>
          <w:color w:val="auto"/>
        </w:rPr>
        <w:t>. Each Party retains an undivided one-half interest in and to Joint Program IP Rights. ACI shall exercise its ownership rights in and to Joint Program IP Rights, for any field, and including the right to license and sublicense or otherwise to exploit, transfer or encumber its ownership interest, only (i) with prior written consent of Genentech, not to be unreasonably withheld; (ii) subject to the licenses under this Agreement; and</w:t>
      </w:r>
    </w:p>
    <w:p>
      <w:pPr>
        <w:ind w:right="60" w:firstLine="8"/>
        <w:spacing w:after="0" w:line="268" w:lineRule="auto"/>
        <w:tabs>
          <w:tab w:leader="none" w:pos="31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in accordance with the restrictions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Notwithstanding the foregoing, solely with respect to (a) improvements made by the Parties in the performance of activities under the Research Plan to techniques and/or methods consisting of assays, detection methods and screening methods within the ACI IP Rights existing as of the Effective Date and (b) such other techniques and/or methods consisting of assays, detection methods and screening methods made by the Parties in the performance of activities under the Research Plan (together, the “</w:t>
      </w:r>
      <w:r>
        <w:rPr>
          <w:rFonts w:ascii="Arial" w:cs="Arial" w:eastAsia="Arial" w:hAnsi="Arial"/>
          <w:sz w:val="17"/>
          <w:szCs w:val="17"/>
          <w:u w:val="single" w:color="auto"/>
          <w:color w:val="auto"/>
        </w:rPr>
        <w:t>Improvements</w:t>
      </w:r>
      <w:r>
        <w:rPr>
          <w:rFonts w:ascii="Arial" w:cs="Arial" w:eastAsia="Arial" w:hAnsi="Arial"/>
          <w:sz w:val="17"/>
          <w:szCs w:val="17"/>
          <w:color w:val="auto"/>
        </w:rPr>
        <w:t xml:space="preserve">”), ACI may freely exploit Joint Program IP Rights that constitute Improvements for uses outside the Genentech Field without obtaining Genentech’s prior consent. This Agreement shall be understood to be a joint research agreement in accordance with 35 U.S.C. § 103(c) to develop Tau-Active Antibodies for use in and outside the Genentech Field, provided that neither Party shall be required by this reference to have any Patent take advantage of or become subject to such § 103(c) except in accordance with the provisions of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regarding Prosecution and Maintenance of such Patent.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Assignments</w:t>
      </w:r>
      <w:r>
        <w:rPr>
          <w:rFonts w:ascii="Arial" w:cs="Arial" w:eastAsia="Arial" w:hAnsi="Arial"/>
          <w:sz w:val="18"/>
          <w:szCs w:val="18"/>
          <w:color w:val="auto"/>
        </w:rPr>
        <w:t>.</w:t>
      </w:r>
    </w:p>
    <w:p>
      <w:pPr>
        <w:spacing w:after="0" w:line="117" w:lineRule="exact"/>
        <w:rPr>
          <w:sz w:val="20"/>
          <w:szCs w:val="20"/>
          <w:color w:val="auto"/>
        </w:rPr>
      </w:pPr>
    </w:p>
    <w:p>
      <w:pPr>
        <w:ind w:right="140" w:firstLine="913"/>
        <w:spacing w:after="0" w:line="286" w:lineRule="auto"/>
        <w:rPr>
          <w:sz w:val="20"/>
          <w:szCs w:val="20"/>
          <w:color w:val="auto"/>
        </w:rPr>
      </w:pPr>
      <w:r>
        <w:rPr>
          <w:rFonts w:ascii="Arial" w:cs="Arial" w:eastAsia="Arial" w:hAnsi="Arial"/>
          <w:sz w:val="17"/>
          <w:szCs w:val="17"/>
          <w:color w:val="auto"/>
        </w:rPr>
        <w:t xml:space="preserve">7.3.1 </w:t>
      </w:r>
      <w:r>
        <w:rPr>
          <w:rFonts w:ascii="Arial" w:cs="Arial" w:eastAsia="Arial" w:hAnsi="Arial"/>
          <w:sz w:val="17"/>
          <w:szCs w:val="17"/>
          <w:u w:val="single" w:color="auto"/>
          <w:color w:val="auto"/>
        </w:rPr>
        <w:t>Genentech</w:t>
      </w:r>
      <w:r>
        <w:rPr>
          <w:rFonts w:ascii="Arial" w:cs="Arial" w:eastAsia="Arial" w:hAnsi="Arial"/>
          <w:sz w:val="17"/>
          <w:szCs w:val="17"/>
          <w:color w:val="auto"/>
        </w:rPr>
        <w:t>. Genentech shall require all of its employees, contractors and agents, and any Affiliates and Third Parties working on its behalf under this Agreement (and their respective employees, contractors and agents), to assign to Genentech any Program IP Rights and Genentech IP Rights, created, discovered, conceived or reduced to practice by such employees, contractors or agents or Affiliates or Third Parties.</w:t>
      </w:r>
    </w:p>
    <w:p>
      <w:pPr>
        <w:spacing w:after="0" w:line="166"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7.3.2 </w:t>
      </w:r>
      <w:r>
        <w:rPr>
          <w:rFonts w:ascii="Arial" w:cs="Arial" w:eastAsia="Arial" w:hAnsi="Arial"/>
          <w:sz w:val="18"/>
          <w:szCs w:val="18"/>
          <w:u w:val="single" w:color="auto"/>
          <w:color w:val="auto"/>
        </w:rPr>
        <w:t>ACI</w:t>
      </w:r>
      <w:r>
        <w:rPr>
          <w:rFonts w:ascii="Arial" w:cs="Arial" w:eastAsia="Arial" w:hAnsi="Arial"/>
          <w:sz w:val="18"/>
          <w:szCs w:val="18"/>
          <w:color w:val="auto"/>
        </w:rPr>
        <w:t>. ACI shall require all of its employees, contractors and agents, and any Affiliates and Third Parties working on its behalf under this Agreement (and their respective employees, contractors and agents), to assign to ACI any Program IP Rights and ACI IP Rights, created, discovered, conceived or reduced to practice by such employees, contractors or agents or Affiliates or Third Parties.</w:t>
      </w:r>
    </w:p>
    <w:p>
      <w:pPr>
        <w:spacing w:after="0" w:line="18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 xml:space="preserve">7.3.3 </w:t>
      </w:r>
      <w:r>
        <w:rPr>
          <w:rFonts w:ascii="Arial" w:cs="Arial" w:eastAsia="Arial" w:hAnsi="Arial"/>
          <w:sz w:val="18"/>
          <w:szCs w:val="18"/>
          <w:u w:val="single" w:color="auto"/>
          <w:color w:val="auto"/>
        </w:rPr>
        <w:t>Cooperation</w:t>
      </w:r>
      <w:r>
        <w:rPr>
          <w:rFonts w:ascii="Arial" w:cs="Arial" w:eastAsia="Arial" w:hAnsi="Arial"/>
          <w:sz w:val="18"/>
          <w:szCs w:val="18"/>
          <w:color w:val="auto"/>
        </w:rPr>
        <w:t>. The Parties shall cooperate with each other to effectuate ownership of any intellectual property rights as set forth in this Agreement, including, but not limited to, by executing and recording documents.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7.4 Patent Prosecution and Maintenance.</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7.4.1 </w:t>
      </w:r>
      <w:r>
        <w:rPr>
          <w:rFonts w:ascii="Arial" w:cs="Arial" w:eastAsia="Arial" w:hAnsi="Arial"/>
          <w:sz w:val="18"/>
          <w:szCs w:val="18"/>
          <w:u w:val="single" w:color="auto"/>
          <w:color w:val="auto"/>
        </w:rPr>
        <w:t>Definition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7.4.1</w:t>
      </w:r>
      <w:r>
        <w:rPr>
          <w:rFonts w:ascii="Arial" w:cs="Arial" w:eastAsia="Arial" w:hAnsi="Arial"/>
          <w:sz w:val="18"/>
          <w:szCs w:val="18"/>
          <w:color w:val="auto"/>
        </w:rPr>
        <w:t>,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or “</w:t>
      </w:r>
      <w:r>
        <w:rPr>
          <w:rFonts w:ascii="Arial" w:cs="Arial" w:eastAsia="Arial" w:hAnsi="Arial"/>
          <w:sz w:val="18"/>
          <w:szCs w:val="18"/>
          <w:u w:val="single" w:color="auto"/>
          <w:color w:val="auto"/>
        </w:rPr>
        <w:t>Prosecute and Maintain,</w:t>
      </w:r>
      <w:r>
        <w:rPr>
          <w:rFonts w:ascii="Arial" w:cs="Arial" w:eastAsia="Arial" w:hAnsi="Arial"/>
          <w:sz w:val="18"/>
          <w:szCs w:val="18"/>
          <w:color w:val="auto"/>
        </w:rPr>
        <w:t>” with regard to a particular Patent, means the preparation, filing, prosecution and maintenance of such Patent, as well as re-examinations, reissues, applications for patent term extensions and the like with respect to that Patent, together with the conduct of interferences, the defense of oppositions and other similar proceedings with respect to that Patent.</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7.4.2 </w:t>
      </w:r>
      <w:r>
        <w:rPr>
          <w:rFonts w:ascii="Arial" w:cs="Arial" w:eastAsia="Arial" w:hAnsi="Arial"/>
          <w:sz w:val="18"/>
          <w:szCs w:val="18"/>
          <w:u w:val="single" w:color="auto"/>
          <w:color w:val="auto"/>
        </w:rPr>
        <w:t>Genentech Controlled Prosecution and Maintenance</w:t>
      </w:r>
      <w:r>
        <w:rPr>
          <w:rFonts w:ascii="Arial" w:cs="Arial" w:eastAsia="Arial" w:hAnsi="Arial"/>
          <w:sz w:val="18"/>
          <w:szCs w:val="18"/>
          <w:color w:val="auto"/>
        </w:rPr>
        <w:t>. As between the Parties, Genentech shall, at its sole discretion and expense, have the right (but not the obligation) to Prosecute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270" w:right="239" w:bottom="1440" w:gutter="0" w:footer="0" w:header="0"/>
        </w:sectPr>
      </w:pPr>
    </w:p>
    <w:bookmarkStart w:id="427" w:name="page428"/>
    <w:bookmarkEnd w:id="4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Maintain Patents within the Genentech IP Rights, but excluding [*****] and [*****].</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7.4.3 </w:t>
      </w:r>
      <w:r>
        <w:rPr>
          <w:rFonts w:ascii="Arial" w:cs="Arial" w:eastAsia="Arial" w:hAnsi="Arial"/>
          <w:sz w:val="18"/>
          <w:szCs w:val="18"/>
          <w:u w:val="single" w:color="auto"/>
          <w:color w:val="auto"/>
        </w:rPr>
        <w:t>Prosecution and Maintenance of ACI IP Rights and Program IP Rights</w:t>
      </w:r>
      <w:r>
        <w:rPr>
          <w:rFonts w:ascii="Arial" w:cs="Arial" w:eastAsia="Arial" w:hAnsi="Arial"/>
          <w:sz w:val="18"/>
          <w:szCs w:val="18"/>
          <w:color w:val="auto"/>
        </w:rPr>
        <w:t xml:space="preserve">. Subject to the provisions of this Section and </w:t>
      </w:r>
      <w:r>
        <w:rPr>
          <w:rFonts w:ascii="Arial" w:cs="Arial" w:eastAsia="Arial" w:hAnsi="Arial"/>
          <w:sz w:val="18"/>
          <w:szCs w:val="18"/>
          <w:u w:val="single" w:color="auto"/>
          <w:color w:val="auto"/>
        </w:rPr>
        <w:t>Section 7.4.5</w:t>
      </w:r>
      <w:r>
        <w:rPr>
          <w:rFonts w:ascii="Arial" w:cs="Arial" w:eastAsia="Arial" w:hAnsi="Arial"/>
          <w:sz w:val="18"/>
          <w:szCs w:val="18"/>
          <w:color w:val="auto"/>
        </w:rPr>
        <w:t>, ACI and Genentech shall select a mutually agreeable outside counsel (“</w:t>
      </w:r>
      <w:r>
        <w:rPr>
          <w:rFonts w:ascii="Arial" w:cs="Arial" w:eastAsia="Arial" w:hAnsi="Arial"/>
          <w:sz w:val="18"/>
          <w:szCs w:val="18"/>
          <w:u w:val="single" w:color="auto"/>
          <w:color w:val="auto"/>
        </w:rPr>
        <w:t>Outside Patent Counsel</w:t>
      </w:r>
      <w:r>
        <w:rPr>
          <w:rFonts w:ascii="Arial" w:cs="Arial" w:eastAsia="Arial" w:hAnsi="Arial"/>
          <w:sz w:val="18"/>
          <w:szCs w:val="18"/>
          <w:color w:val="auto"/>
        </w:rPr>
        <w:t>”) to be responsible for the Prosecution and Maintenance of ACI IP Rights and Program IP Rights.</w:t>
      </w:r>
    </w:p>
    <w:p>
      <w:pPr>
        <w:spacing w:after="0" w:line="181" w:lineRule="exact"/>
        <w:rPr>
          <w:sz w:val="20"/>
          <w:szCs w:val="20"/>
          <w:color w:val="auto"/>
        </w:rPr>
      </w:pPr>
    </w:p>
    <w:p>
      <w:pPr>
        <w:ind w:right="240" w:firstLine="1492"/>
        <w:spacing w:after="0" w:line="277" w:lineRule="auto"/>
        <w:tabs>
          <w:tab w:leader="none" w:pos="1728"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With respect to Patents within the ACI IP Rights and Program IP Rights, the Parties shall cooperate and assist each in the Prosecution and Maintenance of such Patents as set forth below and in </w:t>
      </w:r>
      <w:r>
        <w:rPr>
          <w:rFonts w:ascii="Arial" w:cs="Arial" w:eastAsia="Arial" w:hAnsi="Arial"/>
          <w:sz w:val="18"/>
          <w:szCs w:val="18"/>
          <w:u w:val="single" w:color="auto"/>
          <w:color w:val="auto"/>
        </w:rPr>
        <w:t>Section 7.4.4</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1492"/>
        <w:spacing w:after="0" w:line="257" w:lineRule="auto"/>
        <w:tabs>
          <w:tab w:leader="none" w:pos="173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As soon as one of the Parties determines that it wishes to file a patent application covering any such invention within the ACI IP Rights or Program IP Rights, it shall promptly inform the other Party thereof. With respect thereto, the Parties shall promptly engage the Outside Patent Counsel to draft a patent application for such invention and to make a preliminary determination of inventors, and scope of claims. The Parties shall instruct the Outside Patent Counsel to provide to each Party a copy of such patent application for review and comments by the Parties, and such Outside Patent Counsel shall be instructed to reasonably consider the comments of both Parties.</w:t>
      </w:r>
    </w:p>
    <w:p>
      <w:pPr>
        <w:spacing w:after="0" w:line="188" w:lineRule="exact"/>
        <w:rPr>
          <w:rFonts w:ascii="Arial" w:cs="Arial" w:eastAsia="Arial" w:hAnsi="Arial"/>
          <w:sz w:val="18"/>
          <w:szCs w:val="18"/>
          <w:color w:val="auto"/>
        </w:rPr>
      </w:pPr>
    </w:p>
    <w:p>
      <w:pPr>
        <w:ind w:right="20" w:firstLine="1492"/>
        <w:spacing w:after="0" w:line="290" w:lineRule="auto"/>
        <w:tabs>
          <w:tab w:leader="none" w:pos="1728"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Outside Patent Counsel shall be instructed to (i) keep the Parties informed as to the filing, and Prosecution and Maintenance (including those involving in which countries to initiate or continue prosecution (including validation), the question of the scope of, the issuance of, the rejection of, an interference involving, or an opposition to any such patent application or resulting Patent) of, such Patents, such that each Party has sufficient time to review and comment upon any documents intended for submission to any patent office; (ii) furnish to each Party a copy of the patent application and copies of documents relevant to such Prosecution and Maintenance, including copies of correspondence with any patent office, foreign associates, and outside counsel; and (iii) reasonably consider and incorporate comments of the Parties on documents filed with any patent office. In addition, the Outside Patent Counsel shall provide the Parties with a report, no less frequently than once per calendar quarter (or as otherwise mutually agreed by the Parties), listing all Patents within ACI IP Rights and Program IP Rights, identifying them by country and patent or application number, and briefly describing the status thereof.</w:t>
      </w:r>
    </w:p>
    <w:p>
      <w:pPr>
        <w:spacing w:after="0" w:line="166" w:lineRule="exact"/>
        <w:rPr>
          <w:rFonts w:ascii="Arial" w:cs="Arial" w:eastAsia="Arial" w:hAnsi="Arial"/>
          <w:sz w:val="16"/>
          <w:szCs w:val="16"/>
          <w:color w:val="auto"/>
        </w:rPr>
      </w:pPr>
    </w:p>
    <w:p>
      <w:pPr>
        <w:ind w:right="180" w:firstLine="1492"/>
        <w:spacing w:after="0" w:line="279" w:lineRule="auto"/>
        <w:tabs>
          <w:tab w:leader="none" w:pos="1738"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The Outside Patent Counsel shall be instructed to advise and consult with each Party promptly after receiving any substantial action or development in the prosecution of any patent application it is responsible for prosecuting pursuant to </w:t>
      </w:r>
      <w:r>
        <w:rPr>
          <w:rFonts w:ascii="Arial" w:cs="Arial" w:eastAsia="Arial" w:hAnsi="Arial"/>
          <w:sz w:val="17"/>
          <w:szCs w:val="17"/>
          <w:u w:val="single" w:color="auto"/>
          <w:color w:val="auto"/>
        </w:rPr>
        <w:t>Section 7.4.3(a)</w:t>
      </w:r>
      <w:r>
        <w:rPr>
          <w:rFonts w:ascii="Arial" w:cs="Arial" w:eastAsia="Arial" w:hAnsi="Arial"/>
          <w:sz w:val="17"/>
          <w:szCs w:val="17"/>
          <w:color w:val="auto"/>
        </w:rPr>
        <w:t xml:space="preserve"> (in particular any actions or developments concerning in which countries to initiate or continue prosecution (including validation), questions of the scope, issuance or rejection of, any interference involving, any such patent application or any opposition to any such patent application or resulting patent).</w:t>
      </w:r>
    </w:p>
    <w:p>
      <w:pPr>
        <w:spacing w:after="0" w:line="171"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 xml:space="preserve">7.4.4 </w:t>
      </w:r>
      <w:r>
        <w:rPr>
          <w:rFonts w:ascii="Arial" w:cs="Arial" w:eastAsia="Arial" w:hAnsi="Arial"/>
          <w:sz w:val="16"/>
          <w:szCs w:val="16"/>
          <w:u w:val="single" w:color="auto"/>
          <w:color w:val="auto"/>
        </w:rPr>
        <w:t>Consultation and Cooperation</w:t>
      </w:r>
      <w:r>
        <w:rPr>
          <w:rFonts w:ascii="Arial" w:cs="Arial" w:eastAsia="Arial" w:hAnsi="Arial"/>
          <w:sz w:val="16"/>
          <w:szCs w:val="16"/>
          <w:color w:val="auto"/>
        </w:rPr>
        <w:t>. Generally, the Parties shall cooperate with and assist each other in the Prosecution and Maintenance of Patents within the ACI IP Rights and Program IP Rights, including (i) consulting with the other Party promptly after receiving any substantial action or development in the prosecution of any such Patent, (ii) making scientists and scientific records reasonably available in connection with such Prosecution and Maintenance, and (iii) making reasonably available its respective authorized attorneys, agents or representatives. In addition, each Party shall sign or use its best efforts to have signed and delivered, at no charge to the other Party, all documents necessary in connection with such Prosecution and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269" w:right="239" w:bottom="1440" w:gutter="0" w:footer="0" w:header="0"/>
        </w:sectPr>
      </w:pPr>
    </w:p>
    <w:bookmarkStart w:id="428" w:name="page429"/>
    <w:bookmarkEnd w:id="4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80" w:firstLine="913"/>
        <w:spacing w:after="0" w:line="284" w:lineRule="auto"/>
        <w:rPr>
          <w:sz w:val="20"/>
          <w:szCs w:val="20"/>
          <w:color w:val="auto"/>
        </w:rPr>
      </w:pPr>
      <w:r>
        <w:rPr>
          <w:rFonts w:ascii="Arial" w:cs="Arial" w:eastAsia="Arial" w:hAnsi="Arial"/>
          <w:sz w:val="16"/>
          <w:szCs w:val="16"/>
          <w:color w:val="auto"/>
        </w:rPr>
        <w:t xml:space="preserve">7.4.5 </w:t>
      </w:r>
      <w:r>
        <w:rPr>
          <w:rFonts w:ascii="Arial" w:cs="Arial" w:eastAsia="Arial" w:hAnsi="Arial"/>
          <w:sz w:val="16"/>
          <w:szCs w:val="16"/>
          <w:u w:val="single" w:color="auto"/>
          <w:color w:val="auto"/>
        </w:rPr>
        <w:t>Abandonment of Prosecution and Maintenance</w:t>
      </w:r>
      <w:r>
        <w:rPr>
          <w:rFonts w:ascii="Arial" w:cs="Arial" w:eastAsia="Arial" w:hAnsi="Arial"/>
          <w:sz w:val="16"/>
          <w:szCs w:val="16"/>
          <w:color w:val="auto"/>
        </w:rPr>
        <w:t>. With respect to Patents within the ACI IP Rights and Program IP Rights, if a Party (the “</w:t>
      </w:r>
      <w:r>
        <w:rPr>
          <w:rFonts w:ascii="Arial" w:cs="Arial" w:eastAsia="Arial" w:hAnsi="Arial"/>
          <w:sz w:val="16"/>
          <w:szCs w:val="16"/>
          <w:u w:val="single" w:color="auto"/>
          <w:color w:val="auto"/>
        </w:rPr>
        <w:t>Electing Party</w:t>
      </w:r>
      <w:r>
        <w:rPr>
          <w:rFonts w:ascii="Arial" w:cs="Arial" w:eastAsia="Arial" w:hAnsi="Arial"/>
          <w:sz w:val="16"/>
          <w:szCs w:val="16"/>
          <w:color w:val="auto"/>
        </w:rPr>
        <w:t>”) elects not to Prosecute and Maintain such Patents (whether worldwide or with respect to any particular country), including electing not to file a patent application with respect thereto or to allow any such Patents to lapse or become abandoned or unenforceable, then the Electing Party shall promptly notify the other Party (the “</w:t>
      </w:r>
      <w:r>
        <w:rPr>
          <w:rFonts w:ascii="Arial" w:cs="Arial" w:eastAsia="Arial" w:hAnsi="Arial"/>
          <w:sz w:val="16"/>
          <w:szCs w:val="16"/>
          <w:u w:val="single" w:color="auto"/>
          <w:color w:val="auto"/>
        </w:rPr>
        <w:t>Non- Electing Party</w:t>
      </w:r>
      <w:r>
        <w:rPr>
          <w:rFonts w:ascii="Arial" w:cs="Arial" w:eastAsia="Arial" w:hAnsi="Arial"/>
          <w:sz w:val="16"/>
          <w:szCs w:val="16"/>
          <w:color w:val="auto"/>
        </w:rPr>
        <w:t xml:space="preserve">”) in writing (which such notice shall be at least [*****] days prior to the lapse or abandonment of any such Patent). Thereafter, the Non-Electing Party may, but is not required to, undertake, at its sole expense and in its sole discretion, the Prosecution and Maintenance of such Patents. In the event that the Non-Electing Party undertakes such Prosecution and Maintenance, (i) the Electing Party shall assign all right, title and interest in and to such Patents to the Non-Electing Party, (ii) Electing Party shall cooperate as set forth in </w:t>
      </w:r>
      <w:r>
        <w:rPr>
          <w:rFonts w:ascii="Arial" w:cs="Arial" w:eastAsia="Arial" w:hAnsi="Arial"/>
          <w:sz w:val="16"/>
          <w:szCs w:val="16"/>
          <w:u w:val="single" w:color="auto"/>
          <w:color w:val="auto"/>
        </w:rPr>
        <w:t>Section 7.4.4</w:t>
      </w:r>
      <w:r>
        <w:rPr>
          <w:rFonts w:ascii="Arial" w:cs="Arial" w:eastAsia="Arial" w:hAnsi="Arial"/>
          <w:sz w:val="16"/>
          <w:szCs w:val="16"/>
          <w:color w:val="auto"/>
        </w:rPr>
        <w:t>, and</w:t>
      </w:r>
    </w:p>
    <w:p>
      <w:pPr>
        <w:spacing w:after="0" w:line="3" w:lineRule="exact"/>
        <w:rPr>
          <w:sz w:val="20"/>
          <w:szCs w:val="20"/>
          <w:color w:val="auto"/>
        </w:rPr>
      </w:pPr>
    </w:p>
    <w:p>
      <w:pPr>
        <w:ind w:right="100" w:firstLine="8"/>
        <w:spacing w:after="0" w:line="261" w:lineRule="auto"/>
        <w:tabs>
          <w:tab w:leader="none" w:pos="31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such Patents shall no longer serve as the basis of any royalty obligation to the Electing Party under this Agreement.</w:t>
      </w:r>
    </w:p>
    <w:p>
      <w:pPr>
        <w:spacing w:after="0" w:line="184"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7.4.6 </w:t>
      </w:r>
      <w:r>
        <w:rPr>
          <w:rFonts w:ascii="Arial" w:cs="Arial" w:eastAsia="Arial" w:hAnsi="Arial"/>
          <w:sz w:val="18"/>
          <w:szCs w:val="18"/>
          <w:u w:val="single" w:color="auto"/>
          <w:color w:val="auto"/>
        </w:rPr>
        <w:t>Costs</w:t>
      </w:r>
      <w:r>
        <w:rPr>
          <w:rFonts w:ascii="Arial" w:cs="Arial" w:eastAsia="Arial" w:hAnsi="Arial"/>
          <w:sz w:val="18"/>
          <w:szCs w:val="18"/>
          <w:color w:val="auto"/>
        </w:rPr>
        <w:t>. Unless otherwise mutually agreed by the Parties, both during and after the Term of this Agreement, all costs of prosecuting and maintaining Genentech IP Rights shall be Genentech’s sole responsibility. Genentech shall bear [*****] of the costs of prosecuting and maintaining all ACI IP Rights and Program IP Rights and ACI shall bear [*****] of such costs.</w:t>
      </w:r>
    </w:p>
    <w:p>
      <w:pPr>
        <w:spacing w:after="0" w:line="181" w:lineRule="exact"/>
        <w:rPr>
          <w:sz w:val="20"/>
          <w:szCs w:val="20"/>
          <w:color w:val="auto"/>
        </w:rPr>
      </w:pPr>
    </w:p>
    <w:p>
      <w:pPr>
        <w:jc w:val="both"/>
        <w:ind w:right="200" w:firstLine="913"/>
        <w:spacing w:after="0" w:line="286" w:lineRule="auto"/>
        <w:rPr>
          <w:sz w:val="20"/>
          <w:szCs w:val="20"/>
          <w:color w:val="auto"/>
        </w:rPr>
      </w:pPr>
      <w:r>
        <w:rPr>
          <w:rFonts w:ascii="Arial" w:cs="Arial" w:eastAsia="Arial" w:hAnsi="Arial"/>
          <w:sz w:val="17"/>
          <w:szCs w:val="17"/>
          <w:color w:val="auto"/>
        </w:rPr>
        <w:t xml:space="preserve">7.4.7 </w:t>
      </w:r>
      <w:r>
        <w:rPr>
          <w:rFonts w:ascii="Arial" w:cs="Arial" w:eastAsia="Arial" w:hAnsi="Arial"/>
          <w:sz w:val="17"/>
          <w:szCs w:val="17"/>
          <w:u w:val="single" w:color="auto"/>
          <w:color w:val="auto"/>
        </w:rPr>
        <w:t>Good Faith</w:t>
      </w:r>
      <w:r>
        <w:rPr>
          <w:rFonts w:ascii="Arial" w:cs="Arial" w:eastAsia="Arial" w:hAnsi="Arial"/>
          <w:sz w:val="17"/>
          <w:szCs w:val="17"/>
          <w:color w:val="auto"/>
        </w:rPr>
        <w:t xml:space="preserve">. Without in any way limiting the foregoing, including </w:t>
      </w:r>
      <w:r>
        <w:rPr>
          <w:rFonts w:ascii="Arial" w:cs="Arial" w:eastAsia="Arial" w:hAnsi="Arial"/>
          <w:sz w:val="17"/>
          <w:szCs w:val="17"/>
          <w:u w:val="single" w:color="auto"/>
          <w:color w:val="auto"/>
        </w:rPr>
        <w:t>Section 7.4.3(a)</w:t>
      </w:r>
      <w:r>
        <w:rPr>
          <w:rFonts w:ascii="Arial" w:cs="Arial" w:eastAsia="Arial" w:hAnsi="Arial"/>
          <w:sz w:val="17"/>
          <w:szCs w:val="17"/>
          <w:color w:val="auto"/>
        </w:rPr>
        <w:t>, the Parties shall use reasonable efforts and act in good faith to assist and advise the other and the Outside Patent Counsel in connection with the Prosecution and Maintenance of Patents within the ACI IP Rights and Program IP Rights, and to mutually seek opportunities to prepare and file patent applications for such Patents, [*****].</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Patent Interferences</w:t>
      </w:r>
      <w:r>
        <w:rPr>
          <w:rFonts w:ascii="Arial" w:cs="Arial" w:eastAsia="Arial" w:hAnsi="Arial"/>
          <w:sz w:val="16"/>
          <w:szCs w:val="16"/>
          <w:color w:val="auto"/>
        </w:rPr>
        <w:t>. If an interference is declared by the U.S. Patent and Trademark Office (a) between (i) a claim in one or more Patents within the ACI IP Rights or Program IP Rights and (ii) a claim in one or more Patents within the Genentech IP Rights, where at least one of such claims would, but for the licenses in this Agreement, be infringed by the making, using, offering for sale, selling or importing of a Tau-Active Antibody or Licensed Product; then the Parties shall in good faith establish within [*****] days of the declaration of such interference, or such other time as agreed upon, a mutually agreeable process to resolve such interference in a reasonable manner (including control and cost sharing), in conformance with all applicable legal standards.</w:t>
      </w:r>
    </w:p>
    <w:p>
      <w:pPr>
        <w:spacing w:after="0" w:line="158"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Inventorship</w:t>
      </w:r>
      <w:r>
        <w:rPr>
          <w:rFonts w:ascii="Arial" w:cs="Arial" w:eastAsia="Arial" w:hAnsi="Arial"/>
          <w:sz w:val="18"/>
          <w:szCs w:val="18"/>
          <w:color w:val="auto"/>
        </w:rPr>
        <w:t>. Any determination of inventorship with respect to any Patent within the ACI IP Rights, Program IP Rights, or Genentech IP Rights shall be made in accordance with the applicable United States patent laws.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Consequences of [*****]</w:t>
      </w:r>
      <w:r>
        <w:rPr>
          <w:rFonts w:ascii="Arial" w:cs="Arial" w:eastAsia="Arial" w:hAnsi="Arial"/>
          <w:sz w:val="18"/>
          <w:szCs w:val="18"/>
          <w:color w:val="auto"/>
        </w:rPr>
        <w:t>.</w:t>
      </w:r>
    </w:p>
    <w:p>
      <w:pPr>
        <w:spacing w:after="0" w:line="117"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 xml:space="preserve">7.7.1 </w:t>
      </w:r>
      <w:r>
        <w:rPr>
          <w:rFonts w:ascii="Arial" w:cs="Arial" w:eastAsia="Arial" w:hAnsi="Arial"/>
          <w:sz w:val="17"/>
          <w:szCs w:val="17"/>
          <w:u w:val="single" w:color="auto"/>
          <w:color w:val="auto"/>
        </w:rPr>
        <w:t>Termination on [*****]</w:t>
      </w:r>
      <w:r>
        <w:rPr>
          <w:rFonts w:ascii="Arial" w:cs="Arial" w:eastAsia="Arial" w:hAnsi="Arial"/>
          <w:sz w:val="17"/>
          <w:szCs w:val="17"/>
          <w:color w:val="auto"/>
        </w:rPr>
        <w:t>. ACI shall have the right to terminate this Agreement, to the extent permitted by applicable law and regulation, by written notice effective upon receipt by Genentech if Genentech or its Affiliates directly, or indirectly through material assistance knowingly granted to a Third Party, makes, files or maintains any claim, demand, lawsuit or cause of action to [*****] of, or [*****], in each case with respect to any [*****] (each such action a “</w:t>
      </w:r>
      <w:r>
        <w:rPr>
          <w:rFonts w:ascii="Arial" w:cs="Arial" w:eastAsia="Arial" w:hAnsi="Arial"/>
          <w:sz w:val="17"/>
          <w:szCs w:val="17"/>
          <w:u w:val="single" w:color="auto"/>
          <w:color w:val="auto"/>
        </w:rPr>
        <w:t>[*****]</w:t>
      </w:r>
      <w:r>
        <w:rPr>
          <w:rFonts w:ascii="Arial" w:cs="Arial" w:eastAsia="Arial" w:hAnsi="Arial"/>
          <w:sz w:val="17"/>
          <w:szCs w:val="17"/>
          <w:color w:val="auto"/>
        </w:rPr>
        <w:t>”). Prior to exercising such right, ACI shall first provide Genentech with written notice regarding the occurrence of any [*****] (“</w:t>
      </w:r>
      <w:r>
        <w:rPr>
          <w:rFonts w:ascii="Arial" w:cs="Arial" w:eastAsia="Arial" w:hAnsi="Arial"/>
          <w:sz w:val="17"/>
          <w:szCs w:val="17"/>
          <w:u w:val="single" w:color="auto"/>
          <w:color w:val="auto"/>
        </w:rPr>
        <w:t>Notice of [*****]</w:t>
      </w:r>
      <w:r>
        <w:rPr>
          <w:rFonts w:ascii="Arial" w:cs="Arial" w:eastAsia="Arial" w:hAnsi="Arial"/>
          <w:sz w:val="17"/>
          <w:szCs w:val="17"/>
          <w:color w:val="auto"/>
        </w:rPr>
        <w:t>”). Provided that (i) the [*****] is reversible, and (ii) Genentech is able to obtain a full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270" w:right="239" w:bottom="1440" w:gutter="0" w:footer="0" w:header="0"/>
        </w:sectPr>
      </w:pPr>
    </w:p>
    <w:bookmarkStart w:id="429" w:name="page430"/>
    <w:bookmarkEnd w:id="4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complete withdrawal of the [*****] within [*****] days following Genentech’s receipt of the Notice of [*****], and (iii) no substantial [*****] to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has been caused by the [*****] prior to such withdrawal, then ACT may not terminate this Agreement pursuant to this </w:t>
      </w:r>
      <w:r>
        <w:rPr>
          <w:rFonts w:ascii="Arial" w:cs="Arial" w:eastAsia="Arial" w:hAnsi="Arial"/>
          <w:sz w:val="17"/>
          <w:szCs w:val="17"/>
          <w:u w:val="single" w:color="auto"/>
          <w:color w:val="auto"/>
        </w:rPr>
        <w:t>Section 7.7.1</w:t>
      </w:r>
      <w:r>
        <w:rPr>
          <w:rFonts w:ascii="Arial" w:cs="Arial" w:eastAsia="Arial" w:hAnsi="Arial"/>
          <w:sz w:val="17"/>
          <w:szCs w:val="17"/>
          <w:color w:val="auto"/>
        </w:rPr>
        <w:t>.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avoidance of doubt, [*****] does not include, and termination by ACI under this </w:t>
      </w:r>
      <w:r>
        <w:rPr>
          <w:rFonts w:ascii="Arial" w:cs="Arial" w:eastAsia="Arial" w:hAnsi="Arial"/>
          <w:sz w:val="16"/>
          <w:szCs w:val="16"/>
          <w:u w:val="single" w:color="auto"/>
          <w:color w:val="auto"/>
        </w:rPr>
        <w:t>Section 7.7.1</w:t>
      </w:r>
      <w:r>
        <w:rPr>
          <w:rFonts w:ascii="Arial" w:cs="Arial" w:eastAsia="Arial" w:hAnsi="Arial"/>
          <w:sz w:val="16"/>
          <w:szCs w:val="16"/>
          <w:color w:val="auto"/>
        </w:rPr>
        <w:t xml:space="preserve"> is not permitted for, (i) any action undertaken by Genentech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Affiliates in any [*****] if such [*****] was provoked, requested or otherwise commenced by a Third Party without material assistance knowingly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granted by Genentech or its Affiliates; (ii) any [*****] by Genentech or its Affiliates [*****] or other action made, filed or maintained by ACI, ACI’s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Affiliate(s) and/or ACT Licensee(s), including where such [*****] of or by any Genentech activity with respect to [*****], including without limitation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by Genentech or its Affiliates that the making, using, selling, offering for sale and importation of any [*****] and/or Licensed Product(s) do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ACI IP Rights.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ENFORCEMENT OF IP RIGHTS; DEFENSE OF THIRD PARTY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INFRINGEMENT CLAIMS</w:t>
      </w:r>
    </w:p>
    <w:p>
      <w:pPr>
        <w:spacing w:after="0" w:line="21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w:t>
      </w:r>
      <w:r>
        <w:rPr>
          <w:rFonts w:ascii="Arial" w:cs="Arial" w:eastAsia="Arial" w:hAnsi="Arial"/>
          <w:sz w:val="16"/>
          <w:szCs w:val="16"/>
          <w:color w:val="auto"/>
        </w:rPr>
        <w:t>. Each Party shall promptly notify, in writing, the other Party upon learning of any actual or suspected infringement of the ACI IP Rights or Program IP Rights by a Third Party, or of any claim of invalidity, unenforceability, or non-infringement of the ACI IP Rights or Program IP Rights, and shall, along with such notice, supply the other Party with all evidence in its possession pertaining thereto. In addition, ACI shall promptly notify Genentech, in writing, upon learning of any actual or suspected infringement of the Genentech IP Rights by a Third Party, or of any claim of invalidity, unenforceability, or non-infringement of the Genentech IP Rights, and shall, along with such notice, supply Genentech with all evidence in its possession pertaining thereto.</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Infringement Action</w:t>
      </w:r>
      <w:r>
        <w:rPr>
          <w:rFonts w:ascii="Arial" w:cs="Arial" w:eastAsia="Arial" w:hAnsi="Arial"/>
          <w:sz w:val="18"/>
          <w:szCs w:val="18"/>
          <w:color w:val="auto"/>
        </w:rPr>
        <w:t>.</w:t>
      </w:r>
    </w:p>
    <w:p>
      <w:pPr>
        <w:spacing w:after="0" w:line="117"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8.2.1 </w:t>
      </w:r>
      <w:r>
        <w:rPr>
          <w:rFonts w:ascii="Arial" w:cs="Arial" w:eastAsia="Arial" w:hAnsi="Arial"/>
          <w:sz w:val="18"/>
          <w:szCs w:val="18"/>
          <w:u w:val="single" w:color="auto"/>
          <w:color w:val="auto"/>
        </w:rPr>
        <w:t>Genentech IP Rights</w:t>
      </w:r>
      <w:r>
        <w:rPr>
          <w:rFonts w:ascii="Arial" w:cs="Arial" w:eastAsia="Arial" w:hAnsi="Arial"/>
          <w:sz w:val="18"/>
          <w:szCs w:val="18"/>
          <w:color w:val="auto"/>
        </w:rPr>
        <w:t>. As between the Parties, Genentech shall have at its own cost the sole right, but not the obligation, to seek to abate any actual or suspected infringement of the Genentech IP Rights by a Third Party, or to file suit against any such Third Party. ACI shall cooperate with Genentech (as may be reasonably requested by Genentech), including, if necessary, by being joined as a party.</w:t>
      </w:r>
    </w:p>
    <w:p>
      <w:pPr>
        <w:spacing w:after="0" w:line="181"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ACI IP Rights and Program IP Rights</w:t>
      </w:r>
      <w:r>
        <w:rPr>
          <w:rFonts w:ascii="Arial" w:cs="Arial" w:eastAsia="Arial" w:hAnsi="Arial"/>
          <w:sz w:val="16"/>
          <w:szCs w:val="16"/>
          <w:color w:val="auto"/>
        </w:rPr>
        <w:t>. Genentech shall have at its own cost the first right, but not the obligation, to seek to abate any actual or suspected infringement of the ACI IP Rights, ACI Program IP Rights and ACI’s interest in the Joint Program IP Rights by a Third Party, or to file suit against any such Third Party. If Genentech does not commence an infringement action against the alleged or threatened infringement or otherwise seek to abate the infringement (which may include without limitation entering into a sublicense agreement with the infringer) by the earlier of (a) [*****] months after ACI provides to Genentech written notice of such infringement or (b) [*****] Business Days before the time limit, if any, set forth in appropriate laws and regulations for filing of such actions, then ACI may commence litigation with respect to the alleged or threatened infringement at its own expense; provided, that ACI shall not initiate such litigation if enforcement of such ACI IP Rights, ACI Program IP Rights or ACI’s interest in the Joint Program IP Rights would have a material adverse effect on the development, commercialization, or commercial value of Licensed Products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270" w:right="239" w:bottom="1440" w:gutter="0" w:footer="0" w:header="0"/>
        </w:sectPr>
      </w:pPr>
    </w:p>
    <w:bookmarkStart w:id="430" w:name="page431"/>
    <w:bookmarkEnd w:id="4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Settlement</w:t>
      </w:r>
      <w:r>
        <w:rPr>
          <w:rFonts w:ascii="Arial" w:cs="Arial" w:eastAsia="Arial" w:hAnsi="Arial"/>
          <w:sz w:val="18"/>
          <w:szCs w:val="18"/>
          <w:color w:val="auto"/>
        </w:rPr>
        <w:t>. [*****].</w:t>
      </w:r>
    </w:p>
    <w:p>
      <w:pPr>
        <w:spacing w:after="0" w:line="117" w:lineRule="exact"/>
        <w:rPr>
          <w:sz w:val="20"/>
          <w:szCs w:val="20"/>
          <w:color w:val="auto"/>
        </w:rPr>
      </w:pPr>
    </w:p>
    <w:p>
      <w:pPr>
        <w:jc w:val="both"/>
        <w:ind w:right="80" w:firstLine="456"/>
        <w:spacing w:after="0" w:line="27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Damages</w:t>
      </w:r>
      <w:r>
        <w:rPr>
          <w:rFonts w:ascii="Arial" w:cs="Arial" w:eastAsia="Arial" w:hAnsi="Arial"/>
          <w:sz w:val="17"/>
          <w:szCs w:val="17"/>
          <w:color w:val="auto"/>
        </w:rPr>
        <w:t xml:space="preserve">. Unless otherwise mutually agreed by the Parties, and subject to the respective indemnity obligations of the Parties set forth in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all monies recovered upon the final judgment or settlement of any action described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used: (i) first, to reimburse [*****],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for its out-of-pocket expenses relating to the action; (ii) second, any remaining balance that represents compensation for lost sales, a reasonable royalty or lost profits, shall be retained by or paid to [*****] subject to the payment of royalties on such amounts pursuant to </w:t>
      </w:r>
      <w:r>
        <w:rPr>
          <w:rFonts w:ascii="Arial" w:cs="Arial" w:eastAsia="Arial" w:hAnsi="Arial"/>
          <w:sz w:val="17"/>
          <w:szCs w:val="17"/>
          <w:u w:val="single" w:color="auto"/>
          <w:color w:val="auto"/>
        </w:rPr>
        <w:t>Article 5</w:t>
      </w:r>
      <w:r>
        <w:rPr>
          <w:rFonts w:ascii="Arial" w:cs="Arial" w:eastAsia="Arial" w:hAnsi="Arial"/>
          <w:sz w:val="17"/>
          <w:szCs w:val="17"/>
          <w:color w:val="auto"/>
        </w:rPr>
        <w:t>; and (iii) third, any remaining amount that represents additional damages (for example, enhanced or punitive damages) shall be retained by [*****].</w:t>
      </w:r>
    </w:p>
    <w:p>
      <w:pPr>
        <w:spacing w:after="0" w:line="17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8.5 Third Party Suits. In the event that a Third Party shall make any claim or bring any suit or other proceeding against [*****], or any of its Affiliates, [*****] or customers, for infringement or misappropriation of any intellectual property rights with respect to the research, development, making, using selling, offering for sale, import or export of any Tau-Active Antibody or Licensed Product, [*****] shall have the right to defend and control the defense of such claim, suit or other proceeding as well as to initiate and control any counterclaim or other similar action at its own cost and expense. [*****] shall fully cooperate with [*****] in defense of such claim, suit or other proceeding, including by being joined as a party. Unless otherwise mutually agreed by the Parties, and subject to the respective indemnity obligations of the Parties set forth in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the provisions of </w:t>
      </w:r>
      <w:r>
        <w:rPr>
          <w:rFonts w:ascii="Arial" w:cs="Arial" w:eastAsia="Arial" w:hAnsi="Arial"/>
          <w:sz w:val="16"/>
          <w:szCs w:val="16"/>
          <w:u w:val="single" w:color="auto"/>
          <w:color w:val="auto"/>
        </w:rPr>
        <w:t>Sections 8.3 and 8.4</w:t>
      </w:r>
      <w:r>
        <w:rPr>
          <w:rFonts w:ascii="Arial" w:cs="Arial" w:eastAsia="Arial" w:hAnsi="Arial"/>
          <w:sz w:val="16"/>
          <w:szCs w:val="16"/>
          <w:color w:val="auto"/>
        </w:rPr>
        <w:t xml:space="preserve"> shall apply to any proceeding covered by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except that the negotiation of any license from the Third Party shall be subject to </w:t>
      </w:r>
      <w:r>
        <w:rPr>
          <w:rFonts w:ascii="Arial" w:cs="Arial" w:eastAsia="Arial" w:hAnsi="Arial"/>
          <w:sz w:val="16"/>
          <w:szCs w:val="16"/>
          <w:u w:val="single" w:color="auto"/>
          <w:color w:val="auto"/>
        </w:rPr>
        <w:t>Section 5.7</w:t>
      </w:r>
      <w:r>
        <w:rPr>
          <w:rFonts w:ascii="Arial" w:cs="Arial" w:eastAsia="Arial" w:hAnsi="Arial"/>
          <w:sz w:val="16"/>
          <w:szCs w:val="16"/>
          <w:color w:val="auto"/>
        </w:rPr>
        <w:t>.</w:t>
      </w:r>
    </w:p>
    <w:p>
      <w:pPr>
        <w:spacing w:after="0" w:line="16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8.6 Genentech shall have the sole right, but not the obligation, to obtain and control, at its own expense and discretion, any data/marketing exclusivity rights with respect to regulatory filings (including clinical, safety and efficacy data) with respect to Licensed Products including defense and enforcement of rights against Third Parties seeking marketing authorization approval from a regulatory agency (including the FDA, EMA or equivalent) based on such filings. Such rights shall specifically include the right to take action in connection with Third Party applications for marketing authorization for biosimilar products or generic products that reference any Licensed Product pursuant to Title VII of the United States Patient Protection and Affordable Care Act, Biologics Price Competition and Innovation Act, the Hatch-Waxman Act, EU Directive 2004/27/EC and any successor legislation or regulations relating thereto, and all similar foreign legislation with regard to the foregoing.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TERM AND TERMINATION</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shall commence on the Effective Date and, unless sooner terminated by mutual agreement or pursuant to any other provision of this Agreement, shall terminate on the date on which all obligations under this Agreement between the Parties with respect to the payment of milestones or royalties with respect to Licensed Products have passed or expired.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269" w:right="239" w:bottom="1440" w:gutter="0" w:footer="0" w:header="0"/>
        </w:sectPr>
      </w:pPr>
    </w:p>
    <w:bookmarkStart w:id="431" w:name="page432"/>
    <w:bookmarkEnd w:id="4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9.2.1 </w:t>
      </w:r>
      <w:r>
        <w:rPr>
          <w:rFonts w:ascii="Arial" w:cs="Arial" w:eastAsia="Arial" w:hAnsi="Arial"/>
          <w:sz w:val="18"/>
          <w:szCs w:val="18"/>
          <w:u w:val="single" w:color="auto"/>
          <w:color w:val="auto"/>
        </w:rPr>
        <w:t>Material Breach</w:t>
      </w:r>
      <w:r>
        <w:rPr>
          <w:rFonts w:ascii="Arial" w:cs="Arial" w:eastAsia="Arial" w:hAnsi="Arial"/>
          <w:sz w:val="18"/>
          <w:szCs w:val="18"/>
          <w:color w:val="auto"/>
        </w:rPr>
        <w:t>. Either Party may terminate this Agreement for any material breach by the other Party, provided that the terminating Party gives the breaching Party written notice of such breach and the breach remains uncured after the expiration of [*****] days (or [*****] days if such breach relates solely to the payment of amounts due hereunder) after such written notice was given.</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9.2.2 </w:t>
      </w:r>
      <w:r>
        <w:rPr>
          <w:rFonts w:ascii="Arial" w:cs="Arial" w:eastAsia="Arial" w:hAnsi="Arial"/>
          <w:sz w:val="18"/>
          <w:szCs w:val="18"/>
          <w:u w:val="single" w:color="auto"/>
          <w:color w:val="auto"/>
        </w:rPr>
        <w:t>Bankruptcy</w:t>
      </w:r>
      <w:r>
        <w:rPr>
          <w:rFonts w:ascii="Arial" w:cs="Arial" w:eastAsia="Arial" w:hAnsi="Arial"/>
          <w:sz w:val="18"/>
          <w:szCs w:val="18"/>
          <w:color w:val="auto"/>
        </w:rPr>
        <w:t>. Genentech shall have the right to terminate this Agreement upon written notice to ACI, in the event that ACI seeks protection of any bankruptcy or insolvency law, a proceeding in bankruptcy or insolvency is filed by or against ACI and is not dismissed within [*****] days, or there is an adjudication by a court of competent jurisdiction that ACI is bankrupt or insolvent. ACI shall have the right to terminate this Agreement upon written notice to Genentech, in the event that Genentech seeks protection of any bankruptcy or insolvency law, a proceeding in bankruptcy or insolvency is filed by or against Genentech and is not dismissed within [*****] days, or there is an adjudication by a court of competent jurisdiction that Genentech is bankrupt or insolvent.</w:t>
      </w:r>
    </w:p>
    <w:p>
      <w:pPr>
        <w:spacing w:after="0" w:line="193"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 xml:space="preserve">9.2.3 </w:t>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 Genentech may terminate this Agreement at any time after the [*****] anniversary of the Effective Date with or without cause, upon three (3) months advanced written notice to ACI.</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9.2.4 </w:t>
      </w: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Genentech may terminate this Agreement in accordance with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Effect of Termination or Expiration</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9.3.1 Upon termination of this Agreement by ACI pursuant to </w:t>
      </w:r>
      <w:r>
        <w:rPr>
          <w:rFonts w:ascii="Arial" w:cs="Arial" w:eastAsia="Arial" w:hAnsi="Arial"/>
          <w:sz w:val="16"/>
          <w:szCs w:val="16"/>
          <w:u w:val="single" w:color="auto"/>
          <w:color w:val="auto"/>
        </w:rPr>
        <w:t>Section 9.2.1</w:t>
      </w:r>
      <w:r>
        <w:rPr>
          <w:rFonts w:ascii="Arial" w:cs="Arial" w:eastAsia="Arial" w:hAnsi="Arial"/>
          <w:sz w:val="16"/>
          <w:szCs w:val="16"/>
          <w:color w:val="auto"/>
        </w:rPr>
        <w:t xml:space="preserve"> for material breach by Genentech of its diligence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its payment obligations under </w:t>
      </w:r>
      <w:r>
        <w:rPr>
          <w:rFonts w:ascii="Arial" w:cs="Arial" w:eastAsia="Arial" w:hAnsi="Arial"/>
          <w:sz w:val="16"/>
          <w:szCs w:val="16"/>
          <w:u w:val="single" w:color="auto"/>
          <w:color w:val="auto"/>
        </w:rPr>
        <w:t>Sections 5.1-5.5</w:t>
      </w:r>
      <w:r>
        <w:rPr>
          <w:rFonts w:ascii="Arial" w:cs="Arial" w:eastAsia="Arial" w:hAnsi="Arial"/>
          <w:sz w:val="16"/>
          <w:szCs w:val="16"/>
          <w:color w:val="auto"/>
        </w:rPr>
        <w:t xml:space="preserve">, or for a [*****] under </w:t>
      </w:r>
      <w:r>
        <w:rPr>
          <w:rFonts w:ascii="Arial" w:cs="Arial" w:eastAsia="Arial" w:hAnsi="Arial"/>
          <w:sz w:val="16"/>
          <w:szCs w:val="16"/>
          <w:u w:val="single" w:color="auto"/>
          <w:color w:val="auto"/>
        </w:rPr>
        <w:t>Section 7.7.1</w:t>
      </w:r>
      <w:r>
        <w:rPr>
          <w:rFonts w:ascii="Arial" w:cs="Arial" w:eastAsia="Arial" w:hAnsi="Arial"/>
          <w:sz w:val="16"/>
          <w:szCs w:val="16"/>
          <w:color w:val="auto"/>
        </w:rPr>
        <w:t xml:space="preserve"> or by Genentech pursuant to </w:t>
      </w:r>
      <w:r>
        <w:rPr>
          <w:rFonts w:ascii="Arial" w:cs="Arial" w:eastAsia="Arial" w:hAnsi="Arial"/>
          <w:sz w:val="16"/>
          <w:szCs w:val="16"/>
          <w:u w:val="single" w:color="auto"/>
          <w:color w:val="auto"/>
        </w:rPr>
        <w:t>Section 9.2.3</w:t>
      </w:r>
      <w:r>
        <w:rPr>
          <w:rFonts w:ascii="Arial" w:cs="Arial" w:eastAsia="Arial" w:hAnsi="Arial"/>
          <w:sz w:val="16"/>
          <w:szCs w:val="16"/>
          <w:color w:val="auto"/>
        </w:rPr>
        <w:t xml:space="preserve">, (i) all rights and licenses granted to Genentech under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immediately terminate; (ii) upon request by ACI within the first [*****] months following the effective date of termination and subject to the Termination Royalties described in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below, Genentech shall provide a Product Reversion Package to ACI to support the continued development and commercialization of Termination Products and shall grant and hereby grants (effective only upon ACI’s request received within the [*****] months following the effective date of termination in accordance with this </w:t>
      </w:r>
      <w:r>
        <w:rPr>
          <w:rFonts w:ascii="Arial" w:cs="Arial" w:eastAsia="Arial" w:hAnsi="Arial"/>
          <w:sz w:val="16"/>
          <w:szCs w:val="16"/>
          <w:u w:val="single" w:color="auto"/>
          <w:color w:val="auto"/>
        </w:rPr>
        <w:t>Section 9.3.1</w:t>
      </w:r>
      <w:r>
        <w:rPr>
          <w:rFonts w:ascii="Arial" w:cs="Arial" w:eastAsia="Arial" w:hAnsi="Arial"/>
          <w:sz w:val="16"/>
          <w:szCs w:val="16"/>
          <w:color w:val="auto"/>
        </w:rPr>
        <w:t xml:space="preserve">) to ACI the license grant set forth in clause, (vi) of the Product Reversion Package definition; (iii) upon request by ACI, Genentech shall continue to manufacture and supply to ACI for a period of [*****] years such Termination Products that are, as of the date of such termination, in clinical development or sold commercially, such supply to be reimbursed by [*****] at a cost equal to [*****] fully burdened manufacturing cost plus [*****]. Any sublicense granted to a Genentech Licensee [*****] shall survive termination of this Agreement under this </w:t>
      </w:r>
      <w:r>
        <w:rPr>
          <w:rFonts w:ascii="Arial" w:cs="Arial" w:eastAsia="Arial" w:hAnsi="Arial"/>
          <w:sz w:val="16"/>
          <w:szCs w:val="16"/>
          <w:u w:val="single" w:color="auto"/>
          <w:color w:val="auto"/>
        </w:rPr>
        <w:t>Section 9.3.1</w:t>
      </w:r>
      <w:r>
        <w:rPr>
          <w:rFonts w:ascii="Arial" w:cs="Arial" w:eastAsia="Arial" w:hAnsi="Arial"/>
          <w:sz w:val="16"/>
          <w:szCs w:val="16"/>
          <w:color w:val="auto"/>
        </w:rPr>
        <w:t>, provided that such Genentech Licensee (i) is not, on the effective date of such termination, in [*****]; (ii) agrees, in a subsequent writing, to perform and deliver directly to [*****]; and (iii) agrees, in a subsequent writing, that, [*****].</w:t>
      </w:r>
    </w:p>
    <w:p>
      <w:pPr>
        <w:spacing w:after="0" w:line="173"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9.3.2 Upon termination by Genentech pursuant to </w:t>
      </w:r>
      <w:r>
        <w:rPr>
          <w:rFonts w:ascii="Arial" w:cs="Arial" w:eastAsia="Arial" w:hAnsi="Arial"/>
          <w:sz w:val="18"/>
          <w:szCs w:val="18"/>
          <w:u w:val="single" w:color="auto"/>
          <w:color w:val="auto"/>
        </w:rPr>
        <w:t>Section 9.2.1</w:t>
      </w:r>
      <w:r>
        <w:rPr>
          <w:rFonts w:ascii="Arial" w:cs="Arial" w:eastAsia="Arial" w:hAnsi="Arial"/>
          <w:sz w:val="18"/>
          <w:szCs w:val="18"/>
          <w:color w:val="auto"/>
        </w:rPr>
        <w:t xml:space="preserve"> for material breach by ACI,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or Section 9.2.4, Genentech may elect, in its sole discretion, to terminate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270" w:right="239" w:bottom="1440" w:gutter="0" w:footer="0" w:header="0"/>
        </w:sectPr>
      </w:pPr>
    </w:p>
    <w:bookmarkStart w:id="432" w:name="page433"/>
    <w:bookmarkEnd w:id="4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Agreement in its entirety or to partially terminate this Agreement in accordance with the terms of </w:t>
      </w:r>
      <w:r>
        <w:rPr>
          <w:rFonts w:ascii="Arial" w:cs="Arial" w:eastAsia="Arial" w:hAnsi="Arial"/>
          <w:sz w:val="18"/>
          <w:szCs w:val="18"/>
          <w:u w:val="single" w:color="auto"/>
          <w:color w:val="auto"/>
        </w:rPr>
        <w:t>Section 9.3.2 (a)</w:t>
      </w:r>
      <w:r>
        <w:rPr>
          <w:rFonts w:ascii="Arial" w:cs="Arial" w:eastAsia="Arial" w:hAnsi="Arial"/>
          <w:sz w:val="18"/>
          <w:szCs w:val="18"/>
          <w:color w:val="auto"/>
        </w:rPr>
        <w:t>.</w:t>
      </w:r>
    </w:p>
    <w:p>
      <w:pPr>
        <w:spacing w:after="0" w:line="225" w:lineRule="exact"/>
        <w:rPr>
          <w:sz w:val="20"/>
          <w:szCs w:val="20"/>
          <w:color w:val="auto"/>
        </w:rPr>
      </w:pPr>
    </w:p>
    <w:p>
      <w:pPr>
        <w:ind w:right="100" w:firstLine="1492"/>
        <w:spacing w:after="0" w:line="276" w:lineRule="auto"/>
        <w:tabs>
          <w:tab w:leader="none" w:pos="1728"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Partial Termination</w:t>
      </w:r>
      <w:r>
        <w:rPr>
          <w:rFonts w:ascii="Arial" w:cs="Arial" w:eastAsia="Arial" w:hAnsi="Arial"/>
          <w:sz w:val="17"/>
          <w:szCs w:val="17"/>
          <w:color w:val="auto"/>
        </w:rPr>
        <w:t xml:space="preserve">. Upon Genentech’s election to partially terminate this Agreement, (i) all rights and licenses granted to ACI under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shall immediately terminate, (ii) the rights and obligations of the Parties under the following sections of this Agreement shall survive such termination: </w:t>
      </w:r>
      <w:r>
        <w:rPr>
          <w:rFonts w:ascii="Arial" w:cs="Arial" w:eastAsia="Arial" w:hAnsi="Arial"/>
          <w:sz w:val="17"/>
          <w:szCs w:val="17"/>
          <w:u w:val="single" w:color="auto"/>
          <w:color w:val="auto"/>
        </w:rPr>
        <w:t>Articles 3</w:t>
      </w:r>
      <w:r>
        <w:rPr>
          <w:rFonts w:ascii="Arial" w:cs="Arial" w:eastAsia="Arial" w:hAnsi="Arial"/>
          <w:sz w:val="17"/>
          <w:szCs w:val="17"/>
          <w:color w:val="auto"/>
        </w:rPr>
        <w:t xml:space="preserve"> (except </w:t>
      </w:r>
      <w:r>
        <w:rPr>
          <w:rFonts w:ascii="Arial" w:cs="Arial" w:eastAsia="Arial" w:hAnsi="Arial"/>
          <w:sz w:val="17"/>
          <w:szCs w:val="17"/>
          <w:u w:val="single" w:color="auto"/>
          <w:color w:val="auto"/>
        </w:rPr>
        <w:t>Section 3.1.4</w:t>
      </w:r>
      <w:r>
        <w:rPr>
          <w:rFonts w:ascii="Arial" w:cs="Arial" w:eastAsia="Arial" w:hAnsi="Arial"/>
          <w:sz w:val="17"/>
          <w:szCs w:val="17"/>
          <w:color w:val="auto"/>
        </w:rPr>
        <w:t xml:space="preserve">), 4 (except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5 , 6 (except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w:t>
      </w:r>
      <w:r>
        <w:rPr>
          <w:rFonts w:ascii="Arial" w:cs="Arial" w:eastAsia="Arial" w:hAnsi="Arial"/>
          <w:sz w:val="17"/>
          <w:szCs w:val="17"/>
          <w:u w:val="single" w:color="auto"/>
          <w:color w:val="auto"/>
        </w:rPr>
        <w:t>7, 8, 9, 10, 11, 12, 13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w:t>
      </w:r>
      <w:r>
        <w:rPr>
          <w:rFonts w:ascii="Arial" w:cs="Arial" w:eastAsia="Arial" w:hAnsi="Arial"/>
          <w:sz w:val="17"/>
          <w:szCs w:val="17"/>
          <w:color w:val="auto"/>
        </w:rPr>
        <w:t>, but in all cases the surviving provisions shall be interpreted to exclude the subject matter of non-surviving terms, and (iii) all Genentech Confidential Information, data and materials provided to ACI under this Agreement shall be returned to Genentech or destroyed, at Genentech’s option.</w:t>
      </w:r>
    </w:p>
    <w:p>
      <w:pPr>
        <w:spacing w:after="0" w:line="172" w:lineRule="exact"/>
        <w:rPr>
          <w:rFonts w:ascii="Arial" w:cs="Arial" w:eastAsia="Arial" w:hAnsi="Arial"/>
          <w:sz w:val="17"/>
          <w:szCs w:val="17"/>
          <w:color w:val="auto"/>
        </w:rPr>
      </w:pPr>
    </w:p>
    <w:p>
      <w:pPr>
        <w:ind w:right="20" w:firstLine="1492"/>
        <w:spacing w:after="0" w:line="253" w:lineRule="auto"/>
        <w:tabs>
          <w:tab w:leader="none" w:pos="1738"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Partial Termination Upon Specific Breach Events</w:t>
      </w:r>
      <w:r>
        <w:rPr>
          <w:rFonts w:ascii="Arial" w:cs="Arial" w:eastAsia="Arial" w:hAnsi="Arial"/>
          <w:sz w:val="18"/>
          <w:szCs w:val="18"/>
          <w:color w:val="auto"/>
        </w:rPr>
        <w:t xml:space="preserve">. In the case that the ACI breach that gave rise to a partial termination of this Agreement in accordance with </w:t>
      </w:r>
      <w:r>
        <w:rPr>
          <w:rFonts w:ascii="Arial" w:cs="Arial" w:eastAsia="Arial" w:hAnsi="Arial"/>
          <w:sz w:val="18"/>
          <w:szCs w:val="18"/>
          <w:u w:val="single" w:color="auto"/>
          <w:color w:val="auto"/>
        </w:rPr>
        <w:t>Section 9.3.2(a)</w:t>
      </w:r>
      <w:r>
        <w:rPr>
          <w:rFonts w:ascii="Arial" w:cs="Arial" w:eastAsia="Arial" w:hAnsi="Arial"/>
          <w:sz w:val="18"/>
          <w:szCs w:val="18"/>
          <w:color w:val="auto"/>
        </w:rPr>
        <w:t xml:space="preserve"> was a breach of any of the following provisions: </w:t>
      </w:r>
      <w:r>
        <w:rPr>
          <w:rFonts w:ascii="Arial" w:cs="Arial" w:eastAsia="Arial" w:hAnsi="Arial"/>
          <w:sz w:val="18"/>
          <w:szCs w:val="18"/>
          <w:u w:val="single" w:color="auto"/>
          <w:color w:val="auto"/>
        </w:rPr>
        <w:t>Sections 2.3.2</w:t>
      </w:r>
      <w:r>
        <w:rPr>
          <w:rFonts w:ascii="Arial" w:cs="Arial" w:eastAsia="Arial" w:hAnsi="Arial"/>
          <w:sz w:val="18"/>
          <w:szCs w:val="18"/>
          <w:color w:val="auto"/>
        </w:rPr>
        <w:t xml:space="preserve"> (except to the extent that the breach of the provision by ACI is based on the unavailability of biological material due to a scientific or technical obstacle, i.e., destruction of a cell line, not caused by the gross negligence or willful misconduct of ACI) and provided the breach is the consequence of gross negligence or willful misconduct of ACI, </w:t>
      </w:r>
      <w:r>
        <w:rPr>
          <w:rFonts w:ascii="Arial" w:cs="Arial" w:eastAsia="Arial" w:hAnsi="Arial"/>
          <w:sz w:val="18"/>
          <w:szCs w:val="18"/>
          <w:u w:val="single" w:color="auto"/>
          <w:color w:val="auto"/>
        </w:rPr>
        <w:t>3.1.1</w:t>
      </w:r>
      <w:r>
        <w:rPr>
          <w:rFonts w:ascii="Arial" w:cs="Arial" w:eastAsia="Arial" w:hAnsi="Arial"/>
          <w:sz w:val="18"/>
          <w:szCs w:val="18"/>
          <w:color w:val="auto"/>
        </w:rPr>
        <w:t xml:space="preserve">, </w:t>
      </w:r>
      <w:r>
        <w:rPr>
          <w:rFonts w:ascii="Arial" w:cs="Arial" w:eastAsia="Arial" w:hAnsi="Arial"/>
          <w:sz w:val="18"/>
          <w:szCs w:val="18"/>
          <w:u w:val="single" w:color="auto"/>
          <w:color w:val="auto"/>
        </w:rPr>
        <w:t>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4.3.1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 Section 10.1.1(e)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then, (i) the surviving provision set forth in </w:t>
      </w:r>
      <w:r>
        <w:rPr>
          <w:rFonts w:ascii="Arial" w:cs="Arial" w:eastAsia="Arial" w:hAnsi="Arial"/>
          <w:sz w:val="18"/>
          <w:szCs w:val="18"/>
          <w:u w:val="single" w:color="auto"/>
          <w:color w:val="auto"/>
        </w:rPr>
        <w:t>Section 9.3.2(a)</w:t>
      </w:r>
      <w:r>
        <w:rPr>
          <w:rFonts w:ascii="Arial" w:cs="Arial" w:eastAsia="Arial" w:hAnsi="Arial"/>
          <w:sz w:val="18"/>
          <w:szCs w:val="18"/>
          <w:color w:val="auto"/>
        </w:rPr>
        <w:t xml:space="preserve"> shall be modified to provide that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will not survive such partial termination; (ii) upon the First Commercial Sale of a Licensed Product by Genentech, the payments made by Genentech under </w:t>
      </w:r>
      <w:r>
        <w:rPr>
          <w:rFonts w:ascii="Arial" w:cs="Arial" w:eastAsia="Arial" w:hAnsi="Arial"/>
          <w:sz w:val="18"/>
          <w:szCs w:val="18"/>
          <w:u w:val="single" w:color="auto"/>
          <w:color w:val="auto"/>
        </w:rPr>
        <w:t>Sections 5.2 and 5.3</w:t>
      </w:r>
      <w:r>
        <w:rPr>
          <w:rFonts w:ascii="Arial" w:cs="Arial" w:eastAsia="Arial" w:hAnsi="Arial"/>
          <w:sz w:val="18"/>
          <w:szCs w:val="18"/>
          <w:color w:val="auto"/>
        </w:rPr>
        <w:t xml:space="preserve"> shall be creditable against royalty payments due to ACI under </w:t>
      </w:r>
      <w:r>
        <w:rPr>
          <w:rFonts w:ascii="Arial" w:cs="Arial" w:eastAsia="Arial" w:hAnsi="Arial"/>
          <w:sz w:val="18"/>
          <w:szCs w:val="18"/>
          <w:u w:val="single" w:color="auto"/>
          <w:color w:val="auto"/>
        </w:rPr>
        <w:t>Sections 5.4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subject to clause (c)(i) of this </w:t>
      </w:r>
      <w:r>
        <w:rPr>
          <w:rFonts w:ascii="Arial" w:cs="Arial" w:eastAsia="Arial" w:hAnsi="Arial"/>
          <w:sz w:val="18"/>
          <w:szCs w:val="18"/>
          <w:u w:val="single" w:color="auto"/>
          <w:color w:val="auto"/>
        </w:rPr>
        <w:t>Section 9.3.2</w:t>
      </w:r>
      <w:r>
        <w:rPr>
          <w:rFonts w:ascii="Arial" w:cs="Arial" w:eastAsia="Arial" w:hAnsi="Arial"/>
          <w:sz w:val="18"/>
          <w:szCs w:val="18"/>
          <w:color w:val="auto"/>
        </w:rPr>
        <w:t xml:space="preserve">: and (iii) Genentech shall have no obligation to pay royalties on Net Sales of Licensed Product under </w:t>
      </w:r>
      <w:r>
        <w:rPr>
          <w:rFonts w:ascii="Arial" w:cs="Arial" w:eastAsia="Arial" w:hAnsi="Arial"/>
          <w:sz w:val="18"/>
          <w:szCs w:val="18"/>
          <w:u w:val="single" w:color="auto"/>
          <w:color w:val="auto"/>
        </w:rPr>
        <w:t>Sections 5.4 or 5.5</w:t>
      </w:r>
      <w:r>
        <w:rPr>
          <w:rFonts w:ascii="Arial" w:cs="Arial" w:eastAsia="Arial" w:hAnsi="Arial"/>
          <w:sz w:val="18"/>
          <w:szCs w:val="18"/>
          <w:color w:val="auto"/>
        </w:rPr>
        <w:t xml:space="preserve">, subject to clause (c)(ii) of this </w:t>
      </w:r>
      <w:r>
        <w:rPr>
          <w:rFonts w:ascii="Arial" w:cs="Arial" w:eastAsia="Arial" w:hAnsi="Arial"/>
          <w:sz w:val="18"/>
          <w:szCs w:val="18"/>
          <w:u w:val="single" w:color="auto"/>
          <w:color w:val="auto"/>
        </w:rPr>
        <w:t>Section 9.3.2</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right="220" w:firstLine="1492"/>
        <w:spacing w:after="0" w:line="277" w:lineRule="auto"/>
        <w:tabs>
          <w:tab w:leader="none" w:pos="1728"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Upon the First Commercial Sale of a Licensed Product by Genentech, ACI may initiate an arbitration procedure under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for the limited determinations described in the following clauses (i) and (ii), in both cases where ACI has the burden of proof.</w:t>
      </w:r>
    </w:p>
    <w:p>
      <w:pPr>
        <w:spacing w:after="0" w:line="170" w:lineRule="exact"/>
        <w:rPr>
          <w:rFonts w:ascii="Arial" w:cs="Arial" w:eastAsia="Arial" w:hAnsi="Arial"/>
          <w:sz w:val="18"/>
          <w:szCs w:val="18"/>
          <w:color w:val="auto"/>
        </w:rPr>
      </w:pPr>
    </w:p>
    <w:p>
      <w:pPr>
        <w:ind w:right="80" w:firstLine="1948"/>
        <w:spacing w:after="0" w:line="312" w:lineRule="auto"/>
        <w:tabs>
          <w:tab w:leader="none" w:pos="2155" w:val="left"/>
        </w:tabs>
        <w:numPr>
          <w:ilvl w:val="1"/>
          <w:numId w:val="343"/>
        </w:numPr>
        <w:rPr>
          <w:rFonts w:ascii="Arial" w:cs="Arial" w:eastAsia="Arial" w:hAnsi="Arial"/>
          <w:sz w:val="16"/>
          <w:szCs w:val="16"/>
          <w:color w:val="auto"/>
        </w:rPr>
      </w:pPr>
      <w:r>
        <w:rPr>
          <w:rFonts w:ascii="Arial" w:cs="Arial" w:eastAsia="Arial" w:hAnsi="Arial"/>
          <w:sz w:val="16"/>
          <w:szCs w:val="16"/>
          <w:u w:val="single" w:color="auto"/>
          <w:color w:val="auto"/>
        </w:rPr>
        <w:t>Milestone Offsets</w:t>
      </w:r>
      <w:r>
        <w:rPr>
          <w:rFonts w:ascii="Arial" w:cs="Arial" w:eastAsia="Arial" w:hAnsi="Arial"/>
          <w:sz w:val="16"/>
          <w:szCs w:val="16"/>
          <w:color w:val="auto"/>
        </w:rPr>
        <w:t xml:space="preserve">. If ACI establishes that the total damage amount suffered by Genentech resulting from ACI’s material breach that was the basis of Genentech’s partial termination under </w:t>
      </w:r>
      <w:r>
        <w:rPr>
          <w:rFonts w:ascii="Arial" w:cs="Arial" w:eastAsia="Arial" w:hAnsi="Arial"/>
          <w:sz w:val="16"/>
          <w:szCs w:val="16"/>
          <w:u w:val="single" w:color="auto"/>
          <w:color w:val="auto"/>
        </w:rPr>
        <w:t>Section 9.3.2(b)</w:t>
      </w:r>
      <w:r>
        <w:rPr>
          <w:rFonts w:ascii="Arial" w:cs="Arial" w:eastAsia="Arial" w:hAnsi="Arial"/>
          <w:sz w:val="16"/>
          <w:szCs w:val="16"/>
          <w:color w:val="auto"/>
        </w:rPr>
        <w:t xml:space="preserve"> were less than the total of the milestone payments made to ACI under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5.2 and 5.3</w:t>
      </w:r>
      <w:r>
        <w:rPr>
          <w:rFonts w:ascii="Arial" w:cs="Arial" w:eastAsia="Arial" w:hAnsi="Arial"/>
          <w:sz w:val="16"/>
          <w:szCs w:val="16"/>
          <w:color w:val="auto"/>
        </w:rPr>
        <w:t xml:space="preserve">, then Genentech shall only be entitled to credit such total damage amount against royalty payments due to ACI under </w:t>
      </w:r>
      <w:r>
        <w:rPr>
          <w:rFonts w:ascii="Arial" w:cs="Arial" w:eastAsia="Arial" w:hAnsi="Arial"/>
          <w:sz w:val="16"/>
          <w:szCs w:val="16"/>
          <w:u w:val="single" w:color="auto"/>
          <w:color w:val="auto"/>
        </w:rPr>
        <w:t>Sections 5.4 and 5.5</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40" w:firstLine="1948"/>
        <w:spacing w:after="0" w:line="259" w:lineRule="auto"/>
        <w:tabs>
          <w:tab w:leader="none" w:pos="2205" w:val="left"/>
        </w:tabs>
        <w:numPr>
          <w:ilvl w:val="1"/>
          <w:numId w:val="343"/>
        </w:numPr>
        <w:rPr>
          <w:rFonts w:ascii="Arial" w:cs="Arial" w:eastAsia="Arial" w:hAnsi="Arial"/>
          <w:sz w:val="18"/>
          <w:szCs w:val="18"/>
          <w:color w:val="auto"/>
        </w:rPr>
      </w:pPr>
      <w:r>
        <w:rPr>
          <w:rFonts w:ascii="Arial" w:cs="Arial" w:eastAsia="Arial" w:hAnsi="Arial"/>
          <w:sz w:val="18"/>
          <w:szCs w:val="18"/>
          <w:u w:val="single" w:color="auto"/>
          <w:color w:val="auto"/>
        </w:rPr>
        <w:t>Royalty</w:t>
      </w:r>
      <w:r>
        <w:rPr>
          <w:rFonts w:ascii="Arial" w:cs="Arial" w:eastAsia="Arial" w:hAnsi="Arial"/>
          <w:sz w:val="18"/>
          <w:szCs w:val="18"/>
          <w:color w:val="auto"/>
        </w:rPr>
        <w:t xml:space="preserve">. If ACI establishes that the material breach that was the basis of Genentech’s partial termination under </w:t>
      </w:r>
      <w:r>
        <w:rPr>
          <w:rFonts w:ascii="Arial" w:cs="Arial" w:eastAsia="Arial" w:hAnsi="Arial"/>
          <w:sz w:val="18"/>
          <w:szCs w:val="18"/>
          <w:u w:val="single" w:color="auto"/>
          <w:color w:val="auto"/>
        </w:rPr>
        <w:t>Section 9.3.2(b)</w:t>
      </w:r>
      <w:r>
        <w:rPr>
          <w:rFonts w:ascii="Arial" w:cs="Arial" w:eastAsia="Arial" w:hAnsi="Arial"/>
          <w:sz w:val="18"/>
          <w:szCs w:val="18"/>
          <w:color w:val="auto"/>
        </w:rPr>
        <w:t xml:space="preserve"> did not have a material adverse effect on the value on the scope, validity or enforceability of the ACI IP Rights or the market exclusivity granted by such rights, in each case in the Genentech Field, then notwithstanding clause (iii) of </w:t>
      </w:r>
      <w:r>
        <w:rPr>
          <w:rFonts w:ascii="Arial" w:cs="Arial" w:eastAsia="Arial" w:hAnsi="Arial"/>
          <w:sz w:val="18"/>
          <w:szCs w:val="18"/>
          <w:u w:val="single" w:color="auto"/>
          <w:color w:val="auto"/>
        </w:rPr>
        <w:t>Section 9.3.2(b)</w:t>
      </w:r>
      <w:r>
        <w:rPr>
          <w:rFonts w:ascii="Arial" w:cs="Arial" w:eastAsia="Arial" w:hAnsi="Arial"/>
          <w:sz w:val="18"/>
          <w:szCs w:val="18"/>
          <w:color w:val="auto"/>
        </w:rPr>
        <w:t xml:space="preserve">, Genentech’s obligation to pay royalties to ACI in accordance with </w:t>
      </w:r>
      <w:r>
        <w:rPr>
          <w:rFonts w:ascii="Arial" w:cs="Arial" w:eastAsia="Arial" w:hAnsi="Arial"/>
          <w:sz w:val="18"/>
          <w:szCs w:val="18"/>
          <w:u w:val="single" w:color="auto"/>
          <w:color w:val="auto"/>
        </w:rPr>
        <w:t>Sections 5.4 or 5.5</w:t>
      </w:r>
      <w:r>
        <w:rPr>
          <w:rFonts w:ascii="Arial" w:cs="Arial" w:eastAsia="Arial" w:hAnsi="Arial"/>
          <w:sz w:val="18"/>
          <w:szCs w:val="18"/>
          <w:color w:val="auto"/>
        </w:rPr>
        <w:t xml:space="preserve"> shall continue.</w:t>
      </w:r>
    </w:p>
    <w:p>
      <w:pPr>
        <w:spacing w:after="0" w:line="187"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9.3.3 Termination or expiration of this Agreement, through any means and for any reason, shall not relieve the Parties of any obligation accruing prior thereto, including the payment of all sums due and payable, and shall be without prejudice to the rights and remedies of either Party with respect to any antecedent breach of any of the provisions of this Agreement.</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Termination Financials</w:t>
      </w:r>
      <w:r>
        <w:rPr>
          <w:rFonts w:ascii="Arial" w:cs="Arial" w:eastAsia="Arial" w:hAnsi="Arial"/>
          <w:sz w:val="18"/>
          <w:szCs w:val="18"/>
          <w:color w:val="auto"/>
        </w:rPr>
        <w:t xml:space="preserve">. Subsequent to termination as described in </w:t>
      </w:r>
      <w:r>
        <w:rPr>
          <w:rFonts w:ascii="Arial" w:cs="Arial" w:eastAsia="Arial" w:hAnsi="Arial"/>
          <w:sz w:val="18"/>
          <w:szCs w:val="18"/>
          <w:u w:val="single" w:color="auto"/>
          <w:color w:val="auto"/>
        </w:rPr>
        <w:t>Section 9.3.1</w:t>
      </w:r>
      <w:r>
        <w:rPr>
          <w:rFonts w:ascii="Arial" w:cs="Arial" w:eastAsia="Arial" w:hAnsi="Arial"/>
          <w:sz w:val="18"/>
          <w:szCs w:val="18"/>
          <w:color w:val="auto"/>
        </w:rPr>
        <w:t xml:space="preserve"> and in consideration of the data and information provided to ACI by Genentech thereunder, the financial provisions of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shall apply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270" w:right="239" w:bottom="1440" w:gutter="0" w:footer="0" w:header="0"/>
        </w:sectPr>
      </w:pPr>
    </w:p>
    <w:bookmarkStart w:id="433" w:name="page434"/>
    <w:bookmarkEnd w:id="4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 xml:space="preserve">9.4.1 In each calendar quarter in which ACI records Net Sales of a Termination Product, ACI shall pay to Genentech, on a Termination Product-by-Termination Product and country-by-country basis, an amount equal to the amounts set forth in </w:t>
      </w:r>
      <w:r>
        <w:rPr>
          <w:rFonts w:ascii="Arial" w:cs="Arial" w:eastAsia="Arial" w:hAnsi="Arial"/>
          <w:sz w:val="17"/>
          <w:szCs w:val="17"/>
          <w:u w:val="single" w:color="auto"/>
          <w:color w:val="auto"/>
        </w:rPr>
        <w:t>Sections 9.4.2-9.4.6</w:t>
      </w:r>
      <w:r>
        <w:rPr>
          <w:rFonts w:ascii="Arial" w:cs="Arial" w:eastAsia="Arial" w:hAnsi="Arial"/>
          <w:sz w:val="17"/>
          <w:szCs w:val="17"/>
          <w:color w:val="auto"/>
        </w:rPr>
        <w:t xml:space="preserve"> as follows: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9.4.2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9.4.3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9.4.4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9.4.5 [*****] of annual Net Sales of Termination Products that are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9.4.6 [*****] of annual Net Sales of Termination Products that are [*****] and</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 xml:space="preserve">9.4.7 For Net Sales of Termination Products not Covered by a Valid Patent Claim within the Genentech IP Rights in the country of sale, a royalty equal to [*****] of the applicable royalty that would otherwise be payable under </w:t>
      </w:r>
      <w:r>
        <w:rPr>
          <w:rFonts w:ascii="Arial" w:cs="Arial" w:eastAsia="Arial" w:hAnsi="Arial"/>
          <w:sz w:val="16"/>
          <w:szCs w:val="16"/>
          <w:u w:val="single" w:color="auto"/>
          <w:color w:val="auto"/>
        </w:rPr>
        <w:t>Sections 9.4.1-9.4.6</w:t>
      </w:r>
      <w:r>
        <w:rPr>
          <w:rFonts w:ascii="Arial" w:cs="Arial" w:eastAsia="Arial" w:hAnsi="Arial"/>
          <w:sz w:val="16"/>
          <w:szCs w:val="16"/>
          <w:color w:val="auto"/>
        </w:rPr>
        <w:t xml:space="preserve">, provided, however, that royalty payment obligations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shall terminate upon the date that is [*****] years from the date of First Commercial Sale of the applicable Termination Product in a country. For the sake of clarity, royalties paid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shall be mutually exclusive of royalties to be paid under </w:t>
      </w:r>
      <w:r>
        <w:rPr>
          <w:rFonts w:ascii="Arial" w:cs="Arial" w:eastAsia="Arial" w:hAnsi="Arial"/>
          <w:sz w:val="16"/>
          <w:szCs w:val="16"/>
          <w:u w:val="single" w:color="auto"/>
          <w:color w:val="auto"/>
        </w:rPr>
        <w:t>Sections 9.4.1-9.4.6</w:t>
      </w:r>
      <w:r>
        <w:rPr>
          <w:rFonts w:ascii="Arial" w:cs="Arial" w:eastAsia="Arial" w:hAnsi="Arial"/>
          <w:sz w:val="16"/>
          <w:szCs w:val="16"/>
          <w:color w:val="auto"/>
        </w:rPr>
        <w:t xml:space="preserve">; in no event shall royalties be paid under this </w:t>
      </w:r>
      <w:r>
        <w:rPr>
          <w:rFonts w:ascii="Arial" w:cs="Arial" w:eastAsia="Arial" w:hAnsi="Arial"/>
          <w:sz w:val="16"/>
          <w:szCs w:val="16"/>
          <w:u w:val="single" w:color="auto"/>
          <w:color w:val="auto"/>
        </w:rPr>
        <w:t>Section 9.4.7</w:t>
      </w:r>
      <w:r>
        <w:rPr>
          <w:rFonts w:ascii="Arial" w:cs="Arial" w:eastAsia="Arial" w:hAnsi="Arial"/>
          <w:sz w:val="16"/>
          <w:szCs w:val="16"/>
          <w:color w:val="auto"/>
        </w:rPr>
        <w:t xml:space="preserve"> on Net Sales of Termination Products Covered by a Valid Patent Claim of the Genentech IP Rights.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In addition to as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otherwise explicitly set forth in this Agreement, </w:t>
      </w:r>
      <w:r>
        <w:rPr>
          <w:rFonts w:ascii="Arial" w:cs="Arial" w:eastAsia="Arial" w:hAnsi="Arial"/>
          <w:sz w:val="16"/>
          <w:szCs w:val="16"/>
          <w:u w:val="single" w:color="auto"/>
          <w:color w:val="auto"/>
        </w:rPr>
        <w:t>Articles 1, 11, 12 and 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7.2,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7.3, 9.3, 9.4, 9.5 and 10.3</w:t>
      </w:r>
      <w:r>
        <w:rPr>
          <w:rFonts w:ascii="Arial" w:cs="Arial" w:eastAsia="Arial" w:hAnsi="Arial"/>
          <w:sz w:val="18"/>
          <w:szCs w:val="18"/>
          <w:color w:val="auto"/>
        </w:rPr>
        <w:t xml:space="preserve">, and, as applicable,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shall survive expiration or termination of this Agreement for any reason.</w:t>
      </w:r>
    </w:p>
    <w:p>
      <w:pPr>
        <w:spacing w:after="0" w:line="200" w:lineRule="exact"/>
        <w:rPr>
          <w:sz w:val="20"/>
          <w:szCs w:val="20"/>
          <w:color w:val="auto"/>
        </w:rPr>
      </w:pPr>
    </w:p>
    <w:p>
      <w:pPr>
        <w:spacing w:after="0" w:line="22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ARTICLE 10: REPRESENTATIONS AND WARRANTIES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ACI Representations</w:t>
      </w:r>
      <w:r>
        <w:rPr>
          <w:rFonts w:ascii="Arial" w:cs="Arial" w:eastAsia="Arial" w:hAnsi="Arial"/>
          <w:sz w:val="18"/>
          <w:szCs w:val="18"/>
          <w:color w:val="auto"/>
        </w:rPr>
        <w:t>. ACI hereby represents and warrants to Genentech that: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As of the Effective Date, ACI represents that:</w:t>
      </w:r>
    </w:p>
    <w:p>
      <w:pPr>
        <w:spacing w:after="0" w:line="225" w:lineRule="exact"/>
        <w:rPr>
          <w:sz w:val="20"/>
          <w:szCs w:val="20"/>
          <w:color w:val="auto"/>
        </w:rPr>
      </w:pPr>
    </w:p>
    <w:p>
      <w:pPr>
        <w:ind w:right="20" w:firstLine="1492"/>
        <w:spacing w:after="0" w:line="277" w:lineRule="auto"/>
        <w:tabs>
          <w:tab w:leader="none" w:pos="1728"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ACI has the full right, power and authority, and has obtained all approvals, permits or consents necessary, to enter into this Agreement and to perform all of its obligations and to grant the licenses provided hereunder.</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No claims of infringement, misappropriation or other conflict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270" w:right="239" w:bottom="1440" w:gutter="0" w:footer="0" w:header="0"/>
        </w:sectPr>
      </w:pPr>
    </w:p>
    <w:bookmarkStart w:id="434" w:name="page435"/>
    <w:bookmarkEnd w:id="4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intellectual property rights or other rights owned or controlled by any Third Party have been made or, to ACI’s knowledge, threatened with respect to the ACI IP Rights existing as of the Effective Date.</w:t>
      </w:r>
    </w:p>
    <w:p>
      <w:pPr>
        <w:spacing w:after="0" w:line="170" w:lineRule="exact"/>
        <w:rPr>
          <w:sz w:val="20"/>
          <w:szCs w:val="20"/>
          <w:color w:val="auto"/>
        </w:rPr>
      </w:pPr>
    </w:p>
    <w:p>
      <w:pPr>
        <w:ind w:firstLine="1492"/>
        <w:spacing w:after="0" w:line="276" w:lineRule="auto"/>
        <w:tabs>
          <w:tab w:leader="none" w:pos="1728" w:val="left"/>
        </w:tabs>
        <w:numPr>
          <w:ilvl w:val="0"/>
          <w:numId w:val="345"/>
        </w:numPr>
        <w:rPr>
          <w:rFonts w:ascii="Arial" w:cs="Arial" w:eastAsia="Arial" w:hAnsi="Arial"/>
          <w:sz w:val="17"/>
          <w:szCs w:val="17"/>
          <w:color w:val="auto"/>
        </w:rPr>
      </w:pPr>
      <w:r>
        <w:rPr>
          <w:rFonts w:ascii="Arial" w:cs="Arial" w:eastAsia="Arial" w:hAnsi="Arial"/>
          <w:sz w:val="17"/>
          <w:szCs w:val="17"/>
          <w:color w:val="auto"/>
        </w:rPr>
        <w:t>None of the ACI IP Rights existing as of the Effective Date is subject to any outstanding injunction, judgment, order, ruling, or charge, and no claim or action is pending or, to ACI’s knowledge, threatened which challenges the legality, validity, enforceability, use, or ownership of any such ACI IP Rights, and ACI is not aware of any facts or circumstances that indicate a likelihood of the foregoing. As of the Effective Date, no loss or expiration of any of the ACI IP Rights is threatened, pending, or reasonably foreseeable, except for patents expiring at the end of their statutory terms (and not as a result of any act or omission by ACI, including a failure to pay any required maintenance fees).</w:t>
      </w:r>
    </w:p>
    <w:p>
      <w:pPr>
        <w:spacing w:after="0" w:line="172" w:lineRule="exact"/>
        <w:rPr>
          <w:rFonts w:ascii="Arial" w:cs="Arial" w:eastAsia="Arial" w:hAnsi="Arial"/>
          <w:sz w:val="17"/>
          <w:szCs w:val="17"/>
          <w:color w:val="auto"/>
        </w:rPr>
      </w:pPr>
    </w:p>
    <w:p>
      <w:pPr>
        <w:ind w:firstLine="1492"/>
        <w:spacing w:after="0" w:line="277" w:lineRule="auto"/>
        <w:tabs>
          <w:tab w:leader="none" w:pos="173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ACI is not aware (without having made any specific inquiry) of any infringement or misappropriation of the ACI IP Rights existing as of the Effective Date by any Third Party.</w:t>
      </w:r>
    </w:p>
    <w:p>
      <w:pPr>
        <w:spacing w:after="0" w:line="170" w:lineRule="exact"/>
        <w:rPr>
          <w:rFonts w:ascii="Arial" w:cs="Arial" w:eastAsia="Arial" w:hAnsi="Arial"/>
          <w:sz w:val="18"/>
          <w:szCs w:val="18"/>
          <w:color w:val="auto"/>
        </w:rPr>
      </w:pPr>
    </w:p>
    <w:p>
      <w:pPr>
        <w:ind w:right="340" w:firstLine="1492"/>
        <w:spacing w:after="0" w:line="259" w:lineRule="auto"/>
        <w:tabs>
          <w:tab w:leader="none" w:pos="172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ACI has, up through and including the Effective Date, made available to or provided Genentech with copies of all material information and, as requested in writing by Genentech, with copies of all books, records and data, in each case with respect to the ACI IP Rights and ACI Antibodies, provided that this clause (e) is exclusive of information that was excluded from disclosure under Paragraph 3 of the Mutual Confidentiality Agreement between the Parties dated March 18, 2010, as amended.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10.1.2 ACI hereby represents and warrants to Genentech that as of the Effective Date and through out the Term:</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ACI is the sole and exclusive owner of or Controls the ACI IP Rights existing as of the Effective Date free and clear of any liens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encumbrances.</w:t>
      </w:r>
    </w:p>
    <w:p>
      <w:pPr>
        <w:spacing w:after="0" w:line="211" w:lineRule="exact"/>
        <w:rPr>
          <w:sz w:val="20"/>
          <w:szCs w:val="20"/>
          <w:color w:val="auto"/>
        </w:rPr>
      </w:pPr>
    </w:p>
    <w:p>
      <w:pPr>
        <w:ind w:right="40" w:firstLine="1492"/>
        <w:spacing w:after="0" w:line="264" w:lineRule="auto"/>
        <w:tabs>
          <w:tab w:leader="none" w:pos="1738"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ACI has not, prior to the Effective Date, entered into and shall not, following the Effective Date, enter into any agreement and has not granted any now existing, or agreed to grant any future, license, right or privilege which would adversely affect the rights and licenses granted by ACI to Genentech pursuant to this Agreement.</w:t>
      </w:r>
    </w:p>
    <w:p>
      <w:pPr>
        <w:spacing w:after="0" w:line="181" w:lineRule="exact"/>
        <w:rPr>
          <w:rFonts w:ascii="Arial" w:cs="Arial" w:eastAsia="Arial" w:hAnsi="Arial"/>
          <w:sz w:val="18"/>
          <w:szCs w:val="18"/>
          <w:color w:val="auto"/>
        </w:rPr>
      </w:pPr>
    </w:p>
    <w:p>
      <w:pPr>
        <w:ind w:right="40" w:firstLine="1492"/>
        <w:spacing w:after="0" w:line="312" w:lineRule="auto"/>
        <w:tabs>
          <w:tab w:leader="none" w:pos="1728"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intellectual property rights licensed by ACI to Genentech pursuant to this Agreement constitute all Patents, Know-How and other intellectual property rights that are owned or Controlled by ACI or its Affiliates and that (i) relate to Licensed Products and Tau-Active Antibodies or (ii) are conceived, reduced to practice or otherwise created by ACI during the conduct of or in connection with activities under the Research Program.</w:t>
      </w:r>
    </w:p>
    <w:p>
      <w:pPr>
        <w:spacing w:after="0" w:line="146" w:lineRule="exact"/>
        <w:rPr>
          <w:rFonts w:ascii="Arial" w:cs="Arial" w:eastAsia="Arial" w:hAnsi="Arial"/>
          <w:sz w:val="16"/>
          <w:szCs w:val="16"/>
          <w:color w:val="auto"/>
        </w:rPr>
      </w:pPr>
    </w:p>
    <w:p>
      <w:pPr>
        <w:ind w:right="40" w:firstLine="1492"/>
        <w:spacing w:after="0" w:line="257" w:lineRule="auto"/>
        <w:tabs>
          <w:tab w:leader="none" w:pos="1738"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ACI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 and agents to assign to it any and all inventions and discoveries discovered by such employees, consultants and/or agents made within the scope of, and during their employment, and only disclosing proprietary and confidential information to Third Parties pursuant to written confidentiality and non-disclosure agreements.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Genentech Representations</w:t>
      </w:r>
      <w:r>
        <w:rPr>
          <w:rFonts w:ascii="Arial" w:cs="Arial" w:eastAsia="Arial" w:hAnsi="Arial"/>
          <w:sz w:val="18"/>
          <w:szCs w:val="18"/>
          <w:color w:val="auto"/>
        </w:rPr>
        <w:t>. Genentech hereby represents and warrants the following to ACI: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92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270" w:right="239" w:bottom="1440" w:gutter="0" w:footer="0" w:header="0"/>
        </w:sectPr>
      </w:pPr>
    </w:p>
    <w:bookmarkStart w:id="435" w:name="page436"/>
    <w:bookmarkEnd w:id="4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10.2.1 Genentech has the full right, power and authority, and have obtained all approvals, permits or consents necessary, to enter into this Agreement and to perform all of its obligations hereunder.</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10.2.2 Genentech has not, prior to the Effective Date, entered into and shall not, following the Effective Date, enter into any agreement that conflicts in any way with this Agreement or Genentech’s obligations hereunder.</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10.2.3 Genentech follows reasonable commercial practices common in the industry to protect its proprietary and confidential information, including requiring its employees, consultants and agents to be bound in writing by obligations of confidentiality and non-disclosure, and requiring its employees, consultants and agents to assign to it any and all inventions and discoveries discovered by such employees, consultants and/or agents made within the scope of, and during their employment, and only disclosing proprietary and confidential information to Third Parties pursuant to written confidentiality and non-disclosure agreements.</w:t>
      </w:r>
    </w:p>
    <w:p>
      <w:pPr>
        <w:spacing w:after="0" w:line="18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DISCLAIMER</w:t>
      </w:r>
      <w:r>
        <w:rPr>
          <w:rFonts w:ascii="Arial" w:cs="Arial" w:eastAsia="Arial" w:hAnsi="Arial"/>
          <w:sz w:val="17"/>
          <w:szCs w:val="17"/>
          <w:color w:val="auto"/>
        </w:rPr>
        <w:t xml:space="preserve">. THE WARRANTIES SET FORTH IN </w:t>
      </w:r>
      <w:r>
        <w:rPr>
          <w:rFonts w:ascii="Arial" w:cs="Arial" w:eastAsia="Arial" w:hAnsi="Arial"/>
          <w:sz w:val="17"/>
          <w:szCs w:val="17"/>
          <w:u w:val="single" w:color="auto"/>
          <w:color w:val="auto"/>
        </w:rPr>
        <w:t>SECTIONS 10.1 AND 10.2</w:t>
      </w:r>
      <w:r>
        <w:rPr>
          <w:rFonts w:ascii="Arial" w:cs="Arial" w:eastAsia="Arial" w:hAnsi="Arial"/>
          <w:sz w:val="17"/>
          <w:szCs w:val="17"/>
          <w:color w:val="auto"/>
        </w:rPr>
        <w:t xml:space="preserve"> ARE IN LIEU OF ALL OTHER WARRANTIES, EXPRESS OR IMPLIED, INCLUDING BUT NOT LIMITED TO, THE IMPLIED WARRANTIES OF MERCHANTABILITY OR FITNESS FOR A PARTICULAR PURPOSE, VALIDITY, NON-INFRINGEMENT AND ALL SUCH OTHER WARRANTIES ARE HEREBY EXPRESSLY DISCLAIMED.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INDEMNIFICATION</w:t>
      </w:r>
    </w:p>
    <w:p>
      <w:pPr>
        <w:spacing w:after="0" w:line="22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Indemnification by ACI</w:t>
      </w:r>
      <w:r>
        <w:rPr>
          <w:rFonts w:ascii="Arial" w:cs="Arial" w:eastAsia="Arial" w:hAnsi="Arial"/>
          <w:sz w:val="16"/>
          <w:szCs w:val="16"/>
          <w:color w:val="auto"/>
        </w:rPr>
        <w:t>. ACI shall defend, indemnify and hold harmless Genentech, its Affiliates and Genentech Licensees and their respective officers, directors, employees and agents from and against any and all Third Party liabilities, claims, suits, and expenses, including reasonable attorneys’ fees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the extent arising out of or attributable to (i) the inaccuracy or breach of any representation or warranty made by ACI under this Agreement, or (ii) the negligence or willful misconduct of ACI, its Affiliates or ACI Licensees, or their respective officers, directors or employees.</w:t>
      </w:r>
    </w:p>
    <w:p>
      <w:pPr>
        <w:spacing w:after="0" w:line="154"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Indemnification by Genentech.</w:t>
      </w:r>
      <w:r>
        <w:rPr>
          <w:rFonts w:ascii="Arial" w:cs="Arial" w:eastAsia="Arial" w:hAnsi="Arial"/>
          <w:sz w:val="18"/>
          <w:szCs w:val="18"/>
          <w:color w:val="auto"/>
        </w:rPr>
        <w:t xml:space="preserve"> Genentech shall defend, indemnify and hold harmless ACI, its Affiliates and their respective officers, directors, employees and agents from and against any and all Losses, to the extent arising out of or attributable to (i) the inaccuracy or breach of any representation or warranty made by Genentech under this Agreement, or (ii) the development, marketing, approval, manufacture, packaging, labeling, handling, storage, transportation, use, distribution, promotion, marketing or sale of Licensed Products by Genentech; in each case except to the extent that such Losses are subject to indemnification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Procedure</w:t>
      </w:r>
      <w:r>
        <w:rPr>
          <w:rFonts w:ascii="Arial" w:cs="Arial" w:eastAsia="Arial" w:hAnsi="Arial"/>
          <w:sz w:val="18"/>
          <w:szCs w:val="18"/>
          <w:color w:val="auto"/>
        </w:rPr>
        <w:t xml:space="preserve">. The indemnities set forth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are subject to the condition that the Party seeking the indemnity shall forthwith notify the indemnifying Party on being notified or otherwise made aware of a liability, claim, suit, action or expense and that the indemnifying Party defend and control any proceedings with the other Party being permitted to participate at its own expense (unless there shall be a conflict of interest which would prevent representation by joint counsel, in which event the indemnifying Party shall pay for the other Party’s counsel); provided, that, the indemnifying Party may not settle the liability, claim, suit, action or expense, or otherwise consent to any judgment, without the written consent of the other Party (such consent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269" w:right="239" w:bottom="1440" w:gutter="0" w:footer="0" w:header="0"/>
        </w:sectPr>
      </w:pPr>
    </w:p>
    <w:bookmarkStart w:id="436" w:name="page437"/>
    <w:bookmarkEnd w:id="4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11.4.1 </w:t>
      </w:r>
      <w:r>
        <w:rPr>
          <w:rFonts w:ascii="Arial" w:cs="Arial" w:eastAsia="Arial" w:hAnsi="Arial"/>
          <w:sz w:val="18"/>
          <w:szCs w:val="18"/>
          <w:u w:val="single" w:color="auto"/>
          <w:color w:val="auto"/>
        </w:rPr>
        <w:t>Coverage</w:t>
      </w:r>
      <w:r>
        <w:rPr>
          <w:rFonts w:ascii="Arial" w:cs="Arial" w:eastAsia="Arial" w:hAnsi="Arial"/>
          <w:sz w:val="18"/>
          <w:szCs w:val="18"/>
          <w:color w:val="auto"/>
        </w:rPr>
        <w:t xml:space="preserve">. Each Party shall maintain, at its own cost, the insurance coverages set forth in this </w:t>
      </w:r>
      <w:r>
        <w:rPr>
          <w:rFonts w:ascii="Arial" w:cs="Arial" w:eastAsia="Arial" w:hAnsi="Arial"/>
          <w:sz w:val="18"/>
          <w:szCs w:val="18"/>
          <w:u w:val="single" w:color="auto"/>
          <w:color w:val="auto"/>
        </w:rPr>
        <w:t>Section 11.4</w:t>
      </w:r>
      <w:r>
        <w:rPr>
          <w:rFonts w:ascii="Arial" w:cs="Arial" w:eastAsia="Arial" w:hAnsi="Arial"/>
          <w:sz w:val="18"/>
          <w:szCs w:val="18"/>
          <w:color w:val="auto"/>
        </w:rPr>
        <w:t>; provided, however, Genentech has the right, in its sole discretion, to self-insure in part or in whole for any such coverage.</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11.4.2 </w:t>
      </w:r>
      <w:r>
        <w:rPr>
          <w:rFonts w:ascii="Arial" w:cs="Arial" w:eastAsia="Arial" w:hAnsi="Arial"/>
          <w:sz w:val="18"/>
          <w:szCs w:val="18"/>
          <w:u w:val="single" w:color="auto"/>
          <w:color w:val="auto"/>
        </w:rPr>
        <w:t>ACI</w:t>
      </w:r>
      <w:r>
        <w:rPr>
          <w:rFonts w:ascii="Arial" w:cs="Arial" w:eastAsia="Arial" w:hAnsi="Arial"/>
          <w:sz w:val="18"/>
          <w:szCs w:val="18"/>
          <w:color w:val="auto"/>
        </w:rPr>
        <w:t>. ACI shall have and maintain such type and amounts of Third Party Liability, Commercial General Liability (including contractual liability) and Products Liability insurance as is both (i) required under the laws of Switzerland and (ii) otherwise normal and customary in the biotechnology industry generally for parties similarly situated.</w:t>
      </w:r>
    </w:p>
    <w:p>
      <w:pPr>
        <w:spacing w:after="0" w:line="181"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 xml:space="preserve">11.4.3 </w:t>
      </w:r>
      <w:r>
        <w:rPr>
          <w:rFonts w:ascii="Arial" w:cs="Arial" w:eastAsia="Arial" w:hAnsi="Arial"/>
          <w:sz w:val="17"/>
          <w:szCs w:val="17"/>
          <w:u w:val="single" w:color="auto"/>
          <w:color w:val="auto"/>
        </w:rPr>
        <w:t>Genentech</w:t>
      </w:r>
      <w:r>
        <w:rPr>
          <w:rFonts w:ascii="Arial" w:cs="Arial" w:eastAsia="Arial" w:hAnsi="Arial"/>
          <w:sz w:val="17"/>
          <w:szCs w:val="17"/>
          <w:color w:val="auto"/>
        </w:rPr>
        <w:t>. Genentech shall maintain on an ongoing basis coverage for Products Liability and Completed Operations including coverage for Clinical Trials, in the minimum amount of [*****] per occurrence, combined single limit for bodily injury and property damage liability.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11.4.4 </w:t>
      </w:r>
      <w:r>
        <w:rPr>
          <w:rFonts w:ascii="Arial" w:cs="Arial" w:eastAsia="Arial" w:hAnsi="Arial"/>
          <w:sz w:val="16"/>
          <w:szCs w:val="16"/>
          <w:u w:val="single" w:color="auto"/>
          <w:color w:val="auto"/>
        </w:rPr>
        <w:t>Additional Requirements</w:t>
      </w:r>
      <w:r>
        <w:rPr>
          <w:rFonts w:ascii="Arial" w:cs="Arial" w:eastAsia="Arial" w:hAnsi="Arial"/>
          <w:sz w:val="16"/>
          <w:szCs w:val="16"/>
          <w:color w:val="auto"/>
        </w:rPr>
        <w:t xml:space="preserve">. Except to the extent that Genentech self-insures as authorized under </w:t>
      </w:r>
      <w:r>
        <w:rPr>
          <w:rFonts w:ascii="Arial" w:cs="Arial" w:eastAsia="Arial" w:hAnsi="Arial"/>
          <w:sz w:val="16"/>
          <w:szCs w:val="16"/>
          <w:u w:val="single" w:color="auto"/>
          <w:color w:val="auto"/>
        </w:rPr>
        <w:t>Section 11.4.1</w:t>
      </w:r>
      <w:r>
        <w:rPr>
          <w:rFonts w:ascii="Arial" w:cs="Arial" w:eastAsia="Arial" w:hAnsi="Arial"/>
          <w:sz w:val="16"/>
          <w:szCs w:val="16"/>
          <w:color w:val="auto"/>
        </w:rPr>
        <w:t>, the following provisions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apply:</w:t>
      </w:r>
    </w:p>
    <w:p>
      <w:pPr>
        <w:spacing w:after="0" w:line="211" w:lineRule="exact"/>
        <w:rPr>
          <w:sz w:val="20"/>
          <w:szCs w:val="20"/>
          <w:color w:val="auto"/>
        </w:rPr>
      </w:pPr>
    </w:p>
    <w:p>
      <w:pPr>
        <w:ind w:right="120" w:firstLine="1492"/>
        <w:spacing w:after="0" w:line="277" w:lineRule="auto"/>
        <w:tabs>
          <w:tab w:leader="none" w:pos="172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All insurance coverages shall be primary insurance with respect to each Party’s own participation under this Agreement, and shall be maintained with an insurance company or companies having an A.M. Best’s rating (or its equivalent) of A-XII or better.</w:t>
      </w:r>
    </w:p>
    <w:p>
      <w:pPr>
        <w:spacing w:after="0" w:line="170" w:lineRule="exact"/>
        <w:rPr>
          <w:rFonts w:ascii="Arial" w:cs="Arial" w:eastAsia="Arial" w:hAnsi="Arial"/>
          <w:sz w:val="18"/>
          <w:szCs w:val="18"/>
          <w:color w:val="auto"/>
        </w:rPr>
      </w:pPr>
    </w:p>
    <w:p>
      <w:pPr>
        <w:ind w:right="140" w:firstLine="1492"/>
        <w:spacing w:after="0" w:line="277" w:lineRule="auto"/>
        <w:tabs>
          <w:tab w:leader="none" w:pos="173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Such Party shall maintain the insurance coverage for at least [*****] years following such Party’s completing the performance of its obligations under this Agreement.</w:t>
      </w:r>
    </w:p>
    <w:p>
      <w:pPr>
        <w:spacing w:after="0" w:line="170" w:lineRule="exact"/>
        <w:rPr>
          <w:rFonts w:ascii="Arial" w:cs="Arial" w:eastAsia="Arial" w:hAnsi="Arial"/>
          <w:sz w:val="18"/>
          <w:szCs w:val="18"/>
          <w:color w:val="auto"/>
        </w:rPr>
      </w:pPr>
    </w:p>
    <w:p>
      <w:pPr>
        <w:jc w:val="both"/>
        <w:ind w:right="440" w:firstLine="1492"/>
        <w:spacing w:after="0" w:line="279" w:lineRule="auto"/>
        <w:tabs>
          <w:tab w:leader="none" w:pos="1728" w:val="left"/>
        </w:tabs>
        <w:numPr>
          <w:ilvl w:val="0"/>
          <w:numId w:val="347"/>
        </w:numPr>
        <w:rPr>
          <w:rFonts w:ascii="Arial" w:cs="Arial" w:eastAsia="Arial" w:hAnsi="Arial"/>
          <w:sz w:val="17"/>
          <w:szCs w:val="17"/>
          <w:color w:val="auto"/>
        </w:rPr>
      </w:pPr>
      <w:r>
        <w:rPr>
          <w:rFonts w:ascii="Arial" w:cs="Arial" w:eastAsia="Arial" w:hAnsi="Arial"/>
          <w:sz w:val="17"/>
          <w:szCs w:val="17"/>
          <w:color w:val="auto"/>
        </w:rPr>
        <w:t xml:space="preserve">Upon request by the other Party, each Party shall provide to the other Party its respective certificates of insurance evidencing the insurance coverages set forth in </w:t>
      </w:r>
      <w:r>
        <w:rPr>
          <w:rFonts w:ascii="Arial" w:cs="Arial" w:eastAsia="Arial" w:hAnsi="Arial"/>
          <w:sz w:val="17"/>
          <w:szCs w:val="17"/>
          <w:u w:val="single" w:color="auto"/>
          <w:color w:val="auto"/>
        </w:rPr>
        <w:t>Section 11.4.1</w:t>
      </w:r>
      <w:r>
        <w:rPr>
          <w:rFonts w:ascii="Arial" w:cs="Arial" w:eastAsia="Arial" w:hAnsi="Arial"/>
          <w:sz w:val="17"/>
          <w:szCs w:val="17"/>
          <w:color w:val="auto"/>
        </w:rPr>
        <w:t>. Each Party shall provide to the other Party at least [*****] days prior written notice of any cancellation, nonrenewal or material change in any of the insurance coverages. Each Party shall, upon receipt of written request from the other Party, provide renewal certificates to the other Party for as long as such Party is required to maintain insurance coverages hereunder.</w:t>
      </w:r>
    </w:p>
    <w:p>
      <w:pPr>
        <w:spacing w:after="0" w:line="171"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LIMITATION ON DAMAGES</w:t>
      </w:r>
      <w:r>
        <w:rPr>
          <w:rFonts w:ascii="Arial" w:cs="Arial" w:eastAsia="Arial" w:hAnsi="Arial"/>
          <w:sz w:val="17"/>
          <w:szCs w:val="17"/>
          <w:color w:val="auto"/>
        </w:rPr>
        <w:t>. NOTWITHSTANDING ANYTHING CONTAINED IN THIS AGREEMENT TO THE CONTRARY, IN NO EVENT SHALL EITHER PARTY BE LIABLE TO THE OTHER HEREUNDER FOR ANY SPECIAL, CONSEQUENTIAL OR INCIDENTAL DAMAGES (INCLUDING LOSS OF PROFITS) WHETHER BASED UPON BREACH OF WARRANTY, BREACH OF CONTRACT, NEGLIGENCE, STRICT TORT OR ANY OTHER LEGAL THEORY. THE FOREGOING LIMITATIONS WILL NOT APPLY TO AN AWARD OF ENHANCED DAMAGES AVAILABLE UNDER THE PATENT LAWS FOR WILLFUL PATENT INFRINGEMENT AND WILL NOT LIMIT EITHER PARTY’S LIABILITY TO THE OTHER PARTY UNDER ARTICLES 11 (INDEMNIFICATION) AND 12 (CONFIDENTIALITY) OF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CONFIDENTIALITY</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the Term of this Agreement and for [*****] years thereafter without regard to the means of termination: (i) ACI shall not use, for any purpose other than the purpose of this Agreement, or reveal or disclose to any Third Party Genentech Confidential Information or Program Confidential Information; and (ii) Genentech shall not use, for any purpose other than the purpose of this Agreement, or reveal or disclose to any Third Party ACI Confidential Information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269" w:right="239" w:bottom="1440" w:gutter="0" w:footer="0" w:header="0"/>
        </w:sectPr>
      </w:pPr>
    </w:p>
    <w:bookmarkStart w:id="437" w:name="page438"/>
    <w:bookmarkEnd w:id="4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Program Confidential Information. The Parties shall take reasonable measures to assure that no unauthorized use or disclosure is made by others to whom access to such information is granted.</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Exceptions</w:t>
      </w:r>
      <w:r>
        <w:rPr>
          <w:rFonts w:ascii="Arial" w:cs="Arial" w:eastAsia="Arial" w:hAnsi="Arial"/>
          <w:sz w:val="18"/>
          <w:szCs w:val="18"/>
          <w:color w:val="auto"/>
        </w:rPr>
        <w:t>. Notwithstanding the foregoing, a Party may use and disclose Confidential Information (including any Genentech Confidential Information, ACI Confidential Information or Program Confidential Information) as follows:</w:t>
      </w:r>
    </w:p>
    <w:p>
      <w:pPr>
        <w:spacing w:after="0" w:line="76" w:lineRule="exact"/>
        <w:rPr>
          <w:sz w:val="20"/>
          <w:szCs w:val="20"/>
          <w:color w:val="auto"/>
        </w:rPr>
      </w:pPr>
    </w:p>
    <w:p>
      <w:pPr>
        <w:ind w:left="1480" w:right="180" w:hanging="567"/>
        <w:spacing w:after="0" w:line="286" w:lineRule="auto"/>
        <w:tabs>
          <w:tab w:leader="none" w:pos="148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if required by applicable law, rule, regulation, government requirement and/or court order; provided, that, the disclosing Party promptly notifies the other Party of its notice of any such requirement and provides the other Party a reasonable opportunity to seek a protective order or other appropriate remedy and/or to waive compliance with the provisions of this Agreement;</w:t>
      </w:r>
    </w:p>
    <w:p>
      <w:pPr>
        <w:spacing w:after="0" w:line="70" w:lineRule="exact"/>
        <w:rPr>
          <w:rFonts w:ascii="Arial" w:cs="Arial" w:eastAsia="Arial" w:hAnsi="Arial"/>
          <w:sz w:val="17"/>
          <w:szCs w:val="17"/>
          <w:color w:val="auto"/>
        </w:rPr>
      </w:pPr>
    </w:p>
    <w:p>
      <w:pPr>
        <w:ind w:left="1480" w:hanging="567"/>
        <w:spacing w:after="0"/>
        <w:tabs>
          <w:tab w:leader="none" w:pos="14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to the extent such use and disclosure occurs in the filing or publication of any patent application or patent on inventions;</w:t>
      </w:r>
    </w:p>
    <w:p>
      <w:pPr>
        <w:spacing w:after="0" w:line="130" w:lineRule="exact"/>
        <w:rPr>
          <w:rFonts w:ascii="Arial" w:cs="Arial" w:eastAsia="Arial" w:hAnsi="Arial"/>
          <w:sz w:val="18"/>
          <w:szCs w:val="18"/>
          <w:color w:val="auto"/>
        </w:rPr>
      </w:pPr>
    </w:p>
    <w:p>
      <w:pPr>
        <w:ind w:left="1480" w:right="100" w:hanging="567"/>
        <w:spacing w:after="0" w:line="264" w:lineRule="auto"/>
        <w:tabs>
          <w:tab w:leader="none" w:pos="14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as necessary or desirable for securing any regulatory approvals, including pricing approvals, for any Licensed Products; provided, that, the disclosing Party shall take all reasonable steps to limit disclosure of the Confidential Information outside such regulatory agency and to otherwise maintain the confidentiality of the Confidential Information;</w:t>
      </w:r>
    </w:p>
    <w:p>
      <w:pPr>
        <w:spacing w:after="0" w:line="86" w:lineRule="exact"/>
        <w:rPr>
          <w:rFonts w:ascii="Arial" w:cs="Arial" w:eastAsia="Arial" w:hAnsi="Arial"/>
          <w:sz w:val="18"/>
          <w:szCs w:val="18"/>
          <w:color w:val="auto"/>
        </w:rPr>
      </w:pPr>
    </w:p>
    <w:p>
      <w:pPr>
        <w:ind w:left="1480" w:right="180" w:hanging="567"/>
        <w:spacing w:after="0" w:line="277" w:lineRule="auto"/>
        <w:tabs>
          <w:tab w:leader="none" w:pos="14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to take any lawful action that it deems necessary to protect its interest under, or to enforce compliance with the terms and conditions of, this Agreement; and</w:t>
      </w:r>
    </w:p>
    <w:p>
      <w:pPr>
        <w:spacing w:after="0" w:line="75" w:lineRule="exact"/>
        <w:rPr>
          <w:rFonts w:ascii="Arial" w:cs="Arial" w:eastAsia="Arial" w:hAnsi="Arial"/>
          <w:sz w:val="18"/>
          <w:szCs w:val="18"/>
          <w:color w:val="auto"/>
        </w:rPr>
      </w:pPr>
    </w:p>
    <w:p>
      <w:pPr>
        <w:ind w:left="1480" w:right="120" w:hanging="567"/>
        <w:spacing w:after="0" w:line="259" w:lineRule="auto"/>
        <w:tabs>
          <w:tab w:leader="none" w:pos="14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to the extent necessary, to its Affiliates, directors, officers, employees, consultants, Genentech Licensees or ACI Licensees (as applicable), vendors and clinicians under written agreements of confidentiality at least as restrictive as those set forth in this Agreement, who have a need to know such information in connection with such Party performing its obligations or exercising its rights under this Agreement.</w:t>
      </w:r>
    </w:p>
    <w:p>
      <w:pPr>
        <w:spacing w:after="0" w:line="18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Certain Obligations</w:t>
      </w:r>
      <w:r>
        <w:rPr>
          <w:rFonts w:ascii="Arial" w:cs="Arial" w:eastAsia="Arial" w:hAnsi="Arial"/>
          <w:sz w:val="18"/>
          <w:szCs w:val="18"/>
          <w:color w:val="auto"/>
        </w:rPr>
        <w:t xml:space="preserve">. During the term of this Agreement and for a period of [*****] years thereafter and subject to the exceptions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 Genentech, with respect to ACI Confidential Information, and ACI, with respect to Genentech Confidential Information and Program Confidential Information, agree:</w:t>
      </w:r>
    </w:p>
    <w:p>
      <w:pPr>
        <w:spacing w:after="0" w:line="87" w:lineRule="exact"/>
        <w:rPr>
          <w:sz w:val="20"/>
          <w:szCs w:val="20"/>
          <w:color w:val="auto"/>
        </w:rPr>
      </w:pPr>
    </w:p>
    <w:p>
      <w:pPr>
        <w:ind w:left="1480" w:hanging="567"/>
        <w:spacing w:after="0"/>
        <w:tabs>
          <w:tab w:leader="none" w:pos="14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to use such Confidential Information only for the purposes contemplated under this Agreement,</w:t>
      </w:r>
    </w:p>
    <w:p>
      <w:pPr>
        <w:spacing w:after="0" w:line="130" w:lineRule="exact"/>
        <w:rPr>
          <w:rFonts w:ascii="Arial" w:cs="Arial" w:eastAsia="Arial" w:hAnsi="Arial"/>
          <w:sz w:val="18"/>
          <w:szCs w:val="18"/>
          <w:color w:val="auto"/>
        </w:rPr>
      </w:pPr>
    </w:p>
    <w:p>
      <w:pPr>
        <w:ind w:left="1480" w:right="520" w:hanging="567"/>
        <w:spacing w:after="0" w:line="277" w:lineRule="auto"/>
        <w:tabs>
          <w:tab w:leader="none" w:pos="14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to treat such Confidential Information as it would its own proprietary information which in no event shall be less than a reasonable standard of care,</w:t>
      </w:r>
    </w:p>
    <w:p>
      <w:pPr>
        <w:spacing w:after="0" w:line="75" w:lineRule="exact"/>
        <w:rPr>
          <w:rFonts w:ascii="Arial" w:cs="Arial" w:eastAsia="Arial" w:hAnsi="Arial"/>
          <w:sz w:val="18"/>
          <w:szCs w:val="18"/>
          <w:color w:val="auto"/>
        </w:rPr>
      </w:pPr>
    </w:p>
    <w:p>
      <w:pPr>
        <w:ind w:left="1480" w:right="160" w:hanging="567"/>
        <w:spacing w:after="0" w:line="277" w:lineRule="auto"/>
        <w:tabs>
          <w:tab w:leader="none" w:pos="14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to take reasonable precautions to prevent the disclosure of such Confidential Information to a Third Party without written consent of the other Party, and</w:t>
      </w:r>
    </w:p>
    <w:p>
      <w:pPr>
        <w:spacing w:after="0" w:line="75" w:lineRule="exact"/>
        <w:rPr>
          <w:rFonts w:ascii="Arial" w:cs="Arial" w:eastAsia="Arial" w:hAnsi="Arial"/>
          <w:sz w:val="18"/>
          <w:szCs w:val="18"/>
          <w:color w:val="auto"/>
        </w:rPr>
      </w:pPr>
    </w:p>
    <w:p>
      <w:pPr>
        <w:jc w:val="both"/>
        <w:ind w:left="1480" w:right="340" w:hanging="567"/>
        <w:spacing w:after="0" w:line="264" w:lineRule="auto"/>
        <w:tabs>
          <w:tab w:leader="none" w:pos="148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to only disclose such Confidential Information to those employees, agents and Third Party contractors who have a need to know such Confidential Information for the purposes set forth herein and who are subject to obligations of confidentiality no less restrictive than those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270" w:right="239" w:bottom="1440" w:gutter="0" w:footer="0" w:header="0"/>
        </w:sectPr>
      </w:pPr>
    </w:p>
    <w:bookmarkStart w:id="438" w:name="page439"/>
    <w:bookmarkEnd w:id="4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Disclosures and Public Announcements</w:t>
      </w:r>
      <w:r>
        <w:rPr>
          <w:rFonts w:ascii="Arial" w:cs="Arial" w:eastAsia="Arial" w:hAnsi="Arial"/>
          <w:sz w:val="18"/>
          <w:szCs w:val="18"/>
          <w:color w:val="auto"/>
        </w:rPr>
        <w:t>. Neither Party shall issue any press release or other publicity materials, or make any public presentation with respect to the existence of, or any of the terms or conditions of, this Agreement or the programs or efforts being conducted by the other Party hereunder, in each case without the prior written consent of the other Party. This restriction shall not apply to:</w:t>
      </w:r>
    </w:p>
    <w:p>
      <w:pPr>
        <w:spacing w:after="0" w:line="87" w:lineRule="exact"/>
        <w:rPr>
          <w:sz w:val="20"/>
          <w:szCs w:val="20"/>
          <w:color w:val="auto"/>
        </w:rPr>
      </w:pPr>
    </w:p>
    <w:p>
      <w:pPr>
        <w:ind w:left="1480" w:right="800" w:hanging="567"/>
        <w:spacing w:after="0" w:line="277" w:lineRule="auto"/>
        <w:tabs>
          <w:tab w:leader="none" w:pos="14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disclosures to a Party’s attorneys, advisors or investors on a need to know basis under circumstances that reasonably ensure the confidentiality thereof, and</w:t>
      </w:r>
    </w:p>
    <w:p>
      <w:pPr>
        <w:spacing w:after="0" w:line="75" w:lineRule="exact"/>
        <w:rPr>
          <w:rFonts w:ascii="Arial" w:cs="Arial" w:eastAsia="Arial" w:hAnsi="Arial"/>
          <w:sz w:val="18"/>
          <w:szCs w:val="18"/>
          <w:color w:val="auto"/>
        </w:rPr>
      </w:pPr>
    </w:p>
    <w:p>
      <w:pPr>
        <w:ind w:left="1480" w:right="280" w:hanging="567"/>
        <w:spacing w:after="0" w:line="279" w:lineRule="auto"/>
        <w:tabs>
          <w:tab w:leader="none" w:pos="148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any future disclosures required by law or regulation, including as may be required in connection with any filings made with, or by the disclosure policies of a major stock exchange; provided that the disclosing Party (i) use all reasonable efforts to inform the other Party prior to making any such disclosures and cooperate with the other Party in seeking a protective order or other appropriate remedy (including redaction) and (ii) whenever possible, request confidential treatment of such information.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Scientific Publications</w:t>
      </w:r>
      <w:r>
        <w:rPr>
          <w:rFonts w:ascii="Arial" w:cs="Arial" w:eastAsia="Arial" w:hAnsi="Arial"/>
          <w:sz w:val="18"/>
          <w:szCs w:val="18"/>
          <w:color w:val="auto"/>
        </w:rPr>
        <w:t>.</w:t>
      </w:r>
    </w:p>
    <w:p>
      <w:pPr>
        <w:spacing w:after="0" w:line="117"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12.5.1 If ACI, including its employees, agents, collaborators or consultants, wishes to make a scientific or technical publication, presentation and/or other related oral disclosure related to ACI IP Rights and Program IP Rights, ACI shall deliver to Genentech a copy of the proposed written publication or an outline of the proposed presentation or oral disclosure at least [*****] days prior to submission for publication, presentation and/or other oral disclosure. Genentech may then (a) request (within [******] days of the delivery of the publication or outline) modifications to the publication or outline for patent reasons or business reasons, and ACI shall make such modifications, (b) delete (within [*****] days of the delivery of the publication or outline) any trade secrets or Confidential Information of Genentech included in that publication or outline, and/or (c) request (within [*****] days of the delivery of the publication or outline) a reasonable delay of no more than [*****] days from the date such delay is requested by Genentech in publication, presentation and/or other oral disclosure to protect know-how and patentable subject matter. In the event that the ACI does not receive any response from Genentech with respect to the ACI’s proposed written publication or outline of the proposed presentation or oral disclosure within [*****] days of the delivery of the publication or outline, subject to the terms of this Agreement, ACI shall be free to publish, present or otherwise orally disclose the information contained in such publication or outline.</w:t>
      </w:r>
    </w:p>
    <w:p>
      <w:pPr>
        <w:spacing w:after="0" w:line="18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12.5.2 If Genentech, including its employees, agents or consultants, wishes to make a scientific or technical publication, presentation and/or other related oral disclosure related to ACI IP Rights, Genentech shall deliver to ACI a copy of the proposed written publication or an outline of the proposed presentation or oral disclosure at least [*****] days prior to submission for publication, presentation and/or other oral disclosure. ACI may then (a) request (within [*****] days of the delivery of the publication or outline) modifications to the publication or outline for patent reasons, and Genentech shall make such modifications, (b) delete (within [*****] days of the delivery of the publication or outline) any trade secrets or Confidential Information of ACI included in that publication or outline, and/or (c) request (within [*****] days of the delivery of the publication or outline) a reasonable delay of no more than [*****] days from the date such delay is requested by ACI in publication, presentation and/or other oral disclosure to protect know-how and patentable subject matter. In the event that Genentech does not receive any response from ACI with respect to Genentech’s proposed written publication or outline of the proposed presentation or oral disclosure within [*****] days of the delivery of the publication or outline, subject to the terms of this Agreement, Genentech shall be free to publish, present or otherwise orally disclose the information contained in such publication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270" w:right="239" w:bottom="1440" w:gutter="0" w:footer="0" w:header="0"/>
        </w:sectPr>
      </w:pPr>
    </w:p>
    <w:bookmarkStart w:id="439" w:name="page440"/>
    <w:bookmarkEnd w:id="4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outline.</w:t>
      </w:r>
    </w:p>
    <w:p>
      <w:pPr>
        <w:spacing w:after="0" w:line="225"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Termination Event</w:t>
      </w:r>
      <w:r>
        <w:rPr>
          <w:rFonts w:ascii="Arial" w:cs="Arial" w:eastAsia="Arial" w:hAnsi="Arial"/>
          <w:sz w:val="16"/>
          <w:szCs w:val="16"/>
          <w:color w:val="auto"/>
        </w:rPr>
        <w:t xml:space="preserve">. Upon termination, but not expiration, of this Agreement and upon the request of the disclosing Party, the receiving Party shall promptly return to the disclosing Party or destroy all copies of Confidential Information received from such Party, and shall return or destroy, and document the destruction of, all summaries, abstracts, extracts, or other documents which contain any Confidential Information of the other Party in any form, except that each Party shall be permitted to retain a copy (or copies, as necessary) of such Confidential Information (a) for archival purposes, (b) as required by any law or regulation, (c) in the case of ACI, for purposes of exploiting its rights in any Product Reversion Package provided by Genentech pursuant to </w:t>
      </w:r>
      <w:r>
        <w:rPr>
          <w:rFonts w:ascii="Arial" w:cs="Arial" w:eastAsia="Arial" w:hAnsi="Arial"/>
          <w:sz w:val="16"/>
          <w:szCs w:val="16"/>
          <w:u w:val="single" w:color="auto"/>
          <w:color w:val="auto"/>
        </w:rPr>
        <w:t>Section 9.3.1</w:t>
      </w:r>
      <w:r>
        <w:rPr>
          <w:rFonts w:ascii="Arial" w:cs="Arial" w:eastAsia="Arial" w:hAnsi="Arial"/>
          <w:sz w:val="16"/>
          <w:szCs w:val="16"/>
          <w:color w:val="auto"/>
        </w:rPr>
        <w:t xml:space="preserve"> or (d) in the case of Genentech, for purposes of exploiting its surviving rights pursuant to </w:t>
      </w:r>
      <w:r>
        <w:rPr>
          <w:rFonts w:ascii="Arial" w:cs="Arial" w:eastAsia="Arial" w:hAnsi="Arial"/>
          <w:sz w:val="16"/>
          <w:szCs w:val="16"/>
          <w:u w:val="single" w:color="auto"/>
          <w:color w:val="auto"/>
        </w:rPr>
        <w:t>Section 9.3.2</w:t>
      </w:r>
      <w:r>
        <w:rPr>
          <w:rFonts w:ascii="Arial" w:cs="Arial" w:eastAsia="Arial" w:hAnsi="Arial"/>
          <w:sz w:val="16"/>
          <w:szCs w:val="16"/>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 ARBITRATION</w:t>
      </w:r>
    </w:p>
    <w:p>
      <w:pPr>
        <w:spacing w:after="0" w:line="2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Disputes</w:t>
      </w:r>
      <w:r>
        <w:rPr>
          <w:rFonts w:ascii="Arial" w:cs="Arial" w:eastAsia="Arial" w:hAnsi="Arial"/>
          <w:sz w:val="18"/>
          <w:szCs w:val="18"/>
          <w:color w:val="auto"/>
        </w:rPr>
        <w:t>. This Agreement is made on the basis of mutual confidence, and it is understood that the differences, if any, during the life of this Agreement should freely be discussed between the two Parties. The Parties shall initially attempt in good faith to resolve any significant controversy, claim, or dispute arising out of or relating to this Agreement, or its interpretation, performance, nonperformance or any breach of any respective obligations hereunder (hereinafter collectively referred to as a “</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through negotiations between senior executives of ACI and Genentech (or their respective designee). If the Dispute is not resolved within [*****] days (or such other period of time mutually agreed upon by the Parties) of commencing such face-to-face negotiations, or if the Party against which a claim has been asserted refuses to attend such negotiations or does not otherwise participate in such negotiations within [*****] days (or such other period of time mutually agreed upon by the Parties) from the date of notice of a Dispute, either Party may, by written notice to the other, invoke the provisions of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9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13.1 and 13.3</w:t>
      </w:r>
      <w:r>
        <w:rPr>
          <w:rFonts w:ascii="Arial" w:cs="Arial" w:eastAsia="Arial" w:hAnsi="Arial"/>
          <w:sz w:val="16"/>
          <w:szCs w:val="16"/>
          <w:color w:val="auto"/>
        </w:rPr>
        <w:t>, the Parties agree to resolve any Dispute exclusively through binding arbitration conducted under the auspices of the International Chamber of Commerce (the “</w:t>
      </w:r>
      <w:r>
        <w:rPr>
          <w:rFonts w:ascii="Arial" w:cs="Arial" w:eastAsia="Arial" w:hAnsi="Arial"/>
          <w:sz w:val="16"/>
          <w:szCs w:val="16"/>
          <w:u w:val="single" w:color="auto"/>
          <w:color w:val="auto"/>
        </w:rPr>
        <w:t>ICC</w:t>
      </w:r>
      <w:r>
        <w:rPr>
          <w:rFonts w:ascii="Arial" w:cs="Arial" w:eastAsia="Arial" w:hAnsi="Arial"/>
          <w:sz w:val="16"/>
          <w:szCs w:val="16"/>
          <w:color w:val="auto"/>
        </w:rPr>
        <w:t>”) pursuant to the Rules of Arbitration of the International Chamber of Commerce then in effect (the “</w:t>
      </w:r>
      <w:r>
        <w:rPr>
          <w:rFonts w:ascii="Arial" w:cs="Arial" w:eastAsia="Arial" w:hAnsi="Arial"/>
          <w:sz w:val="16"/>
          <w:szCs w:val="16"/>
          <w:u w:val="single" w:color="auto"/>
          <w:color w:val="auto"/>
        </w:rPr>
        <w:t>ICC Rules</w:t>
      </w:r>
      <w:r>
        <w:rPr>
          <w:rFonts w:ascii="Arial" w:cs="Arial" w:eastAsia="Arial" w:hAnsi="Arial"/>
          <w:sz w:val="16"/>
          <w:szCs w:val="16"/>
          <w:color w:val="auto"/>
        </w:rPr>
        <w:t xml:space="preserve">”). The arbitration shall be conducted in the English language before [*****] arbitrators appointed in accordance with the ICC Rules; provided that at least one such arbitrator shall have had, by the time of the actual arbitration, at least [*****] years of experience as an attorney and experience in the pharmaceuticals industry so as to better understand the legal, business and scientific issues addressed in the arbitration. Unless otherwise mutually agreed by the Parties, any arbitration hereunder it shall be brought at the location of the Party which first received the notice required under </w:t>
      </w:r>
      <w:r>
        <w:rPr>
          <w:rFonts w:ascii="Arial" w:cs="Arial" w:eastAsia="Arial" w:hAnsi="Arial"/>
          <w:sz w:val="16"/>
          <w:szCs w:val="16"/>
          <w:u w:val="single" w:color="auto"/>
          <w:color w:val="auto"/>
        </w:rPr>
        <w:t>Section 13.1</w:t>
      </w:r>
      <w:r>
        <w:rPr>
          <w:rFonts w:ascii="Arial" w:cs="Arial" w:eastAsia="Arial" w:hAnsi="Arial"/>
          <w:sz w:val="16"/>
          <w:szCs w:val="16"/>
          <w:color w:val="auto"/>
        </w:rPr>
        <w:t>. Unless agreed otherwise by the Parties, the Parties shall have [*****] days from the appointment of the last to be appointed of the [*****] arbitrators to present and/or submit their positions to the arbitrators, and the Parties shall have a hearing before the arbitrators within [*****] Business Days of such submission. The arbitrators shall hear evidence by each Party and resolve each of the issues identified by the Parties. The arbitrators shall be instructed and required to render a written, binding, non-appealable resolution and award on each issue which clearly states the basis upon which such resolution and award is made. The written resolution and award shall be delivered to the Parties as expeditiously as possible, but in no event more than [*****] days after conclusion of the hearing, unless otherwise agreed to by the Parties. The Parties shall use all reasonable efforts to keep arbitration costs to a minimum. Each Party must bear its own attorneys’ fees and associated costs and expenses, as well as an equal share of the fees and costs incurred by ICC and the arbitrators. The Parties shall use all reasonable efforts to make witnesses available for the proceedings.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Subject Matter Exclusions</w:t>
      </w:r>
      <w:r>
        <w:rPr>
          <w:rFonts w:ascii="Arial" w:cs="Arial" w:eastAsia="Arial" w:hAnsi="Arial"/>
          <w:sz w:val="17"/>
          <w:szCs w:val="17"/>
          <w:color w:val="auto"/>
        </w:rPr>
        <w:t xml:space="preserve">. Notwithstanding the foregoing, the provisions of </w:t>
      </w:r>
      <w:r>
        <w:rPr>
          <w:rFonts w:ascii="Arial" w:cs="Arial" w:eastAsia="Arial" w:hAnsi="Arial"/>
          <w:sz w:val="17"/>
          <w:szCs w:val="17"/>
          <w:u w:val="single" w:color="auto"/>
          <w:color w:val="auto"/>
        </w:rPr>
        <w:t>Sections 13.1 and 13.2</w:t>
      </w:r>
      <w:r>
        <w:rPr>
          <w:rFonts w:ascii="Arial" w:cs="Arial" w:eastAsia="Arial" w:hAnsi="Arial"/>
          <w:sz w:val="17"/>
          <w:szCs w:val="17"/>
          <w:color w:val="auto"/>
        </w:rPr>
        <w:t xml:space="preserve"> shall not apply to any Dispute relating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270" w:right="239" w:bottom="1440" w:gutter="0" w:footer="0" w:header="0"/>
        </w:sectPr>
      </w:pPr>
    </w:p>
    <w:bookmarkStart w:id="440" w:name="page441"/>
    <w:bookmarkEnd w:id="4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 Notwithstanding anything to the contrary in the foregoing provision of this </w:t>
      </w:r>
      <w:r>
        <w:rPr>
          <w:rFonts w:ascii="Arial" w:cs="Arial" w:eastAsia="Arial" w:hAnsi="Arial"/>
          <w:sz w:val="18"/>
          <w:szCs w:val="18"/>
          <w:u w:val="single" w:color="auto"/>
          <w:color w:val="auto"/>
        </w:rPr>
        <w:t>Section 13.3</w:t>
      </w:r>
      <w:r>
        <w:rPr>
          <w:rFonts w:ascii="Arial" w:cs="Arial" w:eastAsia="Arial" w:hAnsi="Arial"/>
          <w:sz w:val="18"/>
          <w:szCs w:val="18"/>
          <w:color w:val="auto"/>
        </w:rPr>
        <w:t>, any Dispute relating to Genentech and/or its Affiliate(s)’s assertion of non-infringement of or by any of its activities with respect to ACI IP Rights, including without limitation any assertion by Genentech or its Affiliates that the making, using, selling, offering for sale and importation of any Tau-Active Antibody(ies) and/or Licensed Product(s) do not infringe ACI IP Rights (“</w:t>
      </w:r>
      <w:r>
        <w:rPr>
          <w:rFonts w:ascii="Arial" w:cs="Arial" w:eastAsia="Arial" w:hAnsi="Arial"/>
          <w:sz w:val="18"/>
          <w:szCs w:val="18"/>
          <w:u w:val="single" w:color="auto"/>
          <w:color w:val="auto"/>
        </w:rPr>
        <w:t>Patent Infringement Dispute</w:t>
      </w:r>
      <w:r>
        <w:rPr>
          <w:rFonts w:ascii="Arial" w:cs="Arial" w:eastAsia="Arial" w:hAnsi="Arial"/>
          <w:sz w:val="18"/>
          <w:szCs w:val="18"/>
          <w:color w:val="auto"/>
        </w:rPr>
        <w:t xml:space="preserve">”) shall be subject to the provisions of </w:t>
      </w:r>
      <w:r>
        <w:rPr>
          <w:rFonts w:ascii="Arial" w:cs="Arial" w:eastAsia="Arial" w:hAnsi="Arial"/>
          <w:sz w:val="18"/>
          <w:szCs w:val="18"/>
          <w:u w:val="single" w:color="auto"/>
          <w:color w:val="auto"/>
        </w:rPr>
        <w:t>Sections 13.1 and 13.2</w:t>
      </w:r>
      <w:r>
        <w:rPr>
          <w:rFonts w:ascii="Arial" w:cs="Arial" w:eastAsia="Arial" w:hAnsi="Arial"/>
          <w:sz w:val="18"/>
          <w:szCs w:val="18"/>
          <w:color w:val="auto"/>
        </w:rPr>
        <w:t xml:space="preserve">, provided that at least [*****] of the [*****] arbitrators provided in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shall have had, by the time of the actual arbitration, at least [*****] years of experience as a practicing patent attorney registered to practice before the United States Patent and Trademark Office so as to better understand the patent-related issues addressed in the Patent Infringement Dispute.</w:t>
      </w:r>
    </w:p>
    <w:p>
      <w:pPr>
        <w:spacing w:after="0" w:line="18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Equitable Relief</w:t>
      </w:r>
      <w:r>
        <w:rPr>
          <w:rFonts w:ascii="Arial" w:cs="Arial" w:eastAsia="Arial" w:hAnsi="Arial"/>
          <w:sz w:val="17"/>
          <w:szCs w:val="17"/>
          <w:color w:val="auto"/>
        </w:rPr>
        <w:t>. Nothing in this Agreement shall be deemed as preventing the Parties from seeking injunctive relief (or other provisional remedy) from any court having jurisdiction over the Parties and the subject matter of the dispute as necessary to protect either Party’s interests.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 MISCELLANEOUS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Assignment and Delegation</w:t>
      </w:r>
      <w:r>
        <w:rPr>
          <w:rFonts w:ascii="Arial" w:cs="Arial" w:eastAsia="Arial" w:hAnsi="Arial"/>
          <w:sz w:val="17"/>
          <w:szCs w:val="17"/>
          <w:color w:val="auto"/>
        </w:rPr>
        <w:t xml:space="preserve">. Neither this Agreement nor any right or obligation hereunder shall be assignable in whole or in part, whether by operation of law, or otherwise by ACI without the prior written consent of Genentech. Notwithstanding the foregoing, ACI may assign or transfer its rights and obligations under this Agreement to a Person that succeeds to all or substantially all of ACI’s business or assets related to this Agreement whether by sale, merger, operation of law or otherwise. If during the term of the Research Program, ACI makes a permitted assignment to a successor in accordance with the foregoing sentence, Genentech may terminate the Research Program upon notice without terminating this Agreement. This Agreement shall be binding upon and inure to the benefit of and be enforceable by the Parties hereto and their respective successors and permitted assignees. Any transfer or assignment of this Agreement in violation of this </w:t>
      </w:r>
      <w:r>
        <w:rPr>
          <w:rFonts w:ascii="Arial" w:cs="Arial" w:eastAsia="Arial" w:hAnsi="Arial"/>
          <w:sz w:val="17"/>
          <w:szCs w:val="17"/>
          <w:u w:val="single" w:color="auto"/>
          <w:color w:val="auto"/>
        </w:rPr>
        <w:t>Section 14.1</w:t>
      </w:r>
      <w:r>
        <w:rPr>
          <w:rFonts w:ascii="Arial" w:cs="Arial" w:eastAsia="Arial" w:hAnsi="Arial"/>
          <w:sz w:val="17"/>
          <w:szCs w:val="17"/>
          <w:color w:val="auto"/>
        </w:rPr>
        <w:t xml:space="preserve"> shall be null and void.</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Relationship of GNE and Roche</w:t>
      </w:r>
      <w:r>
        <w:rPr>
          <w:rFonts w:ascii="Arial" w:cs="Arial" w:eastAsia="Arial" w:hAnsi="Arial"/>
          <w:sz w:val="18"/>
          <w:szCs w:val="18"/>
          <w:color w:val="auto"/>
        </w:rPr>
        <w:t>. GNE and Roche are jointly referred to in this Agreement as Genentech. Except where either GNE or Roche are expressly referred to herein, (a) each of GNE and Roche shall be entitled to exercise any rights or perform any obligation attributed in this Agreement to Genentech, and each of GNE and Roche shall be jointly liable for any obligation attributed in this Agreement to Genentech. Any communication or act by GNE shall be deemed to have been consented by Roche and any act or communication by Roche shall be deemed to have consented by GNE. Except where either GNE or Roche are expressly referred to herein, ACI shall be entitled to meet its obligation to Genentech by delivering a notice or perform its obligations to either GNE or Roche.</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No later than [*****] days following the public announcement of a proposed Change of Control event, ACI shall provide Genentech with written notice of any such Change of Control. Within [*****] days of receipt of such written notice, Genentech shall have the right to terminate this Agreement in accordance with </w:t>
      </w:r>
      <w:r>
        <w:rPr>
          <w:rFonts w:ascii="Arial" w:cs="Arial" w:eastAsia="Arial" w:hAnsi="Arial"/>
          <w:sz w:val="17"/>
          <w:szCs w:val="17"/>
          <w:u w:val="single" w:color="auto"/>
          <w:color w:val="auto"/>
        </w:rPr>
        <w:t>Section 9.3.2</w:t>
      </w:r>
      <w:r>
        <w:rPr>
          <w:rFonts w:ascii="Arial" w:cs="Arial" w:eastAsia="Arial" w:hAnsi="Arial"/>
          <w:sz w:val="17"/>
          <w:szCs w:val="17"/>
          <w:color w:val="auto"/>
        </w:rPr>
        <w:t xml:space="preserve">. For the purposes of this </w:t>
      </w:r>
      <w:r>
        <w:rPr>
          <w:rFonts w:ascii="Arial" w:cs="Arial" w:eastAsia="Arial" w:hAnsi="Arial"/>
          <w:sz w:val="17"/>
          <w:szCs w:val="17"/>
          <w:u w:val="single" w:color="auto"/>
          <w:color w:val="auto"/>
        </w:rPr>
        <w:t>Section 14.3</w:t>
      </w:r>
      <w:r>
        <w:rPr>
          <w:rFonts w:ascii="Arial" w:cs="Arial" w:eastAsia="Arial" w:hAnsi="Arial"/>
          <w:sz w:val="17"/>
          <w:szCs w:val="17"/>
          <w:color w:val="auto"/>
        </w:rPr>
        <w:t>, “</w:t>
      </w:r>
      <w:r>
        <w:rPr>
          <w:rFonts w:ascii="Arial" w:cs="Arial" w:eastAsia="Arial" w:hAnsi="Arial"/>
          <w:sz w:val="17"/>
          <w:szCs w:val="17"/>
          <w:u w:val="single" w:color="auto"/>
          <w:color w:val="auto"/>
        </w:rPr>
        <w:t>Change in Control</w:t>
      </w:r>
      <w:r>
        <w:rPr>
          <w:rFonts w:ascii="Arial" w:cs="Arial" w:eastAsia="Arial" w:hAnsi="Arial"/>
          <w:sz w:val="17"/>
          <w:szCs w:val="17"/>
          <w:color w:val="auto"/>
        </w:rPr>
        <w:t xml:space="preserve">” of ACI means that during the Term of this Agreement (i) ACI shall have become an Affiliate of a Person that is a Competitor; and/or (ii) any sale, lease, exchange or other transfer (in one transaction or a series of related transactions) of all or substantially all of the assets of ACI shall have occurred to a Competitor; and/or (iii) the stockholders of ACI shall have approved of a plan or proposal for the liquidation or dissolution of the company; and/or (iv) any Competitor (whether individually or as part of a group) shall have become the owner, directly or indirectly, beneficially or of record, of shares representing more than [*****] of the aggregate ordinary voting power represented by the issued and outstanding voting stock of ACI. For the purposes of this </w:t>
      </w:r>
      <w:r>
        <w:rPr>
          <w:rFonts w:ascii="Arial" w:cs="Arial" w:eastAsia="Arial" w:hAnsi="Arial"/>
          <w:sz w:val="17"/>
          <w:szCs w:val="17"/>
          <w:u w:val="single" w:color="auto"/>
          <w:color w:val="auto"/>
        </w:rPr>
        <w:t>Section 14.3</w:t>
      </w:r>
      <w:r>
        <w:rPr>
          <w:rFonts w:ascii="Arial" w:cs="Arial" w:eastAsia="Arial" w:hAnsi="Arial"/>
          <w:sz w:val="17"/>
          <w:szCs w:val="17"/>
          <w:color w:val="auto"/>
        </w:rPr>
        <w:t>, “</w:t>
      </w:r>
      <w:r>
        <w:rPr>
          <w:rFonts w:ascii="Arial" w:cs="Arial" w:eastAsia="Arial" w:hAnsi="Arial"/>
          <w:sz w:val="17"/>
          <w:szCs w:val="17"/>
          <w:u w:val="single" w:color="auto"/>
          <w:color w:val="auto"/>
        </w:rPr>
        <w:t>Competitor</w:t>
      </w:r>
      <w:r>
        <w:rPr>
          <w:rFonts w:ascii="Arial" w:cs="Arial" w:eastAsia="Arial" w:hAnsi="Arial"/>
          <w:sz w:val="17"/>
          <w:szCs w:val="17"/>
          <w:color w:val="auto"/>
        </w:rPr>
        <w:t>” means any Person that conducts any research and/or development, activities, or that manufactures, promotes,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269" w:right="239" w:bottom="1440" w:gutter="0" w:footer="0" w:header="0"/>
        </w:sectPr>
      </w:pPr>
    </w:p>
    <w:bookmarkStart w:id="441" w:name="page442"/>
    <w:bookmarkEnd w:id="4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markets, distributes and/or sells any products for [*****], in the biotechnology or pharmaceutical industry.</w:t>
      </w:r>
    </w:p>
    <w:p>
      <w:pPr>
        <w:spacing w:after="0" w:line="225"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relating to the subject matter hereof, and all prior understandings, representations and warranties between the Parties are superseded by this Agreement, including the Confidential Disclosure Agreement between the Parties dated March 18, 2010, as amended.</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Amendments</w:t>
      </w:r>
      <w:r>
        <w:rPr>
          <w:rFonts w:ascii="Arial" w:cs="Arial" w:eastAsia="Arial" w:hAnsi="Arial"/>
          <w:sz w:val="18"/>
          <w:szCs w:val="18"/>
          <w:color w:val="auto"/>
        </w:rPr>
        <w:t>. Changes and additional provisions to this Agreement shall be binding on the Parties only if mutually agreed upon, laid down in writing and signed effectively by the Parties.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construed and interpreted in accordance with the laws of New York and all rights and remedies shall be governed by such laws without regard to principles of conflicts of law.</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u w:val="single" w:color="auto"/>
          <w:color w:val="auto"/>
        </w:rPr>
        <w:t>Force Majeure</w:t>
      </w:r>
      <w:r>
        <w:rPr>
          <w:rFonts w:ascii="Arial" w:cs="Arial" w:eastAsia="Arial" w:hAnsi="Arial"/>
          <w:sz w:val="17"/>
          <w:szCs w:val="17"/>
          <w:color w:val="auto"/>
        </w:rPr>
        <w:t>. If the performance of this Agreement or any obligations hereunder is prevented, restricted or interfered with by reason of earthquake, fire, flood or other casualty or due to strikes, riot, storms, explosions, acts of God, war, or a similar occurrence or condition beyond the reasonable control of the Parties, the Party so affected shall, upon giving prompt notice to the other Parties, be excused from such performance during such prevention, restriction or interference, and any failure or delay resulting therefrom shall not be considered a breach of this Agreement.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Severability</w:t>
      </w:r>
      <w:r>
        <w:rPr>
          <w:rFonts w:ascii="Arial" w:cs="Arial" w:eastAsia="Arial" w:hAnsi="Arial"/>
          <w:sz w:val="18"/>
          <w:szCs w:val="18"/>
          <w:color w:val="auto"/>
        </w:rPr>
        <w:t>. The Parties do not intend to violate any public policy or statutory common law. However, if any sentence, paragraph, clause or combination of this Agreement is in violation of any law or is found to be otherwise unenforceable, such sentence, paragraph, clause or combination of the same shall be deleted and the remainder of this Agreement shall remain binding; provided that such deletion does not alter the basic purpose and structure of this Agreement.</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relating to this Agreement shall be in writing in the English language and shall be delivered in person or by registered mail, international courier or facsimile transmission (with a confirmation copy forwarded by courier or registered mail). Notices sent by mail shall be sent by first class mail or the equivalent, registered or certified, postage prepaid, and shall be deemed to have been given on the date actually received. Notices sent by international courier shall be sent using a service which provides traceability of packages. Notices shall be sent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269" w:right="239" w:bottom="1440" w:gutter="0" w:footer="0" w:header="0"/>
        </w:sectPr>
      </w:pPr>
    </w:p>
    <w:bookmarkStart w:id="442" w:name="page443"/>
    <w:bookmarkEnd w:id="4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CONFIDENTIAL</w:t>
            </w:r>
          </w:p>
        </w:tc>
        <w:tc>
          <w:tcPr>
            <w:tcW w:w="1680" w:type="dxa"/>
            <w:vAlign w:val="bottom"/>
          </w:tcPr>
          <w:p>
            <w:pPr>
              <w:spacing w:after="0"/>
              <w:rPr>
                <w:sz w:val="20"/>
                <w:szCs w:val="20"/>
                <w:color w:val="auto"/>
              </w:rPr>
            </w:pPr>
          </w:p>
        </w:tc>
        <w:tc>
          <w:tcPr>
            <w:tcW w:w="2820" w:type="dxa"/>
            <w:vAlign w:val="bottom"/>
          </w:tcPr>
          <w:p>
            <w:pPr>
              <w:ind w:left="380"/>
              <w:spacing w:after="0"/>
              <w:rPr>
                <w:sz w:val="20"/>
                <w:szCs w:val="20"/>
                <w:color w:val="auto"/>
              </w:rPr>
            </w:pPr>
            <w:r>
              <w:rPr>
                <w:rFonts w:ascii="Arial" w:cs="Arial" w:eastAsia="Arial" w:hAnsi="Arial"/>
                <w:sz w:val="18"/>
                <w:szCs w:val="18"/>
                <w:color w:val="auto"/>
                <w:w w:val="97"/>
              </w:rPr>
              <w:t>FINAL EXECUTION VERSION</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rPr>
              <w:t>Notices to Genentech:</w:t>
            </w:r>
          </w:p>
        </w:tc>
        <w:tc>
          <w:tcPr>
            <w:tcW w:w="4500" w:type="dxa"/>
            <w:vAlign w:val="bottom"/>
            <w:gridSpan w:val="2"/>
          </w:tcPr>
          <w:p>
            <w:pPr>
              <w:spacing w:after="0"/>
              <w:rPr>
                <w:sz w:val="20"/>
                <w:szCs w:val="20"/>
                <w:color w:val="auto"/>
              </w:rPr>
            </w:pPr>
            <w:r>
              <w:rPr>
                <w:rFonts w:ascii="Arial" w:cs="Arial" w:eastAsia="Arial" w:hAnsi="Arial"/>
                <w:sz w:val="18"/>
                <w:szCs w:val="18"/>
                <w:color w:val="auto"/>
              </w:rPr>
              <w:t>with a required copy to:</w:t>
            </w:r>
          </w:p>
        </w:tc>
      </w:tr>
      <w:tr>
        <w:trPr>
          <w:trHeight w:val="438"/>
        </w:trPr>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Genentech Inc.</w:t>
            </w:r>
          </w:p>
        </w:tc>
        <w:tc>
          <w:tcPr>
            <w:tcW w:w="3240" w:type="dxa"/>
            <w:vAlign w:val="bottom"/>
          </w:tcPr>
          <w:p>
            <w:pPr>
              <w:spacing w:after="0"/>
              <w:rPr>
                <w:sz w:val="24"/>
                <w:szCs w:val="24"/>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Genentech Inc.</w:t>
            </w:r>
          </w:p>
        </w:tc>
        <w:tc>
          <w:tcPr>
            <w:tcW w:w="2820" w:type="dxa"/>
            <w:vAlign w:val="bottom"/>
          </w:tcPr>
          <w:p>
            <w:pPr>
              <w:spacing w:after="0"/>
              <w:rPr>
                <w:sz w:val="24"/>
                <w:szCs w:val="24"/>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1 DNA Way</w:t>
            </w:r>
          </w:p>
        </w:tc>
        <w:tc>
          <w:tcPr>
            <w:tcW w:w="4500" w:type="dxa"/>
            <w:vAlign w:val="bottom"/>
            <w:gridSpan w:val="2"/>
          </w:tcPr>
          <w:p>
            <w:pPr>
              <w:spacing w:after="0"/>
              <w:rPr>
                <w:sz w:val="20"/>
                <w:szCs w:val="20"/>
                <w:color w:val="auto"/>
              </w:rPr>
            </w:pPr>
            <w:r>
              <w:rPr>
                <w:rFonts w:ascii="Arial" w:cs="Arial" w:eastAsia="Arial" w:hAnsi="Arial"/>
                <w:sz w:val="18"/>
                <w:szCs w:val="18"/>
                <w:color w:val="auto"/>
              </w:rPr>
              <w:t>1 DNA Way</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South San Francisco, CA 94080, USA</w:t>
            </w:r>
          </w:p>
        </w:tc>
        <w:tc>
          <w:tcPr>
            <w:tcW w:w="4500" w:type="dxa"/>
            <w:vAlign w:val="bottom"/>
            <w:gridSpan w:val="2"/>
          </w:tcPr>
          <w:p>
            <w:pPr>
              <w:spacing w:after="0"/>
              <w:rPr>
                <w:sz w:val="20"/>
                <w:szCs w:val="20"/>
                <w:color w:val="auto"/>
              </w:rPr>
            </w:pPr>
            <w:r>
              <w:rPr>
                <w:rFonts w:ascii="Arial" w:cs="Arial" w:eastAsia="Arial" w:hAnsi="Arial"/>
                <w:sz w:val="18"/>
                <w:szCs w:val="18"/>
                <w:color w:val="auto"/>
              </w:rPr>
              <w:t>South San Francisco, CA 94080, USA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Attention: Corporate Secretary</w:t>
            </w:r>
          </w:p>
        </w:tc>
        <w:tc>
          <w:tcPr>
            <w:tcW w:w="4500" w:type="dxa"/>
            <w:vAlign w:val="bottom"/>
            <w:gridSpan w:val="2"/>
          </w:tcPr>
          <w:p>
            <w:pPr>
              <w:spacing w:after="0"/>
              <w:rPr>
                <w:sz w:val="20"/>
                <w:szCs w:val="20"/>
                <w:color w:val="auto"/>
              </w:rPr>
            </w:pPr>
            <w:r>
              <w:rPr>
                <w:rFonts w:ascii="Arial" w:cs="Arial" w:eastAsia="Arial" w:hAnsi="Arial"/>
                <w:sz w:val="18"/>
                <w:szCs w:val="18"/>
                <w:color w:val="auto"/>
              </w:rPr>
              <w:t>Attention: Vice President, Genentech Partnering</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Telephone: [*****]</w:t>
            </w:r>
          </w:p>
        </w:tc>
        <w:tc>
          <w:tcPr>
            <w:tcW w:w="4500" w:type="dxa"/>
            <w:vAlign w:val="bottom"/>
            <w:gridSpan w:val="2"/>
          </w:tcPr>
          <w:p>
            <w:pPr>
              <w:spacing w:after="0"/>
              <w:rPr>
                <w:sz w:val="20"/>
                <w:szCs w:val="20"/>
                <w:color w:val="auto"/>
              </w:rPr>
            </w:pPr>
            <w:r>
              <w:rPr>
                <w:rFonts w:ascii="Arial" w:cs="Arial" w:eastAsia="Arial" w:hAnsi="Arial"/>
                <w:sz w:val="18"/>
                <w:szCs w:val="18"/>
                <w:color w:val="auto"/>
              </w:rPr>
              <w:t>Telephone: [*****]</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Facsimile: [*****]</w:t>
            </w:r>
          </w:p>
        </w:tc>
        <w:tc>
          <w:tcPr>
            <w:tcW w:w="4500" w:type="dxa"/>
            <w:vAlign w:val="bottom"/>
            <w:gridSpan w:val="2"/>
          </w:tcPr>
          <w:p>
            <w:pPr>
              <w:spacing w:after="0"/>
              <w:rPr>
                <w:sz w:val="20"/>
                <w:szCs w:val="20"/>
                <w:color w:val="auto"/>
              </w:rPr>
            </w:pPr>
            <w:r>
              <w:rPr>
                <w:rFonts w:ascii="Arial" w:cs="Arial" w:eastAsia="Arial" w:hAnsi="Arial"/>
                <w:sz w:val="18"/>
                <w:szCs w:val="18"/>
                <w:color w:val="auto"/>
              </w:rPr>
              <w:t>Facsimile: [*****]</w:t>
            </w:r>
          </w:p>
        </w:tc>
      </w:tr>
      <w:tr>
        <w:trPr>
          <w:trHeight w:val="446"/>
        </w:trPr>
        <w:tc>
          <w:tcPr>
            <w:tcW w:w="1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and</w:t>
            </w:r>
          </w:p>
        </w:tc>
      </w:tr>
      <w:tr>
        <w:trPr>
          <w:trHeight w:val="418"/>
        </w:trPr>
        <w:tc>
          <w:tcPr>
            <w:tcW w:w="1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 Hoffmann-La Roche Ltd</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Grenzacherstrasse 124</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4070 Basel</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Attn: Corporate Legal Department</w:t>
            </w:r>
          </w:p>
        </w:tc>
      </w:tr>
      <w:tr>
        <w:trPr>
          <w:trHeight w:val="216"/>
        </w:trPr>
        <w:tc>
          <w:tcPr>
            <w:tcW w:w="1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Telephone: [*****]</w:t>
            </w:r>
          </w:p>
        </w:tc>
      </w:tr>
      <w:tr>
        <w:trPr>
          <w:trHeight w:val="230"/>
        </w:trPr>
        <w:tc>
          <w:tcPr>
            <w:tcW w:w="1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Facsimile: [*****]</w:t>
            </w:r>
          </w:p>
        </w:tc>
      </w:tr>
      <w:tr>
        <w:trPr>
          <w:trHeight w:val="405"/>
        </w:trPr>
        <w:tc>
          <w:tcPr>
            <w:tcW w:w="4800" w:type="dxa"/>
            <w:vAlign w:val="bottom"/>
            <w:gridSpan w:val="2"/>
          </w:tcPr>
          <w:p>
            <w:pPr>
              <w:spacing w:after="0"/>
              <w:rPr>
                <w:sz w:val="20"/>
                <w:szCs w:val="20"/>
                <w:color w:val="auto"/>
              </w:rPr>
            </w:pPr>
            <w:r>
              <w:rPr>
                <w:rFonts w:ascii="Arial" w:cs="Arial" w:eastAsia="Arial" w:hAnsi="Arial"/>
                <w:sz w:val="18"/>
                <w:szCs w:val="18"/>
                <w:color w:val="auto"/>
              </w:rPr>
              <w:t>Notices to ACI:</w:t>
            </w:r>
          </w:p>
        </w:tc>
        <w:tc>
          <w:tcPr>
            <w:tcW w:w="4500" w:type="dxa"/>
            <w:vAlign w:val="bottom"/>
            <w:gridSpan w:val="2"/>
          </w:tcPr>
          <w:p>
            <w:pPr>
              <w:spacing w:after="0"/>
              <w:rPr>
                <w:sz w:val="20"/>
                <w:szCs w:val="20"/>
                <w:color w:val="auto"/>
              </w:rPr>
            </w:pPr>
            <w:r>
              <w:rPr>
                <w:rFonts w:ascii="Arial" w:cs="Arial" w:eastAsia="Arial" w:hAnsi="Arial"/>
                <w:sz w:val="18"/>
                <w:szCs w:val="18"/>
                <w:color w:val="auto"/>
              </w:rPr>
              <w:t>with a required copy to:</w:t>
            </w:r>
          </w:p>
        </w:tc>
      </w:tr>
      <w:tr>
        <w:trPr>
          <w:trHeight w:val="20"/>
        </w:trPr>
        <w:tc>
          <w:tcPr>
            <w:tcW w:w="4800" w:type="dxa"/>
            <w:vAlign w:val="bottom"/>
            <w:gridSpan w:val="2"/>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438"/>
        </w:trPr>
        <w:tc>
          <w:tcPr>
            <w:tcW w:w="4800" w:type="dxa"/>
            <w:vAlign w:val="bottom"/>
            <w:gridSpan w:val="2"/>
          </w:tcPr>
          <w:p>
            <w:pPr>
              <w:spacing w:after="0"/>
              <w:rPr>
                <w:sz w:val="20"/>
                <w:szCs w:val="20"/>
                <w:color w:val="auto"/>
              </w:rPr>
            </w:pPr>
            <w:r>
              <w:rPr>
                <w:rFonts w:ascii="Arial" w:cs="Arial" w:eastAsia="Arial" w:hAnsi="Arial"/>
                <w:sz w:val="18"/>
                <w:szCs w:val="18"/>
                <w:color w:val="auto"/>
              </w:rPr>
              <w:t>AC Immune</w:t>
            </w:r>
          </w:p>
        </w:tc>
        <w:tc>
          <w:tcPr>
            <w:tcW w:w="4500" w:type="dxa"/>
            <w:vAlign w:val="bottom"/>
            <w:gridSpan w:val="2"/>
          </w:tcPr>
          <w:p>
            <w:pPr>
              <w:spacing w:after="0"/>
              <w:rPr>
                <w:sz w:val="20"/>
                <w:szCs w:val="20"/>
                <w:color w:val="auto"/>
              </w:rPr>
            </w:pPr>
            <w:r>
              <w:rPr>
                <w:rFonts w:ascii="Arial" w:cs="Arial" w:eastAsia="Arial" w:hAnsi="Arial"/>
                <w:sz w:val="18"/>
                <w:szCs w:val="18"/>
                <w:color w:val="auto"/>
              </w:rPr>
              <w:t>VISCHER Ltd. Attorneys at law</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Pare scientifique EPFL, PSE-B,</w:t>
            </w:r>
          </w:p>
        </w:tc>
        <w:tc>
          <w:tcPr>
            <w:tcW w:w="4500" w:type="dxa"/>
            <w:vAlign w:val="bottom"/>
            <w:gridSpan w:val="2"/>
          </w:tcPr>
          <w:p>
            <w:pPr>
              <w:spacing w:after="0"/>
              <w:rPr>
                <w:sz w:val="20"/>
                <w:szCs w:val="20"/>
                <w:color w:val="auto"/>
              </w:rPr>
            </w:pPr>
            <w:r>
              <w:rPr>
                <w:rFonts w:ascii="Arial" w:cs="Arial" w:eastAsia="Arial" w:hAnsi="Arial"/>
                <w:sz w:val="18"/>
                <w:szCs w:val="18"/>
                <w:color w:val="auto"/>
              </w:rPr>
              <w:t>Aeschenvorstadt 4</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CH-1015 Lausanne, Switzerland</w:t>
            </w:r>
          </w:p>
        </w:tc>
        <w:tc>
          <w:tcPr>
            <w:tcW w:w="4500" w:type="dxa"/>
            <w:vAlign w:val="bottom"/>
            <w:gridSpan w:val="2"/>
          </w:tcPr>
          <w:p>
            <w:pPr>
              <w:spacing w:after="0"/>
              <w:rPr>
                <w:sz w:val="20"/>
                <w:szCs w:val="20"/>
                <w:color w:val="auto"/>
              </w:rPr>
            </w:pPr>
            <w:r>
              <w:rPr>
                <w:rFonts w:ascii="Arial" w:cs="Arial" w:eastAsia="Arial" w:hAnsi="Arial"/>
                <w:sz w:val="18"/>
                <w:szCs w:val="18"/>
                <w:color w:val="auto"/>
              </w:rPr>
              <w:t>CH-4051 Basel, Switzerland</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Attention: CEO</w:t>
            </w:r>
          </w:p>
        </w:tc>
        <w:tc>
          <w:tcPr>
            <w:tcW w:w="4500" w:type="dxa"/>
            <w:vAlign w:val="bottom"/>
            <w:gridSpan w:val="2"/>
          </w:tcPr>
          <w:p>
            <w:pPr>
              <w:spacing w:after="0"/>
              <w:rPr>
                <w:sz w:val="20"/>
                <w:szCs w:val="20"/>
                <w:color w:val="auto"/>
              </w:rPr>
            </w:pPr>
            <w:r>
              <w:rPr>
                <w:rFonts w:ascii="Arial" w:cs="Arial" w:eastAsia="Arial" w:hAnsi="Arial"/>
                <w:sz w:val="18"/>
                <w:szCs w:val="18"/>
                <w:color w:val="auto"/>
              </w:rPr>
              <w:t>Attention: Dr. Matthias Staehelin</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Telephone: [*****]</w:t>
            </w:r>
          </w:p>
        </w:tc>
        <w:tc>
          <w:tcPr>
            <w:tcW w:w="4500" w:type="dxa"/>
            <w:vAlign w:val="bottom"/>
            <w:gridSpan w:val="2"/>
          </w:tcPr>
          <w:p>
            <w:pPr>
              <w:spacing w:after="0"/>
              <w:rPr>
                <w:sz w:val="20"/>
                <w:szCs w:val="20"/>
                <w:color w:val="auto"/>
              </w:rPr>
            </w:pPr>
            <w:r>
              <w:rPr>
                <w:rFonts w:ascii="Arial" w:cs="Arial" w:eastAsia="Arial" w:hAnsi="Arial"/>
                <w:sz w:val="18"/>
                <w:szCs w:val="18"/>
                <w:color w:val="auto"/>
              </w:rPr>
              <w:t>Telephone: [*****]</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Facsimile: [*****]</w:t>
            </w:r>
          </w:p>
        </w:tc>
        <w:tc>
          <w:tcPr>
            <w:tcW w:w="4500" w:type="dxa"/>
            <w:vAlign w:val="bottom"/>
            <w:gridSpan w:val="2"/>
          </w:tcPr>
          <w:p>
            <w:pPr>
              <w:spacing w:after="0"/>
              <w:rPr>
                <w:sz w:val="20"/>
                <w:szCs w:val="20"/>
                <w:color w:val="auto"/>
              </w:rPr>
            </w:pPr>
            <w:r>
              <w:rPr>
                <w:rFonts w:ascii="Arial" w:cs="Arial" w:eastAsia="Arial" w:hAnsi="Arial"/>
                <w:sz w:val="18"/>
                <w:szCs w:val="18"/>
                <w:color w:val="auto"/>
              </w:rPr>
              <w:t>Facsimile: [*****]</w:t>
            </w: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Either Party may change its address for notices or facsimile number at any time by sending written notice by courier or registered mail to the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Nothing herein shall create any association, partnership, joint venture, fiduciary duty or the relation of principal and agent between the Parties hereto, it being understood that each Party is acting as an independent contractor, and neither Party shall have the authority to bind the other or the other’s representatives in any way.</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Waiver</w:t>
      </w:r>
      <w:r>
        <w:rPr>
          <w:rFonts w:ascii="Arial" w:cs="Arial" w:eastAsia="Arial" w:hAnsi="Arial"/>
          <w:sz w:val="18"/>
          <w:szCs w:val="18"/>
          <w:color w:val="auto"/>
        </w:rPr>
        <w:t>. No delay on the part of either Party hereto in exercising any power or right hereunder shall operate as a waiver thereof, nor shall any single or partial exercise of any power or right hereunder preclude other or further exercise thereof or the exercise of any other power or right. No waiver of this Agreement or any provision hereof shall be enforceable against any Party hereto unless in writing, signed by the Party against whom such waiver is claimed, and shall be limited solely to the one event.</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Interpretation</w:t>
      </w:r>
      <w:r>
        <w:rPr>
          <w:rFonts w:ascii="Arial" w:cs="Arial" w:eastAsia="Arial" w:hAnsi="Arial"/>
          <w:sz w:val="18"/>
          <w:szCs w:val="18"/>
          <w:color w:val="auto"/>
        </w:rPr>
        <w:t>. This Agreement has been prepared jointly and no rule of strict construction shall be applied against either Party. In this Agreement, the singular shall include the plural and vice versa and the word “including” shall be deemed to be followed by the phrase “without limitation.” The section headings contained in this Agreement are inserted for convenience only and shall not affect in any way the meaning or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270" w:right="239" w:bottom="1440" w:gutter="0" w:footer="0" w:header="0"/>
        </w:sectPr>
      </w:pPr>
    </w:p>
    <w:bookmarkStart w:id="443" w:name="page444"/>
    <w:bookmarkEnd w:id="4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7" w:lineRule="exact"/>
        <w:rPr>
          <w:sz w:val="20"/>
          <w:szCs w:val="20"/>
          <w:color w:val="auto"/>
        </w:rPr>
      </w:pPr>
    </w:p>
    <w:p>
      <w:pPr>
        <w:ind w:left="360"/>
        <w:spacing w:after="0"/>
        <w:tabs>
          <w:tab w:leader="none" w:pos="68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FINAL EXECUTION VERSION</w:t>
      </w:r>
    </w:p>
    <w:p>
      <w:pPr>
        <w:spacing w:after="0" w:line="158"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together shall constitute one and the same Agreement. For purposes of executing this agreement, a facsimile copy of this Agreement, including the signature pages, will be deemed an original.</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u w:val="single" w:color="auto"/>
          <w:color w:val="auto"/>
        </w:rPr>
        <w:t>License Survival During Bankruptcy</w:t>
      </w:r>
      <w:r>
        <w:rPr>
          <w:rFonts w:ascii="Arial" w:cs="Arial" w:eastAsia="Arial" w:hAnsi="Arial"/>
          <w:sz w:val="16"/>
          <w:szCs w:val="16"/>
          <w:color w:val="auto"/>
        </w:rPr>
        <w:t>. All rights and licenses granted under or pursuant to this Agreement are, and shall otherwise be deemed to be, for purposes of Paragraph 365(n) of the U.S. Bankruptcy Code, licenses of rights to “intellectual property” as defined under Paragraph 101(35A) of the U.S. Bankruptcy Code. The Parties agree that Genentech, as a licensee of such rights under this Agreement, shall retain and may fully exercise all of its rights and elections under the U.S. Bankruptcy Code. The Parties further agree that, in the event of the commencement of a bankruptcy proceeding by or against ACI, including under the U.S. Bankruptcy Code, Genentech shall be entitled to a complete duplicate of (or complete access to, as appropriate) any such intellectual property and all embodiments of such intellectual property, and the same, if not already in Genentech’s possession, shall be promptly delivered to Genentech upon any such commencement of a bankruptcy proceeding upon written request therefor by Genentech.</w:t>
      </w:r>
    </w:p>
    <w:p>
      <w:pPr>
        <w:spacing w:after="0" w:line="167" w:lineRule="exact"/>
        <w:rPr>
          <w:sz w:val="20"/>
          <w:szCs w:val="20"/>
          <w:color w:val="auto"/>
        </w:rPr>
      </w:pPr>
    </w:p>
    <w:p>
      <w:pPr>
        <w:ind w:left="4740"/>
        <w:spacing w:after="0"/>
        <w:tabs>
          <w:tab w:leader="none" w:pos="5180" w:val="left"/>
          <w:tab w:leader="none" w:pos="5620" w:val="left"/>
          <w:tab w:leader="none" w:pos="612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Research Collaboration and License Agreement (Tau)</w:t>
            </w:r>
          </w:p>
        </w:tc>
        <w:tc>
          <w:tcPr>
            <w:tcW w:w="386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270" w:right="239" w:bottom="1440" w:gutter="0" w:footer="0" w:header="0"/>
        </w:sectPr>
      </w:pPr>
    </w:p>
    <w:bookmarkStart w:id="444" w:name="page445"/>
    <w:bookmarkEnd w:id="4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by their duly authorized representative.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7500" w:type="dxa"/>
            <w:vAlign w:val="bottom"/>
            <w:gridSpan w:val="2"/>
          </w:tcPr>
          <w:p>
            <w:pPr>
              <w:ind w:left="3620"/>
              <w:spacing w:after="0"/>
              <w:rPr>
                <w:sz w:val="20"/>
                <w:szCs w:val="20"/>
                <w:color w:val="auto"/>
              </w:rPr>
            </w:pPr>
            <w:r>
              <w:rPr>
                <w:rFonts w:ascii="Arial" w:cs="Arial" w:eastAsia="Arial" w:hAnsi="Arial"/>
                <w:sz w:val="18"/>
                <w:szCs w:val="18"/>
                <w:b w:val="1"/>
                <w:bCs w:val="1"/>
                <w:color w:val="auto"/>
              </w:rPr>
              <w:t>Genentech,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Pfeifer</w:t>
            </w:r>
          </w:p>
        </w:tc>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Krognes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320" w:type="dxa"/>
            <w:vAlign w:val="bottom"/>
          </w:tcPr>
          <w:p>
            <w:pPr>
              <w:spacing w:after="0"/>
              <w:rPr>
                <w:sz w:val="20"/>
                <w:szCs w:val="20"/>
                <w:color w:val="auto"/>
              </w:rPr>
            </w:pPr>
            <w:r>
              <w:rPr>
                <w:rFonts w:ascii="Arial" w:cs="Arial" w:eastAsia="Arial" w:hAnsi="Arial"/>
                <w:sz w:val="18"/>
                <w:szCs w:val="18"/>
                <w:color w:val="auto"/>
              </w:rPr>
              <w:t>Andrea Pfeifer</w:t>
            </w:r>
          </w:p>
        </w:tc>
        <w:tc>
          <w:tcPr>
            <w:tcW w:w="4200" w:type="dxa"/>
            <w:vAlign w:val="bottom"/>
          </w:tcPr>
          <w:p>
            <w:pPr>
              <w:ind w:left="3620"/>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Steve Krognes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r>
              <w:rPr>
                <w:rFonts w:ascii="Arial" w:cs="Arial" w:eastAsia="Arial" w:hAnsi="Arial"/>
                <w:sz w:val="18"/>
                <w:szCs w:val="18"/>
                <w:color w:val="auto"/>
              </w:rPr>
              <w:t>CEO</w:t>
            </w:r>
          </w:p>
        </w:tc>
        <w:tc>
          <w:tcPr>
            <w:tcW w:w="4200" w:type="dxa"/>
            <w:vAlign w:val="bottom"/>
          </w:tcPr>
          <w:p>
            <w:pPr>
              <w:ind w:left="362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CFO</w:t>
            </w:r>
          </w:p>
        </w:tc>
      </w:tr>
      <w:tr>
        <w:trPr>
          <w:trHeight w:val="432"/>
        </w:trPr>
        <w:tc>
          <w:tcPr>
            <w:tcW w:w="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500" w:type="dxa"/>
            <w:vAlign w:val="bottom"/>
            <w:gridSpan w:val="2"/>
          </w:tcPr>
          <w:p>
            <w:pPr>
              <w:ind w:left="3620"/>
              <w:spacing w:after="0"/>
              <w:rPr>
                <w:sz w:val="20"/>
                <w:szCs w:val="20"/>
                <w:color w:val="auto"/>
              </w:rPr>
            </w:pPr>
            <w:r>
              <w:rPr>
                <w:rFonts w:ascii="Arial" w:cs="Arial" w:eastAsia="Arial" w:hAnsi="Arial"/>
                <w:sz w:val="18"/>
                <w:szCs w:val="18"/>
                <w:b w:val="1"/>
                <w:bCs w:val="1"/>
                <w:color w:val="auto"/>
              </w:rPr>
              <w:t>F. Hoffmann-La Roche Ltd</w:t>
            </w:r>
          </w:p>
        </w:tc>
      </w:tr>
      <w:tr>
        <w:trPr>
          <w:trHeight w:val="432"/>
        </w:trPr>
        <w:tc>
          <w:tcPr>
            <w:tcW w:w="600" w:type="dxa"/>
            <w:vAlign w:val="bottom"/>
          </w:tcPr>
          <w:p>
            <w:pPr>
              <w:spacing w:after="0"/>
              <w:rPr>
                <w:sz w:val="24"/>
                <w:szCs w:val="24"/>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Muhs</w:t>
            </w:r>
          </w:p>
        </w:tc>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Sophie Kornowski-Bonne</w:t>
            </w:r>
          </w:p>
        </w:tc>
      </w:tr>
      <w:tr>
        <w:trPr>
          <w:trHeight w:val="209"/>
        </w:trPr>
        <w:tc>
          <w:tcPr>
            <w:tcW w:w="6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 Muhs</w:t>
            </w:r>
          </w:p>
        </w:tc>
        <w:tc>
          <w:tcPr>
            <w:tcW w:w="4200" w:type="dxa"/>
            <w:vAlign w:val="bottom"/>
          </w:tcPr>
          <w:p>
            <w:pPr>
              <w:ind w:left="3620"/>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Sophie Kornowski-Bonne</w:t>
            </w:r>
          </w:p>
        </w:tc>
      </w:tr>
      <w:tr>
        <w:trPr>
          <w:trHeight w:val="230"/>
        </w:trPr>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CSO</w:t>
            </w:r>
          </w:p>
        </w:tc>
        <w:tc>
          <w:tcPr>
            <w:tcW w:w="4200" w:type="dxa"/>
            <w:vAlign w:val="bottom"/>
          </w:tcPr>
          <w:p>
            <w:pPr>
              <w:ind w:left="362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Global Head Roche Partnering</w:t>
            </w:r>
          </w:p>
        </w:tc>
      </w:tr>
      <w:tr>
        <w:trPr>
          <w:trHeight w:val="432"/>
        </w:trPr>
        <w:tc>
          <w:tcPr>
            <w:tcW w:w="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Arnold</w:t>
            </w:r>
          </w:p>
        </w:tc>
      </w:tr>
      <w:tr>
        <w:trPr>
          <w:trHeight w:val="209"/>
        </w:trPr>
        <w:tc>
          <w:tcPr>
            <w:tcW w:w="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00" w:type="dxa"/>
            <w:vAlign w:val="bottom"/>
          </w:tcPr>
          <w:p>
            <w:pPr>
              <w:ind w:left="3620"/>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Stefan Arnold</w:t>
            </w:r>
          </w:p>
        </w:tc>
      </w:tr>
      <w:tr>
        <w:trPr>
          <w:trHeight w:val="230"/>
        </w:trPr>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0" w:type="dxa"/>
            <w:vAlign w:val="bottom"/>
          </w:tcPr>
          <w:p>
            <w:pPr>
              <w:ind w:left="3620"/>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Head Legal Pharma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(Tau)</w:t>
      </w:r>
    </w:p>
    <w:p>
      <w:pPr>
        <w:sectPr>
          <w:pgSz w:w="11900" w:h="16838" w:orient="portrait"/>
          <w:cols w:equalWidth="0" w:num="1">
            <w:col w:w="11420"/>
          </w:cols>
          <w:pgMar w:left="240" w:top="270" w:right="239" w:bottom="1440" w:gutter="0" w:footer="0" w:header="0"/>
        </w:sectPr>
      </w:pPr>
    </w:p>
    <w:bookmarkStart w:id="445" w:name="page446"/>
    <w:bookmarkEnd w:id="4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ACI Patents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Applicant</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Application No</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Patent</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Application date</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lapsed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r>
      <w:tr>
        <w:trPr>
          <w:trHeight w:val="189"/>
        </w:trPr>
        <w:tc>
          <w:tcPr>
            <w:tcW w:w="6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6"/>
                <w:szCs w:val="16"/>
                <w:color w:val="auto"/>
              </w:rPr>
            </w:pPr>
          </w:p>
        </w:tc>
        <w:tc>
          <w:tcPr>
            <w:tcW w:w="17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w:t>
            </w:r>
          </w:p>
        </w:tc>
      </w:tr>
    </w:tbl>
    <w:p>
      <w:pPr>
        <w:ind w:left="10120"/>
        <w:spacing w:after="0"/>
        <w:rPr>
          <w:sz w:val="20"/>
          <w:szCs w:val="20"/>
          <w:color w:val="auto"/>
        </w:rPr>
      </w:pPr>
      <w:r>
        <w:rPr>
          <w:rFonts w:ascii="Arial" w:cs="Arial" w:eastAsia="Arial" w:hAnsi="Arial"/>
          <w:sz w:val="18"/>
          <w:szCs w:val="18"/>
          <w:color w:val="auto"/>
        </w:rPr>
        <w:t>Tau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(Tau)</w:t>
      </w:r>
    </w:p>
    <w:p>
      <w:pPr>
        <w:sectPr>
          <w:pgSz w:w="11900" w:h="16838" w:orient="portrait"/>
          <w:cols w:equalWidth="0" w:num="1">
            <w:col w:w="11420"/>
          </w:cols>
          <w:pgMar w:left="240" w:top="269" w:right="239" w:bottom="1440" w:gutter="0" w:footer="0" w:header="0"/>
        </w:sectPr>
      </w:pPr>
    </w:p>
    <w:bookmarkStart w:id="446" w:name="page447"/>
    <w:bookmarkEnd w:id="446"/>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Research Plan</w:t>
      </w: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 Immune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Tau</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pTau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Tau [*****] Tau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(Tau)</w:t>
      </w:r>
    </w:p>
    <w:p>
      <w:pPr>
        <w:sectPr>
          <w:pgSz w:w="11900" w:h="16838" w:orient="portrait"/>
          <w:cols w:equalWidth="0" w:num="1">
            <w:col w:w="10219"/>
          </w:cols>
          <w:pgMar w:left="240" w:top="270" w:right="1440" w:bottom="1440" w:gutter="0" w:footer="0" w:header="0"/>
        </w:sectPr>
      </w:pPr>
    </w:p>
    <w:bookmarkStart w:id="447" w:name="page448"/>
    <w:bookmarkEnd w:id="447"/>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pTau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ptau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tau [*****]</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tau [*****]</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pTau)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Research Collaboration and License Agreement (Tau)</w:t>
      </w:r>
    </w:p>
    <w:p>
      <w:pPr>
        <w:sectPr>
          <w:pgSz w:w="11900" w:h="16838" w:orient="portrait"/>
          <w:cols w:equalWidth="0" w:num="1">
            <w:col w:w="10219"/>
          </w:cols>
          <w:pgMar w:left="240" w:top="270" w:right="1440" w:bottom="1440" w:gutter="0" w:footer="0" w:header="0"/>
        </w:sectPr>
      </w:pPr>
    </w:p>
    <w:bookmarkStart w:id="448" w:name="page449"/>
    <w:bookmarkEnd w:id="4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Antigens for Discovery Antibodies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5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Vaccine</w:t>
            </w:r>
          </w:p>
        </w:tc>
        <w:tc>
          <w:tcPr>
            <w:tcW w:w="3940" w:type="dxa"/>
            <w:vAlign w:val="bottom"/>
            <w:gridSpan w:val="2"/>
          </w:tcPr>
          <w:p>
            <w:pPr>
              <w:jc w:val="center"/>
              <w:ind w:left="514"/>
              <w:spacing w:after="0"/>
              <w:rPr>
                <w:sz w:val="20"/>
                <w:szCs w:val="20"/>
                <w:color w:val="auto"/>
              </w:rPr>
            </w:pPr>
            <w:r>
              <w:rPr>
                <w:rFonts w:ascii="Arial" w:cs="Arial" w:eastAsia="Arial" w:hAnsi="Arial"/>
                <w:sz w:val="14"/>
                <w:szCs w:val="14"/>
                <w:color w:val="auto"/>
                <w:w w:val="94"/>
              </w:rPr>
              <w:t>Antigens*: Sequence*’*, length (n), sequence ID number</w:t>
            </w:r>
          </w:p>
        </w:tc>
        <w:tc>
          <w:tcPr>
            <w:tcW w:w="1360" w:type="dxa"/>
            <w:vAlign w:val="bottom"/>
          </w:tcPr>
          <w:p>
            <w:pPr>
              <w:spacing w:after="0"/>
              <w:rPr>
                <w:sz w:val="14"/>
                <w:szCs w:val="14"/>
                <w:color w:val="auto"/>
              </w:rPr>
            </w:pPr>
          </w:p>
        </w:tc>
      </w:tr>
      <w:tr>
        <w:trPr>
          <w:trHeight w:val="195"/>
        </w:trPr>
        <w:tc>
          <w:tcPr>
            <w:tcW w:w="1380" w:type="dxa"/>
            <w:vAlign w:val="bottom"/>
          </w:tcPr>
          <w:p>
            <w:pPr>
              <w:spacing w:after="0"/>
              <w:rPr>
                <w:sz w:val="16"/>
                <w:szCs w:val="16"/>
                <w:color w:val="auto"/>
              </w:rPr>
            </w:pPr>
          </w:p>
        </w:tc>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340" w:type="dxa"/>
            <w:vAlign w:val="bottom"/>
          </w:tcPr>
          <w:p>
            <w:pPr>
              <w:spacing w:after="0" w:line="195" w:lineRule="exact"/>
              <w:rPr>
                <w:sz w:val="20"/>
                <w:szCs w:val="20"/>
                <w:color w:val="auto"/>
              </w:rPr>
            </w:pPr>
            <w:r>
              <w:rPr>
                <w:rFonts w:ascii="Arial" w:cs="Arial" w:eastAsia="Arial" w:hAnsi="Arial"/>
                <w:sz w:val="18"/>
                <w:szCs w:val="18"/>
                <w:color w:val="auto"/>
              </w:rPr>
              <w:t>Tau</w:t>
            </w:r>
          </w:p>
        </w:tc>
        <w:tc>
          <w:tcPr>
            <w:tcW w:w="580" w:type="dxa"/>
            <w:vAlign w:val="bottom"/>
          </w:tcPr>
          <w:p>
            <w:pPr>
              <w:spacing w:after="0"/>
              <w:rPr>
                <w:sz w:val="16"/>
                <w:szCs w:val="16"/>
                <w:color w:val="auto"/>
              </w:rPr>
            </w:pPr>
          </w:p>
        </w:tc>
        <w:tc>
          <w:tcPr>
            <w:tcW w:w="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360" w:type="dxa"/>
            <w:vAlign w:val="bottom"/>
          </w:tcPr>
          <w:p>
            <w:pPr>
              <w:spacing w:after="0"/>
              <w:rPr>
                <w:sz w:val="16"/>
                <w:szCs w:val="16"/>
                <w:color w:val="auto"/>
              </w:rPr>
            </w:pPr>
          </w:p>
        </w:tc>
      </w:tr>
      <w:tr>
        <w:trPr>
          <w:trHeight w:val="216"/>
        </w:trPr>
        <w:tc>
          <w:tcPr>
            <w:tcW w:w="138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w:t>
            </w: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color w:val="auto"/>
              </w:rPr>
              <w:t>[*****]</w:t>
            </w:r>
          </w:p>
        </w:tc>
        <w:tc>
          <w:tcPr>
            <w:tcW w:w="3940" w:type="dxa"/>
            <w:vAlign w:val="bottom"/>
            <w:gridSpan w:val="2"/>
          </w:tcPr>
          <w:p>
            <w:pPr>
              <w:jc w:val="center"/>
              <w:ind w:left="534"/>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w:t>
            </w: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color w:val="auto"/>
              </w:rPr>
              <w:t>[*****]</w:t>
            </w:r>
          </w:p>
        </w:tc>
        <w:tc>
          <w:tcPr>
            <w:tcW w:w="3940" w:type="dxa"/>
            <w:vAlign w:val="bottom"/>
            <w:gridSpan w:val="2"/>
          </w:tcPr>
          <w:p>
            <w:pPr>
              <w:jc w:val="center"/>
              <w:ind w:left="534"/>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w:t>
            </w: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color w:val="auto"/>
              </w:rPr>
              <w:t>[*****]</w:t>
            </w:r>
          </w:p>
        </w:tc>
        <w:tc>
          <w:tcPr>
            <w:tcW w:w="3940" w:type="dxa"/>
            <w:vAlign w:val="bottom"/>
            <w:gridSpan w:val="2"/>
          </w:tcPr>
          <w:p>
            <w:pPr>
              <w:jc w:val="center"/>
              <w:ind w:left="534"/>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r>
      <w:tr>
        <w:trPr>
          <w:trHeight w:val="459"/>
        </w:trPr>
        <w:tc>
          <w:tcPr>
            <w:tcW w:w="138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 Tau (Tau441). [*****]</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400" w:type="dxa"/>
            <w:vAlign w:val="bottom"/>
            <w:tcBorders>
              <w:bottom w:val="single" w:sz="8" w:color="auto"/>
            </w:tcBorders>
            <w:gridSpan w:val="3"/>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50"/>
        </w:trPr>
        <w:tc>
          <w:tcPr>
            <w:tcW w:w="4400" w:type="dxa"/>
            <w:vAlign w:val="bottom"/>
            <w:gridSpan w:val="3"/>
          </w:tcPr>
          <w:p>
            <w:pPr>
              <w:spacing w:after="0"/>
              <w:rPr>
                <w:sz w:val="20"/>
                <w:szCs w:val="20"/>
                <w:color w:val="auto"/>
              </w:rPr>
            </w:pPr>
            <w:r>
              <w:rPr>
                <w:rFonts w:ascii="Arial" w:cs="Arial" w:eastAsia="Arial" w:hAnsi="Arial"/>
                <w:sz w:val="18"/>
                <w:szCs w:val="18"/>
                <w:color w:val="auto"/>
              </w:rPr>
              <w:t>Research Collaboration and License Agreement (Tau)</w:t>
            </w: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ectPr>
          <w:pgSz w:w="11900" w:h="16838" w:orient="portrait"/>
          <w:cols w:equalWidth="0" w:num="1">
            <w:col w:w="11420"/>
          </w:cols>
          <w:pgMar w:left="240" w:top="270" w:right="239" w:bottom="1440" w:gutter="0" w:footer="0" w:header="0"/>
        </w:sectPr>
      </w:pPr>
    </w:p>
    <w:bookmarkStart w:id="449" w:name="page450"/>
    <w:bookmarkEnd w:id="449"/>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LICENSE AND COLLABORATION AGREEMENT</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Piramal Imaging Ltd.,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Piramal Imaging SA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AC Immune SA</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Effective May 9, 2014</w:t>
      </w:r>
    </w:p>
    <w:p>
      <w:pPr>
        <w:sectPr>
          <w:pgSz w:w="11900" w:h="16838" w:orient="portrait"/>
          <w:cols w:equalWidth="0" w:num="1">
            <w:col w:w="10220"/>
          </w:cols>
          <w:pgMar w:left="1440" w:top="121" w:right="239" w:bottom="1440" w:gutter="0" w:footer="0" w:header="0"/>
        </w:sectPr>
      </w:pPr>
    </w:p>
    <w:bookmarkStart w:id="450" w:name="page451"/>
    <w:bookmarkEnd w:id="45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6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960" w:type="dxa"/>
            <w:vAlign w:val="bottom"/>
          </w:tcPr>
          <w:p>
            <w:pPr>
              <w:ind w:left="3180"/>
              <w:spacing w:after="0"/>
              <w:rPr>
                <w:sz w:val="20"/>
                <w:szCs w:val="20"/>
                <w:color w:val="auto"/>
              </w:rPr>
            </w:pPr>
            <w:r>
              <w:rPr>
                <w:rFonts w:ascii="Arial" w:cs="Arial" w:eastAsia="Arial" w:hAnsi="Arial"/>
                <w:sz w:val="18"/>
                <w:szCs w:val="18"/>
                <w:color w:val="auto"/>
              </w:rPr>
              <w:t>TABLE OF CONTENTS</w:t>
            </w:r>
          </w:p>
        </w:tc>
        <w:tc>
          <w:tcPr>
            <w:tcW w:w="1740" w:type="dxa"/>
            <w:vAlign w:val="bottom"/>
          </w:tcPr>
          <w:p>
            <w:pPr>
              <w:spacing w:after="0"/>
              <w:rPr>
                <w:sz w:val="20"/>
                <w:szCs w:val="20"/>
                <w:color w:val="auto"/>
              </w:rPr>
            </w:pPr>
          </w:p>
        </w:tc>
      </w:tr>
      <w:tr>
        <w:trPr>
          <w:trHeight w:val="459"/>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1</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2</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SCOPE OF COLLABORATION AND MANAGEMENT</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2.1</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Scope of Collaboration</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Joint Steering Committee</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(a)</w:t>
            </w:r>
          </w:p>
        </w:tc>
        <w:tc>
          <w:tcPr>
            <w:tcW w:w="7960" w:type="dxa"/>
            <w:vAlign w:val="bottom"/>
          </w:tcPr>
          <w:p>
            <w:pPr>
              <w:ind w:left="380"/>
              <w:spacing w:after="0"/>
              <w:rPr>
                <w:sz w:val="20"/>
                <w:szCs w:val="20"/>
                <w:color w:val="auto"/>
              </w:rPr>
            </w:pPr>
            <w:r>
              <w:rPr>
                <w:rFonts w:ascii="Arial" w:cs="Arial" w:eastAsia="Arial" w:hAnsi="Arial"/>
                <w:sz w:val="18"/>
                <w:szCs w:val="18"/>
                <w:color w:val="auto"/>
              </w:rPr>
              <w:t>Purpose; Formation</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(b)</w:t>
            </w:r>
          </w:p>
        </w:tc>
        <w:tc>
          <w:tcPr>
            <w:tcW w:w="7960" w:type="dxa"/>
            <w:vAlign w:val="bottom"/>
          </w:tcPr>
          <w:p>
            <w:pPr>
              <w:ind w:left="380"/>
              <w:spacing w:after="0"/>
              <w:rPr>
                <w:sz w:val="20"/>
                <w:szCs w:val="20"/>
                <w:color w:val="auto"/>
              </w:rPr>
            </w:pPr>
            <w:r>
              <w:rPr>
                <w:rFonts w:ascii="Arial" w:cs="Arial" w:eastAsia="Arial" w:hAnsi="Arial"/>
                <w:sz w:val="18"/>
                <w:szCs w:val="18"/>
                <w:color w:val="auto"/>
              </w:rPr>
              <w:t>Composition</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(c)</w:t>
            </w:r>
          </w:p>
        </w:tc>
        <w:tc>
          <w:tcPr>
            <w:tcW w:w="7960" w:type="dxa"/>
            <w:vAlign w:val="bottom"/>
          </w:tcPr>
          <w:p>
            <w:pPr>
              <w:ind w:left="380"/>
              <w:spacing w:after="0"/>
              <w:rPr>
                <w:sz w:val="20"/>
                <w:szCs w:val="20"/>
                <w:color w:val="auto"/>
              </w:rPr>
            </w:pPr>
            <w:r>
              <w:rPr>
                <w:rFonts w:ascii="Arial" w:cs="Arial" w:eastAsia="Arial" w:hAnsi="Arial"/>
                <w:sz w:val="18"/>
                <w:szCs w:val="18"/>
                <w:color w:val="auto"/>
              </w:rPr>
              <w:t>Responsibilities</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(d)</w:t>
            </w:r>
          </w:p>
        </w:tc>
        <w:tc>
          <w:tcPr>
            <w:tcW w:w="7960" w:type="dxa"/>
            <w:vAlign w:val="bottom"/>
          </w:tcPr>
          <w:p>
            <w:pPr>
              <w:ind w:left="380"/>
              <w:spacing w:after="0"/>
              <w:rPr>
                <w:sz w:val="20"/>
                <w:szCs w:val="20"/>
                <w:color w:val="auto"/>
              </w:rPr>
            </w:pPr>
            <w:r>
              <w:rPr>
                <w:rFonts w:ascii="Arial" w:cs="Arial" w:eastAsia="Arial" w:hAnsi="Arial"/>
                <w:sz w:val="18"/>
                <w:szCs w:val="18"/>
                <w:color w:val="auto"/>
              </w:rPr>
              <w:t>Meetings</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(e)</w:t>
            </w:r>
          </w:p>
        </w:tc>
        <w:tc>
          <w:tcPr>
            <w:tcW w:w="7960" w:type="dxa"/>
            <w:vAlign w:val="bottom"/>
          </w:tcPr>
          <w:p>
            <w:pPr>
              <w:ind w:left="380"/>
              <w:spacing w:after="0"/>
              <w:rPr>
                <w:sz w:val="20"/>
                <w:szCs w:val="20"/>
                <w:color w:val="auto"/>
              </w:rPr>
            </w:pPr>
            <w:r>
              <w:rPr>
                <w:rFonts w:ascii="Arial" w:cs="Arial" w:eastAsia="Arial" w:hAnsi="Arial"/>
                <w:sz w:val="18"/>
                <w:szCs w:val="18"/>
                <w:color w:val="auto"/>
              </w:rPr>
              <w:t>Decision Making</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2.3</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Resolution of Committee Disputes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(a)</w:t>
            </w:r>
          </w:p>
        </w:tc>
        <w:tc>
          <w:tcPr>
            <w:tcW w:w="7960" w:type="dxa"/>
            <w:vAlign w:val="bottom"/>
          </w:tcPr>
          <w:p>
            <w:pPr>
              <w:ind w:left="380"/>
              <w:spacing w:after="0"/>
              <w:rPr>
                <w:sz w:val="20"/>
                <w:szCs w:val="20"/>
                <w:color w:val="auto"/>
              </w:rPr>
            </w:pPr>
            <w:r>
              <w:rPr>
                <w:rFonts w:ascii="Arial" w:cs="Arial" w:eastAsia="Arial" w:hAnsi="Arial"/>
                <w:sz w:val="18"/>
                <w:szCs w:val="18"/>
                <w:color w:val="auto"/>
              </w:rPr>
              <w:t>Within the JSC</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(b)</w:t>
            </w:r>
          </w:p>
        </w:tc>
        <w:tc>
          <w:tcPr>
            <w:tcW w:w="7960" w:type="dxa"/>
            <w:vAlign w:val="bottom"/>
          </w:tcPr>
          <w:p>
            <w:pPr>
              <w:ind w:left="380"/>
              <w:spacing w:after="0"/>
              <w:rPr>
                <w:sz w:val="20"/>
                <w:szCs w:val="20"/>
                <w:color w:val="auto"/>
              </w:rPr>
            </w:pPr>
            <w:r>
              <w:rPr>
                <w:rFonts w:ascii="Arial" w:cs="Arial" w:eastAsia="Arial" w:hAnsi="Arial"/>
                <w:sz w:val="18"/>
                <w:szCs w:val="18"/>
                <w:color w:val="auto"/>
              </w:rPr>
              <w:t>Referral to Executive Officers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3</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LICENSES</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3.1</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License Grant to Piramal Imaging SA</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(a)</w:t>
            </w:r>
          </w:p>
        </w:tc>
        <w:tc>
          <w:tcPr>
            <w:tcW w:w="7960" w:type="dxa"/>
            <w:vAlign w:val="bottom"/>
          </w:tcPr>
          <w:p>
            <w:pPr>
              <w:ind w:left="380"/>
              <w:spacing w:after="0"/>
              <w:rPr>
                <w:sz w:val="20"/>
                <w:szCs w:val="20"/>
                <w:color w:val="auto"/>
              </w:rPr>
            </w:pPr>
            <w:r>
              <w:rPr>
                <w:rFonts w:ascii="Arial" w:cs="Arial" w:eastAsia="Arial" w:hAnsi="Arial"/>
                <w:sz w:val="18"/>
                <w:szCs w:val="18"/>
                <w:color w:val="auto"/>
              </w:rPr>
              <w:t>Exclusive License Under AC Immune Tau Protein Imaging IP and Collaboration IP</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2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(b)</w:t>
            </w:r>
          </w:p>
        </w:tc>
        <w:tc>
          <w:tcPr>
            <w:tcW w:w="7960" w:type="dxa"/>
            <w:vAlign w:val="bottom"/>
          </w:tcPr>
          <w:p>
            <w:pPr>
              <w:ind w:left="380"/>
              <w:spacing w:after="0"/>
              <w:rPr>
                <w:sz w:val="20"/>
                <w:szCs w:val="20"/>
                <w:color w:val="auto"/>
              </w:rPr>
            </w:pPr>
            <w:r>
              <w:rPr>
                <w:rFonts w:ascii="Arial" w:cs="Arial" w:eastAsia="Arial" w:hAnsi="Arial"/>
                <w:sz w:val="18"/>
                <w:szCs w:val="18"/>
                <w:color w:val="auto"/>
              </w:rPr>
              <w:t>Non-Exclusive License Under AC Immune Background IP</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3.2</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Grant to AC Immune</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3.3</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Sublicenses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3.4</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No Implied Rights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3.5</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Other Development</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3.6</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Reservation of Rights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4</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4.1</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Overview</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4.2</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Research Plan</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4.3</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Development Plan</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4.4</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Other Discovery</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4.5</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20" w:type="dxa"/>
            <w:vAlign w:val="bottom"/>
          </w:tcPr>
          <w:p>
            <w:pPr>
              <w:jc w:val="right"/>
              <w:ind w:right="430"/>
              <w:spacing w:after="0"/>
              <w:rPr>
                <w:sz w:val="20"/>
                <w:szCs w:val="20"/>
                <w:color w:val="auto"/>
              </w:rPr>
            </w:pPr>
            <w:r>
              <w:rPr>
                <w:rFonts w:ascii="Arial" w:cs="Arial" w:eastAsia="Arial" w:hAnsi="Arial"/>
                <w:sz w:val="18"/>
                <w:szCs w:val="18"/>
                <w:color w:val="auto"/>
              </w:rPr>
              <w:t>4.6</w:t>
            </w:r>
          </w:p>
        </w:tc>
        <w:tc>
          <w:tcPr>
            <w:tcW w:w="8460" w:type="dxa"/>
            <w:vAlign w:val="bottom"/>
            <w:gridSpan w:val="2"/>
          </w:tcPr>
          <w:p>
            <w:pPr>
              <w:ind w:left="220"/>
              <w:spacing w:after="0"/>
              <w:rPr>
                <w:sz w:val="20"/>
                <w:szCs w:val="20"/>
                <w:color w:val="auto"/>
              </w:rPr>
            </w:pPr>
            <w:r>
              <w:rPr>
                <w:rFonts w:ascii="Arial" w:cs="Arial" w:eastAsia="Arial" w:hAnsi="Arial"/>
                <w:sz w:val="18"/>
                <w:szCs w:val="18"/>
                <w:color w:val="auto"/>
              </w:rPr>
              <w:t>Information and Records</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ARTICLE 5</w:t>
            </w:r>
          </w:p>
        </w:tc>
        <w:tc>
          <w:tcPr>
            <w:tcW w:w="500" w:type="dxa"/>
            <w:vAlign w:val="bottom"/>
          </w:tcPr>
          <w:p>
            <w:pPr>
              <w:spacing w:after="0"/>
              <w:rPr>
                <w:sz w:val="24"/>
                <w:szCs w:val="24"/>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REGULATORY</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5"/>
        </w:trPr>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960" w:type="dxa"/>
            <w:vAlign w:val="bottom"/>
          </w:tcPr>
          <w:p>
            <w:pPr>
              <w:ind w:left="3880"/>
              <w:spacing w:after="0"/>
              <w:rPr>
                <w:sz w:val="20"/>
                <w:szCs w:val="20"/>
                <w:color w:val="auto"/>
              </w:rPr>
            </w:pPr>
            <w:r>
              <w:rPr>
                <w:rFonts w:ascii="Arial" w:cs="Arial" w:eastAsia="Arial" w:hAnsi="Arial"/>
                <w:sz w:val="18"/>
                <w:szCs w:val="18"/>
                <w:color w:val="auto"/>
              </w:rPr>
              <w:t>Page i</w:t>
            </w:r>
          </w:p>
        </w:tc>
        <w:tc>
          <w:tcPr>
            <w:tcW w:w="1740" w:type="dxa"/>
            <w:vAlign w:val="bottom"/>
          </w:tcPr>
          <w:p>
            <w:pPr>
              <w:spacing w:after="0"/>
              <w:rPr>
                <w:sz w:val="24"/>
                <w:szCs w:val="24"/>
                <w:color w:val="auto"/>
              </w:rPr>
            </w:pPr>
          </w:p>
        </w:tc>
      </w:tr>
    </w:tbl>
    <w:p>
      <w:pPr>
        <w:sectPr>
          <w:pgSz w:w="11900" w:h="16838" w:orient="portrait"/>
          <w:cols w:equalWidth="0" w:num="1">
            <w:col w:w="11320"/>
          </w:cols>
          <w:pgMar w:left="240" w:top="269" w:right="339" w:bottom="1440" w:gutter="0" w:footer="0" w:header="0"/>
        </w:sectPr>
      </w:pPr>
    </w:p>
    <w:bookmarkStart w:id="451" w:name="page452"/>
    <w:bookmarkEnd w:id="45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6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ind w:left="360"/>
              <w:spacing w:after="0"/>
              <w:rPr>
                <w:sz w:val="20"/>
                <w:szCs w:val="20"/>
                <w:color w:val="auto"/>
              </w:rPr>
            </w:pPr>
            <w:r>
              <w:rPr>
                <w:rFonts w:ascii="Arial" w:cs="Arial" w:eastAsia="Arial" w:hAnsi="Arial"/>
                <w:sz w:val="18"/>
                <w:szCs w:val="18"/>
                <w:color w:val="auto"/>
              </w:rPr>
              <w:t>5.1</w:t>
            </w:r>
          </w:p>
        </w:tc>
        <w:tc>
          <w:tcPr>
            <w:tcW w:w="1020" w:type="dxa"/>
            <w:vAlign w:val="bottom"/>
          </w:tcPr>
          <w:p>
            <w:pPr>
              <w:ind w:left="220"/>
              <w:spacing w:after="0"/>
              <w:rPr>
                <w:sz w:val="20"/>
                <w:szCs w:val="20"/>
                <w:color w:val="auto"/>
              </w:rPr>
            </w:pPr>
            <w:r>
              <w:rPr>
                <w:rFonts w:ascii="Arial" w:cs="Arial" w:eastAsia="Arial" w:hAnsi="Arial"/>
                <w:sz w:val="18"/>
                <w:szCs w:val="18"/>
                <w:color w:val="auto"/>
              </w:rPr>
              <w:t>Product</w:t>
            </w:r>
          </w:p>
        </w:tc>
        <w:tc>
          <w:tcPr>
            <w:tcW w:w="2880" w:type="dxa"/>
            <w:vAlign w:val="bottom"/>
          </w:tcPr>
          <w:p>
            <w:pPr>
              <w:spacing w:after="0"/>
              <w:rPr>
                <w:sz w:val="20"/>
                <w:szCs w:val="20"/>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5.2</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Rights of Reference to Regulatory Materials</w:t>
            </w: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6</w:t>
            </w:r>
          </w:p>
        </w:tc>
        <w:tc>
          <w:tcPr>
            <w:tcW w:w="3900" w:type="dxa"/>
            <w:vAlign w:val="bottom"/>
            <w:gridSpan w:val="2"/>
          </w:tcPr>
          <w:p>
            <w:pPr>
              <w:ind w:left="580"/>
              <w:spacing w:after="0"/>
              <w:rPr>
                <w:sz w:val="20"/>
                <w:szCs w:val="20"/>
                <w:color w:val="auto"/>
              </w:rPr>
            </w:pPr>
            <w:r>
              <w:rPr>
                <w:rFonts w:ascii="Arial" w:cs="Arial" w:eastAsia="Arial" w:hAnsi="Arial"/>
                <w:sz w:val="18"/>
                <w:szCs w:val="18"/>
                <w:color w:val="auto"/>
              </w:rPr>
              <w:t>MANUFACTURING; SUPPLY</w:t>
            </w: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6.1</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Manufacture</w:t>
            </w: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6.2</w:t>
            </w:r>
          </w:p>
        </w:tc>
        <w:tc>
          <w:tcPr>
            <w:tcW w:w="1020" w:type="dxa"/>
            <w:vAlign w:val="bottom"/>
          </w:tcPr>
          <w:p>
            <w:pPr>
              <w:ind w:left="220"/>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6.3</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Supply of [*****] Doses</w:t>
            </w:r>
          </w:p>
        </w:tc>
        <w:tc>
          <w:tcPr>
            <w:tcW w:w="6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7</w:t>
            </w:r>
          </w:p>
        </w:tc>
        <w:tc>
          <w:tcPr>
            <w:tcW w:w="3900" w:type="dxa"/>
            <w:vAlign w:val="bottom"/>
            <w:gridSpan w:val="2"/>
          </w:tcPr>
          <w:p>
            <w:pPr>
              <w:ind w:left="580"/>
              <w:spacing w:after="0"/>
              <w:rPr>
                <w:sz w:val="20"/>
                <w:szCs w:val="20"/>
                <w:color w:val="auto"/>
              </w:rPr>
            </w:pPr>
            <w:r>
              <w:rPr>
                <w:rFonts w:ascii="Arial" w:cs="Arial" w:eastAsia="Arial" w:hAnsi="Arial"/>
                <w:sz w:val="18"/>
                <w:szCs w:val="18"/>
                <w:color w:val="auto"/>
              </w:rPr>
              <w:t>COMMERCIALIZATION</w:t>
            </w: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7.1</w:t>
            </w:r>
          </w:p>
        </w:tc>
        <w:tc>
          <w:tcPr>
            <w:tcW w:w="1020" w:type="dxa"/>
            <w:vAlign w:val="bottom"/>
          </w:tcPr>
          <w:p>
            <w:pPr>
              <w:ind w:left="220"/>
              <w:spacing w:after="0"/>
              <w:rPr>
                <w:sz w:val="20"/>
                <w:szCs w:val="20"/>
                <w:color w:val="auto"/>
              </w:rPr>
            </w:pPr>
            <w:r>
              <w:rPr>
                <w:rFonts w:ascii="Arial" w:cs="Arial" w:eastAsia="Arial" w:hAnsi="Arial"/>
                <w:sz w:val="18"/>
                <w:szCs w:val="18"/>
                <w:color w:val="auto"/>
              </w:rPr>
              <w:t>Product</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7.2</w:t>
            </w:r>
          </w:p>
        </w:tc>
        <w:tc>
          <w:tcPr>
            <w:tcW w:w="1020" w:type="dxa"/>
            <w:vAlign w:val="bottom"/>
          </w:tcPr>
          <w:p>
            <w:pPr>
              <w:ind w:left="220"/>
              <w:spacing w:after="0"/>
              <w:rPr>
                <w:sz w:val="20"/>
                <w:szCs w:val="20"/>
                <w:color w:val="auto"/>
              </w:rPr>
            </w:pPr>
            <w:r>
              <w:rPr>
                <w:rFonts w:ascii="Arial" w:cs="Arial" w:eastAsia="Arial" w:hAnsi="Arial"/>
                <w:sz w:val="18"/>
                <w:szCs w:val="18"/>
                <w:color w:val="auto"/>
              </w:rPr>
              <w:t>Pricing</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8</w:t>
            </w:r>
          </w:p>
        </w:tc>
        <w:tc>
          <w:tcPr>
            <w:tcW w:w="3900" w:type="dxa"/>
            <w:vAlign w:val="bottom"/>
            <w:gridSpan w:val="2"/>
          </w:tcPr>
          <w:p>
            <w:pPr>
              <w:ind w:left="580"/>
              <w:spacing w:after="0"/>
              <w:rPr>
                <w:sz w:val="20"/>
                <w:szCs w:val="20"/>
                <w:color w:val="auto"/>
              </w:rPr>
            </w:pPr>
            <w:r>
              <w:rPr>
                <w:rFonts w:ascii="Arial" w:cs="Arial" w:eastAsia="Arial" w:hAnsi="Arial"/>
                <w:sz w:val="18"/>
                <w:szCs w:val="18"/>
                <w:color w:val="auto"/>
              </w:rPr>
              <w:t>CONSIDERATION AND PAYMENTS</w:t>
            </w: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Upfront Payment</w:t>
            </w: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8.2</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Development Milestone Payments</w:t>
            </w:r>
          </w:p>
        </w:tc>
        <w:tc>
          <w:tcPr>
            <w:tcW w:w="6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8.3</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Sales Milestones</w:t>
            </w:r>
          </w:p>
        </w:tc>
        <w:tc>
          <w:tcPr>
            <w:tcW w:w="6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8.4</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Sublicensing Revenue</w:t>
            </w:r>
          </w:p>
        </w:tc>
        <w:tc>
          <w:tcPr>
            <w:tcW w:w="6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8.5</w:t>
            </w:r>
          </w:p>
        </w:tc>
        <w:tc>
          <w:tcPr>
            <w:tcW w:w="1020" w:type="dxa"/>
            <w:vAlign w:val="bottom"/>
          </w:tcPr>
          <w:p>
            <w:pPr>
              <w:ind w:left="220"/>
              <w:spacing w:after="0"/>
              <w:rPr>
                <w:sz w:val="20"/>
                <w:szCs w:val="20"/>
                <w:color w:val="auto"/>
              </w:rPr>
            </w:pPr>
            <w:r>
              <w:rPr>
                <w:rFonts w:ascii="Arial" w:cs="Arial" w:eastAsia="Arial" w:hAnsi="Arial"/>
                <w:sz w:val="18"/>
                <w:szCs w:val="18"/>
                <w:color w:val="auto"/>
              </w:rPr>
              <w:t>Royalties</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(a)</w:t>
            </w:r>
          </w:p>
        </w:tc>
        <w:tc>
          <w:tcPr>
            <w:tcW w:w="2880" w:type="dxa"/>
            <w:vAlign w:val="bottom"/>
          </w:tcPr>
          <w:p>
            <w:pPr>
              <w:spacing w:after="0"/>
              <w:rPr>
                <w:sz w:val="20"/>
                <w:szCs w:val="20"/>
                <w:color w:val="auto"/>
              </w:rPr>
            </w:pPr>
            <w:r>
              <w:rPr>
                <w:rFonts w:ascii="Arial" w:cs="Arial" w:eastAsia="Arial" w:hAnsi="Arial"/>
                <w:sz w:val="18"/>
                <w:szCs w:val="18"/>
                <w:color w:val="auto"/>
              </w:rPr>
              <w:t>Royalty Step-Down</w:t>
            </w:r>
          </w:p>
        </w:tc>
        <w:tc>
          <w:tcPr>
            <w:tcW w:w="6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(b)</w:t>
            </w:r>
          </w:p>
        </w:tc>
        <w:tc>
          <w:tcPr>
            <w:tcW w:w="2880" w:type="dxa"/>
            <w:vAlign w:val="bottom"/>
          </w:tcPr>
          <w:p>
            <w:pPr>
              <w:spacing w:after="0"/>
              <w:rPr>
                <w:sz w:val="20"/>
                <w:szCs w:val="20"/>
                <w:color w:val="auto"/>
              </w:rPr>
            </w:pPr>
            <w:r>
              <w:rPr>
                <w:rFonts w:ascii="Arial" w:cs="Arial" w:eastAsia="Arial" w:hAnsi="Arial"/>
                <w:sz w:val="18"/>
                <w:szCs w:val="18"/>
                <w:color w:val="auto"/>
              </w:rPr>
              <w:t>Royalty Term</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8.6</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Reduction for Third Party Licenses</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8.7</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Reports and Payments</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(a)</w:t>
            </w:r>
          </w:p>
        </w:tc>
        <w:tc>
          <w:tcPr>
            <w:tcW w:w="2880" w:type="dxa"/>
            <w:vAlign w:val="bottom"/>
          </w:tcPr>
          <w:p>
            <w:pPr>
              <w:spacing w:after="0"/>
              <w:rPr>
                <w:sz w:val="20"/>
                <w:szCs w:val="20"/>
                <w:color w:val="auto"/>
              </w:rPr>
            </w:pPr>
            <w:r>
              <w:rPr>
                <w:rFonts w:ascii="Arial" w:cs="Arial" w:eastAsia="Arial" w:hAnsi="Arial"/>
                <w:sz w:val="18"/>
                <w:szCs w:val="18"/>
                <w:color w:val="auto"/>
              </w:rPr>
              <w:t>Milestones</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(b)</w:t>
            </w:r>
          </w:p>
        </w:tc>
        <w:tc>
          <w:tcPr>
            <w:tcW w:w="2880" w:type="dxa"/>
            <w:vAlign w:val="bottom"/>
          </w:tcPr>
          <w:p>
            <w:pPr>
              <w:spacing w:after="0"/>
              <w:rPr>
                <w:sz w:val="20"/>
                <w:szCs w:val="20"/>
                <w:color w:val="auto"/>
              </w:rPr>
            </w:pPr>
            <w:r>
              <w:rPr>
                <w:rFonts w:ascii="Arial" w:cs="Arial" w:eastAsia="Arial" w:hAnsi="Arial"/>
                <w:sz w:val="18"/>
                <w:szCs w:val="18"/>
                <w:color w:val="auto"/>
              </w:rPr>
              <w:t>Sublicense Revenue</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(c)</w:t>
            </w:r>
          </w:p>
        </w:tc>
        <w:tc>
          <w:tcPr>
            <w:tcW w:w="2880" w:type="dxa"/>
            <w:vAlign w:val="bottom"/>
          </w:tcPr>
          <w:p>
            <w:pPr>
              <w:spacing w:after="0"/>
              <w:rPr>
                <w:sz w:val="20"/>
                <w:szCs w:val="20"/>
                <w:color w:val="auto"/>
              </w:rPr>
            </w:pPr>
            <w:r>
              <w:rPr>
                <w:rFonts w:ascii="Arial" w:cs="Arial" w:eastAsia="Arial" w:hAnsi="Arial"/>
                <w:sz w:val="18"/>
                <w:szCs w:val="18"/>
                <w:color w:val="auto"/>
              </w:rPr>
              <w:t>Royalties</w:t>
            </w:r>
          </w:p>
        </w:tc>
        <w:tc>
          <w:tcPr>
            <w:tcW w:w="6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8.8</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Payment Method</w:t>
            </w: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8.9</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Blocked Currency</w:t>
            </w: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8.10</w:t>
            </w:r>
          </w:p>
        </w:tc>
        <w:tc>
          <w:tcPr>
            <w:tcW w:w="1020" w:type="dxa"/>
            <w:vAlign w:val="bottom"/>
          </w:tcPr>
          <w:p>
            <w:pPr>
              <w:ind w:left="220"/>
              <w:spacing w:after="0"/>
              <w:rPr>
                <w:sz w:val="20"/>
                <w:szCs w:val="20"/>
                <w:color w:val="auto"/>
              </w:rPr>
            </w:pPr>
            <w:r>
              <w:rPr>
                <w:rFonts w:ascii="Arial" w:cs="Arial" w:eastAsia="Arial" w:hAnsi="Arial"/>
                <w:sz w:val="18"/>
                <w:szCs w:val="18"/>
                <w:color w:val="auto"/>
              </w:rPr>
              <w:t>Currency</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8.11</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Taxes and Withholding</w:t>
            </w: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8.12</w:t>
            </w: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Maintenance of Records</w:t>
            </w: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8.13</w:t>
            </w:r>
          </w:p>
        </w:tc>
        <w:tc>
          <w:tcPr>
            <w:tcW w:w="1020" w:type="dxa"/>
            <w:vAlign w:val="bottom"/>
          </w:tcPr>
          <w:p>
            <w:pPr>
              <w:ind w:left="220"/>
              <w:spacing w:after="0"/>
              <w:rPr>
                <w:sz w:val="20"/>
                <w:szCs w:val="20"/>
                <w:color w:val="auto"/>
              </w:rPr>
            </w:pPr>
            <w:r>
              <w:rPr>
                <w:rFonts w:ascii="Arial" w:cs="Arial" w:eastAsia="Arial" w:hAnsi="Arial"/>
                <w:sz w:val="18"/>
                <w:szCs w:val="18"/>
                <w:color w:val="auto"/>
              </w:rPr>
              <w:t>Audits</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ARTICLE 9</w:t>
            </w:r>
          </w:p>
        </w:tc>
        <w:tc>
          <w:tcPr>
            <w:tcW w:w="3900" w:type="dxa"/>
            <w:vAlign w:val="bottom"/>
            <w:gridSpan w:val="2"/>
          </w:tcPr>
          <w:p>
            <w:pPr>
              <w:ind w:left="580"/>
              <w:spacing w:after="0"/>
              <w:rPr>
                <w:sz w:val="20"/>
                <w:szCs w:val="20"/>
                <w:color w:val="auto"/>
              </w:rPr>
            </w:pPr>
            <w:r>
              <w:rPr>
                <w:rFonts w:ascii="Arial" w:cs="Arial" w:eastAsia="Arial" w:hAnsi="Arial"/>
                <w:sz w:val="18"/>
                <w:szCs w:val="18"/>
                <w:color w:val="auto"/>
              </w:rPr>
              <w:t>INTELLECTUAL PROPERTY</w:t>
            </w:r>
          </w:p>
        </w:tc>
        <w:tc>
          <w:tcPr>
            <w:tcW w:w="6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00" w:type="dxa"/>
            <w:vAlign w:val="bottom"/>
          </w:tcPr>
          <w:p>
            <w:pPr>
              <w:ind w:left="360"/>
              <w:spacing w:after="0"/>
              <w:rPr>
                <w:sz w:val="20"/>
                <w:szCs w:val="20"/>
                <w:color w:val="auto"/>
              </w:rPr>
            </w:pPr>
            <w:r>
              <w:rPr>
                <w:rFonts w:ascii="Arial" w:cs="Arial" w:eastAsia="Arial" w:hAnsi="Arial"/>
                <w:sz w:val="18"/>
                <w:szCs w:val="18"/>
                <w:color w:val="auto"/>
              </w:rPr>
              <w:t>9.1</w:t>
            </w:r>
          </w:p>
        </w:tc>
        <w:tc>
          <w:tcPr>
            <w:tcW w:w="1020" w:type="dxa"/>
            <w:vAlign w:val="bottom"/>
          </w:tcPr>
          <w:p>
            <w:pPr>
              <w:ind w:left="220"/>
              <w:spacing w:after="0"/>
              <w:rPr>
                <w:sz w:val="20"/>
                <w:szCs w:val="20"/>
                <w:color w:val="auto"/>
              </w:rPr>
            </w:pPr>
            <w:r>
              <w:rPr>
                <w:rFonts w:ascii="Arial" w:cs="Arial" w:eastAsia="Arial" w:hAnsi="Arial"/>
                <w:sz w:val="18"/>
                <w:szCs w:val="18"/>
                <w:color w:val="auto"/>
                <w:w w:val="90"/>
              </w:rPr>
              <w:t>Ownership</w:t>
            </w:r>
          </w:p>
        </w:tc>
        <w:tc>
          <w:tcPr>
            <w:tcW w:w="2880" w:type="dxa"/>
            <w:vAlign w:val="bottom"/>
          </w:tcPr>
          <w:p>
            <w:pPr>
              <w:spacing w:after="0"/>
              <w:rPr>
                <w:sz w:val="24"/>
                <w:szCs w:val="24"/>
                <w:color w:val="auto"/>
              </w:rPr>
            </w:pPr>
          </w:p>
        </w:tc>
        <w:tc>
          <w:tcPr>
            <w:tcW w:w="6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0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(a)</w:t>
            </w:r>
          </w:p>
        </w:tc>
        <w:tc>
          <w:tcPr>
            <w:tcW w:w="2880" w:type="dxa"/>
            <w:vAlign w:val="bottom"/>
          </w:tcPr>
          <w:p>
            <w:pPr>
              <w:spacing w:after="0"/>
              <w:rPr>
                <w:sz w:val="20"/>
                <w:szCs w:val="20"/>
                <w:color w:val="auto"/>
              </w:rPr>
            </w:pPr>
            <w:r>
              <w:rPr>
                <w:rFonts w:ascii="Arial" w:cs="Arial" w:eastAsia="Arial" w:hAnsi="Arial"/>
                <w:sz w:val="18"/>
                <w:szCs w:val="18"/>
                <w:color w:val="auto"/>
              </w:rPr>
              <w:t>Background IP</w:t>
            </w:r>
          </w:p>
        </w:tc>
        <w:tc>
          <w:tcPr>
            <w:tcW w:w="6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320" w:type="dxa"/>
            <w:vAlign w:val="bottom"/>
          </w:tcPr>
          <w:p>
            <w:pPr>
              <w:jc w:val="right"/>
              <w:ind w:right="5270"/>
              <w:spacing w:after="0"/>
              <w:rPr>
                <w:sz w:val="20"/>
                <w:szCs w:val="20"/>
                <w:color w:val="auto"/>
              </w:rPr>
            </w:pPr>
            <w:r>
              <w:rPr>
                <w:rFonts w:ascii="Arial" w:cs="Arial" w:eastAsia="Arial" w:hAnsi="Arial"/>
                <w:sz w:val="18"/>
                <w:szCs w:val="18"/>
                <w:color w:val="auto"/>
              </w:rPr>
              <w:t>Page ii</w:t>
            </w:r>
          </w:p>
        </w:tc>
      </w:tr>
    </w:tbl>
    <w:p>
      <w:pPr>
        <w:sectPr>
          <w:pgSz w:w="11900" w:h="16838" w:orient="portrait"/>
          <w:cols w:equalWidth="0" w:num="1">
            <w:col w:w="11320"/>
          </w:cols>
          <w:pgMar w:left="240" w:top="270" w:right="339" w:bottom="1440" w:gutter="0" w:footer="0" w:header="0"/>
        </w:sectPr>
      </w:pPr>
    </w:p>
    <w:bookmarkStart w:id="452" w:name="page453"/>
    <w:bookmarkEnd w:id="45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6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tcPr>
          <w:p>
            <w:pPr>
              <w:ind w:left="260"/>
              <w:spacing w:after="0"/>
              <w:rPr>
                <w:sz w:val="20"/>
                <w:szCs w:val="20"/>
                <w:color w:val="auto"/>
              </w:rPr>
            </w:pPr>
            <w:r>
              <w:rPr>
                <w:rFonts w:ascii="Arial" w:cs="Arial" w:eastAsia="Arial" w:hAnsi="Arial"/>
                <w:sz w:val="18"/>
                <w:szCs w:val="18"/>
                <w:color w:val="auto"/>
              </w:rPr>
              <w:t>Inventions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9.2</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Disclosure</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9.3</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Prosecution and Maintenance of AC Immune Tau Protein Imaging IP and Jointly Owned Collaboration IP</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9.4</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Abandonment of Prosecution and Maintenance</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9.5</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Prosecution and Maintenance of Solely Owned Collaboration Patents</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9.6</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Defense of Third Party Infringement Claims</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9.7</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Enforcement; Patent Challenge</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9.8</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Recoveries</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10</w:t>
            </w:r>
          </w:p>
        </w:tc>
        <w:tc>
          <w:tcPr>
            <w:tcW w:w="480" w:type="dxa"/>
            <w:vAlign w:val="bottom"/>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10.1</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Confidentiality; Exceptions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10.2</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Authorized Use and Disclosure</w:t>
            </w: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10.3</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Injunctive Relief</w:t>
            </w: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10.4</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Terms of Agreement</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10.5</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Publications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10.6</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Publicity</w:t>
            </w: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(a)</w:t>
            </w:r>
          </w:p>
        </w:tc>
        <w:tc>
          <w:tcPr>
            <w:tcW w:w="8420" w:type="dxa"/>
            <w:vAlign w:val="bottom"/>
          </w:tcPr>
          <w:p>
            <w:pPr>
              <w:ind w:left="260"/>
              <w:spacing w:after="0"/>
              <w:rPr>
                <w:sz w:val="20"/>
                <w:szCs w:val="20"/>
                <w:color w:val="auto"/>
              </w:rPr>
            </w:pPr>
            <w:r>
              <w:rPr>
                <w:rFonts w:ascii="Arial" w:cs="Arial" w:eastAsia="Arial" w:hAnsi="Arial"/>
                <w:sz w:val="18"/>
                <w:szCs w:val="18"/>
                <w:color w:val="auto"/>
              </w:rPr>
              <w:t>Press Releases</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tcPr>
          <w:p>
            <w:pPr>
              <w:ind w:left="260"/>
              <w:spacing w:after="0"/>
              <w:rPr>
                <w:sz w:val="20"/>
                <w:szCs w:val="20"/>
                <w:color w:val="auto"/>
              </w:rPr>
            </w:pPr>
            <w:r>
              <w:rPr>
                <w:rFonts w:ascii="Arial" w:cs="Arial" w:eastAsia="Arial" w:hAnsi="Arial"/>
                <w:sz w:val="18"/>
                <w:szCs w:val="18"/>
                <w:color w:val="auto"/>
              </w:rPr>
              <w:t>Required Disclosures</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11</w:t>
            </w:r>
          </w:p>
        </w:tc>
        <w:tc>
          <w:tcPr>
            <w:tcW w:w="480" w:type="dxa"/>
            <w:vAlign w:val="bottom"/>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18"/>
                <w:szCs w:val="18"/>
                <w:color w:val="auto"/>
              </w:rPr>
              <w:t>TERM AND TERMINATION</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11.1</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Term</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11.2</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Termination</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(a)</w:t>
            </w:r>
          </w:p>
        </w:tc>
        <w:tc>
          <w:tcPr>
            <w:tcW w:w="8420" w:type="dxa"/>
            <w:vAlign w:val="bottom"/>
          </w:tcPr>
          <w:p>
            <w:pPr>
              <w:ind w:left="260"/>
              <w:spacing w:after="0"/>
              <w:rPr>
                <w:sz w:val="20"/>
                <w:szCs w:val="20"/>
                <w:color w:val="auto"/>
              </w:rPr>
            </w:pPr>
            <w:r>
              <w:rPr>
                <w:rFonts w:ascii="Arial" w:cs="Arial" w:eastAsia="Arial" w:hAnsi="Arial"/>
                <w:sz w:val="18"/>
                <w:szCs w:val="18"/>
                <w:color w:val="auto"/>
              </w:rPr>
              <w:t>Breach</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tcPr>
          <w:p>
            <w:pPr>
              <w:ind w:left="260"/>
              <w:spacing w:after="0"/>
              <w:rPr>
                <w:sz w:val="20"/>
                <w:szCs w:val="20"/>
                <w:color w:val="auto"/>
              </w:rPr>
            </w:pPr>
            <w:r>
              <w:rPr>
                <w:rFonts w:ascii="Arial" w:cs="Arial" w:eastAsia="Arial" w:hAnsi="Arial"/>
                <w:sz w:val="18"/>
                <w:szCs w:val="18"/>
                <w:color w:val="auto"/>
              </w:rPr>
              <w:t>Insolvency</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(c)</w:t>
            </w:r>
          </w:p>
        </w:tc>
        <w:tc>
          <w:tcPr>
            <w:tcW w:w="8420" w:type="dxa"/>
            <w:vAlign w:val="bottom"/>
          </w:tcPr>
          <w:p>
            <w:pPr>
              <w:ind w:left="260"/>
              <w:spacing w:after="0"/>
              <w:rPr>
                <w:sz w:val="20"/>
                <w:szCs w:val="20"/>
                <w:color w:val="auto"/>
              </w:rPr>
            </w:pPr>
            <w:r>
              <w:rPr>
                <w:rFonts w:ascii="Arial" w:cs="Arial" w:eastAsia="Arial" w:hAnsi="Arial"/>
                <w:sz w:val="18"/>
                <w:szCs w:val="18"/>
                <w:color w:val="auto"/>
              </w:rPr>
              <w:t>Termination by Piramal Without Cause</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11.3</w:t>
            </w:r>
          </w:p>
        </w:tc>
        <w:tc>
          <w:tcPr>
            <w:tcW w:w="8900" w:type="dxa"/>
            <w:vAlign w:val="bottom"/>
            <w:gridSpan w:val="2"/>
          </w:tcPr>
          <w:p>
            <w:pPr>
              <w:ind w:left="180"/>
              <w:spacing w:after="0"/>
              <w:rPr>
                <w:sz w:val="20"/>
                <w:szCs w:val="20"/>
                <w:color w:val="auto"/>
              </w:rPr>
            </w:pPr>
            <w:r>
              <w:rPr>
                <w:rFonts w:ascii="Arial" w:cs="Arial" w:eastAsia="Arial" w:hAnsi="Arial"/>
                <w:sz w:val="18"/>
                <w:szCs w:val="18"/>
                <w:color w:val="auto"/>
              </w:rPr>
              <w:t>Consequences of Termination</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(a)</w:t>
            </w:r>
          </w:p>
        </w:tc>
        <w:tc>
          <w:tcPr>
            <w:tcW w:w="8420" w:type="dxa"/>
            <w:vAlign w:val="bottom"/>
          </w:tcPr>
          <w:p>
            <w:pPr>
              <w:ind w:left="260"/>
              <w:spacing w:after="0"/>
              <w:rPr>
                <w:sz w:val="20"/>
                <w:szCs w:val="20"/>
                <w:color w:val="auto"/>
              </w:rPr>
            </w:pPr>
            <w:r>
              <w:rPr>
                <w:rFonts w:ascii="Arial" w:cs="Arial" w:eastAsia="Arial" w:hAnsi="Arial"/>
                <w:sz w:val="18"/>
                <w:szCs w:val="18"/>
                <w:color w:val="auto"/>
              </w:rPr>
              <w:t>Effect of Termination by Piramal Without Cause</w:t>
            </w: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8420" w:type="dxa"/>
            <w:vAlign w:val="bottom"/>
          </w:tcPr>
          <w:p>
            <w:pPr>
              <w:ind w:left="260"/>
              <w:spacing w:after="0"/>
              <w:rPr>
                <w:sz w:val="20"/>
                <w:szCs w:val="20"/>
                <w:color w:val="auto"/>
              </w:rPr>
            </w:pPr>
            <w:r>
              <w:rPr>
                <w:rFonts w:ascii="Arial" w:cs="Arial" w:eastAsia="Arial" w:hAnsi="Arial"/>
                <w:sz w:val="18"/>
                <w:szCs w:val="18"/>
                <w:color w:val="auto"/>
              </w:rPr>
              <w:t>Effect of Termination by AC Immune for Breach by Piramal</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(c)</w:t>
            </w:r>
          </w:p>
        </w:tc>
        <w:tc>
          <w:tcPr>
            <w:tcW w:w="8420" w:type="dxa"/>
            <w:vAlign w:val="bottom"/>
          </w:tcPr>
          <w:p>
            <w:pPr>
              <w:ind w:left="260"/>
              <w:spacing w:after="0"/>
              <w:rPr>
                <w:sz w:val="20"/>
                <w:szCs w:val="20"/>
                <w:color w:val="auto"/>
              </w:rPr>
            </w:pPr>
            <w:r>
              <w:rPr>
                <w:rFonts w:ascii="Arial" w:cs="Arial" w:eastAsia="Arial" w:hAnsi="Arial"/>
                <w:sz w:val="18"/>
                <w:szCs w:val="18"/>
                <w:color w:val="auto"/>
              </w:rPr>
              <w:t>Effect of Termination by Piramal for Breach by AC Immune</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(d)</w:t>
            </w:r>
          </w:p>
        </w:tc>
        <w:tc>
          <w:tcPr>
            <w:tcW w:w="8420" w:type="dxa"/>
            <w:vAlign w:val="bottom"/>
          </w:tcPr>
          <w:p>
            <w:pPr>
              <w:ind w:left="260"/>
              <w:spacing w:after="0"/>
              <w:rPr>
                <w:sz w:val="20"/>
                <w:szCs w:val="20"/>
                <w:color w:val="auto"/>
              </w:rPr>
            </w:pPr>
            <w:r>
              <w:rPr>
                <w:rFonts w:ascii="Arial" w:cs="Arial" w:eastAsia="Arial" w:hAnsi="Arial"/>
                <w:sz w:val="18"/>
                <w:szCs w:val="18"/>
                <w:color w:val="auto"/>
              </w:rPr>
              <w:t>Accrued Obligations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(e)</w:t>
            </w:r>
          </w:p>
        </w:tc>
        <w:tc>
          <w:tcPr>
            <w:tcW w:w="8420" w:type="dxa"/>
            <w:vAlign w:val="bottom"/>
          </w:tcPr>
          <w:p>
            <w:pPr>
              <w:ind w:left="260"/>
              <w:spacing w:after="0"/>
              <w:rPr>
                <w:sz w:val="20"/>
                <w:szCs w:val="20"/>
                <w:color w:val="auto"/>
              </w:rPr>
            </w:pPr>
            <w:r>
              <w:rPr>
                <w:rFonts w:ascii="Arial" w:cs="Arial" w:eastAsia="Arial" w:hAnsi="Arial"/>
                <w:sz w:val="18"/>
                <w:szCs w:val="18"/>
                <w:color w:val="auto"/>
              </w:rPr>
              <w:t>Ancillary Agreements</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(f)</w:t>
            </w:r>
          </w:p>
        </w:tc>
        <w:tc>
          <w:tcPr>
            <w:tcW w:w="8420" w:type="dxa"/>
            <w:vAlign w:val="bottom"/>
          </w:tcPr>
          <w:p>
            <w:pPr>
              <w:ind w:left="260"/>
              <w:spacing w:after="0"/>
              <w:rPr>
                <w:sz w:val="20"/>
                <w:szCs w:val="20"/>
                <w:color w:val="auto"/>
              </w:rPr>
            </w:pPr>
            <w:r>
              <w:rPr>
                <w:rFonts w:ascii="Arial" w:cs="Arial" w:eastAsia="Arial" w:hAnsi="Arial"/>
                <w:sz w:val="18"/>
                <w:szCs w:val="18"/>
                <w:color w:val="auto"/>
              </w:rPr>
              <w:t>Non-Exclusive Remedy</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(g)</w:t>
            </w:r>
          </w:p>
        </w:tc>
        <w:tc>
          <w:tcPr>
            <w:tcW w:w="8420" w:type="dxa"/>
            <w:vAlign w:val="bottom"/>
          </w:tcPr>
          <w:p>
            <w:pPr>
              <w:ind w:left="260"/>
              <w:spacing w:after="0"/>
              <w:rPr>
                <w:sz w:val="20"/>
                <w:szCs w:val="20"/>
                <w:color w:val="auto"/>
              </w:rPr>
            </w:pPr>
            <w:r>
              <w:rPr>
                <w:rFonts w:ascii="Arial" w:cs="Arial" w:eastAsia="Arial" w:hAnsi="Arial"/>
                <w:sz w:val="18"/>
                <w:szCs w:val="18"/>
                <w:color w:val="auto"/>
              </w:rPr>
              <w:t>Survival</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65"/>
        </w:trPr>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20" w:type="dxa"/>
            <w:vAlign w:val="bottom"/>
          </w:tcPr>
          <w:p>
            <w:pPr>
              <w:ind w:left="3800"/>
              <w:spacing w:after="0"/>
              <w:rPr>
                <w:sz w:val="20"/>
                <w:szCs w:val="20"/>
                <w:color w:val="auto"/>
              </w:rPr>
            </w:pPr>
            <w:r>
              <w:rPr>
                <w:rFonts w:ascii="Arial" w:cs="Arial" w:eastAsia="Arial" w:hAnsi="Arial"/>
                <w:sz w:val="18"/>
                <w:szCs w:val="18"/>
                <w:color w:val="auto"/>
              </w:rPr>
              <w:t>Page iii</w:t>
            </w:r>
          </w:p>
        </w:tc>
        <w:tc>
          <w:tcPr>
            <w:tcW w:w="1260" w:type="dxa"/>
            <w:vAlign w:val="bottom"/>
          </w:tcPr>
          <w:p>
            <w:pPr>
              <w:spacing w:after="0"/>
              <w:rPr>
                <w:sz w:val="24"/>
                <w:szCs w:val="24"/>
                <w:color w:val="auto"/>
              </w:rPr>
            </w:pPr>
          </w:p>
        </w:tc>
      </w:tr>
    </w:tbl>
    <w:p>
      <w:pPr>
        <w:sectPr>
          <w:pgSz w:w="11900" w:h="16838" w:orient="portrait"/>
          <w:cols w:equalWidth="0" w:num="1">
            <w:col w:w="11320"/>
          </w:cols>
          <w:pgMar w:left="240" w:top="269" w:right="339" w:bottom="1440" w:gutter="0" w:footer="0" w:header="0"/>
        </w:sectPr>
      </w:pPr>
    </w:p>
    <w:bookmarkStart w:id="453" w:name="page454"/>
    <w:bookmarkEnd w:id="45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6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ARTICLE 12</w:t>
            </w:r>
          </w:p>
        </w:tc>
        <w:tc>
          <w:tcPr>
            <w:tcW w:w="480" w:type="dxa"/>
            <w:vAlign w:val="bottom"/>
          </w:tcPr>
          <w:p>
            <w:pPr>
              <w:spacing w:after="0"/>
              <w:rPr>
                <w:sz w:val="20"/>
                <w:szCs w:val="20"/>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REPRESENTATIONS AND WARRANTIES</w:t>
            </w:r>
          </w:p>
        </w:tc>
        <w:tc>
          <w:tcPr>
            <w:tcW w:w="2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12.1</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Representations, Warranties and Covenants By Both Parties</w:t>
            </w:r>
          </w:p>
        </w:tc>
        <w:tc>
          <w:tcPr>
            <w:tcW w:w="2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12.2</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AC Immune Representations, Warranties and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12.3</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Disclaimer</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13</w:t>
            </w:r>
          </w:p>
        </w:tc>
        <w:tc>
          <w:tcPr>
            <w:tcW w:w="4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INDEMNIFICATION, INSURANCE AND LIABILITY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13.1</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Indemnification by AC Immune</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13.2</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Indemnification by Piramal</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13.3</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Limitations on Indemnification</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13.4</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Limitation on Liability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13.5</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Insurance</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14</w:t>
            </w:r>
          </w:p>
        </w:tc>
        <w:tc>
          <w:tcPr>
            <w:tcW w:w="4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14.1</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General</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14.2</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Failure of Executive Officers to Resolve Dispute</w:t>
            </w:r>
          </w:p>
        </w:tc>
        <w:tc>
          <w:tcPr>
            <w:tcW w:w="2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14.3</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Binding Arbitration</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14.4</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Arbitrators</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14.5</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Judgment</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14.6</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Injunctive Relief</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14.7</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Award</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14.8</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Costs</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14.9</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Confidentiality</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14.10</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Patent Disputes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15</w:t>
            </w:r>
          </w:p>
        </w:tc>
        <w:tc>
          <w:tcPr>
            <w:tcW w:w="480" w:type="dxa"/>
            <w:vAlign w:val="bottom"/>
          </w:tcPr>
          <w:p>
            <w:pPr>
              <w:spacing w:after="0"/>
              <w:rPr>
                <w:sz w:val="24"/>
                <w:szCs w:val="24"/>
                <w:color w:val="auto"/>
              </w:rPr>
            </w:pPr>
          </w:p>
        </w:tc>
        <w:tc>
          <w:tcPr>
            <w:tcW w:w="706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15.1</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Governing Law</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15.2</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Compliance with Laws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15.3</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Assignment of Rights and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(a)</w:t>
            </w:r>
          </w:p>
        </w:tc>
        <w:tc>
          <w:tcPr>
            <w:tcW w:w="7060" w:type="dxa"/>
            <w:vAlign w:val="bottom"/>
          </w:tcPr>
          <w:p>
            <w:pPr>
              <w:ind w:left="260"/>
              <w:spacing w:after="0"/>
              <w:rPr>
                <w:sz w:val="20"/>
                <w:szCs w:val="20"/>
                <w:color w:val="auto"/>
              </w:rPr>
            </w:pPr>
            <w:r>
              <w:rPr>
                <w:rFonts w:ascii="Arial" w:cs="Arial" w:eastAsia="Arial" w:hAnsi="Arial"/>
                <w:sz w:val="18"/>
                <w:szCs w:val="18"/>
                <w:color w:val="auto"/>
              </w:rPr>
              <w:t>General Rule</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w:t>
            </w:r>
          </w:p>
        </w:tc>
        <w:tc>
          <w:tcPr>
            <w:tcW w:w="7060" w:type="dxa"/>
            <w:vAlign w:val="bottom"/>
          </w:tcPr>
          <w:p>
            <w:pPr>
              <w:ind w:left="260"/>
              <w:spacing w:after="0"/>
              <w:rPr>
                <w:sz w:val="20"/>
                <w:szCs w:val="20"/>
                <w:color w:val="auto"/>
              </w:rPr>
            </w:pPr>
            <w:r>
              <w:rPr>
                <w:rFonts w:ascii="Arial" w:cs="Arial" w:eastAsia="Arial" w:hAnsi="Arial"/>
                <w:sz w:val="18"/>
                <w:szCs w:val="18"/>
                <w:color w:val="auto"/>
              </w:rPr>
              <w:t>Assignment in Case of a Change of Control and to Affiliates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15.4</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Further Actions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15.5</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Force Majeure</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15.6</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Representation by Legal Counsel</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60" w:type="dxa"/>
            <w:vAlign w:val="bottom"/>
          </w:tcPr>
          <w:p>
            <w:pPr>
              <w:ind w:left="360"/>
              <w:spacing w:after="0"/>
              <w:rPr>
                <w:sz w:val="20"/>
                <w:szCs w:val="20"/>
                <w:color w:val="auto"/>
              </w:rPr>
            </w:pPr>
            <w:r>
              <w:rPr>
                <w:rFonts w:ascii="Arial" w:cs="Arial" w:eastAsia="Arial" w:hAnsi="Arial"/>
                <w:sz w:val="18"/>
                <w:szCs w:val="18"/>
                <w:color w:val="auto"/>
              </w:rPr>
              <w:t>15.7</w:t>
            </w:r>
          </w:p>
        </w:tc>
        <w:tc>
          <w:tcPr>
            <w:tcW w:w="7540" w:type="dxa"/>
            <w:vAlign w:val="bottom"/>
            <w:gridSpan w:val="2"/>
          </w:tcPr>
          <w:p>
            <w:pPr>
              <w:ind w:left="180"/>
              <w:spacing w:after="0"/>
              <w:rPr>
                <w:sz w:val="20"/>
                <w:szCs w:val="20"/>
                <w:color w:val="auto"/>
              </w:rPr>
            </w:pPr>
            <w:r>
              <w:rPr>
                <w:rFonts w:ascii="Arial" w:cs="Arial" w:eastAsia="Arial" w:hAnsi="Arial"/>
                <w:sz w:val="18"/>
                <w:szCs w:val="18"/>
                <w:color w:val="auto"/>
              </w:rPr>
              <w:t>Notices</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65"/>
        </w:trPr>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60" w:type="dxa"/>
            <w:vAlign w:val="bottom"/>
          </w:tcPr>
          <w:p>
            <w:pPr>
              <w:ind w:left="3800"/>
              <w:spacing w:after="0"/>
              <w:rPr>
                <w:sz w:val="20"/>
                <w:szCs w:val="20"/>
                <w:color w:val="auto"/>
              </w:rPr>
            </w:pPr>
            <w:r>
              <w:rPr>
                <w:rFonts w:ascii="Arial" w:cs="Arial" w:eastAsia="Arial" w:hAnsi="Arial"/>
                <w:sz w:val="18"/>
                <w:szCs w:val="18"/>
                <w:color w:val="auto"/>
              </w:rPr>
              <w:t>Page iv</w:t>
            </w:r>
          </w:p>
        </w:tc>
        <w:tc>
          <w:tcPr>
            <w:tcW w:w="262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454" w:name="page455"/>
    <w:bookmarkEnd w:id="454"/>
    <w:p>
      <w:pPr>
        <w:jc w:val="center"/>
        <w:ind w:right="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2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15.8</w:t>
            </w:r>
          </w:p>
        </w:tc>
        <w:tc>
          <w:tcPr>
            <w:tcW w:w="3300" w:type="dxa"/>
            <w:vAlign w:val="bottom"/>
          </w:tcPr>
          <w:p>
            <w:pPr>
              <w:ind w:left="280"/>
              <w:spacing w:after="0"/>
              <w:rPr>
                <w:sz w:val="20"/>
                <w:szCs w:val="20"/>
                <w:color w:val="auto"/>
              </w:rPr>
            </w:pPr>
            <w:r>
              <w:rPr>
                <w:rFonts w:ascii="Arial" w:cs="Arial" w:eastAsia="Arial" w:hAnsi="Arial"/>
                <w:sz w:val="18"/>
                <w:szCs w:val="18"/>
                <w:color w:val="auto"/>
              </w:rPr>
              <w:t>Entire Agreement</w:t>
            </w:r>
          </w:p>
        </w:tc>
        <w:tc>
          <w:tcPr>
            <w:tcW w:w="6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15.9</w:t>
            </w:r>
          </w:p>
        </w:tc>
        <w:tc>
          <w:tcPr>
            <w:tcW w:w="3300" w:type="dxa"/>
            <w:vAlign w:val="bottom"/>
          </w:tcPr>
          <w:p>
            <w:pPr>
              <w:ind w:left="280"/>
              <w:spacing w:after="0"/>
              <w:rPr>
                <w:sz w:val="20"/>
                <w:szCs w:val="20"/>
                <w:color w:val="auto"/>
              </w:rPr>
            </w:pPr>
            <w:r>
              <w:rPr>
                <w:rFonts w:ascii="Arial" w:cs="Arial" w:eastAsia="Arial" w:hAnsi="Arial"/>
                <w:sz w:val="18"/>
                <w:szCs w:val="18"/>
                <w:color w:val="auto"/>
              </w:rPr>
              <w:t>Amendment</w:t>
            </w:r>
          </w:p>
        </w:tc>
        <w:tc>
          <w:tcPr>
            <w:tcW w:w="6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15.10</w:t>
            </w:r>
          </w:p>
        </w:tc>
        <w:tc>
          <w:tcPr>
            <w:tcW w:w="3300" w:type="dxa"/>
            <w:vAlign w:val="bottom"/>
          </w:tcPr>
          <w:p>
            <w:pPr>
              <w:ind w:left="280"/>
              <w:spacing w:after="0"/>
              <w:rPr>
                <w:sz w:val="20"/>
                <w:szCs w:val="20"/>
                <w:color w:val="auto"/>
              </w:rPr>
            </w:pPr>
            <w:r>
              <w:rPr>
                <w:rFonts w:ascii="Arial" w:cs="Arial" w:eastAsia="Arial" w:hAnsi="Arial"/>
                <w:sz w:val="18"/>
                <w:szCs w:val="18"/>
                <w:color w:val="auto"/>
              </w:rPr>
              <w:t>Waiver</w:t>
            </w:r>
          </w:p>
        </w:tc>
        <w:tc>
          <w:tcPr>
            <w:tcW w:w="6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15.11</w:t>
            </w:r>
          </w:p>
        </w:tc>
        <w:tc>
          <w:tcPr>
            <w:tcW w:w="330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69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15.12</w:t>
            </w:r>
          </w:p>
        </w:tc>
        <w:tc>
          <w:tcPr>
            <w:tcW w:w="3300" w:type="dxa"/>
            <w:vAlign w:val="bottom"/>
          </w:tcPr>
          <w:p>
            <w:pPr>
              <w:ind w:left="280"/>
              <w:spacing w:after="0"/>
              <w:rPr>
                <w:sz w:val="20"/>
                <w:szCs w:val="20"/>
                <w:color w:val="auto"/>
              </w:rPr>
            </w:pPr>
            <w:r>
              <w:rPr>
                <w:rFonts w:ascii="Arial" w:cs="Arial" w:eastAsia="Arial" w:hAnsi="Arial"/>
                <w:sz w:val="18"/>
                <w:szCs w:val="18"/>
                <w:color w:val="auto"/>
              </w:rPr>
              <w:t>Relationship of the Parties</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15.13</w:t>
            </w:r>
          </w:p>
        </w:tc>
        <w:tc>
          <w:tcPr>
            <w:tcW w:w="3300" w:type="dxa"/>
            <w:vAlign w:val="bottom"/>
          </w:tcPr>
          <w:p>
            <w:pPr>
              <w:ind w:left="280"/>
              <w:spacing w:after="0"/>
              <w:rPr>
                <w:sz w:val="20"/>
                <w:szCs w:val="20"/>
                <w:color w:val="auto"/>
              </w:rPr>
            </w:pPr>
            <w:r>
              <w:rPr>
                <w:rFonts w:ascii="Arial" w:cs="Arial" w:eastAsia="Arial" w:hAnsi="Arial"/>
                <w:sz w:val="18"/>
                <w:szCs w:val="18"/>
                <w:color w:val="auto"/>
              </w:rPr>
              <w:t>Interpretation</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15.14</w:t>
            </w:r>
          </w:p>
        </w:tc>
        <w:tc>
          <w:tcPr>
            <w:tcW w:w="3300" w:type="dxa"/>
            <w:vAlign w:val="bottom"/>
          </w:tcPr>
          <w:p>
            <w:pPr>
              <w:ind w:left="280"/>
              <w:spacing w:after="0"/>
              <w:rPr>
                <w:sz w:val="20"/>
                <w:szCs w:val="20"/>
                <w:color w:val="auto"/>
              </w:rPr>
            </w:pPr>
            <w:r>
              <w:rPr>
                <w:rFonts w:ascii="Arial" w:cs="Arial" w:eastAsia="Arial" w:hAnsi="Arial"/>
                <w:sz w:val="18"/>
                <w:szCs w:val="18"/>
                <w:color w:val="auto"/>
              </w:rPr>
              <w:t>Third Party Beneficiaries</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15.15</w:t>
            </w:r>
          </w:p>
        </w:tc>
        <w:tc>
          <w:tcPr>
            <w:tcW w:w="3300" w:type="dxa"/>
            <w:vAlign w:val="bottom"/>
          </w:tcPr>
          <w:p>
            <w:pPr>
              <w:ind w:left="280"/>
              <w:spacing w:after="0"/>
              <w:rPr>
                <w:sz w:val="20"/>
                <w:szCs w:val="20"/>
                <w:color w:val="auto"/>
              </w:rPr>
            </w:pPr>
            <w:r>
              <w:rPr>
                <w:rFonts w:ascii="Arial" w:cs="Arial" w:eastAsia="Arial" w:hAnsi="Arial"/>
                <w:sz w:val="18"/>
                <w:szCs w:val="18"/>
                <w:color w:val="auto"/>
              </w:rPr>
              <w:t>Counterparts</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65"/>
        </w:trPr>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960" w:type="dxa"/>
            <w:vAlign w:val="bottom"/>
          </w:tcPr>
          <w:p>
            <w:pPr>
              <w:jc w:val="right"/>
              <w:ind w:right="5270"/>
              <w:spacing w:after="0"/>
              <w:rPr>
                <w:sz w:val="20"/>
                <w:szCs w:val="20"/>
                <w:color w:val="auto"/>
              </w:rPr>
            </w:pPr>
            <w:r>
              <w:rPr>
                <w:rFonts w:ascii="Arial" w:cs="Arial" w:eastAsia="Arial" w:hAnsi="Arial"/>
                <w:sz w:val="18"/>
                <w:szCs w:val="18"/>
                <w:color w:val="auto"/>
              </w:rPr>
              <w:t>Page v</w:t>
            </w:r>
          </w:p>
        </w:tc>
      </w:tr>
    </w:tbl>
    <w:p>
      <w:pPr>
        <w:sectPr>
          <w:pgSz w:w="11900" w:h="16838" w:orient="portrait"/>
          <w:cols w:equalWidth="0" w:num="1">
            <w:col w:w="10960"/>
          </w:cols>
          <w:pgMar w:left="600" w:top="270" w:right="339" w:bottom="1440" w:gutter="0" w:footer="0" w:header="0"/>
        </w:sectPr>
      </w:pPr>
    </w:p>
    <w:bookmarkStart w:id="455" w:name="page456"/>
    <w:bookmarkEnd w:id="4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AND COLLABORATION AGREEMENT</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LICENSE AND COLLABORATION AGREEMENT (hereinafter “</w:t>
      </w:r>
      <w:r>
        <w:rPr>
          <w:rFonts w:ascii="Arial" w:cs="Arial" w:eastAsia="Arial" w:hAnsi="Arial"/>
          <w:sz w:val="17"/>
          <w:szCs w:val="17"/>
          <w:b w:val="1"/>
          <w:bCs w:val="1"/>
          <w:color w:val="auto"/>
        </w:rPr>
        <w:t>Agreement</w:t>
      </w:r>
      <w:r>
        <w:rPr>
          <w:rFonts w:ascii="Arial" w:cs="Arial" w:eastAsia="Arial" w:hAnsi="Arial"/>
          <w:sz w:val="17"/>
          <w:szCs w:val="17"/>
          <w:color w:val="auto"/>
        </w:rPr>
        <w:t>”) is effective as of May 7, 2014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Piramal Imaging Ltd., incorporated under the Laws of England and Wales, having its principal place of business at 23, Science Park, Cambridge-CB4 0EY, United Kingdom (hereinafter “</w:t>
      </w:r>
      <w:r>
        <w:rPr>
          <w:rFonts w:ascii="Arial" w:cs="Arial" w:eastAsia="Arial" w:hAnsi="Arial"/>
          <w:sz w:val="17"/>
          <w:szCs w:val="17"/>
          <w:b w:val="1"/>
          <w:bCs w:val="1"/>
          <w:color w:val="auto"/>
        </w:rPr>
        <w:t>Piramal Imaging Ltd</w:t>
      </w:r>
      <w:r>
        <w:rPr>
          <w:rFonts w:ascii="Arial" w:cs="Arial" w:eastAsia="Arial" w:hAnsi="Arial"/>
          <w:sz w:val="17"/>
          <w:szCs w:val="17"/>
          <w:color w:val="auto"/>
        </w:rPr>
        <w:t>”), and its parent company, Piramal Imaging SA, incorporated under the laws of Switzerland, having its principal place of business at Route de l’Ecole, c/o Pascal Nguyen, 1753 Matran, Switzerland (hereinafter “</w:t>
      </w:r>
      <w:r>
        <w:rPr>
          <w:rFonts w:ascii="Arial" w:cs="Arial" w:eastAsia="Arial" w:hAnsi="Arial"/>
          <w:sz w:val="17"/>
          <w:szCs w:val="17"/>
          <w:b w:val="1"/>
          <w:bCs w:val="1"/>
          <w:color w:val="auto"/>
        </w:rPr>
        <w:t>Piramal Imaging SA</w:t>
      </w:r>
      <w:r>
        <w:rPr>
          <w:rFonts w:ascii="Arial" w:cs="Arial" w:eastAsia="Arial" w:hAnsi="Arial"/>
          <w:sz w:val="17"/>
          <w:szCs w:val="17"/>
          <w:color w:val="auto"/>
        </w:rPr>
        <w:t>”) (Piramal Imaging Ltd and Piramal Imaging SA hereinafter together referred to as “</w:t>
      </w:r>
      <w:r>
        <w:rPr>
          <w:rFonts w:ascii="Arial" w:cs="Arial" w:eastAsia="Arial" w:hAnsi="Arial"/>
          <w:sz w:val="17"/>
          <w:szCs w:val="17"/>
          <w:b w:val="1"/>
          <w:bCs w:val="1"/>
          <w:color w:val="auto"/>
        </w:rPr>
        <w:t>Piramal</w:t>
      </w:r>
      <w:r>
        <w:rPr>
          <w:rFonts w:ascii="Arial" w:cs="Arial" w:eastAsia="Arial" w:hAnsi="Arial"/>
          <w:sz w:val="17"/>
          <w:szCs w:val="17"/>
          <w:color w:val="auto"/>
        </w:rPr>
        <w:t>”), and AC Immune SA, incorporated under the laws of Switzerland, having its principal place of business at EPFL Innovation Park, Building B, 1015 Lausanne, Switzerland (hereinafter “</w:t>
      </w:r>
      <w:r>
        <w:rPr>
          <w:rFonts w:ascii="Arial" w:cs="Arial" w:eastAsia="Arial" w:hAnsi="Arial"/>
          <w:sz w:val="17"/>
          <w:szCs w:val="17"/>
          <w:b w:val="1"/>
          <w:bCs w:val="1"/>
          <w:color w:val="auto"/>
        </w:rPr>
        <w:t>AC Immune</w:t>
      </w:r>
      <w:r>
        <w:rPr>
          <w:rFonts w:ascii="Arial" w:cs="Arial" w:eastAsia="Arial" w:hAnsi="Arial"/>
          <w:sz w:val="17"/>
          <w:szCs w:val="17"/>
          <w:color w:val="auto"/>
        </w:rPr>
        <w:t>”) (each AC Immune and Piramal hereinafter referred to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jointly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7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HEREAS</w:t>
      </w:r>
      <w:r>
        <w:rPr>
          <w:rFonts w:ascii="Arial" w:cs="Arial" w:eastAsia="Arial" w:hAnsi="Arial"/>
          <w:sz w:val="18"/>
          <w:szCs w:val="18"/>
          <w:color w:val="auto"/>
        </w:rPr>
        <w:t>, AC Immune is a leader in the discovery and development of novel therapeutics for the treatment and diagnosis of Alzheimer’s disease (“</w:t>
      </w:r>
      <w:r>
        <w:rPr>
          <w:rFonts w:ascii="Arial" w:cs="Arial" w:eastAsia="Arial" w:hAnsi="Arial"/>
          <w:sz w:val="18"/>
          <w:szCs w:val="18"/>
          <w:b w:val="1"/>
          <w:bCs w:val="1"/>
          <w:color w:val="auto"/>
        </w:rPr>
        <w:t>AD</w:t>
      </w:r>
      <w:r>
        <w:rPr>
          <w:rFonts w:ascii="Arial" w:cs="Arial" w:eastAsia="Arial" w:hAnsi="Arial"/>
          <w:sz w:val="18"/>
          <w:szCs w:val="18"/>
          <w:color w:val="auto"/>
        </w:rPr>
        <w:t>”) and has discovered using its Morphomer™ chemistry platform and is developing certain potential therapeutic and diagnostic compounds targeting proteins implicated in the pathology of AD, including Tau protein.</w:t>
      </w:r>
    </w:p>
    <w:p>
      <w:pPr>
        <w:spacing w:after="0" w:line="18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HEREAS</w:t>
      </w:r>
      <w:r>
        <w:rPr>
          <w:rFonts w:ascii="Arial" w:cs="Arial" w:eastAsia="Arial" w:hAnsi="Arial"/>
          <w:sz w:val="18"/>
          <w:szCs w:val="18"/>
          <w:color w:val="auto"/>
        </w:rPr>
        <w:t>, AC Immune has identified a series of compounds that bind selectively to Tau protein; and one or more of such compounds may, if modified to include a radioactive isotope, be useful as a positron emission tomography (“</w:t>
      </w:r>
      <w:r>
        <w:rPr>
          <w:rFonts w:ascii="Arial" w:cs="Arial" w:eastAsia="Arial" w:hAnsi="Arial"/>
          <w:sz w:val="18"/>
          <w:szCs w:val="18"/>
          <w:b w:val="1"/>
          <w:bCs w:val="1"/>
          <w:color w:val="auto"/>
        </w:rPr>
        <w:t>PET</w:t>
      </w:r>
      <w:r>
        <w:rPr>
          <w:rFonts w:ascii="Arial" w:cs="Arial" w:eastAsia="Arial" w:hAnsi="Arial"/>
          <w:sz w:val="18"/>
          <w:szCs w:val="18"/>
          <w:color w:val="auto"/>
        </w:rPr>
        <w:t>”) imaging agent that would bind selectively to Tau protein and aid the detection and monitoring of AD and other neurodegenerative diseases.</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HEREAS</w:t>
      </w:r>
      <w:r>
        <w:rPr>
          <w:rFonts w:ascii="Arial" w:cs="Arial" w:eastAsia="Arial" w:hAnsi="Arial"/>
          <w:sz w:val="18"/>
          <w:szCs w:val="18"/>
          <w:color w:val="auto"/>
        </w:rPr>
        <w:t>, Piramal Imaging SA is an innovator in the discovery, development and commercialization of novel imaging agents for molecular imaging, including PET neuroimaging agents that bind selectively to a protein.</w:t>
      </w:r>
    </w:p>
    <w:p>
      <w:pPr>
        <w:spacing w:after="0" w:line="170"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HEREAS</w:t>
      </w:r>
      <w:r>
        <w:rPr>
          <w:rFonts w:ascii="Arial" w:cs="Arial" w:eastAsia="Arial" w:hAnsi="Arial"/>
          <w:sz w:val="18"/>
          <w:szCs w:val="18"/>
          <w:color w:val="auto"/>
        </w:rPr>
        <w:t>, Piramal Imaging SA is interested in collaborating with AC Immune to evaluate and develop certain of AC Immune’s Tau protein selective compounds as a PET imaging agent that binds selectively to Tau protein for detection and monitoring of Tau protein in patients with AD and other neurodegenerative diseases.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w:t>
      </w:r>
      <w:r>
        <w:rPr>
          <w:rFonts w:ascii="Arial" w:cs="Arial" w:eastAsia="Arial" w:hAnsi="Arial"/>
          <w:sz w:val="14"/>
          <w:szCs w:val="14"/>
          <w:color w:val="auto"/>
        </w:rPr>
        <w:t>HEREAS</w:t>
      </w:r>
      <w:r>
        <w:rPr>
          <w:rFonts w:ascii="Arial" w:cs="Arial" w:eastAsia="Arial" w:hAnsi="Arial"/>
          <w:sz w:val="17"/>
          <w:szCs w:val="17"/>
          <w:color w:val="auto"/>
        </w:rPr>
        <w:t>, if such development efforts are successful, Piramal Imaging Ltd, under license from Piramal Imaging SA, wishes to manufacture and commercialize a Tau protein selective PET imaging agent as a diagnostic commercial product, including for use in [*****] pharmaceutical or biotechnology companies’ clinical trials for potential therapeutic products directed to AD and other diseases where Tau protein has been implicated.</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w:t>
      </w:r>
      <w:r>
        <w:rPr>
          <w:rFonts w:ascii="Arial" w:cs="Arial" w:eastAsia="Arial" w:hAnsi="Arial"/>
          <w:sz w:val="15"/>
          <w:szCs w:val="15"/>
          <w:color w:val="auto"/>
        </w:rPr>
        <w:t>OW</w:t>
      </w:r>
      <w:r>
        <w:rPr>
          <w:rFonts w:ascii="Arial" w:cs="Arial" w:eastAsia="Arial" w:hAnsi="Arial"/>
          <w:sz w:val="18"/>
          <w:szCs w:val="18"/>
          <w:color w:val="auto"/>
        </w:rPr>
        <w:t xml:space="preserve"> T</w:t>
      </w:r>
      <w:r>
        <w:rPr>
          <w:rFonts w:ascii="Arial" w:cs="Arial" w:eastAsia="Arial" w:hAnsi="Arial"/>
          <w:sz w:val="15"/>
          <w:szCs w:val="15"/>
          <w:color w:val="auto"/>
        </w:rPr>
        <w:t>HEREFORE</w:t>
      </w:r>
      <w:r>
        <w:rPr>
          <w:rFonts w:ascii="Arial" w:cs="Arial" w:eastAsia="Arial" w:hAnsi="Arial"/>
          <w:sz w:val="18"/>
          <w:szCs w:val="18"/>
          <w:color w:val="auto"/>
        </w:rPr>
        <w:t>, in consideration of the mutual covenants and agreements provided herein below and other consideration, the receipt and sufficiency of which is hereby acknowledged, the Parties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the following terms, when capitalized, whether used in the singular or plural, shall have the following meanings: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69" w:right="239" w:bottom="1440" w:gutter="0" w:footer="0" w:header="0"/>
        </w:sectPr>
      </w:pPr>
    </w:p>
    <w:bookmarkStart w:id="456" w:name="page457"/>
    <w:bookmarkEnd w:id="4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60" w:hanging="796"/>
        <w:spacing w:after="0" w:line="266" w:lineRule="auto"/>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Background IP</w:t>
      </w:r>
      <w:r>
        <w:rPr>
          <w:rFonts w:ascii="Arial" w:cs="Arial" w:eastAsia="Arial" w:hAnsi="Arial"/>
          <w:sz w:val="18"/>
          <w:szCs w:val="18"/>
          <w:color w:val="auto"/>
        </w:rPr>
        <w:t>” means all Patents and Know-How that is (a) Controlled by AC Immune as of the Effective Date, and (b) becomes Controlled by AC Immune on or after the Effective Date outside the scope of AC Immune’s activities under this Agreement; but in each case [*****]</w:t>
      </w:r>
    </w:p>
    <w:p>
      <w:pPr>
        <w:spacing w:after="0" w:line="82" w:lineRule="exact"/>
        <w:rPr>
          <w:sz w:val="20"/>
          <w:szCs w:val="20"/>
          <w:color w:val="auto"/>
        </w:rPr>
      </w:pPr>
    </w:p>
    <w:p>
      <w:pPr>
        <w:ind w:left="800" w:right="220" w:hanging="796"/>
        <w:spacing w:after="0" w:line="282" w:lineRule="auto"/>
        <w:tabs>
          <w:tab w:leader="none" w:pos="7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Imaging Compounds</w:t>
      </w:r>
      <w:r>
        <w:rPr>
          <w:rFonts w:ascii="Arial" w:cs="Arial" w:eastAsia="Arial" w:hAnsi="Arial"/>
          <w:sz w:val="18"/>
          <w:szCs w:val="18"/>
          <w:color w:val="auto"/>
        </w:rPr>
        <w:t>” means those Compounds claimed in any AC Immune Tau Protein Imaging Patent, including in the Patent application(s) listed on Exhibit A.</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 Immune Indemnitee</w:t>
      </w:r>
      <w:r>
        <w:rPr>
          <w:rFonts w:ascii="Arial" w:cs="Arial" w:eastAsia="Arial" w:hAnsi="Arial"/>
          <w:sz w:val="16"/>
          <w:szCs w:val="16"/>
          <w:color w:val="auto"/>
        </w:rPr>
        <w:t>” is defined in Section 13.2.</w:t>
      </w:r>
    </w:p>
    <w:p>
      <w:pPr>
        <w:spacing w:after="0" w:line="131" w:lineRule="exact"/>
        <w:rPr>
          <w:sz w:val="20"/>
          <w:szCs w:val="20"/>
          <w:color w:val="auto"/>
        </w:rPr>
      </w:pPr>
    </w:p>
    <w:p>
      <w:pPr>
        <w:ind w:left="800" w:right="260" w:hanging="796"/>
        <w:spacing w:after="0" w:line="282" w:lineRule="auto"/>
        <w:tabs>
          <w:tab w:leader="none" w:pos="7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Tau Protein Imaging IP</w:t>
      </w:r>
      <w:r>
        <w:rPr>
          <w:rFonts w:ascii="Arial" w:cs="Arial" w:eastAsia="Arial" w:hAnsi="Arial"/>
          <w:sz w:val="18"/>
          <w:szCs w:val="18"/>
          <w:color w:val="auto"/>
        </w:rPr>
        <w:t>” means the AC Immune Tau Protein Imaging Patents and the AC Immune Tau Protein Imaging Know-How</w:t>
      </w:r>
      <w:r>
        <w:rPr>
          <w:rFonts w:ascii="Arial" w:cs="Arial" w:eastAsia="Arial" w:hAnsi="Arial"/>
          <w:sz w:val="18"/>
          <w:szCs w:val="18"/>
          <w:b w:val="1"/>
          <w:bCs w:val="1"/>
          <w:color w:val="auto"/>
        </w:rPr>
        <w:t>.</w:t>
      </w:r>
    </w:p>
    <w:p>
      <w:pPr>
        <w:spacing w:after="0" w:line="67" w:lineRule="exact"/>
        <w:rPr>
          <w:sz w:val="20"/>
          <w:szCs w:val="20"/>
          <w:color w:val="auto"/>
        </w:rPr>
      </w:pPr>
    </w:p>
    <w:p>
      <w:pPr>
        <w:ind w:left="800" w:right="60" w:hanging="796"/>
        <w:spacing w:after="0" w:line="282" w:lineRule="auto"/>
        <w:tabs>
          <w:tab w:leader="none" w:pos="7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Tau Protein Imaging Know-How</w:t>
      </w:r>
      <w:r>
        <w:rPr>
          <w:rFonts w:ascii="Arial" w:cs="Arial" w:eastAsia="Arial" w:hAnsi="Arial"/>
          <w:sz w:val="18"/>
          <w:szCs w:val="18"/>
          <w:color w:val="auto"/>
        </w:rPr>
        <w:t>” means all Know-How that: (a) is Controlled by AC Immune on the Effective Date or thereafter during the Term; and (b) relates to Compounds, but [*****]</w:t>
      </w:r>
    </w:p>
    <w:p>
      <w:pPr>
        <w:spacing w:after="0" w:line="67" w:lineRule="exact"/>
        <w:rPr>
          <w:sz w:val="20"/>
          <w:szCs w:val="20"/>
          <w:color w:val="auto"/>
        </w:rPr>
      </w:pPr>
    </w:p>
    <w:p>
      <w:pPr>
        <w:ind w:left="800" w:right="100" w:hanging="796"/>
        <w:spacing w:after="0" w:line="261" w:lineRule="auto"/>
        <w:tabs>
          <w:tab w:leader="none" w:pos="7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Tau Protein Imaging Patents</w:t>
      </w:r>
      <w:r>
        <w:rPr>
          <w:rFonts w:ascii="Arial" w:cs="Arial" w:eastAsia="Arial" w:hAnsi="Arial"/>
          <w:sz w:val="18"/>
          <w:szCs w:val="18"/>
          <w:color w:val="auto"/>
        </w:rPr>
        <w:t>” means: (a) the Patents listed on Exhibit A; (b) all Patents that claim priority to the Patents listed on Exhibit A; and (c) all Patents that are owned or Controlled by AC Immune at any time during the Term that relate to the manufacture, use, sale or importation of Compounds that exist as of the Effective Date in the Field, including composition of matter or methods of using Compounds and Compound Inventions created after the Effective Date, but [*****]</w:t>
      </w:r>
    </w:p>
    <w:p>
      <w:pPr>
        <w:spacing w:after="0" w:line="86" w:lineRule="exact"/>
        <w:rPr>
          <w:sz w:val="20"/>
          <w:szCs w:val="20"/>
          <w:color w:val="auto"/>
        </w:rPr>
      </w:pPr>
    </w:p>
    <w:p>
      <w:pPr>
        <w:ind w:left="800" w:right="400" w:hanging="796"/>
        <w:spacing w:after="0" w:line="282" w:lineRule="auto"/>
        <w:tabs>
          <w:tab w:leader="none" w:pos="7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 Immune Therapeutic Agent</w:t>
      </w:r>
      <w:r>
        <w:rPr>
          <w:rFonts w:ascii="Arial" w:cs="Arial" w:eastAsia="Arial" w:hAnsi="Arial"/>
          <w:sz w:val="18"/>
          <w:szCs w:val="18"/>
          <w:color w:val="auto"/>
        </w:rPr>
        <w:t>” means any [*****] which are Controlled by AC Immune at or after the Effective Date, including any AC Immune Therapeutic Agents that are or will be the subject of a Third Party license, but [*****]</w:t>
      </w:r>
    </w:p>
    <w:p>
      <w:pPr>
        <w:spacing w:after="0" w:line="67" w:lineRule="exact"/>
        <w:rPr>
          <w:sz w:val="20"/>
          <w:szCs w:val="20"/>
          <w:color w:val="auto"/>
        </w:rPr>
      </w:pPr>
    </w:p>
    <w:p>
      <w:pPr>
        <w:ind w:left="800" w:right="40" w:hanging="796"/>
        <w:spacing w:after="0" w:line="261" w:lineRule="auto"/>
        <w:tabs>
          <w:tab w:leader="none" w:pos="7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Party, any person, corporation, firm, joint venture or other entity which, directly or indirectly, through one or more intermediates, controls, is controlled by or is under common control with such Party. As used in this definition, “control” means the possession of the majority of ownership, or the power to direct or cause the direction of the management and policies of an entity, whether through the ownership of the outstanding voting securities or by contract or otherwise.</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Annual Net Sales</w:t>
      </w:r>
      <w:r>
        <w:rPr>
          <w:rFonts w:ascii="Arial" w:cs="Arial" w:eastAsia="Arial" w:hAnsi="Arial"/>
          <w:sz w:val="16"/>
          <w:szCs w:val="16"/>
          <w:color w:val="auto"/>
        </w:rPr>
        <w:t>” means, with respect to a particular calendar year, [*****] during such calendar year.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0" w:right="239" w:bottom="1440" w:gutter="0" w:footer="0" w:header="0"/>
        </w:sectPr>
      </w:pPr>
    </w:p>
    <w:bookmarkStart w:id="457" w:name="page458"/>
    <w:bookmarkEnd w:id="4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20" w:hanging="796"/>
        <w:spacing w:after="0" w:line="281" w:lineRule="auto"/>
        <w:tabs>
          <w:tab w:leader="none" w:pos="7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with respect to a Party, (a) the sale of all or substantially all of such Party’s tangible and intangible assets or business relating to this Agreement; or (b) the merger, consolidation, sale of substantially all of such Party’s assets or similar transaction or series of transactions, as a result of which such Party’s shareholders before such transaction or series of transactions own less than fifty percent (50%) of the total number of voting securities of the surviving entity immediately after such transaction or series of transactions.</w:t>
      </w:r>
    </w:p>
    <w:p>
      <w:pPr>
        <w:spacing w:after="0" w:line="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is defined in Section 13.1.</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Clinical Trial</w:t>
      </w:r>
      <w:r>
        <w:rPr>
          <w:rFonts w:ascii="Arial" w:cs="Arial" w:eastAsia="Arial" w:hAnsi="Arial"/>
          <w:sz w:val="16"/>
          <w:szCs w:val="16"/>
          <w:color w:val="auto"/>
        </w:rPr>
        <w:t>” means any study in human subjects.</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IP</w:t>
      </w:r>
      <w:r>
        <w:rPr>
          <w:rFonts w:ascii="Arial" w:cs="Arial" w:eastAsia="Arial" w:hAnsi="Arial"/>
          <w:sz w:val="16"/>
          <w:szCs w:val="16"/>
          <w:color w:val="auto"/>
        </w:rPr>
        <w:t>” means the Collaboration Patents and Collaboration Know-How.</w:t>
      </w:r>
    </w:p>
    <w:p>
      <w:pPr>
        <w:spacing w:after="0" w:line="131" w:lineRule="exact"/>
        <w:rPr>
          <w:sz w:val="20"/>
          <w:szCs w:val="20"/>
          <w:color w:val="auto"/>
        </w:rPr>
      </w:pPr>
    </w:p>
    <w:p>
      <w:pPr>
        <w:ind w:left="800" w:right="220" w:hanging="796"/>
        <w:spacing w:after="0" w:line="282" w:lineRule="auto"/>
        <w:tabs>
          <w:tab w:leader="none" w:pos="7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Know-How</w:t>
      </w:r>
      <w:r>
        <w:rPr>
          <w:rFonts w:ascii="Arial" w:cs="Arial" w:eastAsia="Arial" w:hAnsi="Arial"/>
          <w:sz w:val="18"/>
          <w:szCs w:val="18"/>
          <w:color w:val="auto"/>
        </w:rPr>
        <w:t>” means any Know-How that is generated under a Research Plan or Development Plan during the Term, whether by one Party or jointly by both Parties, [*****]</w:t>
      </w:r>
    </w:p>
    <w:p>
      <w:pPr>
        <w:spacing w:after="0" w:line="67" w:lineRule="exact"/>
        <w:rPr>
          <w:sz w:val="20"/>
          <w:szCs w:val="20"/>
          <w:color w:val="auto"/>
        </w:rPr>
      </w:pPr>
    </w:p>
    <w:p>
      <w:pPr>
        <w:jc w:val="both"/>
        <w:ind w:left="800" w:right="60" w:hanging="796"/>
        <w:spacing w:after="0" w:line="266" w:lineRule="auto"/>
        <w:tabs>
          <w:tab w:leader="none" w:pos="7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Patents</w:t>
      </w:r>
      <w:r>
        <w:rPr>
          <w:rFonts w:ascii="Arial" w:cs="Arial" w:eastAsia="Arial" w:hAnsi="Arial"/>
          <w:sz w:val="18"/>
          <w:szCs w:val="18"/>
          <w:color w:val="auto"/>
        </w:rPr>
        <w:t>” means each Patent that claims any invention that is first conceived or reduced to practice, whether by one Party (“Solely Owned Collaboration Patents”) or jointly by both Parties (“Jointly Owned Collaboration Patents”), in the course of performing a Research Plan or Development Plan, but [*****]</w:t>
      </w:r>
    </w:p>
    <w:p>
      <w:pPr>
        <w:spacing w:after="0" w:line="82" w:lineRule="exact"/>
        <w:rPr>
          <w:sz w:val="20"/>
          <w:szCs w:val="20"/>
          <w:color w:val="auto"/>
        </w:rPr>
      </w:pPr>
    </w:p>
    <w:p>
      <w:pPr>
        <w:jc w:val="right"/>
        <w:ind w:right="580"/>
        <w:spacing w:after="0" w:line="313"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b w:val="1"/>
          <w:bCs w:val="1"/>
          <w:color w:val="auto"/>
        </w:rPr>
        <w:t>Commercialization</w:t>
      </w:r>
      <w:r>
        <w:rPr>
          <w:rFonts w:ascii="Arial" w:cs="Arial" w:eastAsia="Arial" w:hAnsi="Arial"/>
          <w:sz w:val="17"/>
          <w:szCs w:val="17"/>
          <w:color w:val="auto"/>
        </w:rPr>
        <w:t>” means activities directed to marketing, promoting, distributing or selling Product, including all activities directed to obtaining Pricing Approval in the Territory; and [*****]. “</w:t>
      </w:r>
      <w:r>
        <w:rPr>
          <w:rFonts w:ascii="Arial" w:cs="Arial" w:eastAsia="Arial" w:hAnsi="Arial"/>
          <w:sz w:val="17"/>
          <w:szCs w:val="17"/>
          <w:b w:val="1"/>
          <w:bCs w:val="1"/>
          <w:color w:val="auto"/>
        </w:rPr>
        <w:t>Commercialize</w:t>
      </w:r>
      <w:r>
        <w:rPr>
          <w:rFonts w:ascii="Arial" w:cs="Arial" w:eastAsia="Arial" w:hAnsi="Arial"/>
          <w:sz w:val="17"/>
          <w:szCs w:val="17"/>
          <w:color w:val="auto"/>
        </w:rPr>
        <w:t>” and “</w:t>
      </w:r>
      <w:r>
        <w:rPr>
          <w:rFonts w:ascii="Arial" w:cs="Arial" w:eastAsia="Arial" w:hAnsi="Arial"/>
          <w:sz w:val="17"/>
          <w:szCs w:val="17"/>
          <w:b w:val="1"/>
          <w:bCs w:val="1"/>
          <w:color w:val="auto"/>
        </w:rPr>
        <w:t>Commercializing</w:t>
      </w:r>
      <w:r>
        <w:rPr>
          <w:rFonts w:ascii="Arial" w:cs="Arial" w:eastAsia="Arial" w:hAnsi="Arial"/>
          <w:sz w:val="17"/>
          <w:szCs w:val="17"/>
          <w:color w:val="auto"/>
        </w:rPr>
        <w:t>” shall have their correlative meanings.</w:t>
      </w:r>
    </w:p>
    <w:p>
      <w:pPr>
        <w:spacing w:after="0" w:line="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with respect to the efforts to be expended by [*****]</w:t>
      </w:r>
    </w:p>
    <w:p>
      <w:pPr>
        <w:spacing w:after="0" w:line="131" w:lineRule="exact"/>
        <w:rPr>
          <w:sz w:val="20"/>
          <w:szCs w:val="20"/>
          <w:color w:val="auto"/>
        </w:rPr>
      </w:pPr>
    </w:p>
    <w:p>
      <w:pPr>
        <w:ind w:left="800" w:right="20" w:hanging="796"/>
        <w:spacing w:after="0" w:line="282" w:lineRule="auto"/>
        <w:tabs>
          <w:tab w:leader="none" w:pos="7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Compound</w:t>
      </w:r>
      <w:r>
        <w:rPr>
          <w:rFonts w:ascii="Arial" w:cs="Arial" w:eastAsia="Arial" w:hAnsi="Arial"/>
          <w:sz w:val="18"/>
          <w:szCs w:val="18"/>
          <w:color w:val="auto"/>
        </w:rPr>
        <w:t>” [*****] and may be suitable for selection as a Lead Candidate as guided by the Selection Criteria as described in Appendix 1 of this Agreement.</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Compound Invention</w:t>
      </w:r>
      <w:r>
        <w:rPr>
          <w:rFonts w:ascii="Arial" w:cs="Arial" w:eastAsia="Arial" w:hAnsi="Arial"/>
          <w:sz w:val="16"/>
          <w:szCs w:val="16"/>
          <w:color w:val="auto"/>
        </w:rPr>
        <w:t>” is defined in Section 9.1(b).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69" w:right="239" w:bottom="1440" w:gutter="0" w:footer="0" w:header="0"/>
        </w:sectPr>
      </w:pPr>
    </w:p>
    <w:bookmarkStart w:id="458" w:name="page459"/>
    <w:bookmarkEnd w:id="4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80" w:hanging="796"/>
        <w:spacing w:after="0" w:line="295" w:lineRule="auto"/>
        <w:tabs>
          <w:tab w:leader="none" w:pos="78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confidential information disclosed in any form whatsoever by one Party to the other Party, including, without limitation, the content of the transactions contemplated herein, all technology belonging to the disclosing Party and any improvements thereto, any information relating to a Party’s interests, business, finances, products, operations, sales, marketing, customers, suppliers and suppliers’ bills of materials, trade secrets, Know-How, data, processes, methods, techniques, formulas, test data, presentations, analyses, studies, patent applications (as long as undisclosed), financial data, product development, assays, strategic and market research information, other relevant marketing information, clinical data and any other information, whether developed in connection with this Agreement or not.</w:t>
      </w:r>
    </w:p>
    <w:p>
      <w:pPr>
        <w:spacing w:after="0" w:line="61" w:lineRule="exact"/>
        <w:rPr>
          <w:sz w:val="20"/>
          <w:szCs w:val="20"/>
          <w:color w:val="auto"/>
        </w:rPr>
      </w:pPr>
    </w:p>
    <w:p>
      <w:pPr>
        <w:ind w:left="800" w:right="100" w:hanging="796"/>
        <w:spacing w:after="0" w:line="281" w:lineRule="auto"/>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with respect to any Know-How, Patent, material or other tangible or intangible intellectual property right, the possession by a Party of (whether by ownership or license, other than licenses granted pursuant to this Agreement) the ability to grant to the other Party access to, ownership of, or a license or sublicense under, such Know-How, Patent, material or other intellectual property, in each case as provided under this Agreement, without violating the terms of any agreement or other arrangement with any Third Party. [*****]</w:t>
      </w:r>
    </w:p>
    <w:p>
      <w:pPr>
        <w:spacing w:after="0" w:line="70" w:lineRule="exact"/>
        <w:rPr>
          <w:sz w:val="20"/>
          <w:szCs w:val="20"/>
          <w:color w:val="auto"/>
        </w:rPr>
      </w:pPr>
    </w:p>
    <w:p>
      <w:pPr>
        <w:ind w:left="800" w:right="140" w:hanging="796"/>
        <w:spacing w:after="0" w:line="266" w:lineRule="auto"/>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Covers</w:t>
      </w:r>
      <w:r>
        <w:rPr>
          <w:rFonts w:ascii="Arial" w:cs="Arial" w:eastAsia="Arial" w:hAnsi="Arial"/>
          <w:sz w:val="18"/>
          <w:szCs w:val="18"/>
          <w:color w:val="auto"/>
        </w:rPr>
        <w:t>” means, with respect to a Patent and a Compound or Product, that the making, use, sale, offer for sale or importation of such Compound or Product would infringe a Valid Claim of such Patent in the country in which the activity occurred, but for the licenses granted in this Agreement.</w:t>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Declaratory Judgment</w:t>
      </w:r>
      <w:r>
        <w:rPr>
          <w:rFonts w:ascii="Arial" w:cs="Arial" w:eastAsia="Arial" w:hAnsi="Arial"/>
          <w:sz w:val="16"/>
          <w:szCs w:val="16"/>
          <w:color w:val="auto"/>
        </w:rPr>
        <w:t>” is defined in section 9.5.</w:t>
      </w:r>
    </w:p>
    <w:p>
      <w:pPr>
        <w:spacing w:after="0" w:line="131" w:lineRule="exact"/>
        <w:rPr>
          <w:sz w:val="20"/>
          <w:szCs w:val="20"/>
          <w:color w:val="auto"/>
        </w:rPr>
      </w:pPr>
    </w:p>
    <w:p>
      <w:pPr>
        <w:ind w:left="800" w:right="180" w:hanging="796"/>
        <w:spacing w:after="0" w:line="261" w:lineRule="auto"/>
        <w:tabs>
          <w:tab w:leader="none" w:pos="7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w:t>
      </w:r>
      <w:r>
        <w:rPr>
          <w:rFonts w:ascii="Arial" w:cs="Arial" w:eastAsia="Arial" w:hAnsi="Arial"/>
          <w:sz w:val="18"/>
          <w:szCs w:val="18"/>
          <w:color w:val="auto"/>
        </w:rPr>
        <w:t>” means, with respect to a Product, any and all processes and activities conducted to obtain and maintain Regulatory Approval for the Product, including pre- and post-marketing approval clinical studies and activities relating to development or preparation of such Product for Commercialization. Development includes performance of IND Enabling Studies and Clinical Trials. “</w:t>
      </w:r>
      <w:r>
        <w:rPr>
          <w:rFonts w:ascii="Arial" w:cs="Arial" w:eastAsia="Arial" w:hAnsi="Arial"/>
          <w:sz w:val="18"/>
          <w:szCs w:val="18"/>
          <w:b w:val="1"/>
          <w:bCs w:val="1"/>
          <w:color w:val="auto"/>
        </w:rPr>
        <w:t>Develop</w:t>
      </w:r>
      <w:r>
        <w:rPr>
          <w:rFonts w:ascii="Arial" w:cs="Arial" w:eastAsia="Arial" w:hAnsi="Arial"/>
          <w:sz w:val="18"/>
          <w:szCs w:val="18"/>
          <w:color w:val="auto"/>
        </w:rPr>
        <w:t>” and “</w:t>
      </w:r>
      <w:r>
        <w:rPr>
          <w:rFonts w:ascii="Arial" w:cs="Arial" w:eastAsia="Arial" w:hAnsi="Arial"/>
          <w:sz w:val="18"/>
          <w:szCs w:val="18"/>
          <w:b w:val="1"/>
          <w:bCs w:val="1"/>
          <w:color w:val="auto"/>
        </w:rPr>
        <w:t>Developing</w:t>
      </w:r>
      <w:r>
        <w:rPr>
          <w:rFonts w:ascii="Arial" w:cs="Arial" w:eastAsia="Arial" w:hAnsi="Arial"/>
          <w:sz w:val="18"/>
          <w:szCs w:val="18"/>
          <w:color w:val="auto"/>
        </w:rPr>
        <w:t>” shall have their correlative meanings.</w:t>
      </w:r>
    </w:p>
    <w:p>
      <w:pPr>
        <w:spacing w:after="0" w:line="86" w:lineRule="exact"/>
        <w:rPr>
          <w:sz w:val="20"/>
          <w:szCs w:val="20"/>
          <w:color w:val="auto"/>
        </w:rPr>
      </w:pPr>
    </w:p>
    <w:p>
      <w:pPr>
        <w:ind w:left="800" w:right="140" w:hanging="796"/>
        <w:spacing w:after="0" w:line="266" w:lineRule="auto"/>
        <w:tabs>
          <w:tab w:leader="none" w:pos="78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 Plan</w:t>
      </w:r>
      <w:r>
        <w:rPr>
          <w:rFonts w:ascii="Arial" w:cs="Arial" w:eastAsia="Arial" w:hAnsi="Arial"/>
          <w:sz w:val="18"/>
          <w:szCs w:val="18"/>
          <w:color w:val="auto"/>
        </w:rPr>
        <w:t>” means the written plan for the Development (from pre-clinical IND Enabling studies through Regulatory Approval) of a Lead Candidate and Product in the Territory, as such plan may be updated from time to time by the JSC. The initial Development Plan is attached to this Agreement as Exhibit B (“</w:t>
      </w:r>
      <w:r>
        <w:rPr>
          <w:rFonts w:ascii="Arial" w:cs="Arial" w:eastAsia="Arial" w:hAnsi="Arial"/>
          <w:sz w:val="18"/>
          <w:szCs w:val="18"/>
          <w:b w:val="1"/>
          <w:bCs w:val="1"/>
          <w:color w:val="auto"/>
        </w:rPr>
        <w:t>Initial Development Plan</w:t>
      </w:r>
      <w:r>
        <w:rPr>
          <w:rFonts w:ascii="Arial" w:cs="Arial" w:eastAsia="Arial" w:hAnsi="Arial"/>
          <w:sz w:val="18"/>
          <w:szCs w:val="18"/>
          <w:color w:val="auto"/>
        </w:rPr>
        <w:t>”).</w:t>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Enforcement Action</w:t>
      </w:r>
      <w:r>
        <w:rPr>
          <w:rFonts w:ascii="Arial" w:cs="Arial" w:eastAsia="Arial" w:hAnsi="Arial"/>
          <w:sz w:val="16"/>
          <w:szCs w:val="16"/>
          <w:color w:val="auto"/>
        </w:rPr>
        <w:t>” is defined in Section 9.9.</w:t>
      </w:r>
    </w:p>
    <w:p>
      <w:pPr>
        <w:spacing w:after="0" w:line="131" w:lineRule="exact"/>
        <w:rPr>
          <w:sz w:val="20"/>
          <w:szCs w:val="20"/>
          <w:color w:val="auto"/>
        </w:rPr>
      </w:pPr>
    </w:p>
    <w:p>
      <w:pPr>
        <w:ind w:left="800" w:right="240" w:hanging="796"/>
        <w:spacing w:after="0" w:line="282" w:lineRule="auto"/>
        <w:tabs>
          <w:tab w:leader="none" w:pos="78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 partnership, limited partnership, limited liability partnership, corporation, limited liability company, business trust, joint stock company, trust,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0" w:right="239" w:bottom="1440" w:gutter="0" w:footer="0" w:header="0"/>
        </w:sectPr>
      </w:pPr>
    </w:p>
    <w:bookmarkStart w:id="459" w:name="page460"/>
    <w:bookmarkEnd w:id="4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incorporated association, joint venture or similar entity or organization, or other entity not specifically listed.</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EU</w:t>
      </w:r>
      <w:r>
        <w:rPr>
          <w:rFonts w:ascii="Arial" w:cs="Arial" w:eastAsia="Arial" w:hAnsi="Arial"/>
          <w:sz w:val="16"/>
          <w:szCs w:val="16"/>
          <w:color w:val="auto"/>
        </w:rPr>
        <w:t>” means all of the European Union member states as of the applicable time during the Term of this Agreement.</w:t>
      </w:r>
    </w:p>
    <w:p>
      <w:pPr>
        <w:spacing w:after="0" w:line="1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First-in-Man Clinical Trial</w:t>
      </w:r>
      <w:r>
        <w:rPr>
          <w:rFonts w:ascii="Arial" w:cs="Arial" w:eastAsia="Arial" w:hAnsi="Arial"/>
          <w:sz w:val="16"/>
          <w:szCs w:val="16"/>
          <w:color w:val="auto"/>
        </w:rPr>
        <w:t>” means a clinical study for the first administration of a Product to humans.</w:t>
      </w:r>
    </w:p>
    <w:p>
      <w:pPr>
        <w:spacing w:after="0" w:line="131" w:lineRule="exact"/>
        <w:rPr>
          <w:sz w:val="20"/>
          <w:szCs w:val="20"/>
          <w:color w:val="auto"/>
        </w:rPr>
      </w:pPr>
    </w:p>
    <w:p>
      <w:pPr>
        <w:ind w:left="800" w:right="260" w:hanging="796"/>
        <w:spacing w:after="0" w:line="313" w:lineRule="auto"/>
        <w:tabs>
          <w:tab w:leader="none" w:pos="7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Government Authority</w:t>
      </w:r>
      <w:r>
        <w:rPr>
          <w:rFonts w:ascii="Arial" w:cs="Arial" w:eastAsia="Arial" w:hAnsi="Arial"/>
          <w:sz w:val="17"/>
          <w:szCs w:val="17"/>
          <w:color w:val="auto"/>
        </w:rPr>
        <w:t>” means any multi-national, federal, state, local, municipal or other government authority of any nature (including any governmental division, subdivision, department, agency, bureau, branch, office, commission, council, court or other tribunal).</w:t>
      </w:r>
    </w:p>
    <w:p>
      <w:pPr>
        <w:spacing w:after="0" w:line="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IFRS</w:t>
      </w:r>
      <w:r>
        <w:rPr>
          <w:rFonts w:ascii="Arial" w:cs="Arial" w:eastAsia="Arial" w:hAnsi="Arial"/>
          <w:sz w:val="16"/>
          <w:szCs w:val="16"/>
          <w:color w:val="auto"/>
        </w:rPr>
        <w:t>” means the International Financial Reporting Standards.</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Indemnitee</w:t>
      </w:r>
      <w:r>
        <w:rPr>
          <w:rFonts w:ascii="Arial" w:cs="Arial" w:eastAsia="Arial" w:hAnsi="Arial"/>
          <w:sz w:val="16"/>
          <w:szCs w:val="16"/>
          <w:color w:val="auto"/>
        </w:rPr>
        <w:t>” is defined in Section 13.3.</w:t>
      </w:r>
    </w:p>
    <w:p>
      <w:pPr>
        <w:spacing w:after="0" w:line="131" w:lineRule="exact"/>
        <w:rPr>
          <w:sz w:val="20"/>
          <w:szCs w:val="20"/>
          <w:color w:val="auto"/>
        </w:rPr>
      </w:pPr>
    </w:p>
    <w:p>
      <w:pPr>
        <w:ind w:left="800" w:right="60" w:hanging="796"/>
        <w:spacing w:after="0" w:line="282" w:lineRule="auto"/>
        <w:tabs>
          <w:tab w:leader="none" w:pos="7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 Enabling Study</w:t>
      </w:r>
      <w:r>
        <w:rPr>
          <w:rFonts w:ascii="Arial" w:cs="Arial" w:eastAsia="Arial" w:hAnsi="Arial"/>
          <w:sz w:val="18"/>
          <w:szCs w:val="18"/>
          <w:color w:val="auto"/>
        </w:rPr>
        <w:t>” means those studies required by a Regulatory Authority for submission of an investigational new drug application prior to initiating Clinical Trials.</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Initial Development Plan</w:t>
      </w:r>
      <w:r>
        <w:rPr>
          <w:rFonts w:ascii="Arial" w:cs="Arial" w:eastAsia="Arial" w:hAnsi="Arial"/>
          <w:sz w:val="16"/>
          <w:szCs w:val="16"/>
          <w:color w:val="auto"/>
        </w:rPr>
        <w:t>” means the Development Plan attached as Exhibit B.</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Steering Committee</w:t>
      </w:r>
      <w:r>
        <w:rPr>
          <w:rFonts w:ascii="Arial" w:cs="Arial" w:eastAsia="Arial" w:hAnsi="Arial"/>
          <w:sz w:val="16"/>
          <w:szCs w:val="16"/>
          <w:color w:val="auto"/>
        </w:rPr>
        <w:t>” or “</w:t>
      </w:r>
      <w:r>
        <w:rPr>
          <w:rFonts w:ascii="Arial" w:cs="Arial" w:eastAsia="Arial" w:hAnsi="Arial"/>
          <w:sz w:val="16"/>
          <w:szCs w:val="16"/>
          <w:b w:val="1"/>
          <w:bCs w:val="1"/>
          <w:color w:val="auto"/>
        </w:rPr>
        <w:t>JSC</w:t>
      </w:r>
      <w:r>
        <w:rPr>
          <w:rFonts w:ascii="Arial" w:cs="Arial" w:eastAsia="Arial" w:hAnsi="Arial"/>
          <w:sz w:val="16"/>
          <w:szCs w:val="16"/>
          <w:color w:val="auto"/>
        </w:rPr>
        <w:t>” is defined in Section 2.2.</w:t>
      </w:r>
    </w:p>
    <w:p>
      <w:pPr>
        <w:spacing w:after="0" w:line="131" w:lineRule="exact"/>
        <w:rPr>
          <w:sz w:val="20"/>
          <w:szCs w:val="20"/>
          <w:color w:val="auto"/>
        </w:rPr>
      </w:pPr>
    </w:p>
    <w:p>
      <w:pPr>
        <w:ind w:left="800" w:hanging="796"/>
        <w:spacing w:after="0" w:line="258" w:lineRule="auto"/>
        <w:tabs>
          <w:tab w:leader="none" w:pos="7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Know-How</w:t>
      </w:r>
      <w:r>
        <w:rPr>
          <w:rFonts w:ascii="Arial" w:cs="Arial" w:eastAsia="Arial" w:hAnsi="Arial"/>
          <w:sz w:val="18"/>
          <w:szCs w:val="18"/>
          <w:color w:val="auto"/>
        </w:rPr>
        <w:t>” means any tangible and intangible information, data, results (including pharmacological, research and development data, reports and batch records), and materials, discoveries, improvements, inventions, compositions of matter, cell lines, assays, sequences, processes, methods, knowledge, protocols, formulas, utility, formulations, inventions (whether patentable or not), strategy, know-how and trade secrets, and all other scientific, pre-clinical, clinical, regulatory, manufacturing, marketing, financial and commercial information or data, in each case that either Party has treated as confidential or proprietary information.</w:t>
      </w:r>
    </w:p>
    <w:p>
      <w:pPr>
        <w:spacing w:after="0" w:line="89" w:lineRule="exact"/>
        <w:rPr>
          <w:sz w:val="20"/>
          <w:szCs w:val="20"/>
          <w:color w:val="auto"/>
        </w:rPr>
      </w:pPr>
    </w:p>
    <w:p>
      <w:pPr>
        <w:ind w:left="800" w:right="240" w:hanging="796"/>
        <w:spacing w:after="0" w:line="347" w:lineRule="auto"/>
        <w:tabs>
          <w:tab w:leader="none" w:pos="78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Law</w:t>
      </w:r>
      <w:r>
        <w:rPr>
          <w:rFonts w:ascii="Arial" w:cs="Arial" w:eastAsia="Arial" w:hAnsi="Arial"/>
          <w:sz w:val="16"/>
          <w:szCs w:val="16"/>
          <w:color w:val="auto"/>
        </w:rPr>
        <w:t>” means the applicable laws, rules and regulations, including any rules, regulations, guidelines or other requirements of any Governmental Authorities (including any Regulatory Authorities) that may be in effect from time to time in any country or jurisdiction of the Territory.</w:t>
      </w:r>
    </w:p>
    <w:p>
      <w:pPr>
        <w:spacing w:after="0" w:line="2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Lead Candidate</w:t>
      </w:r>
      <w:r>
        <w:rPr>
          <w:rFonts w:ascii="Arial" w:cs="Arial" w:eastAsia="Arial" w:hAnsi="Arial"/>
          <w:sz w:val="16"/>
          <w:szCs w:val="16"/>
          <w:color w:val="auto"/>
        </w:rPr>
        <w:t>” means those Compounds that have been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0" w:right="239" w:bottom="1440" w:gutter="0" w:footer="0" w:header="0"/>
        </w:sectPr>
      </w:pPr>
    </w:p>
    <w:bookmarkStart w:id="460" w:name="page461"/>
    <w:bookmarkEnd w:id="4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is defined in Section 13.1.</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EU Market</w:t>
      </w:r>
      <w:r>
        <w:rPr>
          <w:rFonts w:ascii="Arial" w:cs="Arial" w:eastAsia="Arial" w:hAnsi="Arial"/>
          <w:sz w:val="17"/>
          <w:szCs w:val="17"/>
          <w:color w:val="auto"/>
        </w:rPr>
        <w:t>” means any of the following: [*****]</w:t>
      </w:r>
    </w:p>
    <w:p>
      <w:pPr>
        <w:spacing w:after="0" w:line="131" w:lineRule="exact"/>
        <w:rPr>
          <w:sz w:val="20"/>
          <w:szCs w:val="20"/>
          <w:color w:val="auto"/>
        </w:rPr>
      </w:pPr>
    </w:p>
    <w:p>
      <w:pPr>
        <w:ind w:left="800" w:right="20" w:hanging="796"/>
        <w:spacing w:after="0" w:line="314" w:lineRule="auto"/>
        <w:tabs>
          <w:tab w:leader="none" w:pos="7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Manufacture</w:t>
      </w:r>
      <w:r>
        <w:rPr>
          <w:rFonts w:ascii="Arial" w:cs="Arial" w:eastAsia="Arial" w:hAnsi="Arial"/>
          <w:sz w:val="16"/>
          <w:szCs w:val="16"/>
          <w:color w:val="auto"/>
        </w:rPr>
        <w:t>” means activities directed to producing, manufacturing, processing, filling, finishing, packaging, labeling, quality assurance testing and release, shipping and delivery of the Product, including process development in connection with such activities or scale up thereof (in each case, whether for purposes of Research, Development or Commercialization of the Product). “</w:t>
      </w:r>
      <w:r>
        <w:rPr>
          <w:rFonts w:ascii="Arial" w:cs="Arial" w:eastAsia="Arial" w:hAnsi="Arial"/>
          <w:sz w:val="16"/>
          <w:szCs w:val="16"/>
          <w:b w:val="1"/>
          <w:bCs w:val="1"/>
          <w:color w:val="auto"/>
        </w:rPr>
        <w:t>Manufacturing</w:t>
      </w:r>
      <w:r>
        <w:rPr>
          <w:rFonts w:ascii="Arial" w:cs="Arial" w:eastAsia="Arial" w:hAnsi="Arial"/>
          <w:sz w:val="16"/>
          <w:szCs w:val="16"/>
          <w:color w:val="auto"/>
        </w:rPr>
        <w:t>” shall have the correlative meaning.</w:t>
      </w:r>
    </w:p>
    <w:p>
      <w:pPr>
        <w:spacing w:after="0" w:line="48" w:lineRule="exact"/>
        <w:rPr>
          <w:sz w:val="20"/>
          <w:szCs w:val="20"/>
          <w:color w:val="auto"/>
        </w:rPr>
      </w:pPr>
    </w:p>
    <w:p>
      <w:pPr>
        <w:jc w:val="center"/>
        <w:ind w:right="640"/>
        <w:spacing w:after="0" w:line="313" w:lineRule="auto"/>
        <w:rPr>
          <w:sz w:val="20"/>
          <w:szCs w:val="20"/>
          <w:color w:val="auto"/>
        </w:rPr>
      </w:pPr>
      <w:r>
        <w:rPr>
          <w:rFonts w:ascii="Arial" w:cs="Arial" w:eastAsia="Arial" w:hAnsi="Arial"/>
          <w:sz w:val="17"/>
          <w:szCs w:val="17"/>
          <w:color w:val="auto"/>
        </w:rPr>
        <w:t>1.44      “</w:t>
      </w:r>
      <w:r>
        <w:rPr>
          <w:rFonts w:ascii="Arial" w:cs="Arial" w:eastAsia="Arial" w:hAnsi="Arial"/>
          <w:sz w:val="17"/>
          <w:szCs w:val="17"/>
          <w:b w:val="1"/>
          <w:bCs w:val="1"/>
          <w:color w:val="auto"/>
        </w:rPr>
        <w:t>NDA</w:t>
      </w:r>
      <w:r>
        <w:rPr>
          <w:rFonts w:ascii="Arial" w:cs="Arial" w:eastAsia="Arial" w:hAnsi="Arial"/>
          <w:sz w:val="17"/>
          <w:szCs w:val="17"/>
          <w:color w:val="auto"/>
        </w:rPr>
        <w:t>” means a New Drug Application, as defined in 21 C.F.R. 314, and any other appropriate application or registration submitted to the appropriate Regulatory Authority in a particular country in the Territory to seek approval for sale of the Product in such country.</w:t>
      </w:r>
    </w:p>
    <w:p>
      <w:pPr>
        <w:spacing w:after="0" w:line="4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of a Product in a particular period means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70" w:right="239" w:bottom="1440" w:gutter="0" w:footer="0" w:header="0"/>
        </w:sectPr>
      </w:pPr>
    </w:p>
    <w:bookmarkStart w:id="461" w:name="page462"/>
    <w:bookmarkEnd w:id="4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ind w:left="800" w:right="260" w:hanging="796"/>
        <w:spacing w:after="0" w:line="281" w:lineRule="auto"/>
        <w:tabs>
          <w:tab w:leader="none" w:pos="7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Patent</w:t>
      </w:r>
      <w:r>
        <w:rPr>
          <w:rFonts w:ascii="Arial" w:cs="Arial" w:eastAsia="Arial" w:hAnsi="Arial"/>
          <w:sz w:val="17"/>
          <w:szCs w:val="17"/>
          <w:color w:val="auto"/>
        </w:rPr>
        <w:t>” means (a) any patent, re-examination, reissue, renewal, extension, supplementary protection certificate and term restoration, any confirmation patent or registration patent or patent of addition based on any such patent, (b) any pending application for patents, including provisional, converted provisional, continuations, continuations-in-part, divisional and substitute applications, and inventors’ certificates, (c) all foreign counterparts of any of the foregoing, and (d) all applications claiming priority to any of the foregoing.</w:t>
      </w:r>
    </w:p>
    <w:p>
      <w:pPr>
        <w:spacing w:after="0" w:line="70" w:lineRule="exact"/>
        <w:rPr>
          <w:sz w:val="20"/>
          <w:szCs w:val="20"/>
          <w:color w:val="auto"/>
        </w:rPr>
      </w:pPr>
    </w:p>
    <w:p>
      <w:pPr>
        <w:ind w:left="800" w:right="140" w:hanging="796"/>
        <w:spacing w:after="0" w:line="282" w:lineRule="auto"/>
        <w:tabs>
          <w:tab w:leader="none" w:pos="78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Filing Country</w:t>
      </w:r>
      <w:r>
        <w:rPr>
          <w:rFonts w:ascii="Arial" w:cs="Arial" w:eastAsia="Arial" w:hAnsi="Arial"/>
          <w:sz w:val="18"/>
          <w:szCs w:val="18"/>
          <w:color w:val="auto"/>
        </w:rPr>
        <w:t>” means those countries where one or more patent applications for [*****] which lists may be updated from time to time as agreed upon by the JSC.</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unincorporated organization or association, governmental authority or agency, or other Entity.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PET Agent</w:t>
      </w:r>
      <w:r>
        <w:rPr>
          <w:rFonts w:ascii="Arial" w:cs="Arial" w:eastAsia="Arial" w:hAnsi="Arial"/>
          <w:sz w:val="17"/>
          <w:szCs w:val="17"/>
          <w:color w:val="auto"/>
        </w:rPr>
        <w:t>”, means [*****].</w:t>
      </w:r>
    </w:p>
    <w:p>
      <w:pPr>
        <w:spacing w:after="0" w:line="131" w:lineRule="exact"/>
        <w:rPr>
          <w:sz w:val="20"/>
          <w:szCs w:val="20"/>
          <w:color w:val="auto"/>
        </w:rPr>
      </w:pPr>
    </w:p>
    <w:p>
      <w:pPr>
        <w:ind w:left="800" w:right="1200" w:hanging="796"/>
        <w:spacing w:after="0" w:line="282" w:lineRule="auto"/>
        <w:tabs>
          <w:tab w:leader="none" w:pos="78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I Clinical Trial</w:t>
      </w:r>
      <w:r>
        <w:rPr>
          <w:rFonts w:ascii="Arial" w:cs="Arial" w:eastAsia="Arial" w:hAnsi="Arial"/>
          <w:sz w:val="18"/>
          <w:szCs w:val="18"/>
          <w:color w:val="auto"/>
        </w:rPr>
        <w:t>” means a study of a Product in human subjects with the endpoint of determining initial tolerance, safety or pharmacokinetic information.</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II Clinical Trial</w:t>
      </w:r>
      <w:r>
        <w:rPr>
          <w:rFonts w:ascii="Arial" w:cs="Arial" w:eastAsia="Arial" w:hAnsi="Arial"/>
          <w:sz w:val="16"/>
          <w:szCs w:val="16"/>
          <w:color w:val="auto"/>
        </w:rPr>
        <w:t>” means a study of Product in human subjects to determine initial efficacy and to further evaluate its safety.</w:t>
      </w:r>
    </w:p>
    <w:p>
      <w:pPr>
        <w:spacing w:after="0" w:line="131" w:lineRule="exact"/>
        <w:rPr>
          <w:sz w:val="20"/>
          <w:szCs w:val="20"/>
          <w:color w:val="auto"/>
        </w:rPr>
      </w:pPr>
    </w:p>
    <w:p>
      <w:pPr>
        <w:ind w:left="800" w:right="180" w:hanging="796"/>
        <w:spacing w:after="0" w:line="282" w:lineRule="auto"/>
        <w:tabs>
          <w:tab w:leader="none" w:pos="7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III Clinical Trial</w:t>
      </w:r>
      <w:r>
        <w:rPr>
          <w:rFonts w:ascii="Arial" w:cs="Arial" w:eastAsia="Arial" w:hAnsi="Arial"/>
          <w:sz w:val="18"/>
          <w:szCs w:val="18"/>
          <w:color w:val="auto"/>
        </w:rPr>
        <w:t>” means an adequate and well-controlled pivotal study in the Field in human patients of a Product designed to ascertain efficacy and safety of such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0" w:right="239" w:bottom="1440" w:gutter="0" w:footer="0" w:header="0"/>
        </w:sectPr>
      </w:pPr>
    </w:p>
    <w:bookmarkStart w:id="462" w:name="page463"/>
    <w:bookmarkEnd w:id="4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680"/>
        <w:spacing w:after="0" w:line="277" w:lineRule="auto"/>
        <w:rPr>
          <w:sz w:val="20"/>
          <w:szCs w:val="20"/>
          <w:color w:val="auto"/>
        </w:rPr>
      </w:pPr>
      <w:r>
        <w:rPr>
          <w:rFonts w:ascii="Arial" w:cs="Arial" w:eastAsia="Arial" w:hAnsi="Arial"/>
          <w:sz w:val="18"/>
          <w:szCs w:val="18"/>
          <w:color w:val="auto"/>
        </w:rPr>
        <w:t>Product for the purposes of enabling the preparation and submission of applications for Regulatory Approval to the competent Regulatory Authorities in a country of the Territory.</w:t>
      </w:r>
    </w:p>
    <w:p>
      <w:pPr>
        <w:spacing w:after="0" w:line="72" w:lineRule="exact"/>
        <w:rPr>
          <w:sz w:val="20"/>
          <w:szCs w:val="20"/>
          <w:color w:val="auto"/>
        </w:rPr>
      </w:pPr>
    </w:p>
    <w:p>
      <w:pPr>
        <w:ind w:left="800" w:right="260" w:hanging="796"/>
        <w:spacing w:after="0" w:line="282" w:lineRule="auto"/>
        <w:tabs>
          <w:tab w:leader="none" w:pos="7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Piramal Background IP</w:t>
      </w:r>
      <w:r>
        <w:rPr>
          <w:rFonts w:ascii="Arial" w:cs="Arial" w:eastAsia="Arial" w:hAnsi="Arial"/>
          <w:sz w:val="18"/>
          <w:szCs w:val="18"/>
          <w:color w:val="auto"/>
        </w:rPr>
        <w:t>” means all Know-How directly related to and essential for the Development and Manufacture of a PET Agent that is Controlled by Piramal as of the Effective Date or during the Term and [*****]</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Piramal Indemnitee</w:t>
      </w:r>
      <w:r>
        <w:rPr>
          <w:rFonts w:ascii="Arial" w:cs="Arial" w:eastAsia="Arial" w:hAnsi="Arial"/>
          <w:sz w:val="16"/>
          <w:szCs w:val="16"/>
          <w:color w:val="auto"/>
        </w:rPr>
        <w:t>” is defined in Section 13.1.</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Pricing Approval</w:t>
      </w:r>
      <w:r>
        <w:rPr>
          <w:rFonts w:ascii="Arial" w:cs="Arial" w:eastAsia="Arial" w:hAnsi="Arial"/>
          <w:sz w:val="16"/>
          <w:szCs w:val="16"/>
          <w:color w:val="auto"/>
        </w:rPr>
        <w:t>’’ shall mean such approval, agreement, determination or governmental decision establishing prices for the Products that can be</w:t>
      </w:r>
    </w:p>
    <w:p>
      <w:pPr>
        <w:spacing w:after="0" w:line="27" w:lineRule="exact"/>
        <w:rPr>
          <w:sz w:val="20"/>
          <w:szCs w:val="20"/>
          <w:color w:val="auto"/>
        </w:rPr>
      </w:pPr>
    </w:p>
    <w:p>
      <w:pPr>
        <w:ind w:left="800" w:right="320"/>
        <w:spacing w:after="0" w:line="323" w:lineRule="auto"/>
        <w:rPr>
          <w:sz w:val="20"/>
          <w:szCs w:val="20"/>
          <w:color w:val="auto"/>
        </w:rPr>
      </w:pPr>
      <w:r>
        <w:rPr>
          <w:rFonts w:ascii="Arial" w:cs="Arial" w:eastAsia="Arial" w:hAnsi="Arial"/>
          <w:sz w:val="16"/>
          <w:szCs w:val="16"/>
          <w:color w:val="auto"/>
        </w:rPr>
        <w:t>charged to consumers and shall be reimbursed by Governmental Authorities or private health plans in regulatory jurisdictions where the Governmental Authorities or Regulatory Authorities approve or determine pricing of pharmaceutical products for reimbursement or otherwise.</w:t>
      </w:r>
    </w:p>
    <w:p>
      <w:pPr>
        <w:spacing w:after="0" w:line="4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w:t>
      </w:r>
      <w:r>
        <w:rPr>
          <w:rFonts w:ascii="Arial" w:cs="Arial" w:eastAsia="Arial" w:hAnsi="Arial"/>
          <w:sz w:val="16"/>
          <w:szCs w:val="16"/>
          <w:color w:val="auto"/>
        </w:rPr>
        <w:t>” means any product that is a PET Agent, that is or that contains a Compound and that: [*****]</w:t>
      </w:r>
    </w:p>
    <w:p>
      <w:pPr>
        <w:spacing w:after="0" w:line="131" w:lineRule="exact"/>
        <w:rPr>
          <w:sz w:val="20"/>
          <w:szCs w:val="20"/>
          <w:color w:val="auto"/>
        </w:rPr>
      </w:pPr>
    </w:p>
    <w:p>
      <w:pPr>
        <w:jc w:val="both"/>
        <w:ind w:left="800" w:right="80" w:hanging="796"/>
        <w:spacing w:after="0" w:line="261" w:lineRule="auto"/>
        <w:tabs>
          <w:tab w:leader="none" w:pos="78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Prosecution and Maintenance</w:t>
      </w:r>
      <w:r>
        <w:rPr>
          <w:rFonts w:ascii="Arial" w:cs="Arial" w:eastAsia="Arial" w:hAnsi="Arial"/>
          <w:sz w:val="18"/>
          <w:szCs w:val="18"/>
          <w:color w:val="auto"/>
        </w:rPr>
        <w:t>” means, with respect to a Patent, the preparing, filing, prosecuting and maintenance of such Patent, as well as re-examinations, reissues, requests for Patent term extensions and the like with respect to such Patent, together with the conduct of interferences, the defense of oppositions and other similar proceedings with respect to the particular Patent; and “Prosecute and Maintain” shall have the correlative meaning.</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Publication Strategy</w:t>
      </w:r>
      <w:r>
        <w:rPr>
          <w:rFonts w:ascii="Arial" w:cs="Arial" w:eastAsia="Arial" w:hAnsi="Arial"/>
          <w:sz w:val="16"/>
          <w:szCs w:val="16"/>
          <w:color w:val="auto"/>
        </w:rPr>
        <w:t>” is defined in Section 10.5.</w:t>
      </w:r>
    </w:p>
    <w:p>
      <w:pPr>
        <w:spacing w:after="0" w:line="131" w:lineRule="exact"/>
        <w:rPr>
          <w:sz w:val="20"/>
          <w:szCs w:val="20"/>
          <w:color w:val="auto"/>
        </w:rPr>
      </w:pPr>
    </w:p>
    <w:p>
      <w:pPr>
        <w:ind w:left="800" w:hanging="796"/>
        <w:spacing w:after="0" w:line="258" w:lineRule="auto"/>
        <w:tabs>
          <w:tab w:leader="none" w:pos="78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the technical, medical and scientific licenses, registrations, authorizations and approvals (including, without limitation, approvals of NDAs, supplements and amendments, pre- and post-approvals, pricing and reimbursement approvals, and labeling approvals) of any national, supra-national, regional, state or local regulatory agency, department, bureau, commission, council or other governmental entity, necessary for the Development, Manufacture and Commercialization of Product in a regulatory jurisdiction in the Field, in the Territory.</w:t>
      </w:r>
    </w:p>
    <w:p>
      <w:pPr>
        <w:spacing w:after="0" w:line="89" w:lineRule="exact"/>
        <w:rPr>
          <w:sz w:val="20"/>
          <w:szCs w:val="20"/>
          <w:color w:val="auto"/>
        </w:rPr>
      </w:pPr>
    </w:p>
    <w:p>
      <w:pPr>
        <w:ind w:left="800" w:right="300" w:hanging="796"/>
        <w:spacing w:after="0" w:line="258" w:lineRule="auto"/>
        <w:tabs>
          <w:tab w:leader="none" w:pos="78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in a particular country or jurisdiction in the Territory, any applicable Governmental Authority involved in granting approval (a) to initiate or conduct clinical testing in humans, (b) for issuing the authorizations, approvals, licenses, permits, consents, registrations and filings necessary for the commercialization of the Product in a country in the Territory including marketing authorizations and manufacturing licenses, and/or (c) to the extent required in such country or jurisdiction, for Pricing Approval for a Product in such country or jurisdiction.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269" w:right="239" w:bottom="1440" w:gutter="0" w:footer="0" w:header="0"/>
        </w:sectPr>
      </w:pPr>
    </w:p>
    <w:bookmarkStart w:id="463" w:name="page464"/>
    <w:bookmarkEnd w:id="4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both"/>
        <w:ind w:left="800" w:hanging="796"/>
        <w:spacing w:after="0" w:line="266" w:lineRule="auto"/>
        <w:tabs>
          <w:tab w:leader="none" w:pos="7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Materials</w:t>
      </w:r>
      <w:r>
        <w:rPr>
          <w:rFonts w:ascii="Arial" w:cs="Arial" w:eastAsia="Arial" w:hAnsi="Arial"/>
          <w:sz w:val="18"/>
          <w:szCs w:val="18"/>
          <w:color w:val="auto"/>
        </w:rPr>
        <w:t>” means regulatory applications, submissions, notifications, registrations, Regulatory Approvals or other submissions made to or with a Regulatory Authority that are necessary or reasonably desirable in order to Develop, Manufacture and Commercialize the Products in a particular country.</w:t>
      </w:r>
    </w:p>
    <w:p>
      <w:pPr>
        <w:spacing w:after="0" w:line="82" w:lineRule="exact"/>
        <w:rPr>
          <w:sz w:val="20"/>
          <w:szCs w:val="20"/>
          <w:color w:val="auto"/>
        </w:rPr>
      </w:pPr>
    </w:p>
    <w:p>
      <w:pPr>
        <w:ind w:left="800" w:right="540" w:hanging="796"/>
        <w:spacing w:after="0" w:line="282" w:lineRule="auto"/>
        <w:tabs>
          <w:tab w:leader="none" w:pos="7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Research</w:t>
      </w:r>
      <w:r>
        <w:rPr>
          <w:rFonts w:ascii="Arial" w:cs="Arial" w:eastAsia="Arial" w:hAnsi="Arial"/>
          <w:sz w:val="18"/>
          <w:szCs w:val="18"/>
          <w:color w:val="auto"/>
        </w:rPr>
        <w:t>” means the activities to be performed by one or both Parties pursuant to the Research Plan, [*****]. For the avoidance of doubt, Research is work performed outside of the IND Enabling Studies.</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Plan</w:t>
      </w:r>
      <w:r>
        <w:rPr>
          <w:rFonts w:ascii="Arial" w:cs="Arial" w:eastAsia="Arial" w:hAnsi="Arial"/>
          <w:sz w:val="16"/>
          <w:szCs w:val="16"/>
          <w:color w:val="auto"/>
        </w:rPr>
        <w:t>” means the written plan for the Research, which plan is attached hereto as Appendix 3 and incorporated herein by this reference.</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Reviewing Party</w:t>
      </w:r>
      <w:r>
        <w:rPr>
          <w:rFonts w:ascii="Arial" w:cs="Arial" w:eastAsia="Arial" w:hAnsi="Arial"/>
          <w:sz w:val="16"/>
          <w:szCs w:val="16"/>
          <w:color w:val="auto"/>
        </w:rPr>
        <w:t>” is defined in Section 10.5(a).</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is defined in Section 8.5(c).</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Laws</w:t>
      </w:r>
      <w:r>
        <w:rPr>
          <w:rFonts w:ascii="Arial" w:cs="Arial" w:eastAsia="Arial" w:hAnsi="Arial"/>
          <w:sz w:val="16"/>
          <w:szCs w:val="16"/>
          <w:color w:val="auto"/>
        </w:rPr>
        <w:t>” is defined in Section 10.2(b).</w:t>
      </w:r>
    </w:p>
    <w:p>
      <w:pPr>
        <w:spacing w:after="0" w:line="131" w:lineRule="exact"/>
        <w:rPr>
          <w:sz w:val="20"/>
          <w:szCs w:val="20"/>
          <w:color w:val="auto"/>
        </w:rPr>
      </w:pPr>
    </w:p>
    <w:p>
      <w:pPr>
        <w:ind w:left="800" w:right="240" w:hanging="796"/>
        <w:spacing w:after="0" w:line="282" w:lineRule="auto"/>
        <w:tabs>
          <w:tab w:leader="none" w:pos="78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Selection Criteria</w:t>
      </w:r>
      <w:r>
        <w:rPr>
          <w:rFonts w:ascii="Arial" w:cs="Arial" w:eastAsia="Arial" w:hAnsi="Arial"/>
          <w:sz w:val="18"/>
          <w:szCs w:val="18"/>
          <w:color w:val="auto"/>
        </w:rPr>
        <w:t>” means the set of criteria applied by the JSC to select a Compound as a Lead Candidate, which criteria is attached hereto as Appendix 1.</w:t>
      </w:r>
    </w:p>
    <w:p>
      <w:pPr>
        <w:spacing w:after="0" w:line="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 Revenue</w:t>
      </w:r>
      <w:r>
        <w:rPr>
          <w:rFonts w:ascii="Arial" w:cs="Arial" w:eastAsia="Arial" w:hAnsi="Arial"/>
          <w:sz w:val="16"/>
          <w:szCs w:val="16"/>
          <w:color w:val="auto"/>
        </w:rPr>
        <w:t>” means with respect to any Product, [*****]</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worldwide.</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Piramal, AC Immune or any Affiliate of either Party.</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Challenge</w:t>
      </w:r>
      <w:r>
        <w:rPr>
          <w:rFonts w:ascii="Arial" w:cs="Arial" w:eastAsia="Arial" w:hAnsi="Arial"/>
          <w:sz w:val="16"/>
          <w:szCs w:val="16"/>
          <w:color w:val="auto"/>
        </w:rPr>
        <w:t>” is defined in Section 9.9.</w:t>
      </w:r>
    </w:p>
    <w:p>
      <w:pPr>
        <w:spacing w:after="0" w:line="1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 means the United States of America and its possessions and territories.</w:t>
      </w:r>
    </w:p>
    <w:p>
      <w:pPr>
        <w:spacing w:after="0" w:line="131" w:lineRule="exact"/>
        <w:rPr>
          <w:sz w:val="20"/>
          <w:szCs w:val="20"/>
          <w:color w:val="auto"/>
        </w:rPr>
      </w:pPr>
    </w:p>
    <w:p>
      <w:pPr>
        <w:ind w:left="800" w:right="40" w:hanging="796"/>
        <w:spacing w:after="0" w:line="277" w:lineRule="auto"/>
        <w:tabs>
          <w:tab w:leader="none" w:pos="7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(a) a claim of an issued and unexpired Patent which has not been disclaimed, revoked, held unenforceable or invalid by a decision of a court or other governmental agency of competent jurisdiction, which decision is unappealable or unappealed within the time allowed for appeal, and which has not been admitted to be invalid or unenforceable through reissue or disclaimer or otherwise, and (b) a claim in a pending Patent application that has not been pending for more than [*****] years from the earliest date from which such application claims priority of or the benefit of the filing date of, and, in any case, which has not been canceled, withdrawn from consideration,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69" w:right="239" w:bottom="1440" w:gutter="0" w:footer="0" w:header="0"/>
        </w:sectPr>
      </w:pPr>
    </w:p>
    <w:bookmarkStart w:id="464" w:name="page465"/>
    <w:bookmarkEnd w:id="4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right="160"/>
        <w:spacing w:after="0" w:line="277" w:lineRule="auto"/>
        <w:rPr>
          <w:sz w:val="20"/>
          <w:szCs w:val="20"/>
          <w:color w:val="auto"/>
        </w:rPr>
      </w:pPr>
      <w:r>
        <w:rPr>
          <w:rFonts w:ascii="Arial" w:cs="Arial" w:eastAsia="Arial" w:hAnsi="Arial"/>
          <w:sz w:val="18"/>
          <w:szCs w:val="18"/>
          <w:color w:val="auto"/>
        </w:rPr>
        <w:t>finally determined to be unallowable by the applicable governmental authority or court for whatever reason (and from which no appeal is or can be taken), or abandoned.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SCOPE OF COLLABORATION AND MANAGEMENT</w:t>
      </w:r>
    </w:p>
    <w:p>
      <w:pPr>
        <w:spacing w:after="0" w:line="234" w:lineRule="exact"/>
        <w:rPr>
          <w:sz w:val="20"/>
          <w:szCs w:val="20"/>
          <w:color w:val="auto"/>
        </w:rPr>
      </w:pPr>
    </w:p>
    <w:p>
      <w:pPr>
        <w:ind w:left="800" w:right="200" w:hanging="796"/>
        <w:spacing w:after="0" w:line="293" w:lineRule="auto"/>
        <w:tabs>
          <w:tab w:leader="none" w:pos="7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Scope of Collaboration</w:t>
      </w:r>
      <w:r>
        <w:rPr>
          <w:rFonts w:ascii="Arial" w:cs="Arial" w:eastAsia="Arial" w:hAnsi="Arial"/>
          <w:sz w:val="16"/>
          <w:szCs w:val="16"/>
          <w:color w:val="auto"/>
        </w:rPr>
        <w:t>. AC Immune and Piramal are entering into this Agreement whereby in accordance with the terms and conditions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 the Parties shall, [*****], perform Research on one or more Compounds to determine and identify the Lead Candidates;</w:t>
      </w:r>
    </w:p>
    <w:p>
      <w:pPr>
        <w:spacing w:after="0" w:line="1" w:lineRule="exact"/>
        <w:rPr>
          <w:sz w:val="20"/>
          <w:szCs w:val="20"/>
          <w:color w:val="auto"/>
        </w:rPr>
      </w:pPr>
    </w:p>
    <w:p>
      <w:pPr>
        <w:ind w:left="800" w:right="160" w:firstLine="5"/>
        <w:spacing w:after="0" w:line="261" w:lineRule="auto"/>
        <w:tabs>
          <w:tab w:leader="none" w:pos="105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Piramal Imaging SA shall, [*****], Develop Lead Candidates into one or more Products; (c) Piramal Imaging Ltd. [*****], Manufacture and Commercialize the Product in the Field; and (d) at [*****], the Parties may share information [*****].</w:t>
      </w:r>
    </w:p>
    <w:p>
      <w:pPr>
        <w:spacing w:after="0" w:line="32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Joint Steering Committee</w:t>
      </w:r>
      <w:r>
        <w:rPr>
          <w:rFonts w:ascii="Arial" w:cs="Arial" w:eastAsia="Arial" w:hAnsi="Arial"/>
          <w:sz w:val="16"/>
          <w:szCs w:val="16"/>
          <w:color w:val="auto"/>
        </w:rPr>
        <w:t>.</w:t>
      </w:r>
    </w:p>
    <w:p>
      <w:pPr>
        <w:spacing w:after="0" w:line="131" w:lineRule="exact"/>
        <w:rPr>
          <w:sz w:val="20"/>
          <w:szCs w:val="20"/>
          <w:color w:val="auto"/>
        </w:rPr>
      </w:pPr>
    </w:p>
    <w:p>
      <w:pPr>
        <w:ind w:left="1380" w:right="240" w:hanging="575"/>
        <w:spacing w:after="0" w:line="261" w:lineRule="auto"/>
        <w:tabs>
          <w:tab w:leader="none" w:pos="1380" w:val="left"/>
        </w:tabs>
        <w:numPr>
          <w:ilvl w:val="0"/>
          <w:numId w:val="352"/>
        </w:numPr>
        <w:rPr>
          <w:rFonts w:ascii="Arial" w:cs="Arial" w:eastAsia="Arial" w:hAnsi="Arial"/>
          <w:sz w:val="18"/>
          <w:szCs w:val="18"/>
          <w:color w:val="auto"/>
        </w:rPr>
      </w:pPr>
      <w:r>
        <w:rPr>
          <w:rFonts w:ascii="Arial" w:cs="Arial" w:eastAsia="Arial" w:hAnsi="Arial"/>
          <w:sz w:val="18"/>
          <w:szCs w:val="18"/>
          <w:b w:val="1"/>
          <w:bCs w:val="1"/>
          <w:color w:val="auto"/>
        </w:rPr>
        <w:t>Purpose; Formation</w:t>
      </w:r>
      <w:r>
        <w:rPr>
          <w:rFonts w:ascii="Arial" w:cs="Arial" w:eastAsia="Arial" w:hAnsi="Arial"/>
          <w:sz w:val="18"/>
          <w:szCs w:val="18"/>
          <w:color w:val="auto"/>
        </w:rPr>
        <w:t>. Within [*****] days after the Effective Date, the Parties will establish a committee (the “</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w:t>
      </w:r>
      <w:r>
        <w:rPr>
          <w:rFonts w:ascii="Arial" w:cs="Arial" w:eastAsia="Arial" w:hAnsi="Arial"/>
          <w:sz w:val="18"/>
          <w:szCs w:val="18"/>
          <w:b w:val="1"/>
          <w:bCs w:val="1"/>
          <w:color w:val="auto"/>
        </w:rPr>
        <w:t>JSC</w:t>
      </w:r>
      <w:r>
        <w:rPr>
          <w:rFonts w:ascii="Arial" w:cs="Arial" w:eastAsia="Arial" w:hAnsi="Arial"/>
          <w:sz w:val="18"/>
          <w:szCs w:val="18"/>
          <w:color w:val="auto"/>
        </w:rPr>
        <w:t>”) that shall, in accordance with this Section 2.2, monitor and coordinate communication regarding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under this Agreement. The JSC shall have only the powers assigned expressly to it in this Section 2.2 and elsewhere in this Agreement.</w:t>
      </w:r>
    </w:p>
    <w:p>
      <w:pPr>
        <w:spacing w:after="0" w:line="85" w:lineRule="exact"/>
        <w:rPr>
          <w:rFonts w:ascii="Arial" w:cs="Arial" w:eastAsia="Arial" w:hAnsi="Arial"/>
          <w:sz w:val="18"/>
          <w:szCs w:val="18"/>
          <w:color w:val="auto"/>
        </w:rPr>
      </w:pPr>
    </w:p>
    <w:p>
      <w:pPr>
        <w:ind w:left="1380" w:hanging="575"/>
        <w:spacing w:after="0" w:line="287" w:lineRule="auto"/>
        <w:tabs>
          <w:tab w:leader="none" w:pos="1380" w:val="left"/>
        </w:tabs>
        <w:numPr>
          <w:ilvl w:val="0"/>
          <w:numId w:val="352"/>
        </w:numPr>
        <w:rPr>
          <w:rFonts w:ascii="Arial" w:cs="Arial" w:eastAsia="Arial" w:hAnsi="Arial"/>
          <w:sz w:val="16"/>
          <w:szCs w:val="16"/>
          <w:color w:val="auto"/>
        </w:rPr>
      </w:pPr>
      <w:r>
        <w:rPr>
          <w:rFonts w:ascii="Arial" w:cs="Arial" w:eastAsia="Arial" w:hAnsi="Arial"/>
          <w:sz w:val="16"/>
          <w:szCs w:val="16"/>
          <w:b w:val="1"/>
          <w:bCs w:val="1"/>
          <w:color w:val="auto"/>
        </w:rPr>
        <w:t>Composition</w:t>
      </w:r>
      <w:r>
        <w:rPr>
          <w:rFonts w:ascii="Arial" w:cs="Arial" w:eastAsia="Arial" w:hAnsi="Arial"/>
          <w:sz w:val="16"/>
          <w:szCs w:val="16"/>
          <w:color w:val="auto"/>
        </w:rPr>
        <w:t>. Each Party shall initially appoint [*****] representatives to the JSC, each of whom will have sufficient seniority within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Party to make decisions arising within the scope of the JSC’s responsibilities. The JSC may change its size from time to time by mutual consent of its members, provided that the JSC shall at all times consist of an equal number of representatives of each Party. Each Party may replace its JSC representatives at any time upon written notice to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replacement of any JSC representative with an individual with lower seniority (as determined by such individual’s role within a Party’s organization and not by his/her title) shall require approval of the other Party which approval shall not be unreasonably withheld. The JSC may invite non-members (including consultants and advisors of a Party who are under an obligation of confidentiality consistent with this Agreement) to participate in the discussions and meetings of the JSC, provided that such participants shall have no voting authority at the JSC. The JSC shall have a chairperson, who shall serve for a term of one year, and who shall be selected alternately, on an annual basis, by either Party. The initial chairperson shall be designated by Piramal. The role of the chairperson shall be to convene and preside at meetings of the JSC, to prepare and circulate agendas and to ensure the preparation of minutes, but the chairperson shall have no additional powers or rights beyond those held by the other JSC representatives.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0" w:right="239" w:bottom="1440" w:gutter="0" w:footer="0" w:header="0"/>
        </w:sectPr>
      </w:pPr>
    </w:p>
    <w:bookmarkStart w:id="465" w:name="page466"/>
    <w:bookmarkEnd w:id="465"/>
    <w:p>
      <w:pPr>
        <w:jc w:val="center"/>
        <w:ind w:right="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78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580" w:right="520" w:hanging="575"/>
        <w:spacing w:after="0" w:line="282" w:lineRule="auto"/>
        <w:tabs>
          <w:tab w:leader="none" w:pos="580" w:val="left"/>
        </w:tabs>
        <w:numPr>
          <w:ilvl w:val="0"/>
          <w:numId w:val="353"/>
        </w:numPr>
        <w:rPr>
          <w:rFonts w:ascii="Arial" w:cs="Arial" w:eastAsia="Arial" w:hAnsi="Arial"/>
          <w:sz w:val="18"/>
          <w:szCs w:val="18"/>
          <w:color w:val="auto"/>
        </w:rPr>
      </w:pPr>
      <w:r>
        <w:rPr>
          <w:rFonts w:ascii="Arial" w:cs="Arial" w:eastAsia="Arial" w:hAnsi="Arial"/>
          <w:sz w:val="18"/>
          <w:szCs w:val="18"/>
          <w:b w:val="1"/>
          <w:bCs w:val="1"/>
          <w:color w:val="auto"/>
        </w:rPr>
        <w:t>Responsibilities</w:t>
      </w:r>
      <w:r>
        <w:rPr>
          <w:rFonts w:ascii="Arial" w:cs="Arial" w:eastAsia="Arial" w:hAnsi="Arial"/>
          <w:sz w:val="18"/>
          <w:szCs w:val="18"/>
          <w:color w:val="auto"/>
        </w:rPr>
        <w:t>. In addition to its overall responsibility for monitoring and providing a forum to discuss and coordinate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under this Agreement, the JSC shall in particular:</w:t>
      </w:r>
    </w:p>
    <w:p>
      <w:pPr>
        <w:spacing w:after="0" w:line="71" w:lineRule="exact"/>
        <w:rPr>
          <w:rFonts w:ascii="Arial" w:cs="Arial" w:eastAsia="Arial" w:hAnsi="Arial"/>
          <w:sz w:val="18"/>
          <w:szCs w:val="18"/>
          <w:color w:val="auto"/>
        </w:rPr>
      </w:pPr>
    </w:p>
    <w:p>
      <w:pPr>
        <w:ind w:left="1240" w:right="160" w:hanging="668"/>
        <w:spacing w:after="0" w:line="277" w:lineRule="auto"/>
        <w:tabs>
          <w:tab w:leader="none" w:pos="124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oversee and manage the technology transfer between the Parties as described in this Agreement of Compounds, data and Know-How necessary for or resulting from Research and Development activities;</w:t>
      </w:r>
    </w:p>
    <w:p>
      <w:pPr>
        <w:spacing w:after="0" w:line="75" w:lineRule="exact"/>
        <w:rPr>
          <w:rFonts w:ascii="Arial" w:cs="Arial" w:eastAsia="Arial" w:hAnsi="Arial"/>
          <w:sz w:val="18"/>
          <w:szCs w:val="18"/>
          <w:color w:val="auto"/>
        </w:rPr>
      </w:pPr>
    </w:p>
    <w:p>
      <w:pPr>
        <w:ind w:left="1240" w:hanging="668"/>
        <w:spacing w:after="0"/>
        <w:tabs>
          <w:tab w:leader="none" w:pos="124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propose and consider, and recommend to each Party any modifications to the Research Plan;</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coordinate activities under the Research Plan, and review and discuss results;</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review data and other results and discuss the status of activities undertaken for the Development [*****]</w:t>
      </w:r>
    </w:p>
    <w:p>
      <w:pPr>
        <w:spacing w:after="0" w:line="130" w:lineRule="exact"/>
        <w:rPr>
          <w:rFonts w:ascii="Arial" w:cs="Arial" w:eastAsia="Arial" w:hAnsi="Arial"/>
          <w:sz w:val="18"/>
          <w:szCs w:val="18"/>
          <w:color w:val="auto"/>
        </w:rPr>
      </w:pPr>
    </w:p>
    <w:p>
      <w:pPr>
        <w:ind w:left="1240" w:right="140" w:hanging="668"/>
        <w:spacing w:after="0" w:line="277" w:lineRule="auto"/>
        <w:tabs>
          <w:tab w:leader="none" w:pos="124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review the Development Plan on an annual basis or as more frequently as agreed on by the JSC (but in no event more frequently than biannually) and recommend and agree on any updates thereto;</w:t>
      </w:r>
    </w:p>
    <w:p>
      <w:pPr>
        <w:spacing w:after="0" w:line="75" w:lineRule="exact"/>
        <w:rPr>
          <w:rFonts w:ascii="Arial" w:cs="Arial" w:eastAsia="Arial" w:hAnsi="Arial"/>
          <w:sz w:val="18"/>
          <w:szCs w:val="18"/>
          <w:color w:val="auto"/>
        </w:rPr>
      </w:pPr>
    </w:p>
    <w:p>
      <w:pPr>
        <w:ind w:left="1240" w:hanging="668"/>
        <w:spacing w:after="0"/>
        <w:tabs>
          <w:tab w:leader="none" w:pos="124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review and discuss the status and strategy on the Commercialization of the Product;</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review and discuss payments due under Article 8;</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review and discuss any intellectual property related matters, including [*****]</w:t>
      </w:r>
    </w:p>
    <w:p>
      <w:pPr>
        <w:spacing w:after="0" w:line="130" w:lineRule="exact"/>
        <w:rPr>
          <w:rFonts w:ascii="Arial" w:cs="Arial" w:eastAsia="Arial" w:hAnsi="Arial"/>
          <w:sz w:val="18"/>
          <w:szCs w:val="18"/>
          <w:color w:val="auto"/>
        </w:rPr>
      </w:pPr>
    </w:p>
    <w:p>
      <w:pPr>
        <w:ind w:left="1240" w:hanging="668"/>
        <w:spacing w:after="0"/>
        <w:tabs>
          <w:tab w:leader="none" w:pos="124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propose and consider, and recommend to each Party, amendments to the terms of this Agreement.</w:t>
      </w:r>
    </w:p>
    <w:p>
      <w:pPr>
        <w:spacing w:after="0" w:line="117" w:lineRule="exact"/>
        <w:rPr>
          <w:sz w:val="20"/>
          <w:szCs w:val="20"/>
          <w:color w:val="auto"/>
        </w:rPr>
      </w:pPr>
    </w:p>
    <w:p>
      <w:pPr>
        <w:ind w:left="580"/>
        <w:spacing w:after="0" w:line="302" w:lineRule="auto"/>
        <w:rPr>
          <w:sz w:val="20"/>
          <w:szCs w:val="20"/>
          <w:color w:val="auto"/>
        </w:rPr>
      </w:pPr>
      <w:r>
        <w:rPr>
          <w:rFonts w:ascii="Arial" w:cs="Arial" w:eastAsia="Arial" w:hAnsi="Arial"/>
          <w:sz w:val="16"/>
          <w:szCs w:val="16"/>
          <w:color w:val="auto"/>
        </w:rPr>
        <w:t>Notwithstanding the foregoing, the JSC shall have no authority to amend or supplement this Agreement or any exhibit hereto, including the Research Plan or any Development Plan, nor to waive any right that either Party may have under this Agreement. Any amendments or additions to this Agreement or any exhibit hereto, including amending the Research Plan or amending or adopting any Development Plan, shall only be effective if mutually agreed in writing by at least one authorized representative of each Party in accordance with Section 15.9.</w:t>
      </w:r>
    </w:p>
    <w:p>
      <w:pPr>
        <w:spacing w:after="0" w:line="56" w:lineRule="exact"/>
        <w:rPr>
          <w:sz w:val="20"/>
          <w:szCs w:val="20"/>
          <w:color w:val="auto"/>
        </w:rPr>
      </w:pPr>
    </w:p>
    <w:p>
      <w:pPr>
        <w:ind w:left="580" w:right="580" w:hanging="575"/>
        <w:spacing w:after="0" w:line="282" w:lineRule="auto"/>
        <w:tabs>
          <w:tab w:leader="none" w:pos="580" w:val="left"/>
        </w:tabs>
        <w:numPr>
          <w:ilvl w:val="0"/>
          <w:numId w:val="354"/>
        </w:numPr>
        <w:rPr>
          <w:rFonts w:ascii="Arial" w:cs="Arial" w:eastAsia="Arial" w:hAnsi="Arial"/>
          <w:sz w:val="18"/>
          <w:szCs w:val="18"/>
          <w:color w:val="auto"/>
        </w:rPr>
      </w:pPr>
      <w:r>
        <w:rPr>
          <w:rFonts w:ascii="Arial" w:cs="Arial" w:eastAsia="Arial" w:hAnsi="Arial"/>
          <w:sz w:val="18"/>
          <w:szCs w:val="18"/>
          <w:b w:val="1"/>
          <w:bCs w:val="1"/>
          <w:color w:val="auto"/>
        </w:rPr>
        <w:t>Meetings</w:t>
      </w:r>
      <w:r>
        <w:rPr>
          <w:rFonts w:ascii="Arial" w:cs="Arial" w:eastAsia="Arial" w:hAnsi="Arial"/>
          <w:sz w:val="18"/>
          <w:szCs w:val="18"/>
          <w:color w:val="auto"/>
        </w:rPr>
        <w:t>. Unless the Parties mutually agree in writing to a different frequency, the JSC shall hold at least [*****] per year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 of which shall be held in person) on such dates at such times each year as it elects. The meetings</w:t>
      </w:r>
    </w:p>
    <w:p>
      <w:pPr>
        <w:spacing w:after="0" w:line="9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0620"/>
          </w:cols>
          <w:pgMar w:left="1040" w:top="270" w:right="239" w:bottom="1440" w:gutter="0" w:footer="0" w:header="0"/>
        </w:sectPr>
      </w:pPr>
    </w:p>
    <w:bookmarkStart w:id="466" w:name="page467"/>
    <w:bookmarkEnd w:id="4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of the JSC shall alternate between Berlin, Germany and Lausanne, Switzerland. Meetings of the JSC shall be effective only if at least two</w:t>
      </w:r>
    </w:p>
    <w:p>
      <w:pPr>
        <w:spacing w:after="0" w:line="46" w:lineRule="exact"/>
        <w:rPr>
          <w:sz w:val="20"/>
          <w:szCs w:val="20"/>
          <w:color w:val="auto"/>
        </w:rPr>
      </w:pPr>
    </w:p>
    <w:p>
      <w:pPr>
        <w:ind w:left="1380" w:right="20"/>
        <w:spacing w:after="0" w:line="253" w:lineRule="auto"/>
        <w:rPr>
          <w:sz w:val="20"/>
          <w:szCs w:val="20"/>
          <w:color w:val="auto"/>
        </w:rPr>
      </w:pPr>
      <w:r>
        <w:rPr>
          <w:rFonts w:ascii="Arial" w:cs="Arial" w:eastAsia="Arial" w:hAnsi="Arial"/>
          <w:sz w:val="18"/>
          <w:szCs w:val="18"/>
          <w:color w:val="auto"/>
        </w:rPr>
        <w:t>(2) representatives of each Party are present or participating. Each Party shall bear the expense of its respective members’ participation in JSC meetings. The chairperson of the JSC shall be responsible for preparing and issuing minutes of each such meeting within [*****] days thereafter. Such minutes shall not be finalized until each Party reviews and confirms the accuracy of such minutes in writing; provided that any minutes shall be deemed approved unless a member of the JSC objects to the accuracy of such minutes within [*****] days after the circulation of the minutes by the chairperson.</w:t>
      </w:r>
    </w:p>
    <w:p>
      <w:pPr>
        <w:spacing w:after="0" w:line="92" w:lineRule="exact"/>
        <w:rPr>
          <w:sz w:val="20"/>
          <w:szCs w:val="20"/>
          <w:color w:val="auto"/>
        </w:rPr>
      </w:pPr>
    </w:p>
    <w:p>
      <w:pPr>
        <w:ind w:left="1380" w:right="20" w:hanging="575"/>
        <w:spacing w:after="0" w:line="266" w:lineRule="auto"/>
        <w:tabs>
          <w:tab w:leader="none" w:pos="1380" w:val="left"/>
        </w:tabs>
        <w:numPr>
          <w:ilvl w:val="0"/>
          <w:numId w:val="355"/>
        </w:numPr>
        <w:rPr>
          <w:rFonts w:ascii="Arial" w:cs="Arial" w:eastAsia="Arial" w:hAnsi="Arial"/>
          <w:sz w:val="18"/>
          <w:szCs w:val="18"/>
          <w:color w:val="auto"/>
        </w:rPr>
      </w:pPr>
      <w:r>
        <w:rPr>
          <w:rFonts w:ascii="Arial" w:cs="Arial" w:eastAsia="Arial" w:hAnsi="Arial"/>
          <w:sz w:val="18"/>
          <w:szCs w:val="18"/>
          <w:b w:val="1"/>
          <w:bCs w:val="1"/>
          <w:color w:val="auto"/>
        </w:rPr>
        <w:t>Decision Making</w:t>
      </w:r>
      <w:r>
        <w:rPr>
          <w:rFonts w:ascii="Arial" w:cs="Arial" w:eastAsia="Arial" w:hAnsi="Arial"/>
          <w:sz w:val="18"/>
          <w:szCs w:val="18"/>
          <w:color w:val="auto"/>
        </w:rPr>
        <w:t>. The JSC shall act by consensus. The representatives from each Party will have, collectively, one (1) vote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that Party. If the JSC cannot reach consensus on an issue that comes before the JSC and over which the JSC has oversight, then such matter shall be resolved in accordance with Section 2.3.</w:t>
      </w:r>
    </w:p>
    <w:p>
      <w:pPr>
        <w:spacing w:after="0" w:line="3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Resolution of Committee Disputes.</w:t>
      </w:r>
    </w:p>
    <w:p>
      <w:pPr>
        <w:spacing w:after="0" w:line="131" w:lineRule="exact"/>
        <w:rPr>
          <w:sz w:val="20"/>
          <w:szCs w:val="20"/>
          <w:color w:val="auto"/>
        </w:rPr>
      </w:pPr>
    </w:p>
    <w:p>
      <w:pPr>
        <w:ind w:left="1380" w:right="360" w:hanging="575"/>
        <w:spacing w:after="0" w:line="282" w:lineRule="auto"/>
        <w:tabs>
          <w:tab w:leader="none" w:pos="1380" w:val="left"/>
        </w:tabs>
        <w:numPr>
          <w:ilvl w:val="0"/>
          <w:numId w:val="356"/>
        </w:numPr>
        <w:rPr>
          <w:rFonts w:ascii="Arial" w:cs="Arial" w:eastAsia="Arial" w:hAnsi="Arial"/>
          <w:sz w:val="18"/>
          <w:szCs w:val="18"/>
          <w:color w:val="auto"/>
        </w:rPr>
      </w:pPr>
      <w:r>
        <w:rPr>
          <w:rFonts w:ascii="Arial" w:cs="Arial" w:eastAsia="Arial" w:hAnsi="Arial"/>
          <w:sz w:val="18"/>
          <w:szCs w:val="18"/>
          <w:b w:val="1"/>
          <w:bCs w:val="1"/>
          <w:color w:val="auto"/>
        </w:rPr>
        <w:t xml:space="preserve">Within the JSC. </w:t>
      </w:r>
      <w:r>
        <w:rPr>
          <w:rFonts w:ascii="Arial" w:cs="Arial" w:eastAsia="Arial" w:hAnsi="Arial"/>
          <w:sz w:val="18"/>
          <w:szCs w:val="18"/>
          <w:color w:val="auto"/>
        </w:rPr>
        <w:t>All decisions within the JSC shall be made by consensus. If the JSC is unable to reach consensus on any issue, either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may elect to submit such issue to the Parties’ executive officers in accordance with Section 2.3(b).</w:t>
      </w:r>
    </w:p>
    <w:p>
      <w:pPr>
        <w:spacing w:after="0" w:line="67" w:lineRule="exact"/>
        <w:rPr>
          <w:rFonts w:ascii="Arial" w:cs="Arial" w:eastAsia="Arial" w:hAnsi="Arial"/>
          <w:sz w:val="18"/>
          <w:szCs w:val="18"/>
          <w:color w:val="auto"/>
        </w:rPr>
      </w:pPr>
    </w:p>
    <w:p>
      <w:pPr>
        <w:ind w:left="1380" w:right="40" w:hanging="575"/>
        <w:spacing w:after="0" w:line="256" w:lineRule="auto"/>
        <w:tabs>
          <w:tab w:leader="none" w:pos="1380" w:val="left"/>
        </w:tabs>
        <w:numPr>
          <w:ilvl w:val="0"/>
          <w:numId w:val="356"/>
        </w:numPr>
        <w:rPr>
          <w:rFonts w:ascii="Arial" w:cs="Arial" w:eastAsia="Arial" w:hAnsi="Arial"/>
          <w:sz w:val="18"/>
          <w:szCs w:val="18"/>
          <w:color w:val="auto"/>
        </w:rPr>
      </w:pPr>
      <w:r>
        <w:rPr>
          <w:rFonts w:ascii="Arial" w:cs="Arial" w:eastAsia="Arial" w:hAnsi="Arial"/>
          <w:sz w:val="18"/>
          <w:szCs w:val="18"/>
          <w:b w:val="1"/>
          <w:bCs w:val="1"/>
          <w:color w:val="auto"/>
        </w:rPr>
        <w:t xml:space="preserve">Referral to Executive Officers. </w:t>
      </w:r>
      <w:r>
        <w:rPr>
          <w:rFonts w:ascii="Arial" w:cs="Arial" w:eastAsia="Arial" w:hAnsi="Arial"/>
          <w:sz w:val="18"/>
          <w:szCs w:val="18"/>
          <w:color w:val="auto"/>
        </w:rPr>
        <w:t>If a Party elects to refer a matter to the executive officers, the JSC shall submit in writing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of the Parties to their respective executive officers. Such executive officers shall use good faith efforts to resolve promptly such matter, which good faith efforts shall include at least one teleconference between such executive officers within [*****] business days after the JSC’s submission of such matter to them. If the executive officers are unable to reach consensus on any such matter within [*****] days after the referral of such matter to the executive officers, then Piramal shall have final decision making authority with respect to [*****]</w:t>
      </w: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LICENSES</w:t>
      </w:r>
    </w:p>
    <w:p>
      <w:pPr>
        <w:spacing w:after="0" w:line="1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License Grant to Piramal Imaging SA</w:t>
      </w:r>
      <w:r>
        <w:rPr>
          <w:rFonts w:ascii="Arial" w:cs="Arial" w:eastAsia="Arial" w:hAnsi="Arial"/>
          <w:sz w:val="16"/>
          <w:szCs w:val="16"/>
          <w:color w:val="auto"/>
        </w:rPr>
        <w:t>.</w:t>
      </w:r>
    </w:p>
    <w:p>
      <w:pPr>
        <w:spacing w:after="0" w:line="131" w:lineRule="exact"/>
        <w:rPr>
          <w:sz w:val="20"/>
          <w:szCs w:val="20"/>
          <w:color w:val="auto"/>
        </w:rPr>
      </w:pPr>
    </w:p>
    <w:p>
      <w:pPr>
        <w:ind w:left="1380" w:right="20" w:hanging="575"/>
        <w:spacing w:after="0" w:line="303" w:lineRule="auto"/>
        <w:tabs>
          <w:tab w:leader="none" w:pos="1380" w:val="left"/>
        </w:tabs>
        <w:numPr>
          <w:ilvl w:val="0"/>
          <w:numId w:val="357"/>
        </w:numPr>
        <w:rPr>
          <w:rFonts w:ascii="Arial" w:cs="Arial" w:eastAsia="Arial" w:hAnsi="Arial"/>
          <w:sz w:val="16"/>
          <w:szCs w:val="16"/>
          <w:color w:val="auto"/>
        </w:rPr>
      </w:pPr>
      <w:r>
        <w:rPr>
          <w:rFonts w:ascii="Arial" w:cs="Arial" w:eastAsia="Arial" w:hAnsi="Arial"/>
          <w:sz w:val="16"/>
          <w:szCs w:val="16"/>
          <w:b w:val="1"/>
          <w:bCs w:val="1"/>
          <w:color w:val="auto"/>
        </w:rPr>
        <w:t>Exclusive License Under AC Immune Tau Protein Imaging IP and Collaboration IP</w:t>
      </w:r>
      <w:r>
        <w:rPr>
          <w:rFonts w:ascii="Arial" w:cs="Arial" w:eastAsia="Arial" w:hAnsi="Arial"/>
          <w:sz w:val="16"/>
          <w:szCs w:val="16"/>
          <w:color w:val="auto"/>
        </w:rPr>
        <w:t>. Subject to the terms and conditions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AC Immune hereby grants to Piramal Imaging SA an exclusive license, with the right to grant sublicenses in accordance with Section 3.3, under the AC Immune Tau Protein Imaging IP and AC Immune’s interests in Collaboration IP to Research, use, Develop, have Developed, Manufacture, have Manufactured, Commercialize and have Commercialized Products in the Field in the Territory.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0" w:right="239" w:bottom="1440" w:gutter="0" w:footer="0" w:header="0"/>
        </w:sectPr>
      </w:pPr>
    </w:p>
    <w:bookmarkStart w:id="467" w:name="page468"/>
    <w:bookmarkEnd w:id="4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1380" w:hanging="575"/>
        <w:spacing w:after="0" w:line="258" w:lineRule="auto"/>
        <w:tabs>
          <w:tab w:leader="none" w:pos="1380" w:val="left"/>
        </w:tabs>
        <w:numPr>
          <w:ilvl w:val="0"/>
          <w:numId w:val="358"/>
        </w:numPr>
        <w:rPr>
          <w:rFonts w:ascii="Arial" w:cs="Arial" w:eastAsia="Arial" w:hAnsi="Arial"/>
          <w:sz w:val="18"/>
          <w:szCs w:val="18"/>
          <w:color w:val="auto"/>
        </w:rPr>
      </w:pPr>
      <w:r>
        <w:rPr>
          <w:rFonts w:ascii="Arial" w:cs="Arial" w:eastAsia="Arial" w:hAnsi="Arial"/>
          <w:sz w:val="18"/>
          <w:szCs w:val="18"/>
          <w:b w:val="1"/>
          <w:bCs w:val="1"/>
          <w:color w:val="auto"/>
        </w:rPr>
        <w:t>Non-Exclusive License Under AC Immune Background IP</w:t>
      </w:r>
      <w:r>
        <w:rPr>
          <w:rFonts w:ascii="Arial" w:cs="Arial" w:eastAsia="Arial" w:hAnsi="Arial"/>
          <w:sz w:val="18"/>
          <w:szCs w:val="18"/>
          <w:color w:val="auto"/>
        </w:rPr>
        <w:t>. Subject to the terms and conditions of this Agreement, AC Immune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grants Piramal Imaging SA a royalty-free, fully paid-up, worldwide non-exclusive license, with the right to grant sublicenses in accordance with Section 3.3, under the AC Immune Background IP in the Field in the Territory solely to the extent necessary for Piramal to perform its obligations and exercise its rights under this Agreement, including to Research, Develop, Manufacture and Commercialize Products in the Field in the Territory.</w:t>
      </w:r>
    </w:p>
    <w:p>
      <w:pPr>
        <w:spacing w:after="0" w:line="89" w:lineRule="exact"/>
        <w:rPr>
          <w:sz w:val="20"/>
          <w:szCs w:val="20"/>
          <w:color w:val="auto"/>
        </w:rPr>
      </w:pPr>
    </w:p>
    <w:p>
      <w:pPr>
        <w:ind w:left="800" w:right="20" w:hanging="796"/>
        <w:spacing w:after="0" w:line="266" w:lineRule="auto"/>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auto"/>
        </w:rPr>
        <w:t>Grant to AC Immune</w:t>
      </w:r>
      <w:r>
        <w:rPr>
          <w:rFonts w:ascii="Arial" w:cs="Arial" w:eastAsia="Arial" w:hAnsi="Arial"/>
          <w:sz w:val="18"/>
          <w:szCs w:val="18"/>
          <w:color w:val="auto"/>
        </w:rPr>
        <w:t>. Subject to the terms and conditions of this Agreement, Piramal Imaging SA hereby grants AC Immune a royalty-free, non-exclusive license, without any right to grant sublicenses, under the Piramal Background IP solely to the extent necessary for AC Immune to perform its obligations under the Research Plan and, if applicable, any Development Plan.</w:t>
      </w:r>
    </w:p>
    <w:p>
      <w:pPr>
        <w:spacing w:after="0" w:line="82" w:lineRule="exact"/>
        <w:rPr>
          <w:sz w:val="20"/>
          <w:szCs w:val="20"/>
          <w:color w:val="auto"/>
        </w:rPr>
      </w:pPr>
    </w:p>
    <w:p>
      <w:pPr>
        <w:ind w:left="800" w:right="40" w:hanging="796"/>
        <w:spacing w:after="0" w:line="258" w:lineRule="auto"/>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b w:val="1"/>
          <w:bCs w:val="1"/>
          <w:color w:val="auto"/>
        </w:rPr>
        <w:t>Sublicenses</w:t>
      </w:r>
      <w:r>
        <w:rPr>
          <w:rFonts w:ascii="Arial" w:cs="Arial" w:eastAsia="Arial" w:hAnsi="Arial"/>
          <w:sz w:val="18"/>
          <w:szCs w:val="18"/>
          <w:color w:val="auto"/>
        </w:rPr>
        <w:t>. Piramal Imaging SA may grant sublicenses under the rights granted to it in Section 3.1;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each such</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 is consistent with the terms and conditions of this Agreement, including without limitation provisions that provide for intellectual property ownership, records and audit rights, indemnification and confidentiality consistent with this Agreement, (b) Piramal shall notify AC Immune of any such sublicense agreement within [*****] days after it becomes effective, and (c) Piramal shall remain liable for any breach of any provisions of this Agreement caused by such sublicensee.</w:t>
      </w:r>
    </w:p>
    <w:p>
      <w:pPr>
        <w:spacing w:after="0" w:line="89" w:lineRule="exact"/>
        <w:rPr>
          <w:sz w:val="20"/>
          <w:szCs w:val="20"/>
          <w:color w:val="auto"/>
        </w:rPr>
      </w:pPr>
    </w:p>
    <w:p>
      <w:pPr>
        <w:ind w:left="800" w:right="20" w:hanging="796"/>
        <w:spacing w:after="0" w:line="266" w:lineRule="auto"/>
        <w:tabs>
          <w:tab w:leader="none" w:pos="7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color w:val="auto"/>
        </w:rPr>
        <w:t>No Implied Rights</w:t>
      </w:r>
      <w:r>
        <w:rPr>
          <w:rFonts w:ascii="Arial" w:cs="Arial" w:eastAsia="Arial" w:hAnsi="Arial"/>
          <w:sz w:val="18"/>
          <w:szCs w:val="18"/>
          <w:color w:val="auto"/>
        </w:rPr>
        <w:t>. Except as specifically set forth in this Agreement, neither Party shall acquire any license, intellectual property interest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by implication or otherwise, in any Know-How disclosed to it under this Agreement or under any Patents Controlled by the other Party or its Affiliates.</w:t>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b w:val="1"/>
          <w:bCs w:val="1"/>
          <w:color w:val="auto"/>
        </w:rPr>
        <w:t>Other Development</w:t>
      </w:r>
      <w:r>
        <w:rPr>
          <w:rFonts w:ascii="Arial" w:cs="Arial" w:eastAsia="Arial" w:hAnsi="Arial"/>
          <w:sz w:val="16"/>
          <w:szCs w:val="16"/>
          <w:color w:val="auto"/>
        </w:rPr>
        <w:t>. During the Term of the Agreement, Piramal shall not develop and commercialize in the Territory in the Field any Tau protein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selective or Tau protein targeting PET Agents other than Products. During the Term of the Agreement, AC Immune shall not license to or</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collaborate with any Third Party in the discovery, development and commercialization of any Tau protein selective or Tau protein targeting PET</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Agents. Notwithstanding the foregoing provision of this Section 3.5, in the event of a Change of Control of a Party or a Business Acquisition, the</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provisions of this Section 3.5 shall not apply to any active research or development program that a portion of the surviving entity or Affiliate that</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was not such Party (prior to the Change of Control or Business Acquisition) had ongoing as of immediately prior to the date of such Change of</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Control or Business Acquisition. For clarity, if as a result of any such Change of Control, a Party exists as a wholly owned subsidiary of a parent,</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then the provisions of this Section 3.5 shall continue to apply to such Party as the surviving entity, but not to such parent. As used herein,</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Acquisition</w:t>
      </w:r>
      <w:r>
        <w:rPr>
          <w:rFonts w:ascii="Arial" w:cs="Arial" w:eastAsia="Arial" w:hAnsi="Arial"/>
          <w:sz w:val="16"/>
          <w:szCs w:val="16"/>
          <w:color w:val="auto"/>
        </w:rPr>
        <w:t>” means the acquisition of all or substantially all of a Third Party’s business or assets by either AC Immune or Piramal or an</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Affiliate of either Party.</w:t>
      </w:r>
    </w:p>
    <w:p>
      <w:pPr>
        <w:spacing w:after="0" w:line="1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color w:val="auto"/>
        </w:rPr>
        <w:t>Reservation of Rights</w:t>
      </w:r>
      <w:r>
        <w:rPr>
          <w:rFonts w:ascii="Arial" w:cs="Arial" w:eastAsia="Arial" w:hAnsi="Arial"/>
          <w:sz w:val="16"/>
          <w:szCs w:val="16"/>
          <w:color w:val="auto"/>
        </w:rPr>
        <w:t>. AC Immune hereby reserves the right to use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69" w:right="239" w:bottom="1440" w:gutter="0" w:footer="0" w:header="0"/>
        </w:sectPr>
      </w:pPr>
    </w:p>
    <w:bookmarkStart w:id="468" w:name="page469"/>
    <w:bookmarkEnd w:id="4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and Piramal hereby reserves the right to enter collaborations with Third Parties for the use of the Product(s) in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AND DEVELOPMENT</w:t>
      </w:r>
    </w:p>
    <w:p>
      <w:pPr>
        <w:spacing w:after="0" w:line="112" w:lineRule="exact"/>
        <w:rPr>
          <w:sz w:val="20"/>
          <w:szCs w:val="20"/>
          <w:color w:val="auto"/>
        </w:rPr>
      </w:pPr>
    </w:p>
    <w:p>
      <w:pPr>
        <w:ind w:left="800" w:right="180" w:hanging="796"/>
        <w:spacing w:after="0" w:line="261"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color w:val="auto"/>
        </w:rPr>
        <w:t>Overview</w:t>
      </w:r>
      <w:r>
        <w:rPr>
          <w:rFonts w:ascii="Arial" w:cs="Arial" w:eastAsia="Arial" w:hAnsi="Arial"/>
          <w:sz w:val="18"/>
          <w:szCs w:val="18"/>
          <w:color w:val="auto"/>
        </w:rPr>
        <w:t>. AC Immune shall identify all of its molecules that are Compounds and provide such information to Piramal. Each Party agrees to use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conduct the activities assigned to such Party in Research Plan and the Development Plan. Each Party shall conduct its Research and Development activities under this Agreement in good scientific and clinical manner and in compliance in all material respects with all applicable Laws.</w:t>
      </w:r>
    </w:p>
    <w:p>
      <w:pPr>
        <w:spacing w:after="0" w:line="86" w:lineRule="exact"/>
        <w:rPr>
          <w:sz w:val="20"/>
          <w:szCs w:val="20"/>
          <w:color w:val="auto"/>
        </w:rPr>
      </w:pPr>
    </w:p>
    <w:p>
      <w:pPr>
        <w:ind w:left="800" w:right="80" w:hanging="796"/>
        <w:spacing w:after="0" w:line="292"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Research Plan</w:t>
      </w:r>
      <w:r>
        <w:rPr>
          <w:rFonts w:ascii="Arial" w:cs="Arial" w:eastAsia="Arial" w:hAnsi="Arial"/>
          <w:sz w:val="16"/>
          <w:szCs w:val="16"/>
          <w:color w:val="auto"/>
        </w:rPr>
        <w:t>. The Parties will collaborate together on Research to evaluate the Compounds in accordance with the Research Plan and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guidance of the JSC. For clarity, the initial Research Plan shall include continued evaluation by both Parties of Compounds as potential candidates for selection as Lead Candidates based on the Selection Criteria. The initial Research Plan shall include without limitation the evaluation of Compounds based on the assays and studies outlined in </w:t>
      </w:r>
      <w:r>
        <w:rPr>
          <w:rFonts w:ascii="Arial" w:cs="Arial" w:eastAsia="Arial" w:hAnsi="Arial"/>
          <w:sz w:val="16"/>
          <w:szCs w:val="16"/>
          <w:u w:val="single" w:color="auto"/>
          <w:color w:val="auto"/>
        </w:rPr>
        <w:t>Appendix 3</w:t>
      </w:r>
      <w:r>
        <w:rPr>
          <w:rFonts w:ascii="Arial" w:cs="Arial" w:eastAsia="Arial" w:hAnsi="Arial"/>
          <w:sz w:val="16"/>
          <w:szCs w:val="16"/>
          <w:color w:val="auto"/>
        </w:rPr>
        <w:t>. Each party shall assume the cost for executing its obligations under the Research Plan. In the event there are studies regarding a Product that either Party is interested in performing but to which the other Party is not interested, such interested Party shall have the right, at its own cost and expense, to conduct such study so long as the study does not predictably result in any detriment to the Research, Development or Commercialization of the Product.</w:t>
      </w:r>
    </w:p>
    <w:p>
      <w:pPr>
        <w:spacing w:after="0" w:line="67" w:lineRule="exact"/>
        <w:rPr>
          <w:sz w:val="20"/>
          <w:szCs w:val="20"/>
          <w:color w:val="auto"/>
        </w:rPr>
      </w:pPr>
    </w:p>
    <w:p>
      <w:pPr>
        <w:ind w:left="800" w:hanging="796"/>
        <w:spacing w:after="0" w:line="258"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b w:val="1"/>
          <w:bCs w:val="1"/>
          <w:color w:val="auto"/>
        </w:rPr>
        <w:t>Development Plan</w:t>
      </w:r>
      <w:r>
        <w:rPr>
          <w:rFonts w:ascii="Arial" w:cs="Arial" w:eastAsia="Arial" w:hAnsi="Arial"/>
          <w:sz w:val="18"/>
          <w:szCs w:val="18"/>
          <w:color w:val="auto"/>
        </w:rPr>
        <w:t>. The Parties will cooperate in good faith in designing the Development Plan, which will provide for the advancement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one Lead Candidate. Piramal shall be responsible for all costs associated with the performance of the Development Plan. The Parties agree that the Development Plan shall not materially increase AC Immune’s obligations, cause AC Immune to incur additional costs, or conflict with any other provision of this Agreement without AC Immune’s written consent. The Development Plan shall be reviewed and updated in accordance with Section 2.2(c)(v).</w:t>
      </w:r>
    </w:p>
    <w:p>
      <w:pPr>
        <w:spacing w:after="0" w:line="89" w:lineRule="exact"/>
        <w:rPr>
          <w:sz w:val="20"/>
          <w:szCs w:val="20"/>
          <w:color w:val="auto"/>
        </w:rPr>
      </w:pPr>
    </w:p>
    <w:p>
      <w:pPr>
        <w:ind w:left="800" w:right="80" w:hanging="796"/>
        <w:spacing w:after="0" w:line="313" w:lineRule="auto"/>
        <w:tabs>
          <w:tab w:leader="none" w:pos="7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b w:val="1"/>
          <w:bCs w:val="1"/>
          <w:color w:val="auto"/>
        </w:rPr>
        <w:t>Other Discovery</w:t>
      </w:r>
      <w:r>
        <w:rPr>
          <w:rFonts w:ascii="Arial" w:cs="Arial" w:eastAsia="Arial" w:hAnsi="Arial"/>
          <w:sz w:val="17"/>
          <w:szCs w:val="17"/>
          <w:color w:val="auto"/>
        </w:rPr>
        <w:t>. If all Compounds within the AC Immune Tau Protein Imaging Patents fail in the Research and Development efforts,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will discuss and agree on a Compound discovery program, the terms of which shall be mutually agreed upon by the Parties.</w:t>
      </w:r>
    </w:p>
    <w:p>
      <w:pPr>
        <w:spacing w:after="0" w:line="44" w:lineRule="exact"/>
        <w:rPr>
          <w:sz w:val="20"/>
          <w:szCs w:val="20"/>
          <w:color w:val="auto"/>
        </w:rPr>
      </w:pPr>
    </w:p>
    <w:p>
      <w:pPr>
        <w:ind w:left="800" w:right="100" w:hanging="796"/>
        <w:spacing w:after="0" w:line="314" w:lineRule="auto"/>
        <w:tabs>
          <w:tab w:leader="none" w:pos="7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 The Parties may collaborate on the use of the Product in the development and commercialization of AC Immune Therapeutic Agents.</w:t>
      </w:r>
      <w:r>
        <w:rPr>
          <w:rFonts w:ascii="Arial" w:cs="Arial" w:eastAsia="Arial" w:hAnsi="Arial"/>
          <w:sz w:val="16"/>
          <w:szCs w:val="16"/>
          <w:b w:val="1"/>
          <w:bCs w:val="1"/>
          <w:color w:val="auto"/>
        </w:rPr>
        <w:t xml:space="preserve"> </w:t>
      </w:r>
      <w:r>
        <w:rPr>
          <w:rFonts w:ascii="Arial" w:cs="Arial" w:eastAsia="Arial" w:hAnsi="Arial"/>
          <w:sz w:val="16"/>
          <w:szCs w:val="16"/>
          <w:color w:val="auto"/>
        </w:rPr>
        <w:t>Upon AC Immune’s request and agreement of the JSC, Piramal shall provide to AC Immune (a) imaging related technical expertise and input into the Clinical Trials of the AC Immune Therapeutic Agents, and (b) assistance in the interpretation of the resultant image-related data.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269" w:right="239" w:bottom="1440" w:gutter="0" w:footer="0" w:header="0"/>
        </w:sectPr>
      </w:pPr>
    </w:p>
    <w:bookmarkStart w:id="469" w:name="page470"/>
    <w:bookmarkEnd w:id="4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Information and Records</w:t>
      </w:r>
      <w:r>
        <w:rPr>
          <w:rFonts w:ascii="Arial" w:cs="Arial" w:eastAsia="Arial" w:hAnsi="Arial"/>
          <w:sz w:val="16"/>
          <w:szCs w:val="16"/>
          <w:color w:val="auto"/>
        </w:rPr>
        <w:t>.</w:t>
      </w:r>
    </w:p>
    <w:p>
      <w:pPr>
        <w:spacing w:after="0" w:line="135" w:lineRule="exact"/>
        <w:rPr>
          <w:sz w:val="20"/>
          <w:szCs w:val="20"/>
          <w:color w:val="auto"/>
        </w:rPr>
      </w:pPr>
    </w:p>
    <w:p>
      <w:pPr>
        <w:ind w:left="1380" w:hanging="575"/>
        <w:spacing w:after="0" w:line="271" w:lineRule="auto"/>
        <w:tabs>
          <w:tab w:leader="none" w:pos="138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Each Party shall maintain complete, current and accurate records of all work conducted by it under the Research Plan and any Development Plan, including all data and other Know-How resulting from such work. Such records shall fully and properly reflect all work done and results achieved in the performance of the Research Plan and Development Plan in sufficient detail and in good scientific manner appropriate for patent and regulatory purposes. Each Party shall have the right to review such records maintained by the other Party at reasonable times, upon written request. Each Party shall provide written reports to the JSC on its Research, Development and regulatory activities with the Product pursuant to the applicable Research Plan and Development Plan on an annual basis at the end of each calendar year, at a level of detail reasonably sufficient to enable the other Party to determine the reporting Party’s compliance with its Commercially Reasonable Efforts obligations under Section 4.1.</w:t>
      </w:r>
    </w:p>
    <w:p>
      <w:pPr>
        <w:spacing w:after="0" w:line="84" w:lineRule="exact"/>
        <w:rPr>
          <w:rFonts w:ascii="Arial" w:cs="Arial" w:eastAsia="Arial" w:hAnsi="Arial"/>
          <w:sz w:val="17"/>
          <w:szCs w:val="17"/>
          <w:color w:val="auto"/>
        </w:rPr>
      </w:pPr>
    </w:p>
    <w:p>
      <w:pPr>
        <w:ind w:left="1380" w:hanging="575"/>
        <w:spacing w:after="0"/>
        <w:tabs>
          <w:tab w:leader="none" w:pos="13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w:t>
      </w:r>
    </w:p>
    <w:p>
      <w:pPr>
        <w:spacing w:after="0" w:line="234" w:lineRule="exact"/>
        <w:rPr>
          <w:sz w:val="20"/>
          <w:szCs w:val="20"/>
          <w:color w:val="auto"/>
        </w:rPr>
      </w:pPr>
    </w:p>
    <w:p>
      <w:pPr>
        <w:ind w:left="800" w:right="160" w:hanging="796"/>
        <w:spacing w:after="0" w:line="261" w:lineRule="auto"/>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b w:val="1"/>
          <w:bCs w:val="1"/>
          <w:color w:val="auto"/>
        </w:rPr>
        <w:t>Product</w:t>
      </w:r>
      <w:r>
        <w:rPr>
          <w:rFonts w:ascii="Arial" w:cs="Arial" w:eastAsia="Arial" w:hAnsi="Arial"/>
          <w:sz w:val="18"/>
          <w:szCs w:val="18"/>
          <w:color w:val="auto"/>
        </w:rPr>
        <w:t>. Piramal shall have the sole right, [*****] to conduct and manage all regulatory activities to support the Development, Manufacture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the Product(s) in the Territory, including obtaining Regulatory Approvals of the Product(s) in the name of Piramal or its Affiliates or designees. AC Immune shall provide support as reasonably requested by Piramal in regulatory activities and meetings with Regulatory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270" w:right="239" w:bottom="1440" w:gutter="0" w:footer="0" w:header="0"/>
        </w:sectPr>
      </w:pPr>
    </w:p>
    <w:bookmarkStart w:id="470" w:name="page471"/>
    <w:bookmarkEnd w:id="470"/>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b w:val="1"/>
                <w:bCs w:val="1"/>
                <w:color w:val="auto"/>
              </w:rPr>
              <w:t>CONFIDENTIAL TREATMENT REQUESTED UNDER RULE 406</w:t>
            </w:r>
          </w:p>
        </w:tc>
      </w:tr>
      <w:tr>
        <w:trPr>
          <w:trHeight w:val="234"/>
        </w:trPr>
        <w:tc>
          <w:tcPr>
            <w:tcW w:w="520" w:type="dxa"/>
            <w:vAlign w:val="bottom"/>
          </w:tcPr>
          <w:p>
            <w:pPr>
              <w:spacing w:after="0"/>
              <w:rPr>
                <w:sz w:val="20"/>
                <w:szCs w:val="20"/>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b w:val="1"/>
                <w:bCs w:val="1"/>
                <w:color w:val="auto"/>
                <w:w w:val="98"/>
              </w:rPr>
              <w:t>UNDER THE SECURITIES ACT OF 1933, AS AMENDED.</w:t>
            </w:r>
          </w:p>
        </w:tc>
      </w:tr>
      <w:tr>
        <w:trPr>
          <w:trHeight w:val="414"/>
        </w:trPr>
        <w:tc>
          <w:tcPr>
            <w:tcW w:w="520" w:type="dxa"/>
            <w:vAlign w:val="bottom"/>
          </w:tcPr>
          <w:p>
            <w:pPr>
              <w:spacing w:after="0"/>
              <w:rPr>
                <w:sz w:val="24"/>
                <w:szCs w:val="24"/>
                <w:color w:val="auto"/>
              </w:rPr>
            </w:pPr>
          </w:p>
        </w:tc>
        <w:tc>
          <w:tcPr>
            <w:tcW w:w="10900" w:type="dxa"/>
            <w:vAlign w:val="bottom"/>
          </w:tcPr>
          <w:p>
            <w:pPr>
              <w:jc w:val="center"/>
              <w:ind w:right="410"/>
              <w:spacing w:after="0"/>
              <w:rPr>
                <w:sz w:val="20"/>
                <w:szCs w:val="20"/>
                <w:color w:val="auto"/>
              </w:rPr>
            </w:pPr>
            <w:r>
              <w:rPr>
                <w:rFonts w:ascii="Arial" w:cs="Arial" w:eastAsia="Arial" w:hAnsi="Arial"/>
                <w:sz w:val="18"/>
                <w:szCs w:val="18"/>
                <w:b w:val="1"/>
                <w:bCs w:val="1"/>
                <w:color w:val="auto"/>
              </w:rPr>
              <w:t>[*****] INDICATES OMITTED MATERIAL THAT IS THE SUBJECT OF A CONFIDENTIAL TREATMENT</w:t>
            </w:r>
          </w:p>
        </w:tc>
      </w:tr>
      <w:tr>
        <w:trPr>
          <w:trHeight w:val="216"/>
        </w:trPr>
        <w:tc>
          <w:tcPr>
            <w:tcW w:w="520" w:type="dxa"/>
            <w:vAlign w:val="bottom"/>
          </w:tcPr>
          <w:p>
            <w:pPr>
              <w:spacing w:after="0"/>
              <w:rPr>
                <w:sz w:val="18"/>
                <w:szCs w:val="18"/>
                <w:color w:val="auto"/>
              </w:rPr>
            </w:pPr>
          </w:p>
        </w:tc>
        <w:tc>
          <w:tcPr>
            <w:tcW w:w="10900" w:type="dxa"/>
            <w:vAlign w:val="bottom"/>
          </w:tcPr>
          <w:p>
            <w:pPr>
              <w:jc w:val="center"/>
              <w:ind w:right="410"/>
              <w:spacing w:after="0"/>
              <w:rPr>
                <w:sz w:val="20"/>
                <w:szCs w:val="20"/>
                <w:color w:val="auto"/>
              </w:rPr>
            </w:pPr>
            <w:r>
              <w:rPr>
                <w:rFonts w:ascii="Arial" w:cs="Arial" w:eastAsia="Arial" w:hAnsi="Arial"/>
                <w:sz w:val="18"/>
                <w:szCs w:val="18"/>
                <w:b w:val="1"/>
                <w:bCs w:val="1"/>
                <w:color w:val="auto"/>
              </w:rPr>
              <w:t>REQUEST FILED SEPARATELY WITH THE COMMISSION. THE OMITTED MATERIAL</w:t>
            </w:r>
          </w:p>
        </w:tc>
      </w:tr>
      <w:tr>
        <w:trPr>
          <w:trHeight w:val="216"/>
        </w:trPr>
        <w:tc>
          <w:tcPr>
            <w:tcW w:w="520" w:type="dxa"/>
            <w:vAlign w:val="bottom"/>
          </w:tcPr>
          <w:p>
            <w:pPr>
              <w:spacing w:after="0"/>
              <w:rPr>
                <w:sz w:val="18"/>
                <w:szCs w:val="18"/>
                <w:color w:val="auto"/>
              </w:rPr>
            </w:pPr>
          </w:p>
        </w:tc>
        <w:tc>
          <w:tcPr>
            <w:tcW w:w="10900" w:type="dxa"/>
            <w:vAlign w:val="bottom"/>
          </w:tcPr>
          <w:p>
            <w:pPr>
              <w:jc w:val="center"/>
              <w:ind w:right="410"/>
              <w:spacing w:after="0"/>
              <w:rPr>
                <w:sz w:val="20"/>
                <w:szCs w:val="20"/>
                <w:color w:val="auto"/>
              </w:rPr>
            </w:pPr>
            <w:r>
              <w:rPr>
                <w:rFonts w:ascii="Arial" w:cs="Arial" w:eastAsia="Arial" w:hAnsi="Arial"/>
                <w:sz w:val="18"/>
                <w:szCs w:val="18"/>
                <w:b w:val="1"/>
                <w:bCs w:val="1"/>
                <w:color w:val="auto"/>
              </w:rPr>
              <w:t>HAS BEEN FILED SEPARATELY WITH THE COMMISSION.</w:t>
            </w:r>
          </w:p>
        </w:tc>
      </w:tr>
      <w:tr>
        <w:trPr>
          <w:trHeight w:val="234"/>
        </w:trPr>
        <w:tc>
          <w:tcPr>
            <w:tcW w:w="520" w:type="dxa"/>
            <w:vAlign w:val="bottom"/>
          </w:tcPr>
          <w:p>
            <w:pPr>
              <w:spacing w:after="0"/>
              <w:rPr>
                <w:sz w:val="20"/>
                <w:szCs w:val="20"/>
                <w:color w:val="auto"/>
              </w:rPr>
            </w:pPr>
          </w:p>
        </w:tc>
        <w:tc>
          <w:tcPr>
            <w:tcW w:w="10900" w:type="dxa"/>
            <w:vAlign w:val="bottom"/>
          </w:tcPr>
          <w:p>
            <w:pPr>
              <w:ind w:left="9360"/>
              <w:spacing w:after="0"/>
              <w:rPr>
                <w:sz w:val="20"/>
                <w:szCs w:val="20"/>
                <w:color w:val="auto"/>
              </w:rPr>
            </w:pPr>
            <w:r>
              <w:rPr>
                <w:rFonts w:ascii="Arial" w:cs="Arial" w:eastAsia="Arial" w:hAnsi="Arial"/>
                <w:sz w:val="18"/>
                <w:szCs w:val="18"/>
                <w:b w:val="1"/>
                <w:bCs w:val="1"/>
                <w:color w:val="auto"/>
              </w:rPr>
              <w:t>CONFIDENTIAL –</w:t>
            </w:r>
          </w:p>
        </w:tc>
      </w:tr>
      <w:tr>
        <w:trPr>
          <w:trHeight w:val="350"/>
        </w:trPr>
        <w:tc>
          <w:tcPr>
            <w:tcW w:w="520" w:type="dxa"/>
            <w:vAlign w:val="bottom"/>
          </w:tcPr>
          <w:p>
            <w:pPr>
              <w:spacing w:after="0"/>
              <w:rPr>
                <w:sz w:val="24"/>
                <w:szCs w:val="24"/>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5"/>
              </w:rPr>
              <w:t>Authorities and shall provide technical expertise and support to Piramal as reasonably requested by Piramal on all aspects of the Regulatory</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5"/>
              </w:rPr>
              <w:t>Approval processes. For clarity, Piramal shall take the lead in all regulatory activities and shall have final decision making authority on such</w:t>
            </w:r>
          </w:p>
        </w:tc>
      </w:tr>
      <w:tr>
        <w:trPr>
          <w:trHeight w:val="230"/>
        </w:trPr>
        <w:tc>
          <w:tcPr>
            <w:tcW w:w="520" w:type="dxa"/>
            <w:vAlign w:val="bottom"/>
          </w:tcPr>
          <w:p>
            <w:pPr>
              <w:spacing w:after="0"/>
              <w:rPr>
                <w:sz w:val="20"/>
                <w:szCs w:val="20"/>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activities. Piramal shall own all Regulatory Materials.</w:t>
            </w:r>
          </w:p>
        </w:tc>
      </w:tr>
      <w:tr>
        <w:trPr>
          <w:trHeight w:val="323"/>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5.2</w:t>
            </w:r>
          </w:p>
        </w:tc>
        <w:tc>
          <w:tcPr>
            <w:tcW w:w="10900" w:type="dxa"/>
            <w:vAlign w:val="bottom"/>
          </w:tcPr>
          <w:p>
            <w:pPr>
              <w:ind w:left="280"/>
              <w:spacing w:after="0"/>
              <w:rPr>
                <w:sz w:val="20"/>
                <w:szCs w:val="20"/>
                <w:color w:val="auto"/>
              </w:rPr>
            </w:pPr>
            <w:r>
              <w:rPr>
                <w:rFonts w:ascii="Arial" w:cs="Arial" w:eastAsia="Arial" w:hAnsi="Arial"/>
                <w:sz w:val="18"/>
                <w:szCs w:val="18"/>
                <w:b w:val="1"/>
                <w:bCs w:val="1"/>
                <w:color w:val="auto"/>
                <w:w w:val="95"/>
              </w:rPr>
              <w:t>Rights of Reference to Regulatory Materials</w:t>
            </w:r>
            <w:r>
              <w:rPr>
                <w:rFonts w:ascii="Arial" w:cs="Arial" w:eastAsia="Arial" w:hAnsi="Arial"/>
                <w:sz w:val="18"/>
                <w:szCs w:val="18"/>
                <w:color w:val="auto"/>
                <w:w w:val="95"/>
              </w:rPr>
              <w:t>. Piramal hereby grants to AC Immune a right of reference to all Regulatory Materials filed by</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9"/>
              </w:rPr>
              <w:t>Piramal for Product, and AC Immune hereby grants to Piramal a right of reference to all materials filed by AC Immune with Regulatory</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6"/>
              </w:rPr>
              <w:t>Authorities for AC Immune Therapeutic Agent. Such rights of reference are granted by each Party solely for the purpose of the other Party</w:t>
            </w:r>
          </w:p>
        </w:tc>
      </w:tr>
      <w:tr>
        <w:trPr>
          <w:trHeight w:val="230"/>
        </w:trPr>
        <w:tc>
          <w:tcPr>
            <w:tcW w:w="520" w:type="dxa"/>
            <w:vAlign w:val="bottom"/>
          </w:tcPr>
          <w:p>
            <w:pPr>
              <w:spacing w:after="0"/>
              <w:rPr>
                <w:sz w:val="20"/>
                <w:szCs w:val="20"/>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obtaining approval on its respective product.</w:t>
            </w:r>
          </w:p>
        </w:tc>
      </w:tr>
      <w:tr>
        <w:trPr>
          <w:trHeight w:val="630"/>
        </w:trPr>
        <w:tc>
          <w:tcPr>
            <w:tcW w:w="520" w:type="dxa"/>
            <w:vAlign w:val="bottom"/>
          </w:tcPr>
          <w:p>
            <w:pPr>
              <w:spacing w:after="0"/>
              <w:rPr>
                <w:sz w:val="24"/>
                <w:szCs w:val="24"/>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b w:val="1"/>
                <w:bCs w:val="1"/>
                <w:color w:val="auto"/>
              </w:rPr>
              <w:t>ARTICLE 6</w:t>
            </w:r>
          </w:p>
        </w:tc>
      </w:tr>
      <w:tr>
        <w:trPr>
          <w:trHeight w:val="234"/>
        </w:trPr>
        <w:tc>
          <w:tcPr>
            <w:tcW w:w="520" w:type="dxa"/>
            <w:vAlign w:val="bottom"/>
          </w:tcPr>
          <w:p>
            <w:pPr>
              <w:spacing w:after="0"/>
              <w:rPr>
                <w:sz w:val="20"/>
                <w:szCs w:val="20"/>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MANUFACTURING; SUPPLY</w:t>
            </w:r>
          </w:p>
        </w:tc>
      </w:tr>
      <w:tr>
        <w:trPr>
          <w:trHeight w:val="445"/>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6.1</w:t>
            </w:r>
          </w:p>
        </w:tc>
        <w:tc>
          <w:tcPr>
            <w:tcW w:w="10900" w:type="dxa"/>
            <w:vAlign w:val="bottom"/>
          </w:tcPr>
          <w:p>
            <w:pPr>
              <w:ind w:left="280"/>
              <w:spacing w:after="0"/>
              <w:rPr>
                <w:sz w:val="20"/>
                <w:szCs w:val="20"/>
                <w:color w:val="auto"/>
              </w:rPr>
            </w:pPr>
            <w:r>
              <w:rPr>
                <w:rFonts w:ascii="Arial" w:cs="Arial" w:eastAsia="Arial" w:hAnsi="Arial"/>
                <w:sz w:val="18"/>
                <w:szCs w:val="18"/>
                <w:b w:val="1"/>
                <w:bCs w:val="1"/>
                <w:color w:val="auto"/>
                <w:w w:val="95"/>
              </w:rPr>
              <w:t>Manufacture</w:t>
            </w:r>
            <w:r>
              <w:rPr>
                <w:rFonts w:ascii="Arial" w:cs="Arial" w:eastAsia="Arial" w:hAnsi="Arial"/>
                <w:sz w:val="18"/>
                <w:szCs w:val="18"/>
                <w:color w:val="auto"/>
                <w:w w:val="95"/>
              </w:rPr>
              <w:t>. Piramal shall be responsible and shall exert Commercially Reasonable Efforts, [*****], to develop and establish Manufacturing</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3"/>
              </w:rPr>
              <w:t>processes to support the Development and Commercialization of the Product(s) in the Field in the Territory. AC Immune shall provide technical</w:t>
            </w:r>
          </w:p>
        </w:tc>
      </w:tr>
      <w:tr>
        <w:trPr>
          <w:trHeight w:val="216"/>
        </w:trPr>
        <w:tc>
          <w:tcPr>
            <w:tcW w:w="520" w:type="dxa"/>
            <w:vAlign w:val="bottom"/>
          </w:tcPr>
          <w:p>
            <w:pPr>
              <w:spacing w:after="0"/>
              <w:rPr>
                <w:sz w:val="18"/>
                <w:szCs w:val="18"/>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w w:val="92"/>
              </w:rPr>
              <w:t>expertise and assistance to Piramal in support of Piramal’s development and establishment of Manufacturing processes. Piramal may, in its sole</w:t>
            </w:r>
          </w:p>
        </w:tc>
      </w:tr>
      <w:tr>
        <w:trPr>
          <w:trHeight w:val="230"/>
        </w:trPr>
        <w:tc>
          <w:tcPr>
            <w:tcW w:w="520" w:type="dxa"/>
            <w:vAlign w:val="bottom"/>
          </w:tcPr>
          <w:p>
            <w:pPr>
              <w:spacing w:after="0"/>
              <w:rPr>
                <w:sz w:val="20"/>
                <w:szCs w:val="20"/>
                <w:color w:val="auto"/>
              </w:rPr>
            </w:pPr>
          </w:p>
        </w:tc>
        <w:tc>
          <w:tcPr>
            <w:tcW w:w="10900" w:type="dxa"/>
            <w:vAlign w:val="bottom"/>
          </w:tcPr>
          <w:p>
            <w:pPr>
              <w:ind w:left="280"/>
              <w:spacing w:after="0"/>
              <w:rPr>
                <w:sz w:val="20"/>
                <w:szCs w:val="20"/>
                <w:color w:val="auto"/>
              </w:rPr>
            </w:pPr>
            <w:r>
              <w:rPr>
                <w:rFonts w:ascii="Arial" w:cs="Arial" w:eastAsia="Arial" w:hAnsi="Arial"/>
                <w:sz w:val="18"/>
                <w:szCs w:val="18"/>
                <w:color w:val="auto"/>
              </w:rPr>
              <w:t>discretion, subcontract the Manufacture of Products to Third Parties.</w:t>
            </w:r>
          </w:p>
        </w:tc>
      </w:tr>
      <w:tr>
        <w:trPr>
          <w:trHeight w:val="338"/>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6.2</w:t>
            </w:r>
          </w:p>
        </w:tc>
        <w:tc>
          <w:tcPr>
            <w:tcW w:w="1090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338"/>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87"/>
              </w:rPr>
              <w:t>6.3</w:t>
            </w:r>
          </w:p>
        </w:tc>
        <w:tc>
          <w:tcPr>
            <w:tcW w:w="10900" w:type="dxa"/>
            <w:vAlign w:val="bottom"/>
          </w:tcPr>
          <w:p>
            <w:pPr>
              <w:ind w:left="280"/>
              <w:spacing w:after="0"/>
              <w:rPr>
                <w:sz w:val="20"/>
                <w:szCs w:val="20"/>
                <w:color w:val="auto"/>
              </w:rPr>
            </w:pPr>
            <w:r>
              <w:rPr>
                <w:rFonts w:ascii="Arial" w:cs="Arial" w:eastAsia="Arial" w:hAnsi="Arial"/>
                <w:sz w:val="18"/>
                <w:szCs w:val="18"/>
                <w:b w:val="1"/>
                <w:bCs w:val="1"/>
                <w:color w:val="auto"/>
              </w:rPr>
              <w:t xml:space="preserve">Supply of </w:t>
            </w:r>
            <w:r>
              <w:rPr>
                <w:rFonts w:ascii="Arial" w:cs="Arial" w:eastAsia="Arial" w:hAnsi="Arial"/>
                <w:sz w:val="18"/>
                <w:szCs w:val="18"/>
                <w:color w:val="auto"/>
              </w:rPr>
              <w:t>[*****]</w:t>
            </w:r>
            <w:r>
              <w:rPr>
                <w:rFonts w:ascii="Arial" w:cs="Arial" w:eastAsia="Arial" w:hAnsi="Arial"/>
                <w:sz w:val="18"/>
                <w:szCs w:val="18"/>
                <w:b w:val="1"/>
                <w:bCs w:val="1"/>
                <w:color w:val="auto"/>
              </w:rPr>
              <w:t xml:space="preserve"> Doses</w:t>
            </w:r>
            <w:r>
              <w:rPr>
                <w:rFonts w:ascii="Arial" w:cs="Arial" w:eastAsia="Arial" w:hAnsi="Arial"/>
                <w:sz w:val="18"/>
                <w:szCs w:val="18"/>
                <w:color w:val="auto"/>
              </w:rPr>
              <w:t>. Piramal shall manufacture and supply doses of [*****]</w:t>
            </w:r>
          </w:p>
        </w:tc>
      </w:tr>
      <w:tr>
        <w:trPr>
          <w:trHeight w:val="365"/>
        </w:trPr>
        <w:tc>
          <w:tcPr>
            <w:tcW w:w="520" w:type="dxa"/>
            <w:vAlign w:val="bottom"/>
          </w:tcPr>
          <w:p>
            <w:pPr>
              <w:spacing w:after="0"/>
              <w:rPr>
                <w:sz w:val="24"/>
                <w:szCs w:val="24"/>
                <w:color w:val="auto"/>
              </w:rPr>
            </w:pPr>
          </w:p>
        </w:tc>
        <w:tc>
          <w:tcPr>
            <w:tcW w:w="10900" w:type="dxa"/>
            <w:vAlign w:val="bottom"/>
          </w:tcPr>
          <w:p>
            <w:pPr>
              <w:jc w:val="center"/>
              <w:ind w:right="430"/>
              <w:spacing w:after="0"/>
              <w:rPr>
                <w:sz w:val="20"/>
                <w:szCs w:val="20"/>
                <w:color w:val="auto"/>
              </w:rPr>
            </w:pPr>
            <w:r>
              <w:rPr>
                <w:rFonts w:ascii="Arial" w:cs="Arial" w:eastAsia="Arial" w:hAnsi="Arial"/>
                <w:sz w:val="18"/>
                <w:szCs w:val="18"/>
                <w:color w:val="auto"/>
                <w:w w:val="86"/>
              </w:rPr>
              <w:t>Page 17</w:t>
            </w:r>
          </w:p>
        </w:tc>
      </w:tr>
    </w:tbl>
    <w:p>
      <w:pPr>
        <w:jc w:val="center"/>
        <w:ind w:right="43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71" w:name="page472"/>
    <w:bookmarkEnd w:id="4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COMMERCIALIZATION</w:t>
      </w:r>
    </w:p>
    <w:p>
      <w:pPr>
        <w:spacing w:after="0" w:line="234" w:lineRule="exact"/>
        <w:rPr>
          <w:sz w:val="20"/>
          <w:szCs w:val="20"/>
          <w:color w:val="auto"/>
        </w:rPr>
      </w:pPr>
    </w:p>
    <w:p>
      <w:pPr>
        <w:jc w:val="both"/>
        <w:ind w:left="800" w:right="60" w:hanging="796"/>
        <w:spacing w:after="0" w:line="303" w:lineRule="auto"/>
        <w:tabs>
          <w:tab w:leader="none" w:pos="7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Product</w:t>
      </w:r>
      <w:r>
        <w:rPr>
          <w:rFonts w:ascii="Arial" w:cs="Arial" w:eastAsia="Arial" w:hAnsi="Arial"/>
          <w:sz w:val="16"/>
          <w:szCs w:val="16"/>
          <w:color w:val="auto"/>
        </w:rPr>
        <w:t>. Piramal Imaging Ltd shall be responsible and undertake Commercially Reasonable Efforts, [*****] to Commercialize the Product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Field in the Territory. Piramal shall, to the extent permitted under its agreements with Third Parties, provide the JSC with information concerning its Commercialization activities and the status with respect to the Product(s). Activities by Piramal’s Affiliates and sublicensees will be considered as Piramal’s activities under this Agreement for purposes of determining whether Piramal has complied with its obligations under this Section 7.1.</w:t>
      </w:r>
    </w:p>
    <w:p>
      <w:pPr>
        <w:spacing w:after="0" w:line="57" w:lineRule="exact"/>
        <w:rPr>
          <w:sz w:val="20"/>
          <w:szCs w:val="20"/>
          <w:color w:val="auto"/>
        </w:rPr>
      </w:pPr>
    </w:p>
    <w:p>
      <w:pPr>
        <w:jc w:val="both"/>
        <w:ind w:left="800" w:right="40" w:hanging="796"/>
        <w:spacing w:after="0" w:line="282" w:lineRule="auto"/>
        <w:tabs>
          <w:tab w:leader="none" w:pos="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b w:val="1"/>
          <w:bCs w:val="1"/>
          <w:color w:val="auto"/>
        </w:rPr>
        <w:t>Pricing</w:t>
      </w:r>
      <w:r>
        <w:rPr>
          <w:rFonts w:ascii="Arial" w:cs="Arial" w:eastAsia="Arial" w:hAnsi="Arial"/>
          <w:sz w:val="18"/>
          <w:szCs w:val="18"/>
          <w:color w:val="auto"/>
        </w:rPr>
        <w:t>. Piramal Imaging Ltd shall be solely responsible for determining the pricing of each Product in the Field in the Territory, including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CONSIDERATION AND PAYMENTS</w:t>
      </w:r>
    </w:p>
    <w:p>
      <w:pPr>
        <w:spacing w:after="0" w:line="234" w:lineRule="exact"/>
        <w:rPr>
          <w:sz w:val="20"/>
          <w:szCs w:val="20"/>
          <w:color w:val="auto"/>
        </w:rPr>
      </w:pPr>
    </w:p>
    <w:p>
      <w:pPr>
        <w:ind w:left="800" w:right="140" w:hanging="796"/>
        <w:spacing w:after="0" w:line="289" w:lineRule="auto"/>
        <w:tabs>
          <w:tab w:leader="none" w:pos="7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b w:val="1"/>
          <w:bCs w:val="1"/>
          <w:color w:val="auto"/>
        </w:rPr>
        <w:t>Upfront Payment</w:t>
      </w:r>
      <w:r>
        <w:rPr>
          <w:rFonts w:ascii="Arial" w:cs="Arial" w:eastAsia="Arial" w:hAnsi="Arial"/>
          <w:sz w:val="17"/>
          <w:szCs w:val="17"/>
          <w:color w:val="auto"/>
        </w:rPr>
        <w:t>. In consideration of the rights granted hereunder, Piramal Imaging SA shall pay AC Immune an upfront payment of [*****],</w:t>
      </w:r>
      <w:r>
        <w:rPr>
          <w:rFonts w:ascii="Arial" w:cs="Arial" w:eastAsia="Arial" w:hAnsi="Arial"/>
          <w:sz w:val="17"/>
          <w:szCs w:val="17"/>
          <w:b w:val="1"/>
          <w:bCs w:val="1"/>
          <w:color w:val="auto"/>
        </w:rPr>
        <w:t xml:space="preserve"> </w:t>
      </w:r>
      <w:r>
        <w:rPr>
          <w:rFonts w:ascii="Arial" w:cs="Arial" w:eastAsia="Arial" w:hAnsi="Arial"/>
          <w:sz w:val="17"/>
          <w:szCs w:val="17"/>
          <w:color w:val="auto"/>
        </w:rPr>
        <w:t>which payment is due on the Effective Date and is payable by Piramal Imaging SA no later than [*****] days after the Effective Date, and which amount shall be non-creditable against any other amounts owed by Piramal Imaging SA under this Agreement.</w:t>
      </w:r>
    </w:p>
    <w:p>
      <w:pPr>
        <w:spacing w:after="0" w:line="3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Development Milestone Payments</w:t>
      </w:r>
      <w:r>
        <w:rPr>
          <w:rFonts w:ascii="Arial" w:cs="Arial" w:eastAsia="Arial" w:hAnsi="Arial"/>
          <w:sz w:val="16"/>
          <w:szCs w:val="16"/>
          <w:color w:val="auto"/>
        </w:rPr>
        <w:t>.</w:t>
      </w:r>
    </w:p>
    <w:p>
      <w:pPr>
        <w:spacing w:after="0" w:line="135" w:lineRule="exact"/>
        <w:rPr>
          <w:sz w:val="20"/>
          <w:szCs w:val="20"/>
          <w:color w:val="auto"/>
        </w:rPr>
      </w:pPr>
    </w:p>
    <w:p>
      <w:pPr>
        <w:jc w:val="both"/>
        <w:ind w:left="1380" w:right="100" w:hanging="575"/>
        <w:spacing w:after="0" w:line="264" w:lineRule="auto"/>
        <w:tabs>
          <w:tab w:leader="none" w:pos="13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With respect to Products, Piramal Imaging SA shall pay AC Immune a milestone payment upon first achievement by Piramal, its Affiliate or a sublicensee of the applicable development milestone event for each Product as set forth in the table below, such payments to be in the listed amounts for the applicable development milestone event.</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Development Milestone Event</w:t>
            </w:r>
          </w:p>
        </w:tc>
        <w:tc>
          <w:tcPr>
            <w:tcW w:w="5920" w:type="dxa"/>
            <w:vAlign w:val="bottom"/>
            <w:gridSpan w:val="2"/>
          </w:tcPr>
          <w:p>
            <w:pPr>
              <w:jc w:val="center"/>
              <w:ind w:left="5193"/>
              <w:spacing w:after="0"/>
              <w:rPr>
                <w:sz w:val="20"/>
                <w:szCs w:val="20"/>
                <w:color w:val="auto"/>
              </w:rPr>
            </w:pPr>
            <w:r>
              <w:rPr>
                <w:rFonts w:ascii="Arial" w:cs="Arial" w:eastAsia="Arial" w:hAnsi="Arial"/>
                <w:sz w:val="14"/>
                <w:szCs w:val="14"/>
                <w:b w:val="1"/>
                <w:bCs w:val="1"/>
                <w:color w:val="auto"/>
                <w:w w:val="92"/>
              </w:rPr>
              <w:t>Milestone</w:t>
            </w:r>
          </w:p>
        </w:tc>
        <w:tc>
          <w:tcPr>
            <w:tcW w:w="0" w:type="dxa"/>
            <w:vAlign w:val="bottom"/>
          </w:tcPr>
          <w:p>
            <w:pPr>
              <w:spacing w:after="0"/>
              <w:rPr>
                <w:sz w:val="1"/>
                <w:szCs w:val="1"/>
                <w:color w:val="auto"/>
              </w:rPr>
            </w:pPr>
          </w:p>
        </w:tc>
      </w:tr>
      <w:tr>
        <w:trPr>
          <w:trHeight w:val="178"/>
        </w:trPr>
        <w:tc>
          <w:tcPr>
            <w:tcW w:w="1840" w:type="dxa"/>
            <w:vAlign w:val="bottom"/>
            <w:tcBorders>
              <w:bottom w:val="single" w:sz="8" w:color="auto"/>
            </w:tcBorders>
            <w:vMerge w:val="continue"/>
          </w:tcPr>
          <w:p>
            <w:pPr>
              <w:spacing w:after="0"/>
              <w:rPr>
                <w:sz w:val="15"/>
                <w:szCs w:val="15"/>
                <w:color w:val="auto"/>
              </w:rPr>
            </w:pPr>
          </w:p>
        </w:tc>
        <w:tc>
          <w:tcPr>
            <w:tcW w:w="530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3"/>
        </w:trPr>
        <w:tc>
          <w:tcPr>
            <w:tcW w:w="1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w:t>
            </w:r>
          </w:p>
        </w:tc>
        <w:tc>
          <w:tcPr>
            <w:tcW w:w="5920" w:type="dxa"/>
            <w:vAlign w:val="bottom"/>
            <w:gridSpan w:val="2"/>
          </w:tcPr>
          <w:p>
            <w:pPr>
              <w:jc w:val="center"/>
              <w:ind w:left="5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20" w:type="dxa"/>
            <w:vAlign w:val="bottom"/>
            <w:gridSpan w:val="2"/>
            <w:shd w:val="clear" w:color="auto" w:fill="CCEEFF"/>
          </w:tcPr>
          <w:p>
            <w:pPr>
              <w:jc w:val="center"/>
              <w:ind w:left="5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w:t>
            </w:r>
          </w:p>
        </w:tc>
        <w:tc>
          <w:tcPr>
            <w:tcW w:w="5920" w:type="dxa"/>
            <w:vAlign w:val="bottom"/>
            <w:gridSpan w:val="2"/>
          </w:tcPr>
          <w:p>
            <w:pPr>
              <w:jc w:val="center"/>
              <w:ind w:left="5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20" w:type="dxa"/>
            <w:vAlign w:val="bottom"/>
            <w:gridSpan w:val="2"/>
            <w:shd w:val="clear" w:color="auto" w:fill="CCEEFF"/>
          </w:tcPr>
          <w:p>
            <w:pPr>
              <w:jc w:val="center"/>
              <w:ind w:left="52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840" w:type="dxa"/>
            <w:vAlign w:val="bottom"/>
          </w:tcPr>
          <w:p>
            <w:pPr>
              <w:spacing w:after="0"/>
              <w:rPr>
                <w:sz w:val="24"/>
                <w:szCs w:val="24"/>
                <w:color w:val="auto"/>
              </w:rPr>
            </w:pPr>
          </w:p>
        </w:tc>
        <w:tc>
          <w:tcPr>
            <w:tcW w:w="5920" w:type="dxa"/>
            <w:vAlign w:val="bottom"/>
            <w:gridSpan w:val="2"/>
          </w:tcPr>
          <w:p>
            <w:pPr>
              <w:ind w:left="1740"/>
              <w:spacing w:after="0"/>
              <w:rPr>
                <w:sz w:val="20"/>
                <w:szCs w:val="20"/>
                <w:color w:val="auto"/>
              </w:rPr>
            </w:pPr>
            <w:r>
              <w:rPr>
                <w:rFonts w:ascii="Arial" w:cs="Arial" w:eastAsia="Arial" w:hAnsi="Arial"/>
                <w:sz w:val="18"/>
                <w:szCs w:val="18"/>
                <w:color w:val="auto"/>
              </w:rPr>
              <w:t>Page 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72" w:name="page473"/>
    <w:bookmarkEnd w:id="4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hanging="575"/>
        <w:spacing w:after="0"/>
        <w:tabs>
          <w:tab w:leader="none" w:pos="13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80" w:hanging="575"/>
        <w:spacing w:after="0"/>
        <w:tabs>
          <w:tab w:leader="none" w:pos="13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w:t>
      </w:r>
    </w:p>
    <w:p>
      <w:pPr>
        <w:spacing w:after="0" w:line="127" w:lineRule="exact"/>
        <w:rPr>
          <w:sz w:val="20"/>
          <w:szCs w:val="20"/>
          <w:color w:val="auto"/>
        </w:rPr>
      </w:pPr>
    </w:p>
    <w:p>
      <w:pPr>
        <w:ind w:left="800" w:right="120" w:hanging="796"/>
        <w:spacing w:after="0" w:line="282" w:lineRule="auto"/>
        <w:tabs>
          <w:tab w:leader="none" w:pos="7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b w:val="1"/>
          <w:bCs w:val="1"/>
          <w:color w:val="auto"/>
        </w:rPr>
        <w:t>Sales Milestones</w:t>
      </w:r>
      <w:r>
        <w:rPr>
          <w:rFonts w:ascii="Arial" w:cs="Arial" w:eastAsia="Arial" w:hAnsi="Arial"/>
          <w:sz w:val="18"/>
          <w:szCs w:val="18"/>
          <w:color w:val="auto"/>
        </w:rPr>
        <w:t>. Piramal Imaging SA shall pay AC Immune a milestone payment upon first achievement of the applicable sales milestone event</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table below, such payments to be in the listed amounts for the applicable sales milestone event.</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89"/>
              </w:rPr>
              <w:t>Sales Milestone Event</w:t>
            </w:r>
          </w:p>
        </w:tc>
        <w:tc>
          <w:tcPr>
            <w:tcW w:w="6420" w:type="dxa"/>
            <w:vAlign w:val="bottom"/>
            <w:gridSpan w:val="2"/>
          </w:tcPr>
          <w:p>
            <w:pPr>
              <w:jc w:val="center"/>
              <w:ind w:left="5694"/>
              <w:spacing w:after="0"/>
              <w:rPr>
                <w:sz w:val="20"/>
                <w:szCs w:val="20"/>
                <w:color w:val="auto"/>
              </w:rPr>
            </w:pPr>
            <w:r>
              <w:rPr>
                <w:rFonts w:ascii="Arial" w:cs="Arial" w:eastAsia="Arial" w:hAnsi="Arial"/>
                <w:sz w:val="14"/>
                <w:szCs w:val="14"/>
                <w:b w:val="1"/>
                <w:bCs w:val="1"/>
                <w:color w:val="auto"/>
                <w:w w:val="92"/>
              </w:rPr>
              <w:t>Milestone</w:t>
            </w:r>
          </w:p>
        </w:tc>
        <w:tc>
          <w:tcPr>
            <w:tcW w:w="0" w:type="dxa"/>
            <w:vAlign w:val="bottom"/>
          </w:tcPr>
          <w:p>
            <w:pPr>
              <w:spacing w:after="0"/>
              <w:rPr>
                <w:sz w:val="1"/>
                <w:szCs w:val="1"/>
                <w:color w:val="auto"/>
              </w:rPr>
            </w:pPr>
          </w:p>
        </w:tc>
      </w:tr>
      <w:tr>
        <w:trPr>
          <w:trHeight w:val="178"/>
        </w:trPr>
        <w:tc>
          <w:tcPr>
            <w:tcW w:w="1340" w:type="dxa"/>
            <w:vAlign w:val="bottom"/>
            <w:tcBorders>
              <w:bottom w:val="single" w:sz="8" w:color="auto"/>
            </w:tcBorders>
            <w:vMerge w:val="continue"/>
          </w:tcPr>
          <w:p>
            <w:pPr>
              <w:spacing w:after="0"/>
              <w:rPr>
                <w:sz w:val="15"/>
                <w:szCs w:val="15"/>
                <w:color w:val="auto"/>
              </w:rPr>
            </w:pPr>
          </w:p>
        </w:tc>
        <w:tc>
          <w:tcPr>
            <w:tcW w:w="580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3"/>
        </w:trPr>
        <w:tc>
          <w:tcPr>
            <w:tcW w:w="13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w:t>
            </w:r>
          </w:p>
        </w:tc>
        <w:tc>
          <w:tcPr>
            <w:tcW w:w="6420" w:type="dxa"/>
            <w:vAlign w:val="bottom"/>
            <w:gridSpan w:val="2"/>
          </w:tcPr>
          <w:p>
            <w:pPr>
              <w:jc w:val="center"/>
              <w:ind w:left="57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20" w:type="dxa"/>
            <w:vAlign w:val="bottom"/>
            <w:gridSpan w:val="2"/>
            <w:shd w:val="clear" w:color="auto" w:fill="CCEEFF"/>
          </w:tcPr>
          <w:p>
            <w:pPr>
              <w:jc w:val="center"/>
              <w:ind w:left="57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w:t>
            </w:r>
          </w:p>
        </w:tc>
        <w:tc>
          <w:tcPr>
            <w:tcW w:w="6420" w:type="dxa"/>
            <w:vAlign w:val="bottom"/>
            <w:gridSpan w:val="2"/>
          </w:tcPr>
          <w:p>
            <w:pPr>
              <w:jc w:val="center"/>
              <w:ind w:left="57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20" w:type="dxa"/>
            <w:vAlign w:val="bottom"/>
            <w:gridSpan w:val="2"/>
            <w:shd w:val="clear" w:color="auto" w:fill="CCEEFF"/>
          </w:tcPr>
          <w:p>
            <w:pPr>
              <w:jc w:val="center"/>
              <w:ind w:left="57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Sublicensing Revenue</w:t>
      </w:r>
      <w:r>
        <w:rPr>
          <w:rFonts w:ascii="Arial" w:cs="Arial" w:eastAsia="Arial" w:hAnsi="Arial"/>
          <w:sz w:val="16"/>
          <w:szCs w:val="16"/>
          <w:color w:val="auto"/>
        </w:rPr>
        <w:t>. Piramal Imaging SA shall pay AC Immune a percentage of Sublicense Revenue. Subject to Section 8.6,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269" w:right="239" w:bottom="1440" w:gutter="0" w:footer="0" w:header="0"/>
        </w:sectPr>
      </w:pPr>
    </w:p>
    <w:bookmarkStart w:id="473" w:name="page474"/>
    <w:bookmarkEnd w:id="4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2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Arial" w:cs="Arial" w:eastAsia="Arial" w:hAnsi="Arial"/>
                <w:sz w:val="14"/>
                <w:szCs w:val="14"/>
                <w:color w:val="auto"/>
              </w:rPr>
              <w:t>[*****]</w:t>
            </w:r>
          </w:p>
        </w:tc>
        <w:tc>
          <w:tcPr>
            <w:tcW w:w="3100" w:type="dxa"/>
            <w:vAlign w:val="bottom"/>
            <w:vMerge w:val="restart"/>
          </w:tcPr>
          <w:p>
            <w:pPr>
              <w:spacing w:after="0"/>
              <w:rPr>
                <w:sz w:val="14"/>
                <w:szCs w:val="14"/>
                <w:color w:val="auto"/>
              </w:rPr>
            </w:pPr>
          </w:p>
        </w:tc>
        <w:tc>
          <w:tcPr>
            <w:tcW w:w="29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4200" w:type="dxa"/>
            <w:vAlign w:val="bottom"/>
            <w:gridSpan w:val="2"/>
          </w:tcPr>
          <w:p>
            <w:pPr>
              <w:jc w:val="center"/>
              <w:ind w:left="2876"/>
              <w:spacing w:after="0" w:line="158" w:lineRule="exact"/>
              <w:rPr>
                <w:sz w:val="20"/>
                <w:szCs w:val="20"/>
                <w:color w:val="auto"/>
              </w:rPr>
            </w:pPr>
            <w:r>
              <w:rPr>
                <w:rFonts w:ascii="Arial" w:cs="Arial" w:eastAsia="Arial" w:hAnsi="Arial"/>
                <w:sz w:val="14"/>
                <w:szCs w:val="14"/>
                <w:b w:val="1"/>
                <w:bCs w:val="1"/>
                <w:color w:val="auto"/>
                <w:w w:val="88"/>
              </w:rPr>
              <w:t>Sublicense Revenue</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9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w:t>
            </w:r>
          </w:p>
        </w:tc>
        <w:tc>
          <w:tcPr>
            <w:tcW w:w="4200" w:type="dxa"/>
            <w:vAlign w:val="bottom"/>
            <w:gridSpan w:val="2"/>
          </w:tcPr>
          <w:p>
            <w:pPr>
              <w:jc w:val="center"/>
              <w:ind w:left="28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0" w:type="dxa"/>
            <w:vAlign w:val="bottom"/>
            <w:gridSpan w:val="2"/>
            <w:shd w:val="clear" w:color="auto" w:fill="CCEEFF"/>
          </w:tcPr>
          <w:p>
            <w:pPr>
              <w:jc w:val="center"/>
              <w:ind w:left="28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Royalties</w:t>
      </w:r>
      <w:r>
        <w:rPr>
          <w:rFonts w:ascii="Arial" w:cs="Arial" w:eastAsia="Arial" w:hAnsi="Arial"/>
          <w:sz w:val="16"/>
          <w:szCs w:val="16"/>
          <w:color w:val="auto"/>
        </w:rPr>
        <w:t>.</w:t>
      </w:r>
    </w:p>
    <w:p>
      <w:pPr>
        <w:spacing w:after="0" w:line="135" w:lineRule="exact"/>
        <w:rPr>
          <w:sz w:val="20"/>
          <w:szCs w:val="20"/>
          <w:color w:val="auto"/>
        </w:rPr>
      </w:pPr>
    </w:p>
    <w:p>
      <w:pPr>
        <w:ind w:left="1380" w:right="380" w:hanging="575"/>
        <w:spacing w:after="0" w:line="277" w:lineRule="auto"/>
        <w:tabs>
          <w:tab w:leader="none" w:pos="13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Subject to this Section 8.5 and Section 8.6, Piramal shall during the Royalty Term pay to AC Immune the royalties below in respect of Annual Net Sales of the Product in the Field in the Territory:</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Annual Net Sales</w:t>
            </w:r>
          </w:p>
        </w:tc>
        <w:tc>
          <w:tcPr>
            <w:tcW w:w="6700" w:type="dxa"/>
            <w:vAlign w:val="bottom"/>
            <w:gridSpan w:val="2"/>
          </w:tcPr>
          <w:p>
            <w:pPr>
              <w:jc w:val="center"/>
              <w:ind w:left="5774"/>
              <w:spacing w:after="0"/>
              <w:rPr>
                <w:sz w:val="20"/>
                <w:szCs w:val="20"/>
                <w:color w:val="auto"/>
              </w:rPr>
            </w:pPr>
            <w:r>
              <w:rPr>
                <w:rFonts w:ascii="Arial" w:cs="Arial" w:eastAsia="Arial" w:hAnsi="Arial"/>
                <w:sz w:val="14"/>
                <w:szCs w:val="14"/>
                <w:b w:val="1"/>
                <w:bCs w:val="1"/>
                <w:color w:val="auto"/>
                <w:w w:val="94"/>
              </w:rPr>
              <w:t>Royalty Rate</w:t>
            </w:r>
          </w:p>
        </w:tc>
      </w:tr>
      <w:tr>
        <w:trPr>
          <w:trHeight w:val="203"/>
        </w:trPr>
        <w:tc>
          <w:tcPr>
            <w:tcW w:w="10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w:t>
            </w:r>
          </w:p>
        </w:tc>
        <w:tc>
          <w:tcPr>
            <w:tcW w:w="6700" w:type="dxa"/>
            <w:vAlign w:val="bottom"/>
            <w:gridSpan w:val="2"/>
          </w:tcPr>
          <w:p>
            <w:pPr>
              <w:jc w:val="center"/>
              <w:ind w:left="5774"/>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700" w:type="dxa"/>
            <w:vAlign w:val="bottom"/>
            <w:gridSpan w:val="2"/>
            <w:shd w:val="clear" w:color="auto" w:fill="CCEEFF"/>
          </w:tcPr>
          <w:p>
            <w:pPr>
              <w:jc w:val="center"/>
              <w:ind w:left="5774"/>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w:t>
            </w:r>
          </w:p>
        </w:tc>
        <w:tc>
          <w:tcPr>
            <w:tcW w:w="6700" w:type="dxa"/>
            <w:vAlign w:val="bottom"/>
            <w:gridSpan w:val="2"/>
          </w:tcPr>
          <w:p>
            <w:pPr>
              <w:jc w:val="center"/>
              <w:ind w:left="5774"/>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700" w:type="dxa"/>
            <w:vAlign w:val="bottom"/>
            <w:gridSpan w:val="2"/>
            <w:shd w:val="clear" w:color="auto" w:fill="CCEEFF"/>
          </w:tcPr>
          <w:p>
            <w:pPr>
              <w:jc w:val="center"/>
              <w:ind w:left="5774"/>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jc w:val="both"/>
        <w:ind w:left="1380" w:right="120" w:hanging="575"/>
        <w:spacing w:after="0" w:line="266" w:lineRule="auto"/>
        <w:tabs>
          <w:tab w:leader="none" w:pos="1380"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Royalty Step-Down</w:t>
      </w:r>
      <w:r>
        <w:rPr>
          <w:rFonts w:ascii="Arial" w:cs="Arial" w:eastAsia="Arial" w:hAnsi="Arial"/>
          <w:sz w:val="18"/>
          <w:szCs w:val="18"/>
          <w:color w:val="auto"/>
        </w:rPr>
        <w:t>. If the sale of any Product is not Covered by a Valid Claim of (i) an AC Immune Tau Protein Imaging Patent or (ii) a</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Patent, in each case in the country in which such sale occurred, then the royalties due under Section 8.5(a) shall be reduced as follows: [*****]</w:t>
      </w:r>
    </w:p>
    <w:p>
      <w:pPr>
        <w:spacing w:after="0" w:line="81" w:lineRule="exact"/>
        <w:rPr>
          <w:rFonts w:ascii="Arial" w:cs="Arial" w:eastAsia="Arial" w:hAnsi="Arial"/>
          <w:sz w:val="18"/>
          <w:szCs w:val="18"/>
          <w:color w:val="auto"/>
        </w:rPr>
      </w:pPr>
    </w:p>
    <w:p>
      <w:pPr>
        <w:ind w:left="1380" w:right="200" w:hanging="575"/>
        <w:spacing w:after="0" w:line="258" w:lineRule="auto"/>
        <w:tabs>
          <w:tab w:leader="none" w:pos="1380" w:val="left"/>
        </w:tabs>
        <w:numPr>
          <w:ilvl w:val="0"/>
          <w:numId w:val="363"/>
        </w:numPr>
        <w:rPr>
          <w:rFonts w:ascii="Arial" w:cs="Arial" w:eastAsia="Arial" w:hAnsi="Arial"/>
          <w:sz w:val="18"/>
          <w:szCs w:val="18"/>
          <w:color w:val="auto"/>
        </w:rPr>
      </w:pPr>
      <w:r>
        <w:rPr>
          <w:rFonts w:ascii="Arial" w:cs="Arial" w:eastAsia="Arial" w:hAnsi="Arial"/>
          <w:sz w:val="18"/>
          <w:szCs w:val="18"/>
          <w:b w:val="1"/>
          <w:bCs w:val="1"/>
          <w:color w:val="auto"/>
        </w:rPr>
        <w:t>Royalty Term</w:t>
      </w:r>
      <w:r>
        <w:rPr>
          <w:rFonts w:ascii="Arial" w:cs="Arial" w:eastAsia="Arial" w:hAnsi="Arial"/>
          <w:sz w:val="18"/>
          <w:szCs w:val="18"/>
          <w:color w:val="auto"/>
        </w:rPr>
        <w:t>. Piramal Imaging SA’s royalty payment obligations under this Section 8.5 shall expire, on a Product-by-Product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country-by-country basis, on the later of: (i) ten (10) years after the First Commercial Sale of the Product in such country; or (ii) the date on which there is no longer a Valid Claim within the AC Immune Tau Protein Imaging Patents or Collaboration Patents that Covers the sale of such Product in such country (such period, the “</w:t>
      </w:r>
      <w:r>
        <w:rPr>
          <w:rFonts w:ascii="Arial" w:cs="Arial" w:eastAsia="Arial" w:hAnsi="Arial"/>
          <w:sz w:val="18"/>
          <w:szCs w:val="18"/>
          <w:u w:val="single" w:color="auto"/>
          <w:color w:val="auto"/>
        </w:rPr>
        <w:t>Royalty Term</w:t>
      </w:r>
      <w:r>
        <w:rPr>
          <w:rFonts w:ascii="Arial" w:cs="Arial" w:eastAsia="Arial" w:hAnsi="Arial"/>
          <w:sz w:val="18"/>
          <w:szCs w:val="18"/>
          <w:color w:val="auto"/>
        </w:rPr>
        <w:t>”). At the end of the Royalty Term with respect to a Product and a country, the licenses granted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269" w:right="239" w:bottom="1440" w:gutter="0" w:footer="0" w:header="0"/>
        </w:sectPr>
      </w:pPr>
    </w:p>
    <w:bookmarkStart w:id="474" w:name="page475"/>
    <w:bookmarkEnd w:id="4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right="340"/>
        <w:spacing w:after="0" w:line="277" w:lineRule="auto"/>
        <w:rPr>
          <w:sz w:val="20"/>
          <w:szCs w:val="20"/>
          <w:color w:val="auto"/>
        </w:rPr>
      </w:pPr>
      <w:r>
        <w:rPr>
          <w:rFonts w:ascii="Arial" w:cs="Arial" w:eastAsia="Arial" w:hAnsi="Arial"/>
          <w:sz w:val="18"/>
          <w:szCs w:val="18"/>
          <w:color w:val="auto"/>
        </w:rPr>
        <w:t>Piramal under Section 3.1 with respect to such Product in such country shall automatically convert to non-exclusive, royalty-free, fully paid-up, perpetual, irrevocable licenses.</w:t>
      </w:r>
    </w:p>
    <w:p>
      <w:pPr>
        <w:spacing w:after="0" w:line="72" w:lineRule="exact"/>
        <w:rPr>
          <w:sz w:val="20"/>
          <w:szCs w:val="20"/>
          <w:color w:val="auto"/>
        </w:rPr>
      </w:pPr>
    </w:p>
    <w:p>
      <w:pPr>
        <w:ind w:left="800" w:right="500" w:hanging="796"/>
        <w:spacing w:after="0" w:line="289" w:lineRule="auto"/>
        <w:tabs>
          <w:tab w:leader="none" w:pos="7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b w:val="1"/>
          <w:bCs w:val="1"/>
          <w:color w:val="auto"/>
        </w:rPr>
        <w:t>Reduction for Third Party Licenses</w:t>
      </w:r>
      <w:r>
        <w:rPr>
          <w:rFonts w:ascii="Arial" w:cs="Arial" w:eastAsia="Arial" w:hAnsi="Arial"/>
          <w:sz w:val="17"/>
          <w:szCs w:val="17"/>
          <w:color w:val="auto"/>
        </w:rPr>
        <w:t>. lf Piramal Imaging SA, its Affiliates or sublicensees owes to one or more Third Parties, under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agreements granting Piramal Imaging SA (or its Affiliate or sublicensee) license rights covering intellectual property rights that are needed lawfully to make, use, sell or import Products, then Piramal Imaging SA may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w:t>
      </w:r>
    </w:p>
    <w:p>
      <w:pPr>
        <w:spacing w:after="0" w:line="3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b w:val="1"/>
          <w:bCs w:val="1"/>
          <w:color w:val="auto"/>
        </w:rPr>
        <w:t>Reports and Payments</w:t>
      </w:r>
      <w:r>
        <w:rPr>
          <w:rFonts w:ascii="Arial" w:cs="Arial" w:eastAsia="Arial" w:hAnsi="Arial"/>
          <w:sz w:val="16"/>
          <w:szCs w:val="16"/>
          <w:color w:val="auto"/>
        </w:rPr>
        <w:t>.</w:t>
      </w:r>
    </w:p>
    <w:p>
      <w:pPr>
        <w:spacing w:after="0" w:line="131" w:lineRule="exact"/>
        <w:rPr>
          <w:sz w:val="20"/>
          <w:szCs w:val="20"/>
          <w:color w:val="auto"/>
        </w:rPr>
      </w:pPr>
    </w:p>
    <w:p>
      <w:pPr>
        <w:ind w:left="1380" w:right="60" w:hanging="575"/>
        <w:spacing w:after="0" w:line="261" w:lineRule="auto"/>
        <w:tabs>
          <w:tab w:leader="none" w:pos="138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Milestones</w:t>
      </w:r>
      <w:r>
        <w:rPr>
          <w:rFonts w:ascii="Arial" w:cs="Arial" w:eastAsia="Arial" w:hAnsi="Arial"/>
          <w:sz w:val="18"/>
          <w:szCs w:val="18"/>
          <w:color w:val="auto"/>
        </w:rPr>
        <w:t>. Piramal Imaging SA shall promptly notify AC Immune of the achievement of any milestone event for the Product in the Field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achieved in accordance with Sections 8.2 and 8.3. All milestone payments shall be due within [*****] days after achievement of the applicable milestone event and are non-refundable, and non-creditable against any other payments due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Development of a Product is abandoned, [*****]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w:t>
      </w:r>
    </w:p>
    <w:p>
      <w:pPr>
        <w:spacing w:after="0" w:line="89" w:lineRule="exact"/>
        <w:rPr>
          <w:rFonts w:ascii="Arial" w:cs="Arial" w:eastAsia="Arial" w:hAnsi="Arial"/>
          <w:sz w:val="18"/>
          <w:szCs w:val="18"/>
          <w:color w:val="auto"/>
        </w:rPr>
      </w:pPr>
    </w:p>
    <w:p>
      <w:pPr>
        <w:ind w:left="1380" w:right="320" w:hanging="575"/>
        <w:spacing w:after="0" w:line="308" w:lineRule="auto"/>
        <w:tabs>
          <w:tab w:leader="none" w:pos="1380" w:val="left"/>
        </w:tabs>
        <w:numPr>
          <w:ilvl w:val="0"/>
          <w:numId w:val="364"/>
        </w:numPr>
        <w:rPr>
          <w:rFonts w:ascii="Arial" w:cs="Arial" w:eastAsia="Arial" w:hAnsi="Arial"/>
          <w:sz w:val="17"/>
          <w:szCs w:val="17"/>
          <w:color w:val="auto"/>
        </w:rPr>
      </w:pPr>
      <w:r>
        <w:rPr>
          <w:rFonts w:ascii="Arial" w:cs="Arial" w:eastAsia="Arial" w:hAnsi="Arial"/>
          <w:sz w:val="17"/>
          <w:szCs w:val="17"/>
          <w:i w:val="1"/>
          <w:iCs w:val="1"/>
          <w:color w:val="auto"/>
        </w:rPr>
        <w:t>Sublicense Revenue</w:t>
      </w:r>
      <w:r>
        <w:rPr>
          <w:rFonts w:ascii="Arial" w:cs="Arial" w:eastAsia="Arial" w:hAnsi="Arial"/>
          <w:sz w:val="17"/>
          <w:szCs w:val="17"/>
          <w:color w:val="auto"/>
        </w:rPr>
        <w:t>. Any fees owed under Section 8.4 shall be paid, with respect to particular Sublicense Revenue received by Piramal</w:t>
      </w:r>
      <w:r>
        <w:rPr>
          <w:rFonts w:ascii="Arial" w:cs="Arial" w:eastAsia="Arial" w:hAnsi="Arial"/>
          <w:sz w:val="17"/>
          <w:szCs w:val="17"/>
          <w:i w:val="1"/>
          <w:iCs w:val="1"/>
          <w:color w:val="auto"/>
        </w:rPr>
        <w:t xml:space="preserve"> </w:t>
      </w:r>
      <w:r>
        <w:rPr>
          <w:rFonts w:ascii="Arial" w:cs="Arial" w:eastAsia="Arial" w:hAnsi="Arial"/>
          <w:sz w:val="17"/>
          <w:szCs w:val="17"/>
          <w:color w:val="auto"/>
        </w:rPr>
        <w:t>Imaging SA, within [*****] days after Piramal Imaging SA’s receipt of the applicable Sublicense Revenue.</w:t>
      </w:r>
    </w:p>
    <w:p>
      <w:pPr>
        <w:spacing w:after="0" w:line="47" w:lineRule="exact"/>
        <w:rPr>
          <w:rFonts w:ascii="Arial" w:cs="Arial" w:eastAsia="Arial" w:hAnsi="Arial"/>
          <w:sz w:val="17"/>
          <w:szCs w:val="17"/>
          <w:color w:val="auto"/>
        </w:rPr>
      </w:pPr>
    </w:p>
    <w:p>
      <w:pPr>
        <w:jc w:val="both"/>
        <w:ind w:left="1380" w:right="80" w:hanging="575"/>
        <w:spacing w:after="0" w:line="289" w:lineRule="auto"/>
        <w:tabs>
          <w:tab w:leader="none" w:pos="1380" w:val="left"/>
        </w:tabs>
        <w:numPr>
          <w:ilvl w:val="0"/>
          <w:numId w:val="364"/>
        </w:numPr>
        <w:rPr>
          <w:rFonts w:ascii="Arial" w:cs="Arial" w:eastAsia="Arial" w:hAnsi="Arial"/>
          <w:sz w:val="17"/>
          <w:szCs w:val="17"/>
          <w:color w:val="auto"/>
        </w:rPr>
      </w:pPr>
      <w:r>
        <w:rPr>
          <w:rFonts w:ascii="Arial" w:cs="Arial" w:eastAsia="Arial" w:hAnsi="Arial"/>
          <w:sz w:val="17"/>
          <w:szCs w:val="17"/>
          <w:b w:val="1"/>
          <w:bCs w:val="1"/>
          <w:color w:val="auto"/>
        </w:rPr>
        <w:t>Royalties</w:t>
      </w:r>
      <w:r>
        <w:rPr>
          <w:rFonts w:ascii="Arial" w:cs="Arial" w:eastAsia="Arial" w:hAnsi="Arial"/>
          <w:sz w:val="17"/>
          <w:szCs w:val="17"/>
          <w:color w:val="auto"/>
        </w:rPr>
        <w:t>. [*****] Piramal shall deliver to AC Immune a report setting forth for such quarter the following information: [*****] No such</w:t>
      </w:r>
      <w:r>
        <w:rPr>
          <w:rFonts w:ascii="Arial" w:cs="Arial" w:eastAsia="Arial" w:hAnsi="Arial"/>
          <w:sz w:val="17"/>
          <w:szCs w:val="17"/>
          <w:b w:val="1"/>
          <w:bCs w:val="1"/>
          <w:color w:val="auto"/>
        </w:rPr>
        <w:t xml:space="preserve"> </w:t>
      </w:r>
      <w:r>
        <w:rPr>
          <w:rFonts w:ascii="Arial" w:cs="Arial" w:eastAsia="Arial" w:hAnsi="Arial"/>
          <w:sz w:val="17"/>
          <w:szCs w:val="17"/>
          <w:color w:val="auto"/>
        </w:rPr>
        <w:t>reports shall be due for any Product before the first commercial sale of the Product in the Territory. The total royalty due for the sale of the Product during such quarter shall be remitted no later than [*****] days after the end of each such quarter.</w:t>
      </w:r>
    </w:p>
    <w:p>
      <w:pPr>
        <w:spacing w:after="0" w:line="64" w:lineRule="exact"/>
        <w:rPr>
          <w:sz w:val="20"/>
          <w:szCs w:val="20"/>
          <w:color w:val="auto"/>
        </w:rPr>
      </w:pPr>
    </w:p>
    <w:p>
      <w:pPr>
        <w:ind w:left="800" w:right="60" w:hanging="796"/>
        <w:spacing w:after="0" w:line="261" w:lineRule="auto"/>
        <w:tabs>
          <w:tab w:leader="none" w:pos="7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b w:val="1"/>
          <w:bCs w:val="1"/>
          <w:color w:val="auto"/>
        </w:rPr>
        <w:t>Payment Method</w:t>
      </w:r>
      <w:r>
        <w:rPr>
          <w:rFonts w:ascii="Arial" w:cs="Arial" w:eastAsia="Arial" w:hAnsi="Arial"/>
          <w:sz w:val="18"/>
          <w:szCs w:val="18"/>
          <w:color w:val="auto"/>
        </w:rPr>
        <w:t>. Payments hereunder shall be paid by wire transfer, or electronic funds transfer (EFT) in immediately available funds to a bank</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designated by AC Immune at least [*****] days in advance of such payment. Regardless of the amounts of any royalties or other payments due under this Agreement or any other agreement between the Parties or their Affiliates, all amounts payable under this Agreement shall be paid in full.</w:t>
      </w:r>
    </w:p>
    <w:p>
      <w:pPr>
        <w:spacing w:after="0" w:line="86" w:lineRule="exact"/>
        <w:rPr>
          <w:sz w:val="20"/>
          <w:szCs w:val="20"/>
          <w:color w:val="auto"/>
        </w:rPr>
      </w:pPr>
    </w:p>
    <w:p>
      <w:pPr>
        <w:ind w:left="800" w:right="140" w:hanging="796"/>
        <w:spacing w:after="0" w:line="282" w:lineRule="auto"/>
        <w:tabs>
          <w:tab w:leader="none" w:pos="78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b w:val="1"/>
          <w:bCs w:val="1"/>
          <w:color w:val="auto"/>
        </w:rPr>
        <w:t>Blocked Currency</w:t>
      </w:r>
      <w:r>
        <w:rPr>
          <w:rFonts w:ascii="Arial" w:cs="Arial" w:eastAsia="Arial" w:hAnsi="Arial"/>
          <w:sz w:val="18"/>
          <w:szCs w:val="18"/>
          <w:color w:val="auto"/>
        </w:rPr>
        <w:t>. If at any time legal restrictions in any country in the Territory prevent the prompt remittance of any payments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sales in that country, Piramal shall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270" w:right="239" w:bottom="1440" w:gutter="0" w:footer="0" w:header="0"/>
        </w:sectPr>
      </w:pPr>
    </w:p>
    <w:bookmarkStart w:id="475" w:name="page476"/>
    <w:bookmarkEnd w:id="4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360"/>
        <w:spacing w:after="0" w:line="277" w:lineRule="auto"/>
        <w:rPr>
          <w:sz w:val="20"/>
          <w:szCs w:val="20"/>
          <w:color w:val="auto"/>
        </w:rPr>
      </w:pPr>
      <w:r>
        <w:rPr>
          <w:rFonts w:ascii="Arial" w:cs="Arial" w:eastAsia="Arial" w:hAnsi="Arial"/>
          <w:sz w:val="18"/>
          <w:szCs w:val="18"/>
          <w:color w:val="auto"/>
        </w:rPr>
        <w:t>have the right and option upon written notice to AC Immune to make such payments be depositing the amount thereof in local currency to AC Immune’s account (or such other designed nominee by AC Immune) in a bank or depository in such county.</w:t>
      </w:r>
    </w:p>
    <w:p>
      <w:pPr>
        <w:spacing w:after="0" w:line="72" w:lineRule="exact"/>
        <w:rPr>
          <w:sz w:val="20"/>
          <w:szCs w:val="20"/>
          <w:color w:val="auto"/>
        </w:rPr>
      </w:pPr>
    </w:p>
    <w:p>
      <w:pPr>
        <w:ind w:left="800" w:right="180" w:hanging="796"/>
        <w:spacing w:after="0" w:line="266" w:lineRule="auto"/>
        <w:tabs>
          <w:tab w:leader="none" w:pos="7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8"/>
          <w:szCs w:val="18"/>
          <w:b w:val="1"/>
          <w:bCs w:val="1"/>
          <w:color w:val="auto"/>
        </w:rPr>
        <w:t>Currency</w:t>
      </w:r>
      <w:r>
        <w:rPr>
          <w:rFonts w:ascii="Arial" w:cs="Arial" w:eastAsia="Arial" w:hAnsi="Arial"/>
          <w:sz w:val="18"/>
          <w:szCs w:val="18"/>
          <w:color w:val="auto"/>
        </w:rPr>
        <w:t>. All amounts payable and calculations hereunder shall be in Euros. Conversion of sales recorded in local currencies to Euros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in a manner consistent with a Party’s normal practices used to prepare its financial statements and consistent with IFRS, provided that such practices use a widely accepted source of published exchange rates.</w:t>
      </w:r>
    </w:p>
    <w:p>
      <w:pPr>
        <w:spacing w:after="0" w:line="82" w:lineRule="exact"/>
        <w:rPr>
          <w:sz w:val="20"/>
          <w:szCs w:val="20"/>
          <w:color w:val="auto"/>
        </w:rPr>
      </w:pPr>
    </w:p>
    <w:p>
      <w:pPr>
        <w:ind w:left="800" w:hanging="796"/>
        <w:spacing w:after="0" w:line="255" w:lineRule="auto"/>
        <w:tabs>
          <w:tab w:leader="none" w:pos="78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b w:val="1"/>
          <w:bCs w:val="1"/>
          <w:color w:val="auto"/>
        </w:rPr>
        <w:t>Taxes and Withholding</w:t>
      </w:r>
      <w:r>
        <w:rPr>
          <w:rFonts w:ascii="Arial" w:cs="Arial" w:eastAsia="Arial" w:hAnsi="Arial"/>
          <w:sz w:val="18"/>
          <w:szCs w:val="18"/>
          <w:color w:val="auto"/>
        </w:rPr>
        <w:t>. All payments due from Piramal to AC Immune under this Agreement will be made without any deduction or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for or on account of any tax unless such deduction or withholding is required by applicable Laws to be assessed against AC Immune. If Piramal is so required to deduct or withhold, Piramal will promptly notify AC Immune of such requirement, (b) pay to the relevant authorities the full amount required to be deducted or withheld promptly upon the earlier of determining that such deduction or withholding is required or receiving notice that such amount has been assessed against AC Immune, (c) promptly forward to AC Immune an official receipt (or certified copy) or other documentation reasonably acceptable to AC Immune evidencing such payment to such authorities, and (d) otherwise reasonably cooperate with AC Immune in connection with AC Immune’s attempts to obtain favorable tax treatment and credit therefor (where appropriate) in accordance with applicable Laws.</w:t>
      </w:r>
    </w:p>
    <w:p>
      <w:pPr>
        <w:spacing w:after="0" w:line="91" w:lineRule="exact"/>
        <w:rPr>
          <w:sz w:val="20"/>
          <w:szCs w:val="20"/>
          <w:color w:val="auto"/>
        </w:rPr>
      </w:pPr>
    </w:p>
    <w:p>
      <w:pPr>
        <w:ind w:left="800" w:right="40" w:hanging="796"/>
        <w:spacing w:after="0" w:line="261" w:lineRule="auto"/>
        <w:tabs>
          <w:tab w:leader="none" w:pos="7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b w:val="1"/>
          <w:bCs w:val="1"/>
          <w:color w:val="auto"/>
        </w:rPr>
        <w:t>Maintenance of Records</w:t>
      </w:r>
      <w:r>
        <w:rPr>
          <w:rFonts w:ascii="Arial" w:cs="Arial" w:eastAsia="Arial" w:hAnsi="Arial"/>
          <w:sz w:val="18"/>
          <w:szCs w:val="18"/>
          <w:color w:val="auto"/>
        </w:rPr>
        <w:t>. Piramal shall keep accurate books and accounts of record in connection with the sale of Product and the calculation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to be made under this Agreement in sufficient detail to permit accurate determination of all figures necessary for verification of royalties and other payments to be paid from Piramal to AC Immune under this Agreement. Piramal shall maintain such records for a period of at least [*****] years after the end of the calendar year in which they were generated</w:t>
      </w:r>
    </w:p>
    <w:p>
      <w:pPr>
        <w:spacing w:after="0" w:line="86" w:lineRule="exact"/>
        <w:rPr>
          <w:sz w:val="20"/>
          <w:szCs w:val="20"/>
          <w:color w:val="auto"/>
        </w:rPr>
      </w:pPr>
    </w:p>
    <w:p>
      <w:pPr>
        <w:ind w:left="800" w:right="40" w:hanging="796"/>
        <w:spacing w:after="0" w:line="270" w:lineRule="auto"/>
        <w:tabs>
          <w:tab w:leader="none" w:pos="78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7"/>
          <w:szCs w:val="17"/>
          <w:b w:val="1"/>
          <w:bCs w:val="1"/>
          <w:color w:val="auto"/>
        </w:rPr>
        <w:t>Audits</w:t>
      </w:r>
      <w:r>
        <w:rPr>
          <w:rFonts w:ascii="Arial" w:cs="Arial" w:eastAsia="Arial" w:hAnsi="Arial"/>
          <w:sz w:val="17"/>
          <w:szCs w:val="17"/>
          <w:color w:val="auto"/>
        </w:rPr>
        <w:t>. AC Immune shall have the right, at its own expense and no more than once per year, to have an independent, certified public accountant,</w:t>
      </w:r>
      <w:r>
        <w:rPr>
          <w:rFonts w:ascii="Arial" w:cs="Arial" w:eastAsia="Arial" w:hAnsi="Arial"/>
          <w:sz w:val="17"/>
          <w:szCs w:val="17"/>
          <w:b w:val="1"/>
          <w:bCs w:val="1"/>
          <w:color w:val="auto"/>
        </w:rPr>
        <w:t xml:space="preserve"> </w:t>
      </w:r>
      <w:r>
        <w:rPr>
          <w:rFonts w:ascii="Arial" w:cs="Arial" w:eastAsia="Arial" w:hAnsi="Arial"/>
          <w:sz w:val="17"/>
          <w:szCs w:val="17"/>
          <w:color w:val="auto"/>
        </w:rPr>
        <w:t>selected by AC Immune and reasonably acceptable to Piramal, review all records maintained in accordance with Section 8.11 upon reasonable notice and during regular business hours and under obligations of strict confidence, for the sole purpose of verifying the basis and accuracy of payments required and made under this Agreement within the prior [*****] month period. No calendar quarter may be audited more than one time. Piramal shall receive a copy of each audit report promptly from AC Immune. Should the inspection lead to the discovery of a discrepancy to AC Immune’s detriment, Piramal shall pay the amount of the discrepancy in AC Immune’s favor plus interest accrued, compounded semiannually from the day the relevant payment(s) were due, within [*****] days after being notified thereof. AC Immune shall pay the full cost of the inspection unless the discrepancy is greater than [*****], in which case Piramal shall pay to AC Immune the actual cost charged by such accountant for such inspection. If such audit shows a discrepancy in Piramal’s favor, then Piramal may credit the amount of such discrepancy against subsequent amounts owed to AC Immune, or if no further amounts are owed under this Agreement, then AC Immune shall pay Piramal the amount of the discrepancy without interest within [*****] days after being notified thereof.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270" w:right="239" w:bottom="1440" w:gutter="0" w:footer="0" w:header="0"/>
        </w:sectPr>
      </w:pPr>
    </w:p>
    <w:bookmarkStart w:id="476" w:name="page477"/>
    <w:bookmarkEnd w:id="4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color w:val="auto"/>
        </w:rPr>
        <w:t>Ownership</w:t>
      </w:r>
      <w:r>
        <w:rPr>
          <w:rFonts w:ascii="Arial" w:cs="Arial" w:eastAsia="Arial" w:hAnsi="Arial"/>
          <w:sz w:val="16"/>
          <w:szCs w:val="16"/>
          <w:color w:val="auto"/>
        </w:rPr>
        <w:t>.</w:t>
      </w:r>
    </w:p>
    <w:p>
      <w:pPr>
        <w:spacing w:after="0" w:line="131" w:lineRule="exact"/>
        <w:rPr>
          <w:sz w:val="20"/>
          <w:szCs w:val="20"/>
          <w:color w:val="auto"/>
        </w:rPr>
      </w:pPr>
    </w:p>
    <w:p>
      <w:pPr>
        <w:ind w:left="1380" w:right="280" w:hanging="575"/>
        <w:spacing w:after="0" w:line="282" w:lineRule="auto"/>
        <w:tabs>
          <w:tab w:leader="none" w:pos="1380" w:val="left"/>
        </w:tabs>
        <w:numPr>
          <w:ilvl w:val="0"/>
          <w:numId w:val="365"/>
        </w:numPr>
        <w:rPr>
          <w:rFonts w:ascii="Arial" w:cs="Arial" w:eastAsia="Arial" w:hAnsi="Arial"/>
          <w:sz w:val="18"/>
          <w:szCs w:val="18"/>
          <w:color w:val="auto"/>
        </w:rPr>
      </w:pPr>
      <w:r>
        <w:rPr>
          <w:rFonts w:ascii="Arial" w:cs="Arial" w:eastAsia="Arial" w:hAnsi="Arial"/>
          <w:sz w:val="18"/>
          <w:szCs w:val="18"/>
          <w:b w:val="1"/>
          <w:bCs w:val="1"/>
          <w:color w:val="auto"/>
        </w:rPr>
        <w:t>Background IP</w:t>
      </w:r>
      <w:r>
        <w:rPr>
          <w:rFonts w:ascii="Arial" w:cs="Arial" w:eastAsia="Arial" w:hAnsi="Arial"/>
          <w:sz w:val="18"/>
          <w:szCs w:val="18"/>
          <w:color w:val="auto"/>
        </w:rPr>
        <w:t>. As between the Parties, (i) AC Immune shall solely own the AC Immune Background IP, and (ii) Piramal Imaging SA</w:t>
      </w:r>
      <w:r>
        <w:rPr>
          <w:rFonts w:ascii="Arial" w:cs="Arial" w:eastAsia="Arial" w:hAnsi="Arial"/>
          <w:sz w:val="18"/>
          <w:szCs w:val="18"/>
          <w:b w:val="1"/>
          <w:bCs w:val="1"/>
          <w:color w:val="auto"/>
        </w:rPr>
        <w:t xml:space="preserve"> </w:t>
      </w:r>
      <w:r>
        <w:rPr>
          <w:rFonts w:ascii="Arial" w:cs="Arial" w:eastAsia="Arial" w:hAnsi="Arial"/>
          <w:sz w:val="18"/>
          <w:szCs w:val="18"/>
          <w:color w:val="auto"/>
        </w:rPr>
        <w:t>shall solely own the Piramal Background IP.</w:t>
      </w:r>
    </w:p>
    <w:p>
      <w:pPr>
        <w:spacing w:after="0" w:line="67" w:lineRule="exact"/>
        <w:rPr>
          <w:rFonts w:ascii="Arial" w:cs="Arial" w:eastAsia="Arial" w:hAnsi="Arial"/>
          <w:sz w:val="18"/>
          <w:szCs w:val="18"/>
          <w:color w:val="auto"/>
        </w:rPr>
      </w:pPr>
    </w:p>
    <w:p>
      <w:pPr>
        <w:ind w:left="1380" w:hanging="575"/>
        <w:spacing w:after="0"/>
        <w:tabs>
          <w:tab w:leader="none" w:pos="1380" w:val="left"/>
        </w:tabs>
        <w:numPr>
          <w:ilvl w:val="0"/>
          <w:numId w:val="365"/>
        </w:numPr>
        <w:rPr>
          <w:rFonts w:ascii="Arial" w:cs="Arial" w:eastAsia="Arial" w:hAnsi="Arial"/>
          <w:sz w:val="18"/>
          <w:szCs w:val="18"/>
          <w:color w:val="auto"/>
        </w:rPr>
      </w:pPr>
      <w:r>
        <w:rPr>
          <w:rFonts w:ascii="Arial" w:cs="Arial" w:eastAsia="Arial" w:hAnsi="Arial"/>
          <w:sz w:val="18"/>
          <w:szCs w:val="18"/>
          <w:b w:val="1"/>
          <w:bCs w:val="1"/>
          <w:color w:val="auto"/>
        </w:rPr>
        <w:t>Inventions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040" w:hanging="668"/>
        <w:spacing w:after="0"/>
        <w:tabs>
          <w:tab w:leader="none" w:pos="204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Any invention that comprises the [*****]</w:t>
      </w:r>
    </w:p>
    <w:p>
      <w:pPr>
        <w:spacing w:after="0" w:line="130" w:lineRule="exact"/>
        <w:rPr>
          <w:rFonts w:ascii="Arial" w:cs="Arial" w:eastAsia="Arial" w:hAnsi="Arial"/>
          <w:sz w:val="18"/>
          <w:szCs w:val="18"/>
          <w:color w:val="auto"/>
        </w:rPr>
      </w:pPr>
    </w:p>
    <w:p>
      <w:pPr>
        <w:ind w:left="2040" w:hanging="668"/>
        <w:spacing w:after="0"/>
        <w:tabs>
          <w:tab w:leader="none" w:pos="204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The ownership of any [*****]</w:t>
      </w:r>
    </w:p>
    <w:p>
      <w:pPr>
        <w:spacing w:after="0" w:line="130" w:lineRule="exact"/>
        <w:rPr>
          <w:rFonts w:ascii="Arial" w:cs="Arial" w:eastAsia="Arial" w:hAnsi="Arial"/>
          <w:sz w:val="18"/>
          <w:szCs w:val="18"/>
          <w:color w:val="auto"/>
        </w:rPr>
      </w:pPr>
    </w:p>
    <w:p>
      <w:pPr>
        <w:ind w:left="2040" w:hanging="668"/>
        <w:spacing w:after="0"/>
        <w:tabs>
          <w:tab w:leader="none" w:pos="204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Inventorship shall be determined in accordance [*****]</w:t>
      </w:r>
    </w:p>
    <w:p>
      <w:pPr>
        <w:spacing w:after="0" w:line="127" w:lineRule="exact"/>
        <w:rPr>
          <w:sz w:val="20"/>
          <w:szCs w:val="20"/>
          <w:color w:val="auto"/>
        </w:rPr>
      </w:pPr>
    </w:p>
    <w:p>
      <w:pPr>
        <w:jc w:val="both"/>
        <w:ind w:left="800" w:right="20" w:hanging="796"/>
        <w:spacing w:after="0" w:line="266" w:lineRule="auto"/>
        <w:tabs>
          <w:tab w:leader="none" w:pos="7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b w:val="1"/>
          <w:bCs w:val="1"/>
          <w:color w:val="auto"/>
        </w:rPr>
        <w:t>Disclosure</w:t>
      </w:r>
      <w:r>
        <w:rPr>
          <w:rFonts w:ascii="Arial" w:cs="Arial" w:eastAsia="Arial" w:hAnsi="Arial"/>
          <w:sz w:val="18"/>
          <w:szCs w:val="18"/>
          <w:color w:val="auto"/>
        </w:rPr>
        <w:t>. Each Party shall promptly disclose to the other Party all inventions and Know-How, including all invention disclosures or other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submitted to such Party by its, or its Affiliates’ employees, agents or independent contractors describing the inventions and Know-How created under Section 9.1(b).</w:t>
      </w:r>
    </w:p>
    <w:p>
      <w:pPr>
        <w:spacing w:after="0" w:line="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Prosecution and Maintenance of AC Immune Tau Protein Imaging IP and Jointly Owned Collaboration IP</w:t>
      </w:r>
      <w:r>
        <w:rPr>
          <w:rFonts w:ascii="Arial" w:cs="Arial" w:eastAsia="Arial" w:hAnsi="Arial"/>
          <w:sz w:val="16"/>
          <w:szCs w:val="16"/>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270" w:right="239" w:bottom="1440" w:gutter="0" w:footer="0" w:header="0"/>
        </w:sectPr>
      </w:pPr>
    </w:p>
    <w:bookmarkStart w:id="477" w:name="page478"/>
    <w:bookmarkEnd w:id="4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1380" w:right="100" w:hanging="575"/>
        <w:spacing w:after="0" w:line="282" w:lineRule="auto"/>
        <w:tabs>
          <w:tab w:leader="none" w:pos="13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AC Immune and Piramal Imaging SA shall select a mutually agreeable outside counsel (“</w:t>
      </w:r>
      <w:r>
        <w:rPr>
          <w:rFonts w:ascii="Arial" w:cs="Arial" w:eastAsia="Arial" w:hAnsi="Arial"/>
          <w:sz w:val="18"/>
          <w:szCs w:val="18"/>
          <w:b w:val="1"/>
          <w:bCs w:val="1"/>
          <w:color w:val="auto"/>
        </w:rPr>
        <w:t>Outside Patent Counsel</w:t>
      </w:r>
      <w:r>
        <w:rPr>
          <w:rFonts w:ascii="Arial" w:cs="Arial" w:eastAsia="Arial" w:hAnsi="Arial"/>
          <w:sz w:val="18"/>
          <w:szCs w:val="18"/>
          <w:color w:val="auto"/>
        </w:rPr>
        <w:t>’’) to be responsible for the [*****]</w:t>
      </w:r>
    </w:p>
    <w:p>
      <w:pPr>
        <w:spacing w:after="0" w:line="71" w:lineRule="exact"/>
        <w:rPr>
          <w:rFonts w:ascii="Arial" w:cs="Arial" w:eastAsia="Arial" w:hAnsi="Arial"/>
          <w:sz w:val="18"/>
          <w:szCs w:val="18"/>
          <w:color w:val="auto"/>
        </w:rPr>
      </w:pPr>
    </w:p>
    <w:p>
      <w:pPr>
        <w:ind w:left="1380" w:right="40" w:hanging="575"/>
        <w:spacing w:after="0" w:line="277" w:lineRule="auto"/>
        <w:tabs>
          <w:tab w:leader="none" w:pos="13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With respect to Patents within the AC Immune Tau Protein Imaging IP and Jointly Owned Collaboration IP, the Parties shall cooperate and assist each in the Prosecution and Maintenance of such Patents, including [*****]</w:t>
      </w:r>
    </w:p>
    <w:p>
      <w:pPr>
        <w:spacing w:after="0" w:line="75" w:lineRule="exact"/>
        <w:rPr>
          <w:rFonts w:ascii="Arial" w:cs="Arial" w:eastAsia="Arial" w:hAnsi="Arial"/>
          <w:sz w:val="18"/>
          <w:szCs w:val="18"/>
          <w:color w:val="auto"/>
        </w:rPr>
      </w:pPr>
    </w:p>
    <w:p>
      <w:pPr>
        <w:ind w:left="1380" w:right="100" w:hanging="575"/>
        <w:spacing w:after="0" w:line="259" w:lineRule="auto"/>
        <w:tabs>
          <w:tab w:leader="none" w:pos="13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As soon as one of the Parties determines that it wishes to file a patent application covering any such invention within the AC Immune Tau Protein Imaging IP or Jointly Owned Collaboration IP, it shall promptly inform the other Party thereof. With respect thereto, the Parties shall promptly engage the Outside Patent Counsel to draft a patent application for such invention and to make a preliminary determination of inventors and scope of claims.</w:t>
      </w:r>
    </w:p>
    <w:p>
      <w:pPr>
        <w:spacing w:after="0" w:line="92" w:lineRule="exact"/>
        <w:rPr>
          <w:rFonts w:ascii="Arial" w:cs="Arial" w:eastAsia="Arial" w:hAnsi="Arial"/>
          <w:sz w:val="18"/>
          <w:szCs w:val="18"/>
          <w:color w:val="auto"/>
        </w:rPr>
      </w:pPr>
    </w:p>
    <w:p>
      <w:pPr>
        <w:ind w:left="1380" w:hanging="575"/>
        <w:spacing w:after="0" w:line="288" w:lineRule="auto"/>
        <w:tabs>
          <w:tab w:leader="none" w:pos="138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Outside Patent Counsel shall be instructed to (i) keep the Parties informed as to the filing, and Prosecution and Maintenance (including those involving the question of the scope of, the issuance of, the rejection of, an interference involving, or an opposition to any such patent application or resulting Patent) of, such Patents, such that each Party has sufficient time to review and comment upon any documents intended for submission to any patent office; (ii) furnish to each Party a copy of the patent application and copies of documents relevant to such Prosecution and Maintenance, including copies of correspondence with any patent office, foreign associates, and outside counsel; (iii) reasonably consider and incorporate comments of the Parties on documents filed with any patent office; and (iv) advise and consult with each Party promptly after receiving any substantial action or development in the prosecution of any such patent application. In addition, the Outside Patent Counsel shall provide the Parties with a report, no less frequently than once per calendar quarter (or as otherwise mutually agreed by the Parties), listing all Patents within AC Immune Tau Protein Imaging IP Rights and Jointly Owned Collaboration IP, identifying them by country and patent or application number, and briefly describing the status thereof.</w:t>
      </w:r>
    </w:p>
    <w:p>
      <w:pPr>
        <w:spacing w:after="0" w:line="74" w:lineRule="exact"/>
        <w:rPr>
          <w:rFonts w:ascii="Arial" w:cs="Arial" w:eastAsia="Arial" w:hAnsi="Arial"/>
          <w:sz w:val="16"/>
          <w:szCs w:val="16"/>
          <w:color w:val="auto"/>
        </w:rPr>
      </w:pPr>
    </w:p>
    <w:p>
      <w:pPr>
        <w:ind w:left="1380" w:right="880" w:hanging="575"/>
        <w:spacing w:after="0" w:line="308" w:lineRule="auto"/>
        <w:tabs>
          <w:tab w:leader="none" w:pos="138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Unless otherwise mutually agreed by the Parties, both during and after the Term of this Agreement, all costs of prosecuting and maintaining AC Immune Tau Protein Imaging IP and Jointly Owned Collaboration IP shall be borne [*****]</w:t>
      </w:r>
    </w:p>
    <w:p>
      <w:pPr>
        <w:spacing w:after="0" w:line="52" w:lineRule="exact"/>
        <w:rPr>
          <w:sz w:val="20"/>
          <w:szCs w:val="20"/>
          <w:color w:val="auto"/>
        </w:rPr>
      </w:pPr>
    </w:p>
    <w:p>
      <w:pPr>
        <w:ind w:left="800" w:right="640" w:hanging="796"/>
        <w:spacing w:after="0" w:line="277" w:lineRule="auto"/>
        <w:tabs>
          <w:tab w:leader="none" w:pos="7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i w:val="1"/>
          <w:iCs w:val="1"/>
          <w:color w:val="auto"/>
        </w:rPr>
        <w:t>Abandonment of Prosecution and Maintenance</w:t>
      </w:r>
      <w:r>
        <w:rPr>
          <w:rFonts w:ascii="Arial" w:cs="Arial" w:eastAsia="Arial" w:hAnsi="Arial"/>
          <w:sz w:val="18"/>
          <w:szCs w:val="18"/>
          <w:color w:val="auto"/>
        </w:rPr>
        <w:t>. With respect to Patents within the AC Immune Tau Protein Imaging IP and Jointly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Collaboration IP, if a Party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269" w:right="239" w:bottom="1440" w:gutter="0" w:footer="0" w:header="0"/>
        </w:sectPr>
      </w:pPr>
    </w:p>
    <w:bookmarkStart w:id="478" w:name="page479"/>
    <w:bookmarkEnd w:id="4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Electing Party</w:t>
      </w:r>
      <w:r>
        <w:rPr>
          <w:rFonts w:ascii="Arial" w:cs="Arial" w:eastAsia="Arial" w:hAnsi="Arial"/>
          <w:sz w:val="16"/>
          <w:szCs w:val="16"/>
          <w:color w:val="auto"/>
        </w:rPr>
        <w:t>”) elects not to Prosecute and Maintain such Patents (whether worldwide or with respect to any particular country), or elects not to file such patents in certain Patent Filing Countries, including electing not to file a patent application with respect thereto or to allow any such Patents to lapse or become abandoned or unenforceable, then the Electing Party shall promptly notify the other Party (the “</w:t>
      </w:r>
      <w:r>
        <w:rPr>
          <w:rFonts w:ascii="Arial" w:cs="Arial" w:eastAsia="Arial" w:hAnsi="Arial"/>
          <w:sz w:val="16"/>
          <w:szCs w:val="16"/>
          <w:b w:val="1"/>
          <w:bCs w:val="1"/>
          <w:color w:val="auto"/>
        </w:rPr>
        <w:t>Non-Electing Party</w:t>
      </w:r>
      <w:r>
        <w:rPr>
          <w:rFonts w:ascii="Arial" w:cs="Arial" w:eastAsia="Arial" w:hAnsi="Arial"/>
          <w:sz w:val="16"/>
          <w:szCs w:val="16"/>
          <w:color w:val="auto"/>
        </w:rPr>
        <w:t>”) in writing (which such notice shall be at least [*****] days prior to the lapse or abandonment of any such Patent). Thereafter, the Non-Electing Party may, but is not required to, undertake, at its sole expense and in its sole discretion, the Prosecution and Maintenance of such Patents.</w:t>
      </w:r>
    </w:p>
    <w:p>
      <w:pPr>
        <w:spacing w:after="0" w:line="60" w:lineRule="exact"/>
        <w:rPr>
          <w:sz w:val="20"/>
          <w:szCs w:val="20"/>
          <w:color w:val="auto"/>
        </w:rPr>
      </w:pPr>
    </w:p>
    <w:p>
      <w:pPr>
        <w:ind w:left="800" w:right="40" w:hanging="796"/>
        <w:spacing w:after="0" w:line="266" w:lineRule="auto"/>
        <w:tabs>
          <w:tab w:leader="none" w:pos="7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b w:val="1"/>
          <w:bCs w:val="1"/>
          <w:color w:val="auto"/>
        </w:rPr>
        <w:t>Prosecution and Maintenance of Solely Owned Collaboration Patents</w:t>
      </w:r>
      <w:r>
        <w:rPr>
          <w:rFonts w:ascii="Arial" w:cs="Arial" w:eastAsia="Arial" w:hAnsi="Arial"/>
          <w:sz w:val="18"/>
          <w:szCs w:val="18"/>
          <w:color w:val="auto"/>
        </w:rPr>
        <w:t>. Each Party shall have the right, but not the obligation, at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to Prosecute and Maintain such Party’s Solely Owned Collaboration Patent. The Parties shall consult and cooperate in the Prosecution and Maintenance of Solely Owned Collaboration Patents.</w:t>
      </w:r>
    </w:p>
    <w:p>
      <w:pPr>
        <w:spacing w:after="0" w:line="82" w:lineRule="exact"/>
        <w:rPr>
          <w:sz w:val="20"/>
          <w:szCs w:val="20"/>
          <w:color w:val="auto"/>
        </w:rPr>
      </w:pPr>
    </w:p>
    <w:p>
      <w:pPr>
        <w:ind w:left="800" w:hanging="796"/>
        <w:spacing w:after="0" w:line="254" w:lineRule="auto"/>
        <w:tabs>
          <w:tab w:leader="none" w:pos="78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b w:val="1"/>
          <w:bCs w:val="1"/>
          <w:color w:val="auto"/>
        </w:rPr>
        <w:t>Defense of Third Party Infringement Claims</w:t>
      </w:r>
      <w:r>
        <w:rPr>
          <w:rFonts w:ascii="Arial" w:cs="Arial" w:eastAsia="Arial" w:hAnsi="Arial"/>
          <w:sz w:val="18"/>
          <w:szCs w:val="18"/>
          <w:color w:val="auto"/>
        </w:rPr>
        <w:t>. If the Product becomes the subject of a Third Party’s claim or assertion of infringement of a Patent</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Development, Manufacture or Commercialization of the Product in the Field in the Territory (each, an “</w:t>
      </w:r>
      <w:r>
        <w:rPr>
          <w:rFonts w:ascii="Arial" w:cs="Arial" w:eastAsia="Arial" w:hAnsi="Arial"/>
          <w:sz w:val="18"/>
          <w:szCs w:val="18"/>
          <w:b w:val="1"/>
          <w:bCs w:val="1"/>
          <w:color w:val="auto"/>
        </w:rPr>
        <w:t>Infringement Claim</w:t>
      </w:r>
      <w:r>
        <w:rPr>
          <w:rFonts w:ascii="Arial" w:cs="Arial" w:eastAsia="Arial" w:hAnsi="Arial"/>
          <w:sz w:val="18"/>
          <w:szCs w:val="18"/>
          <w:color w:val="auto"/>
        </w:rPr>
        <w:t>”), the Party first having notice of the claim or assertion shall promptly notify the other Party, and the Parties shall promptly confer to consider the claim or assertion and the appropriate course of action. Unless the Parties otherwise agree in writing, Piramal Imaging SA shall have the right to defend any Infringement Claim using Commercially Reasonable Efforts, and AC Immune shall reasonably assist Piramal Imaging SA and cooperate in any such litigation at Piramal Imaging SA’s request and expense. Piramal Imaging SA shall keep AC Immune reasonably informed with respect to the progress of any such litigation. Piramal Imaging SA shall not enter into any settlement of any claim described in this Section 9.6 that adversely affects AC Immune’s rights and interests without AC Immune’s written consent, which consent shall not be unreasonably conditioned, withheld or delayed.</w:t>
      </w:r>
    </w:p>
    <w:p>
      <w:pPr>
        <w:spacing w:after="0" w:line="95" w:lineRule="exact"/>
        <w:rPr>
          <w:sz w:val="20"/>
          <w:szCs w:val="20"/>
          <w:color w:val="auto"/>
        </w:rPr>
      </w:pPr>
    </w:p>
    <w:p>
      <w:pPr>
        <w:ind w:left="800" w:right="100" w:hanging="796"/>
        <w:spacing w:after="0" w:line="270" w:lineRule="auto"/>
        <w:tabs>
          <w:tab w:leader="none" w:pos="7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7"/>
          <w:szCs w:val="17"/>
          <w:b w:val="1"/>
          <w:bCs w:val="1"/>
          <w:color w:val="auto"/>
        </w:rPr>
        <w:t>Enforcement; Patent Challenge</w:t>
      </w:r>
      <w:r>
        <w:rPr>
          <w:rFonts w:ascii="Arial" w:cs="Arial" w:eastAsia="Arial" w:hAnsi="Arial"/>
          <w:sz w:val="17"/>
          <w:szCs w:val="17"/>
          <w:color w:val="auto"/>
        </w:rPr>
        <w:t>. Subject to the provisions of this Section 9.7, in the event that a Party reasonably believes that any AC Immune</w:t>
      </w:r>
      <w:r>
        <w:rPr>
          <w:rFonts w:ascii="Arial" w:cs="Arial" w:eastAsia="Arial" w:hAnsi="Arial"/>
          <w:sz w:val="17"/>
          <w:szCs w:val="17"/>
          <w:b w:val="1"/>
          <w:bCs w:val="1"/>
          <w:color w:val="auto"/>
        </w:rPr>
        <w:t xml:space="preserve"> </w:t>
      </w:r>
      <w:r>
        <w:rPr>
          <w:rFonts w:ascii="Arial" w:cs="Arial" w:eastAsia="Arial" w:hAnsi="Arial"/>
          <w:sz w:val="17"/>
          <w:szCs w:val="17"/>
          <w:color w:val="auto"/>
        </w:rPr>
        <w:t>Tau Protein Imaging Patent or Collaboration Patent is being infringed by a Third Party in the Field or is subject to a declaratory judgment action arising from such infringement (“</w:t>
      </w:r>
      <w:r>
        <w:rPr>
          <w:rFonts w:ascii="Arial" w:cs="Arial" w:eastAsia="Arial" w:hAnsi="Arial"/>
          <w:sz w:val="17"/>
          <w:szCs w:val="17"/>
          <w:b w:val="1"/>
          <w:bCs w:val="1"/>
          <w:color w:val="auto"/>
        </w:rPr>
        <w:t>Declaratory Judgment</w:t>
      </w:r>
      <w:r>
        <w:rPr>
          <w:rFonts w:ascii="Arial" w:cs="Arial" w:eastAsia="Arial" w:hAnsi="Arial"/>
          <w:sz w:val="17"/>
          <w:szCs w:val="17"/>
          <w:color w:val="auto"/>
        </w:rPr>
        <w:t>”) or becomes aware of any actual or threatened challenge by a Third Party with respect to the scope, validity or enforceability of any such Patent in the Territory (“</w:t>
      </w:r>
      <w:r>
        <w:rPr>
          <w:rFonts w:ascii="Arial" w:cs="Arial" w:eastAsia="Arial" w:hAnsi="Arial"/>
          <w:sz w:val="17"/>
          <w:szCs w:val="17"/>
          <w:b w:val="1"/>
          <w:bCs w:val="1"/>
          <w:color w:val="auto"/>
        </w:rPr>
        <w:t>Third Party Challenge</w:t>
      </w:r>
      <w:r>
        <w:rPr>
          <w:rFonts w:ascii="Arial" w:cs="Arial" w:eastAsia="Arial" w:hAnsi="Arial"/>
          <w:sz w:val="17"/>
          <w:szCs w:val="17"/>
          <w:color w:val="auto"/>
        </w:rPr>
        <w:t>”), such Party shall promptly notify the other Party. In such event, Piramal shall have the sole right (but not the obligation) to enforce such Patents with respect to such infringement, to defend any such Declaratory Judgment or Third Party Challenge (an “</w:t>
      </w:r>
      <w:r>
        <w:rPr>
          <w:rFonts w:ascii="Arial" w:cs="Arial" w:eastAsia="Arial" w:hAnsi="Arial"/>
          <w:sz w:val="17"/>
          <w:szCs w:val="17"/>
          <w:b w:val="1"/>
          <w:bCs w:val="1"/>
          <w:color w:val="auto"/>
        </w:rPr>
        <w:t>Enforcement Action</w:t>
      </w:r>
      <w:r>
        <w:rPr>
          <w:rFonts w:ascii="Arial" w:cs="Arial" w:eastAsia="Arial" w:hAnsi="Arial"/>
          <w:sz w:val="17"/>
          <w:szCs w:val="17"/>
          <w:color w:val="auto"/>
        </w:rPr>
        <w:t>”), at Piramal Imaging SA’s expense and using Commercially Reasonable Efforts. AC Immune shall have the right to join any such Enforcement Action at its own expense. If Piramal Imaging SA does not bring an Enforcement Action within [*****] days after notification after the Declaratory Judgment or Third Party Challenge, then AC Immune shall have the right to initiate an Enforcement Action against the Third Party. In such event, [*****] shall bear all costs and expenses with respect to any such Enforcement Action. With respect to AC Immune Tau Protein Imaging Patent or Jointly Owned Collaboration Patents filed by a Party in a country that is not a Patent Filing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269" w:right="239" w:bottom="1440" w:gutter="0" w:footer="0" w:header="0"/>
        </w:sectPr>
      </w:pPr>
    </w:p>
    <w:bookmarkStart w:id="479" w:name="page480"/>
    <w:bookmarkEnd w:id="4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Country, such Party shall have the sole right (but not the obligation) to enforce and defend such Patents.</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b w:val="1"/>
          <w:bCs w:val="1"/>
          <w:color w:val="auto"/>
        </w:rPr>
        <w:t>Recoveries</w:t>
      </w:r>
      <w:r>
        <w:rPr>
          <w:rFonts w:ascii="Arial" w:cs="Arial" w:eastAsia="Arial" w:hAnsi="Arial"/>
          <w:sz w:val="16"/>
          <w:szCs w:val="16"/>
          <w:color w:val="auto"/>
        </w:rPr>
        <w:t>. Any recovery received as a result of any Enforcement Action pursuant to Section 9.7 shall be used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34" w:lineRule="exact"/>
        <w:rPr>
          <w:sz w:val="20"/>
          <w:szCs w:val="20"/>
          <w:color w:val="auto"/>
        </w:rPr>
      </w:pPr>
    </w:p>
    <w:p>
      <w:pPr>
        <w:ind w:left="800" w:right="20" w:hanging="796"/>
        <w:spacing w:after="0" w:line="287"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color w:val="auto"/>
        </w:rPr>
        <w:t>Confidentiality; Exceptions</w:t>
      </w:r>
      <w:r>
        <w:rPr>
          <w:rFonts w:ascii="Arial" w:cs="Arial" w:eastAsia="Arial" w:hAnsi="Arial"/>
          <w:sz w:val="16"/>
          <w:szCs w:val="16"/>
          <w:color w:val="auto"/>
        </w:rPr>
        <w:t>. Except to the extent expressly authorized by this Agreement or otherwise agreed by the Parties in writing,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and for [*****] years thereafter, the Parties agree that the receiving Party shall keep confidential and shall not publish or otherwise disclose or use for any purpose other than as provided for in this Agreement any Confidential Information furnished to it by the other Party pursuant to this Agreement. For clarity, Confidential Information of a Party shall include all information and materials disclosed by such Party or its designee that</w:t>
      </w:r>
    </w:p>
    <w:p>
      <w:pPr>
        <w:spacing w:after="0" w:line="3" w:lineRule="exact"/>
        <w:rPr>
          <w:sz w:val="20"/>
          <w:szCs w:val="20"/>
          <w:color w:val="auto"/>
        </w:rPr>
      </w:pPr>
    </w:p>
    <w:p>
      <w:pPr>
        <w:ind w:left="1040" w:hanging="235"/>
        <w:spacing w:after="0"/>
        <w:tabs>
          <w:tab w:leader="none" w:pos="104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if disclosed in writing or other tangible form, is marked as “Confidential,” “Proprietary” or with similar designation at the time of disclosure,</w:t>
      </w:r>
    </w:p>
    <w:p>
      <w:pPr>
        <w:spacing w:after="0" w:line="20" w:lineRule="exact"/>
        <w:rPr>
          <w:rFonts w:ascii="Arial" w:cs="Arial" w:eastAsia="Arial" w:hAnsi="Arial"/>
          <w:sz w:val="17"/>
          <w:szCs w:val="17"/>
          <w:color w:val="auto"/>
        </w:rPr>
      </w:pPr>
    </w:p>
    <w:p>
      <w:pPr>
        <w:ind w:left="800" w:right="60" w:firstLine="5"/>
        <w:spacing w:after="0" w:line="254" w:lineRule="auto"/>
        <w:tabs>
          <w:tab w:leader="none" w:pos="105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if disclosed verbally or in other intangible form, is indicated upon first disclosure as being confidential or (c) by its nature can reasonably be expected to be considered Confidential Information by the recipient. Notwithstanding the foregoing, Confidential Information shall not be deemed to include information or materials to the extent that it can be established by written documentation by the receiving Party that such information or material:</w:t>
      </w:r>
    </w:p>
    <w:p>
      <w:pPr>
        <w:spacing w:after="0" w:line="95" w:lineRule="exact"/>
        <w:rPr>
          <w:sz w:val="20"/>
          <w:szCs w:val="20"/>
          <w:color w:val="auto"/>
        </w:rPr>
      </w:pPr>
    </w:p>
    <w:p>
      <w:pPr>
        <w:ind w:left="1380" w:right="340" w:hanging="575"/>
        <w:spacing w:after="0" w:line="264" w:lineRule="auto"/>
        <w:tabs>
          <w:tab w:leader="none" w:pos="13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was already known to or possessed by the receiving Party, other than under an obligation of confidentiality (except to the extent such obligation has expired or an exception is applicable under the relevant agreement pursuant to which such obligation established), at the time of disclosure;</w:t>
      </w:r>
    </w:p>
    <w:p>
      <w:pPr>
        <w:spacing w:after="0" w:line="86" w:lineRule="exact"/>
        <w:rPr>
          <w:rFonts w:ascii="Arial" w:cs="Arial" w:eastAsia="Arial" w:hAnsi="Arial"/>
          <w:sz w:val="18"/>
          <w:szCs w:val="18"/>
          <w:color w:val="auto"/>
        </w:rPr>
      </w:pPr>
    </w:p>
    <w:p>
      <w:pPr>
        <w:ind w:left="1380" w:hanging="575"/>
        <w:spacing w:after="0"/>
        <w:tabs>
          <w:tab w:leader="none" w:pos="138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was generally available to the public or otherwise part of the public domain at the time of its first disclosure to the receiving Party;</w:t>
      </w:r>
    </w:p>
    <w:p>
      <w:pPr>
        <w:spacing w:after="0" w:line="142" w:lineRule="exact"/>
        <w:rPr>
          <w:rFonts w:ascii="Arial" w:cs="Arial" w:eastAsia="Arial" w:hAnsi="Arial"/>
          <w:sz w:val="17"/>
          <w:szCs w:val="17"/>
          <w:color w:val="auto"/>
        </w:rPr>
      </w:pPr>
    </w:p>
    <w:p>
      <w:pPr>
        <w:ind w:left="1380" w:right="540" w:hanging="575"/>
        <w:spacing w:after="0" w:line="277" w:lineRule="auto"/>
        <w:tabs>
          <w:tab w:leader="none" w:pos="13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75" w:lineRule="exact"/>
        <w:rPr>
          <w:rFonts w:ascii="Arial" w:cs="Arial" w:eastAsia="Arial" w:hAnsi="Arial"/>
          <w:sz w:val="18"/>
          <w:szCs w:val="18"/>
          <w:color w:val="auto"/>
        </w:rPr>
      </w:pPr>
    </w:p>
    <w:p>
      <w:pPr>
        <w:ind w:left="1380" w:right="380" w:hanging="575"/>
        <w:spacing w:after="0" w:line="277" w:lineRule="auto"/>
        <w:tabs>
          <w:tab w:leader="none" w:pos="13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was independently developed by the receiving Party as demonstrated by documented evidence prepared contemporaneously with such independent development; or</w:t>
      </w:r>
    </w:p>
    <w:p>
      <w:pPr>
        <w:spacing w:after="0" w:line="75" w:lineRule="exact"/>
        <w:rPr>
          <w:rFonts w:ascii="Arial" w:cs="Arial" w:eastAsia="Arial" w:hAnsi="Arial"/>
          <w:sz w:val="18"/>
          <w:szCs w:val="18"/>
          <w:color w:val="auto"/>
        </w:rPr>
      </w:pPr>
    </w:p>
    <w:p>
      <w:pPr>
        <w:ind w:left="1380" w:right="560" w:hanging="575"/>
        <w:spacing w:after="0" w:line="277" w:lineRule="auto"/>
        <w:tabs>
          <w:tab w:leader="none" w:pos="13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was disclosed to the receiving Party, other than under an obligation of confidentiality, by a Third Party who had no obligation to the disclosing Party not to disclose such information to others.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270" w:right="239" w:bottom="1440" w:gutter="0" w:footer="0" w:header="0"/>
        </w:sectPr>
      </w:pPr>
    </w:p>
    <w:bookmarkStart w:id="480" w:name="page481"/>
    <w:bookmarkEnd w:id="4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Authorized Use and Disclosure</w:t>
      </w:r>
      <w:r>
        <w:rPr>
          <w:rFonts w:ascii="Arial" w:cs="Arial" w:eastAsia="Arial" w:hAnsi="Arial"/>
          <w:sz w:val="16"/>
          <w:szCs w:val="16"/>
          <w:color w:val="auto"/>
        </w:rPr>
        <w:t>. Each Party may use and disclose Confidential Information of the other Party as follows:</w:t>
      </w:r>
    </w:p>
    <w:p>
      <w:pPr>
        <w:spacing w:after="0" w:line="135" w:lineRule="exact"/>
        <w:rPr>
          <w:sz w:val="20"/>
          <w:szCs w:val="20"/>
          <w:color w:val="auto"/>
        </w:rPr>
      </w:pPr>
    </w:p>
    <w:p>
      <w:pPr>
        <w:ind w:left="1380" w:right="140" w:hanging="575"/>
        <w:spacing w:after="0" w:line="277" w:lineRule="auto"/>
        <w:tabs>
          <w:tab w:leader="none" w:pos="13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under appropriate confidentiality provisions substantially equivalent to those in this Agreement, in connection with the performance of its obligations or exercise of rights granted to such Party in this Agreement; and</w:t>
      </w:r>
    </w:p>
    <w:p>
      <w:pPr>
        <w:spacing w:after="0" w:line="75" w:lineRule="exact"/>
        <w:rPr>
          <w:rFonts w:ascii="Arial" w:cs="Arial" w:eastAsia="Arial" w:hAnsi="Arial"/>
          <w:sz w:val="18"/>
          <w:szCs w:val="18"/>
          <w:color w:val="auto"/>
        </w:rPr>
      </w:pPr>
    </w:p>
    <w:p>
      <w:pPr>
        <w:ind w:left="1380" w:hanging="575"/>
        <w:spacing w:after="0" w:line="270" w:lineRule="auto"/>
        <w:tabs>
          <w:tab w:leader="none" w:pos="138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 xml:space="preserve">to the extent such disclosure is reasonably necessary in Prosecuting and Maintaining Patents, copyrights and trademarks (including applications therefor) in accordance with this Agreement, prosecuting or defending litigation, complying with applicable governmental regulations, filing for, conducting Development hereunder, obtaining and maintaining Regulatory Approvals, or otherwise required by Law, the rules of a recognized stock exchange or automated quotation system applicable to such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 Party is required by Law, the rules of a recognized stock exchange or automated quotation system (collectively, “</w:t>
      </w:r>
      <w:r>
        <w:rPr>
          <w:rFonts w:ascii="Arial" w:cs="Arial" w:eastAsia="Arial" w:hAnsi="Arial"/>
          <w:sz w:val="17"/>
          <w:szCs w:val="17"/>
          <w:b w:val="1"/>
          <w:bCs w:val="1"/>
          <w:color w:val="auto"/>
        </w:rPr>
        <w:t>Securities Laws</w:t>
      </w:r>
      <w:r>
        <w:rPr>
          <w:rFonts w:ascii="Arial" w:cs="Arial" w:eastAsia="Arial" w:hAnsi="Arial"/>
          <w:sz w:val="17"/>
          <w:szCs w:val="17"/>
          <w:color w:val="auto"/>
        </w:rPr>
        <w:t>”) applicable to such Party to make any such disclosure of the other Party’s Confidential Information it will, except where prohibited by Law or impracticable for necessary disclosures (for example, in the event of medical emergency), give reasonable advance notice to the other Party of such disclosure requirement and, except to the extent inappropriate in the case of Patent applications, will use its reasonable efforts to secure confidential treatment of such Confidential Information required to be disclosed.</w:t>
      </w:r>
    </w:p>
    <w:p>
      <w:pPr>
        <w:spacing w:after="0" w:line="83" w:lineRule="exact"/>
        <w:rPr>
          <w:sz w:val="20"/>
          <w:szCs w:val="20"/>
          <w:color w:val="auto"/>
        </w:rPr>
      </w:pPr>
    </w:p>
    <w:p>
      <w:pPr>
        <w:ind w:left="800" w:right="40" w:hanging="796"/>
        <w:spacing w:after="0" w:line="258"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b w:val="1"/>
          <w:bCs w:val="1"/>
          <w:color w:val="auto"/>
        </w:rPr>
        <w:t>Injunctive Relief</w:t>
      </w:r>
      <w:r>
        <w:rPr>
          <w:rFonts w:ascii="Arial" w:cs="Arial" w:eastAsia="Arial" w:hAnsi="Arial"/>
          <w:sz w:val="18"/>
          <w:szCs w:val="18"/>
          <w:color w:val="auto"/>
        </w:rPr>
        <w:t>. Given the nature of the Confidential Information and the competitive damage that would result to a Party upon unauthorized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use or transfer of its Confidential Information to any Third Party, the Parties agree that monetary damages may not be a sufficient remedy for any breach of this Article 10. In addition to all other remedies, a disclosing Party shall be entitled to seek specific performance and injunctive and other equitable relief as a remedy for any breach or threatened breach of this Article 10. Receiving Party waives its right to post any bond for the injunctive relief in a court of law.</w:t>
      </w:r>
    </w:p>
    <w:p>
      <w:pPr>
        <w:spacing w:after="0" w:line="89" w:lineRule="exact"/>
        <w:rPr>
          <w:sz w:val="20"/>
          <w:szCs w:val="20"/>
          <w:color w:val="auto"/>
        </w:rPr>
      </w:pPr>
    </w:p>
    <w:p>
      <w:pPr>
        <w:ind w:left="800" w:right="480" w:hanging="796"/>
        <w:spacing w:after="0" w:line="347" w:lineRule="auto"/>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color w:val="auto"/>
        </w:rPr>
        <w:t>Terms of Agreement</w:t>
      </w:r>
      <w:r>
        <w:rPr>
          <w:rFonts w:ascii="Arial" w:cs="Arial" w:eastAsia="Arial" w:hAnsi="Arial"/>
          <w:sz w:val="16"/>
          <w:szCs w:val="16"/>
          <w:color w:val="auto"/>
        </w:rPr>
        <w:t>. The Parties shall treat the existence and material terms of this Agreement as confidential and shall not disclose such</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to Third Parties without the prior written consent of the other Parties or except as provided in Section 10.2 or as provided below.</w:t>
      </w:r>
    </w:p>
    <w:p>
      <w:pPr>
        <w:spacing w:after="0" w:line="22" w:lineRule="exact"/>
        <w:rPr>
          <w:sz w:val="20"/>
          <w:szCs w:val="20"/>
          <w:color w:val="auto"/>
        </w:rPr>
      </w:pPr>
    </w:p>
    <w:p>
      <w:pPr>
        <w:ind w:left="800" w:right="120" w:hanging="796"/>
        <w:spacing w:after="0" w:line="295" w:lineRule="auto"/>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b w:val="1"/>
          <w:bCs w:val="1"/>
          <w:color w:val="auto"/>
        </w:rPr>
        <w:t>Publications</w:t>
      </w:r>
      <w:r>
        <w:rPr>
          <w:rFonts w:ascii="Arial" w:cs="Arial" w:eastAsia="Arial" w:hAnsi="Arial"/>
          <w:sz w:val="16"/>
          <w:szCs w:val="16"/>
          <w:color w:val="auto"/>
        </w:rPr>
        <w:t>. The Parties recognize that independent investigators, hospitals and universities may be entrusted with the conduct of Clinical Trials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Product. Such independent investigators, hospitals and universities are understood to operate in an academic environment and shall be allowed to release information regarding such Clinical Trials of the Product in a manner consistent with academic standards; however, such Third Parties must be strictly monitored to prevent any adverse effect from premature publication or dissemination of results of the activities hereunder. All such publications and presentations shall be made in a manner and have content consistent with the publication strategy developed by the JSC (the “</w:t>
      </w:r>
      <w:r>
        <w:rPr>
          <w:rFonts w:ascii="Arial" w:cs="Arial" w:eastAsia="Arial" w:hAnsi="Arial"/>
          <w:sz w:val="16"/>
          <w:szCs w:val="16"/>
          <w:b w:val="1"/>
          <w:bCs w:val="1"/>
          <w:color w:val="auto"/>
        </w:rPr>
        <w:t>Publication Strategy</w:t>
      </w:r>
      <w:r>
        <w:rPr>
          <w:rFonts w:ascii="Arial" w:cs="Arial" w:eastAsia="Arial" w:hAnsi="Arial"/>
          <w:sz w:val="16"/>
          <w:szCs w:val="16"/>
          <w:color w:val="auto"/>
        </w:rPr>
        <w:t>”). The following shall apply with respect to any publications and presentations: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270" w:right="239" w:bottom="1440" w:gutter="0" w:footer="0" w:header="0"/>
        </w:sectPr>
      </w:pPr>
    </w:p>
    <w:bookmarkStart w:id="481" w:name="page482"/>
    <w:bookmarkEnd w:id="4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right="100" w:hanging="575"/>
        <w:spacing w:after="0" w:line="286" w:lineRule="auto"/>
        <w:tabs>
          <w:tab w:leader="none" w:pos="138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either Party, its employees or consultants wishing to make a scientific or medical publication that contains Confidential Information of the other Party (the “</w:t>
      </w:r>
      <w:r>
        <w:rPr>
          <w:rFonts w:ascii="Arial" w:cs="Arial" w:eastAsia="Arial" w:hAnsi="Arial"/>
          <w:sz w:val="17"/>
          <w:szCs w:val="17"/>
          <w:b w:val="1"/>
          <w:bCs w:val="1"/>
          <w:color w:val="auto"/>
        </w:rPr>
        <w:t>Reviewing Party</w:t>
      </w:r>
      <w:r>
        <w:rPr>
          <w:rFonts w:ascii="Arial" w:cs="Arial" w:eastAsia="Arial" w:hAnsi="Arial"/>
          <w:sz w:val="17"/>
          <w:szCs w:val="17"/>
          <w:color w:val="auto"/>
        </w:rPr>
        <w:t>”) shall, to the extent practicable, deliver to the Reviewing Party a copy of the proposed written publication or an outline of an oral disclosure at least [*****] days prior to submission for publication or presentation;</w:t>
      </w:r>
    </w:p>
    <w:p>
      <w:pPr>
        <w:spacing w:after="0" w:line="70" w:lineRule="exact"/>
        <w:rPr>
          <w:rFonts w:ascii="Arial" w:cs="Arial" w:eastAsia="Arial" w:hAnsi="Arial"/>
          <w:sz w:val="17"/>
          <w:szCs w:val="17"/>
          <w:color w:val="auto"/>
        </w:rPr>
      </w:pPr>
    </w:p>
    <w:p>
      <w:pPr>
        <w:ind w:left="1380" w:right="500" w:hanging="575"/>
        <w:spacing w:after="0" w:line="277" w:lineRule="auto"/>
        <w:tabs>
          <w:tab w:leader="none" w:pos="13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Reviewing Party shall have the right to require a delay up to [*****] days in publication or presentation in order to enable Patent applications protecting each Party’s rights in such Confidential Information to be filed;</w:t>
      </w:r>
    </w:p>
    <w:p>
      <w:pPr>
        <w:spacing w:after="0" w:line="75" w:lineRule="exact"/>
        <w:rPr>
          <w:rFonts w:ascii="Arial" w:cs="Arial" w:eastAsia="Arial" w:hAnsi="Arial"/>
          <w:sz w:val="18"/>
          <w:szCs w:val="18"/>
          <w:color w:val="auto"/>
        </w:rPr>
      </w:pPr>
    </w:p>
    <w:p>
      <w:pPr>
        <w:ind w:left="1380" w:right="920" w:hanging="575"/>
        <w:spacing w:after="0" w:line="277" w:lineRule="auto"/>
        <w:tabs>
          <w:tab w:leader="none" w:pos="13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each Party shall have the right to prohibit disclosure of any of its Confidential Information in any such proposed publication or presentation;</w:t>
      </w:r>
    </w:p>
    <w:p>
      <w:pPr>
        <w:spacing w:after="0" w:line="75" w:lineRule="exact"/>
        <w:rPr>
          <w:rFonts w:ascii="Arial" w:cs="Arial" w:eastAsia="Arial" w:hAnsi="Arial"/>
          <w:sz w:val="18"/>
          <w:szCs w:val="18"/>
          <w:color w:val="auto"/>
        </w:rPr>
      </w:pPr>
    </w:p>
    <w:p>
      <w:pPr>
        <w:ind w:left="1380" w:right="840" w:hanging="575"/>
        <w:spacing w:after="0" w:line="277" w:lineRule="auto"/>
        <w:tabs>
          <w:tab w:leader="none" w:pos="13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each Party will consider in good faith any reasonable comments provided by the other Party with respect to such publications or presentations;</w:t>
      </w:r>
    </w:p>
    <w:p>
      <w:pPr>
        <w:spacing w:after="0" w:line="75" w:lineRule="exact"/>
        <w:rPr>
          <w:rFonts w:ascii="Arial" w:cs="Arial" w:eastAsia="Arial" w:hAnsi="Arial"/>
          <w:sz w:val="18"/>
          <w:szCs w:val="18"/>
          <w:color w:val="auto"/>
        </w:rPr>
      </w:pPr>
    </w:p>
    <w:p>
      <w:pPr>
        <w:ind w:left="1380" w:right="920" w:hanging="575"/>
        <w:spacing w:after="0" w:line="277" w:lineRule="auto"/>
        <w:tabs>
          <w:tab w:leader="none" w:pos="13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each Party will each comply with standard academic practice regarding authorship of scientific publications and recognition of contribution of other parties in any publications; and</w:t>
      </w:r>
    </w:p>
    <w:p>
      <w:pPr>
        <w:spacing w:after="0" w:line="75" w:lineRule="exact"/>
        <w:rPr>
          <w:rFonts w:ascii="Arial" w:cs="Arial" w:eastAsia="Arial" w:hAnsi="Arial"/>
          <w:sz w:val="18"/>
          <w:szCs w:val="18"/>
          <w:color w:val="auto"/>
        </w:rPr>
      </w:pPr>
    </w:p>
    <w:p>
      <w:pPr>
        <w:ind w:left="1380" w:right="720" w:hanging="575"/>
        <w:spacing w:after="0" w:line="277" w:lineRule="auto"/>
        <w:tabs>
          <w:tab w:leader="none" w:pos="13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Piramal shall have the right to prohibit any such publication or presentation by AC Immune in the event it is inconsistent with the Publication Strategy or Piramal’s commercial strategy with respect to the Product.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Notwithstanding the foregoing, except with respect to including Compound structures in any patent filings, AC Immune shall not publish, present or otherwise disclose Compound structures until the earlier of (i) publication by the patent office of the Patent on such Compound structure, (ii) [*****] months after the Effective Date, or (iii) upon mutual consent of both parties.</w:t>
      </w:r>
    </w:p>
    <w:p>
      <w:pPr>
        <w:spacing w:after="0" w:line="3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b w:val="1"/>
          <w:bCs w:val="1"/>
          <w:color w:val="auto"/>
        </w:rPr>
        <w:t>Publicity.</w:t>
      </w:r>
    </w:p>
    <w:p>
      <w:pPr>
        <w:spacing w:after="0" w:line="131" w:lineRule="exact"/>
        <w:rPr>
          <w:sz w:val="20"/>
          <w:szCs w:val="20"/>
          <w:color w:val="auto"/>
        </w:rPr>
      </w:pPr>
    </w:p>
    <w:p>
      <w:pPr>
        <w:ind w:left="1380" w:right="20" w:hanging="575"/>
        <w:spacing w:after="0" w:line="273" w:lineRule="auto"/>
        <w:tabs>
          <w:tab w:leader="none" w:pos="1380" w:val="left"/>
        </w:tabs>
        <w:numPr>
          <w:ilvl w:val="0"/>
          <w:numId w:val="371"/>
        </w:numPr>
        <w:rPr>
          <w:rFonts w:ascii="Arial" w:cs="Arial" w:eastAsia="Arial" w:hAnsi="Arial"/>
          <w:sz w:val="17"/>
          <w:szCs w:val="17"/>
          <w:color w:val="auto"/>
        </w:rPr>
      </w:pPr>
      <w:r>
        <w:rPr>
          <w:rFonts w:ascii="Arial" w:cs="Arial" w:eastAsia="Arial" w:hAnsi="Arial"/>
          <w:sz w:val="17"/>
          <w:szCs w:val="17"/>
          <w:b w:val="1"/>
          <w:bCs w:val="1"/>
          <w:color w:val="auto"/>
        </w:rPr>
        <w:t>Press Releases</w:t>
      </w:r>
      <w:r>
        <w:rPr>
          <w:rFonts w:ascii="Arial" w:cs="Arial" w:eastAsia="Arial" w:hAnsi="Arial"/>
          <w:sz w:val="17"/>
          <w:szCs w:val="17"/>
          <w:color w:val="auto"/>
        </w:rPr>
        <w:t>. Except as otherwise mutually agreed by the Parties or as required by applicable Law or the rules of any stock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 Party shall issue or cause the publication of any other press release or public announcement with respect to the transactions contemplated by this Agreement without the express prior approval of the other Party, which approval shall not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Party may make any public statement in response to questions by the press, analysts, investors or those attending industry conferences or financial analyst calls, or issue press releases, so long as any such public statement or press release is not inconsistent with prior public disclosures or public statements approved by the Parties pursuant to this Section 10.6 and which do not reveal non-public information about the other Party.</w:t>
      </w:r>
    </w:p>
    <w:p>
      <w:pPr>
        <w:spacing w:after="0" w:line="77" w:lineRule="exact"/>
        <w:rPr>
          <w:rFonts w:ascii="Arial" w:cs="Arial" w:eastAsia="Arial" w:hAnsi="Arial"/>
          <w:sz w:val="17"/>
          <w:szCs w:val="17"/>
          <w:color w:val="auto"/>
        </w:rPr>
      </w:pPr>
    </w:p>
    <w:p>
      <w:pPr>
        <w:jc w:val="both"/>
        <w:ind w:left="1380" w:right="260" w:hanging="575"/>
        <w:spacing w:after="0" w:line="266" w:lineRule="auto"/>
        <w:tabs>
          <w:tab w:leader="none" w:pos="1380" w:val="left"/>
        </w:tabs>
        <w:numPr>
          <w:ilvl w:val="0"/>
          <w:numId w:val="371"/>
        </w:numPr>
        <w:rPr>
          <w:rFonts w:ascii="Arial" w:cs="Arial" w:eastAsia="Arial" w:hAnsi="Arial"/>
          <w:sz w:val="18"/>
          <w:szCs w:val="18"/>
          <w:color w:val="auto"/>
        </w:rPr>
      </w:pPr>
      <w:r>
        <w:rPr>
          <w:rFonts w:ascii="Arial" w:cs="Arial" w:eastAsia="Arial" w:hAnsi="Arial"/>
          <w:sz w:val="18"/>
          <w:szCs w:val="18"/>
          <w:b w:val="1"/>
          <w:bCs w:val="1"/>
          <w:color w:val="auto"/>
        </w:rPr>
        <w:t>Required Disclosures</w:t>
      </w:r>
      <w:r>
        <w:rPr>
          <w:rFonts w:ascii="Arial" w:cs="Arial" w:eastAsia="Arial" w:hAnsi="Arial"/>
          <w:sz w:val="18"/>
          <w:szCs w:val="18"/>
          <w:color w:val="auto"/>
        </w:rPr>
        <w:t>. With respect to complying with the disclosure requirements of Securities Laws applicable to a Party,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consult with each other concerning which terms of this Agreement shall be requested to be redacted in any public disclosure of the Agreement by the agency, and each Party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270" w:right="239" w:bottom="1440" w:gutter="0" w:footer="0" w:header="0"/>
        </w:sectPr>
      </w:pPr>
    </w:p>
    <w:bookmarkStart w:id="482" w:name="page483"/>
    <w:bookmarkEnd w:id="4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right="100"/>
        <w:spacing w:after="0" w:line="277" w:lineRule="auto"/>
        <w:rPr>
          <w:sz w:val="20"/>
          <w:szCs w:val="20"/>
          <w:color w:val="auto"/>
        </w:rPr>
      </w:pPr>
      <w:r>
        <w:rPr>
          <w:rFonts w:ascii="Arial" w:cs="Arial" w:eastAsia="Arial" w:hAnsi="Arial"/>
          <w:sz w:val="18"/>
          <w:szCs w:val="18"/>
          <w:color w:val="auto"/>
        </w:rPr>
        <w:t>shall seek confidential treatment by the agency in public disclosure of the Agreement by the agency for all sensitive commercial, financial and technical information, including any dollar amounts set forth herein.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34" w:lineRule="exact"/>
        <w:rPr>
          <w:sz w:val="20"/>
          <w:szCs w:val="20"/>
          <w:color w:val="auto"/>
        </w:rPr>
      </w:pPr>
    </w:p>
    <w:p>
      <w:pPr>
        <w:ind w:left="800" w:right="180" w:hanging="796"/>
        <w:spacing w:after="0" w:line="282" w:lineRule="auto"/>
        <w:tabs>
          <w:tab w:leader="none" w:pos="7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b w:val="1"/>
          <w:bCs w:val="1"/>
          <w:color w:val="auto"/>
        </w:rPr>
        <w:t>Term</w:t>
      </w:r>
      <w:r>
        <w:rPr>
          <w:rFonts w:ascii="Arial" w:cs="Arial" w:eastAsia="Arial" w:hAnsi="Arial"/>
          <w:sz w:val="18"/>
          <w:szCs w:val="18"/>
          <w:color w:val="auto"/>
        </w:rPr>
        <w:t>. This Agreement is effective as of the Effective Date and, unless earlier terminated pursuant to the other provisions of this Article 11,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full force and effect until the date of expiration of the last to expire Royalty Term.</w:t>
      </w:r>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color w:val="auto"/>
        </w:rPr>
        <w:t>Termination.</w:t>
      </w:r>
    </w:p>
    <w:p>
      <w:pPr>
        <w:spacing w:after="0" w:line="131" w:lineRule="exact"/>
        <w:rPr>
          <w:sz w:val="20"/>
          <w:szCs w:val="20"/>
          <w:color w:val="auto"/>
        </w:rPr>
      </w:pPr>
    </w:p>
    <w:p>
      <w:pPr>
        <w:ind w:left="1380" w:right="40" w:hanging="575"/>
        <w:spacing w:after="0" w:line="284" w:lineRule="auto"/>
        <w:tabs>
          <w:tab w:leader="none" w:pos="1380" w:val="left"/>
        </w:tabs>
        <w:numPr>
          <w:ilvl w:val="0"/>
          <w:numId w:val="372"/>
        </w:numPr>
        <w:rPr>
          <w:rFonts w:ascii="Arial" w:cs="Arial" w:eastAsia="Arial" w:hAnsi="Arial"/>
          <w:sz w:val="16"/>
          <w:szCs w:val="16"/>
          <w:color w:val="auto"/>
        </w:rPr>
      </w:pPr>
      <w:r>
        <w:rPr>
          <w:rFonts w:ascii="Arial" w:cs="Arial" w:eastAsia="Arial" w:hAnsi="Arial"/>
          <w:sz w:val="16"/>
          <w:szCs w:val="16"/>
          <w:b w:val="1"/>
          <w:bCs w:val="1"/>
          <w:color w:val="auto"/>
        </w:rPr>
        <w:t>Breach</w:t>
      </w:r>
      <w:r>
        <w:rPr>
          <w:rFonts w:ascii="Arial" w:cs="Arial" w:eastAsia="Arial" w:hAnsi="Arial"/>
          <w:sz w:val="16"/>
          <w:szCs w:val="16"/>
          <w:color w:val="auto"/>
        </w:rPr>
        <w:t>. Either Party may terminate the Agreement, in its entirety or on a country by country basis, at any time upon an uncured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default of the other Party in the fulfillment of its obligations under or in connection with this Agreement by giving written notice to the other Party specifying the nature of the default not less than [*****] days prior to the date the non-defaulting Party intends to terminate the Agreement. If such default has been cured by such defaulting Party within such [*****] day period, no such termination shall occur. If such default has not been cured by the defaulting Party within such [*****] day period, then the non-defaulting Party shall be entitled to terminate this Agreement with immediate effect upon delivery to the defaulting Party of a written notice terminating the Agreement;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the Party accused of defaulting notifies the accusing Party in writing (i) within such [*****] day cure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accused Party disputes that it is in default, or (ii) within [*****] days after delivery of a termination notice for failure to cure a default, that the accused Party contends it cured such default, then in either such case no such termination shall become effective until</w:t>
      </w:r>
    </w:p>
    <w:p>
      <w:pPr>
        <w:spacing w:after="0" w:line="3" w:lineRule="exact"/>
        <w:rPr>
          <w:rFonts w:ascii="Arial" w:cs="Arial" w:eastAsia="Arial" w:hAnsi="Arial"/>
          <w:sz w:val="16"/>
          <w:szCs w:val="16"/>
          <w:color w:val="auto"/>
        </w:rPr>
      </w:pPr>
    </w:p>
    <w:p>
      <w:pPr>
        <w:ind w:left="1380" w:right="60"/>
        <w:spacing w:after="0" w:line="255" w:lineRule="auto"/>
        <w:rPr>
          <w:rFonts w:ascii="Arial" w:cs="Arial" w:eastAsia="Arial" w:hAnsi="Arial"/>
          <w:sz w:val="16"/>
          <w:szCs w:val="16"/>
          <w:color w:val="auto"/>
        </w:rPr>
      </w:pPr>
      <w:r>
        <w:rPr>
          <w:rFonts w:ascii="Arial" w:cs="Arial" w:eastAsia="Arial" w:hAnsi="Arial"/>
          <w:sz w:val="18"/>
          <w:szCs w:val="18"/>
          <w:color w:val="auto"/>
        </w:rPr>
        <w:t>(A) a final, binding determination pursuant to Article 14 (Binding Arbitration) that the accused Party was in default and failed to cure such default during the [*****] day cure period, and (B) the accusing Party’s delivery to the accused Party, after such determination, of a written notice terminating the Agreement.</w:t>
      </w:r>
    </w:p>
    <w:p>
      <w:pPr>
        <w:spacing w:after="0" w:line="91" w:lineRule="exact"/>
        <w:rPr>
          <w:rFonts w:ascii="Arial" w:cs="Arial" w:eastAsia="Arial" w:hAnsi="Arial"/>
          <w:sz w:val="16"/>
          <w:szCs w:val="16"/>
          <w:color w:val="auto"/>
        </w:rPr>
      </w:pPr>
    </w:p>
    <w:p>
      <w:pPr>
        <w:ind w:left="1380" w:right="320" w:hanging="575"/>
        <w:spacing w:after="0" w:line="289" w:lineRule="auto"/>
        <w:tabs>
          <w:tab w:leader="none" w:pos="1380" w:val="left"/>
        </w:tabs>
        <w:numPr>
          <w:ilvl w:val="0"/>
          <w:numId w:val="372"/>
        </w:numPr>
        <w:rPr>
          <w:rFonts w:ascii="Arial" w:cs="Arial" w:eastAsia="Arial" w:hAnsi="Arial"/>
          <w:sz w:val="17"/>
          <w:szCs w:val="17"/>
          <w:color w:val="auto"/>
        </w:rPr>
      </w:pPr>
      <w:r>
        <w:rPr>
          <w:rFonts w:ascii="Arial" w:cs="Arial" w:eastAsia="Arial" w:hAnsi="Arial"/>
          <w:sz w:val="17"/>
          <w:szCs w:val="17"/>
          <w:b w:val="1"/>
          <w:bCs w:val="1"/>
          <w:color w:val="auto"/>
        </w:rPr>
        <w:t>Insolvency</w:t>
      </w:r>
      <w:r>
        <w:rPr>
          <w:rFonts w:ascii="Arial" w:cs="Arial" w:eastAsia="Arial" w:hAnsi="Arial"/>
          <w:sz w:val="17"/>
          <w:szCs w:val="17"/>
          <w:color w:val="auto"/>
        </w:rPr>
        <w:t>. Either Party may terminate the Agreement if the other Party becomes insolvent, makes a voluntary or involuntary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its assets for the benefit of creditors, a petition in bankruptcy is filed by or against the other Party and is not dismissed in [*****] days, or a receiver or trustee is appointed for all or any part of the other Party’s property.</w:t>
      </w:r>
    </w:p>
    <w:p>
      <w:pPr>
        <w:spacing w:after="0" w:line="63" w:lineRule="exact"/>
        <w:rPr>
          <w:rFonts w:ascii="Arial" w:cs="Arial" w:eastAsia="Arial" w:hAnsi="Arial"/>
          <w:sz w:val="17"/>
          <w:szCs w:val="17"/>
          <w:color w:val="auto"/>
        </w:rPr>
      </w:pPr>
    </w:p>
    <w:p>
      <w:pPr>
        <w:ind w:left="1380" w:hanging="575"/>
        <w:spacing w:after="0" w:line="282" w:lineRule="auto"/>
        <w:tabs>
          <w:tab w:leader="none" w:pos="1380"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Termination by Piramal Without Cause</w:t>
      </w:r>
      <w:r>
        <w:rPr>
          <w:rFonts w:ascii="Arial" w:cs="Arial" w:eastAsia="Arial" w:hAnsi="Arial"/>
          <w:sz w:val="18"/>
          <w:szCs w:val="18"/>
          <w:color w:val="auto"/>
        </w:rPr>
        <w:t>. Piramal shall have the right to terminate this Agreement without cause at any time after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 months from the Effective Date of this Agreement upon [*****] months prior written notice.</w:t>
      </w:r>
    </w:p>
    <w:p>
      <w:pPr>
        <w:spacing w:after="0" w:line="3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color w:val="auto"/>
        </w:rPr>
        <w:t>Consequences of Termination.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269" w:right="239" w:bottom="1440" w:gutter="0" w:footer="0" w:header="0"/>
        </w:sectPr>
      </w:pPr>
    </w:p>
    <w:bookmarkStart w:id="483" w:name="page484"/>
    <w:bookmarkEnd w:id="483"/>
    <w:p>
      <w:pPr>
        <w:jc w:val="center"/>
        <w:ind w:right="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78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580" w:hanging="575"/>
        <w:spacing w:after="0" w:line="268" w:lineRule="auto"/>
        <w:tabs>
          <w:tab w:leader="none" w:pos="580" w:val="left"/>
        </w:tabs>
        <w:numPr>
          <w:ilvl w:val="0"/>
          <w:numId w:val="373"/>
        </w:numPr>
        <w:rPr>
          <w:rFonts w:ascii="Arial" w:cs="Arial" w:eastAsia="Arial" w:hAnsi="Arial"/>
          <w:sz w:val="17"/>
          <w:szCs w:val="17"/>
          <w:color w:val="auto"/>
        </w:rPr>
      </w:pPr>
      <w:r>
        <w:rPr>
          <w:rFonts w:ascii="Arial" w:cs="Arial" w:eastAsia="Arial" w:hAnsi="Arial"/>
          <w:sz w:val="17"/>
          <w:szCs w:val="17"/>
          <w:b w:val="1"/>
          <w:bCs w:val="1"/>
          <w:color w:val="auto"/>
        </w:rPr>
        <w:t>Effect of Termination by Piramal Without Cause</w:t>
      </w:r>
      <w:r>
        <w:rPr>
          <w:rFonts w:ascii="Arial" w:cs="Arial" w:eastAsia="Arial" w:hAnsi="Arial"/>
          <w:sz w:val="17"/>
          <w:szCs w:val="17"/>
          <w:color w:val="auto"/>
        </w:rPr>
        <w:t>. Upon termination by Piramal without cause pursuant to Section 11.2(c), the rights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licenses granted by AC Immune to Piramal shall terminate in their entirety on the effective date of termination. All rights granted to Piramal shall automatically revert back to AC Immune. In order for AC Immune to decide whether or not to continue Development and Commercialization of Product(s), Piramal will provide the necessary documentation (i.e., clinical trial protocols, clinical trial reports and any filings with Regulatory Authorities) concerning the results obtained by Piramal in Piramal’s Development efforts. If AC Immune elects to continue Development and Commercialization of the Product, Piramal shall transfer all Regulatory Approvals and Regulatory Materials, all clinical study reports and protocols, Manufacturing processes and all other relevant Product data necessary for AC Immune to continue Development and Commercialization of Product(s). Piramal shall grant to AC Immune (i) a non-exclusive license under Piramal Background IP solely to the extent required and necessary for AC Immune to continue the Development and Commercialization of the Product as the Product existed at the time of termination of this Agreement, and (ii) an exclusive license under the Collaboration IP Controlled by Piramal (with right to sublicense) in order to allow such Development and Commercialization of the Product, with such license royalty bearing at the following royalty rates: [*****] The Parties shall negotiate the definitive license in good faith, taking into the account the stage of Development or Commercialization of Product at the time of Piramal’s termination. Furthermore, Piramal shall not assert any rights and claims against AC Immune, its licensees and customers to the extent the Product is developed and/or commercialized by them.</w:t>
      </w:r>
    </w:p>
    <w:p>
      <w:pPr>
        <w:spacing w:after="0" w:line="88" w:lineRule="exact"/>
        <w:rPr>
          <w:rFonts w:ascii="Arial" w:cs="Arial" w:eastAsia="Arial" w:hAnsi="Arial"/>
          <w:sz w:val="17"/>
          <w:szCs w:val="17"/>
          <w:color w:val="auto"/>
        </w:rPr>
      </w:pPr>
    </w:p>
    <w:p>
      <w:pPr>
        <w:ind w:left="580" w:right="180" w:hanging="575"/>
        <w:spacing w:after="0" w:line="347" w:lineRule="auto"/>
        <w:tabs>
          <w:tab w:leader="none" w:pos="580" w:val="left"/>
        </w:tabs>
        <w:numPr>
          <w:ilvl w:val="0"/>
          <w:numId w:val="373"/>
        </w:numPr>
        <w:rPr>
          <w:rFonts w:ascii="Arial" w:cs="Arial" w:eastAsia="Arial" w:hAnsi="Arial"/>
          <w:sz w:val="16"/>
          <w:szCs w:val="16"/>
          <w:color w:val="auto"/>
        </w:rPr>
      </w:pPr>
      <w:r>
        <w:rPr>
          <w:rFonts w:ascii="Arial" w:cs="Arial" w:eastAsia="Arial" w:hAnsi="Arial"/>
          <w:sz w:val="16"/>
          <w:szCs w:val="16"/>
          <w:b w:val="1"/>
          <w:bCs w:val="1"/>
          <w:color w:val="auto"/>
        </w:rPr>
        <w:t>Effect of Termination by AC Immune for Breach by Piramal</w:t>
      </w:r>
      <w:r>
        <w:rPr>
          <w:rFonts w:ascii="Arial" w:cs="Arial" w:eastAsia="Arial" w:hAnsi="Arial"/>
          <w:sz w:val="16"/>
          <w:szCs w:val="16"/>
          <w:color w:val="auto"/>
        </w:rPr>
        <w:t>. Upon termination by AC Immune for uncured breach by Piramal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effects are the same as set forth in Section 11.3(a) hereinabove, and AC Immune shall be entitled to seek remedies and to claim damages.</w:t>
      </w:r>
    </w:p>
    <w:p>
      <w:pPr>
        <w:spacing w:after="0" w:line="21" w:lineRule="exact"/>
        <w:rPr>
          <w:rFonts w:ascii="Arial" w:cs="Arial" w:eastAsia="Arial" w:hAnsi="Arial"/>
          <w:sz w:val="16"/>
          <w:szCs w:val="16"/>
          <w:color w:val="auto"/>
        </w:rPr>
      </w:pPr>
    </w:p>
    <w:p>
      <w:pPr>
        <w:ind w:left="580" w:right="160" w:hanging="575"/>
        <w:spacing w:after="0" w:line="256" w:lineRule="auto"/>
        <w:tabs>
          <w:tab w:leader="none" w:pos="580" w:val="left"/>
        </w:tabs>
        <w:numPr>
          <w:ilvl w:val="0"/>
          <w:numId w:val="373"/>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by Piramal for Breach by AC Immune. </w:t>
      </w:r>
      <w:r>
        <w:rPr>
          <w:rFonts w:ascii="Arial" w:cs="Arial" w:eastAsia="Arial" w:hAnsi="Arial"/>
          <w:sz w:val="18"/>
          <w:szCs w:val="18"/>
          <w:color w:val="auto"/>
        </w:rPr>
        <w:t>Upon termination by Piramal for uncured breach by AC Immune or</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insolvency of AC Immune, upon written notice from Piramal to AC Immune: (i) the licenses granted by AC Immune to Piramal in Section 3.1, and (ii) the payment obligations, reporting and audit rights in Article 8, in each case shall continue in full force and effect in accordance with the terms therein, with Piramal agreeing to use Commercially Reasonable Efforts to itself or through its Affiliates or sublicensees Commercialize the Product in the Field in the Territory, and Piramal shall be entitled to seek remedies and to claim damages with respect to AC Immune’s uncured breach.</w:t>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0620"/>
          </w:cols>
          <w:pgMar w:left="1040" w:top="269" w:right="239" w:bottom="1440" w:gutter="0" w:footer="0" w:header="0"/>
        </w:sectPr>
      </w:pPr>
    </w:p>
    <w:bookmarkStart w:id="484" w:name="page485"/>
    <w:bookmarkEnd w:id="4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1380" w:right="120" w:hanging="575"/>
        <w:spacing w:after="0" w:line="266" w:lineRule="auto"/>
        <w:tabs>
          <w:tab w:leader="none" w:pos="1380" w:val="left"/>
        </w:tabs>
        <w:numPr>
          <w:ilvl w:val="0"/>
          <w:numId w:val="374"/>
        </w:numPr>
        <w:rPr>
          <w:rFonts w:ascii="Arial" w:cs="Arial" w:eastAsia="Arial" w:hAnsi="Arial"/>
          <w:sz w:val="18"/>
          <w:szCs w:val="18"/>
          <w:color w:val="auto"/>
        </w:rPr>
      </w:pPr>
      <w:r>
        <w:rPr>
          <w:rFonts w:ascii="Arial" w:cs="Arial" w:eastAsia="Arial" w:hAnsi="Arial"/>
          <w:sz w:val="18"/>
          <w:szCs w:val="18"/>
          <w:b w:val="1"/>
          <w:bCs w:val="1"/>
          <w:color w:val="auto"/>
        </w:rPr>
        <w:t>Accrued Obligations</w:t>
      </w:r>
      <w:r>
        <w:rPr>
          <w:rFonts w:ascii="Arial" w:cs="Arial" w:eastAsia="Arial" w:hAnsi="Arial"/>
          <w:sz w:val="18"/>
          <w:szCs w:val="18"/>
          <w:color w:val="auto"/>
        </w:rPr>
        <w:t>. Expiration or termination of this Agreement for any reason shall not release any Party of any obligation or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which, at the time of such expiration or termination, has already accrued or which is attributable to a period prior to such expiration or termination.</w:t>
      </w:r>
    </w:p>
    <w:p>
      <w:pPr>
        <w:spacing w:after="0" w:line="81" w:lineRule="exact"/>
        <w:rPr>
          <w:rFonts w:ascii="Arial" w:cs="Arial" w:eastAsia="Arial" w:hAnsi="Arial"/>
          <w:sz w:val="18"/>
          <w:szCs w:val="18"/>
          <w:color w:val="auto"/>
        </w:rPr>
      </w:pPr>
    </w:p>
    <w:p>
      <w:pPr>
        <w:ind w:left="1380" w:right="360" w:hanging="575"/>
        <w:spacing w:after="0" w:line="282" w:lineRule="auto"/>
        <w:tabs>
          <w:tab w:leader="none" w:pos="1380" w:val="left"/>
        </w:tabs>
        <w:numPr>
          <w:ilvl w:val="0"/>
          <w:numId w:val="374"/>
        </w:numPr>
        <w:rPr>
          <w:rFonts w:ascii="Arial" w:cs="Arial" w:eastAsia="Arial" w:hAnsi="Arial"/>
          <w:sz w:val="18"/>
          <w:szCs w:val="18"/>
          <w:color w:val="auto"/>
        </w:rPr>
      </w:pPr>
      <w:r>
        <w:rPr>
          <w:rFonts w:ascii="Arial" w:cs="Arial" w:eastAsia="Arial" w:hAnsi="Arial"/>
          <w:sz w:val="18"/>
          <w:szCs w:val="18"/>
          <w:b w:val="1"/>
          <w:bCs w:val="1"/>
          <w:color w:val="auto"/>
        </w:rPr>
        <w:t>Ancillary Agreements</w:t>
      </w:r>
      <w:r>
        <w:rPr>
          <w:rFonts w:ascii="Arial" w:cs="Arial" w:eastAsia="Arial" w:hAnsi="Arial"/>
          <w:sz w:val="18"/>
          <w:szCs w:val="18"/>
          <w:color w:val="auto"/>
        </w:rPr>
        <w:t>. Unless otherwise agreed in writing by the Parties, the termination of this Agreement shall cause the automatic</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all ancillary agreements referenced in Sections 6.2 [*****] and 6.3 (Supply of [*****]).</w:t>
      </w:r>
    </w:p>
    <w:p>
      <w:pPr>
        <w:spacing w:after="0" w:line="67" w:lineRule="exact"/>
        <w:rPr>
          <w:rFonts w:ascii="Arial" w:cs="Arial" w:eastAsia="Arial" w:hAnsi="Arial"/>
          <w:sz w:val="18"/>
          <w:szCs w:val="18"/>
          <w:color w:val="auto"/>
        </w:rPr>
      </w:pPr>
    </w:p>
    <w:p>
      <w:pPr>
        <w:ind w:left="1380" w:right="480" w:hanging="575"/>
        <w:spacing w:after="0" w:line="282" w:lineRule="auto"/>
        <w:tabs>
          <w:tab w:leader="none" w:pos="1380" w:val="left"/>
        </w:tabs>
        <w:numPr>
          <w:ilvl w:val="0"/>
          <w:numId w:val="374"/>
        </w:numPr>
        <w:rPr>
          <w:rFonts w:ascii="Arial" w:cs="Arial" w:eastAsia="Arial" w:hAnsi="Arial"/>
          <w:sz w:val="18"/>
          <w:szCs w:val="18"/>
          <w:color w:val="auto"/>
        </w:rPr>
      </w:pPr>
      <w:r>
        <w:rPr>
          <w:rFonts w:ascii="Arial" w:cs="Arial" w:eastAsia="Arial" w:hAnsi="Arial"/>
          <w:sz w:val="18"/>
          <w:szCs w:val="18"/>
          <w:b w:val="1"/>
          <w:bCs w:val="1"/>
          <w:color w:val="auto"/>
        </w:rPr>
        <w:t>Non-Exclusive Remedy</w:t>
      </w:r>
      <w:r>
        <w:rPr>
          <w:rFonts w:ascii="Arial" w:cs="Arial" w:eastAsia="Arial" w:hAnsi="Arial"/>
          <w:sz w:val="18"/>
          <w:szCs w:val="18"/>
          <w:color w:val="auto"/>
        </w:rPr>
        <w:t>. Notwithstanding anything herein to the contrary, termination of this Agreement by a Party shall be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prejudice to other remedies such Party may have at law or equity.</w:t>
      </w:r>
    </w:p>
    <w:p>
      <w:pPr>
        <w:spacing w:after="0" w:line="67" w:lineRule="exact"/>
        <w:rPr>
          <w:rFonts w:ascii="Arial" w:cs="Arial" w:eastAsia="Arial" w:hAnsi="Arial"/>
          <w:sz w:val="18"/>
          <w:szCs w:val="18"/>
          <w:color w:val="auto"/>
        </w:rPr>
      </w:pPr>
    </w:p>
    <w:p>
      <w:pPr>
        <w:jc w:val="both"/>
        <w:ind w:left="1380" w:right="180" w:hanging="575"/>
        <w:spacing w:after="0" w:line="281" w:lineRule="auto"/>
        <w:tabs>
          <w:tab w:leader="none" w:pos="1380" w:val="left"/>
        </w:tabs>
        <w:numPr>
          <w:ilvl w:val="0"/>
          <w:numId w:val="374"/>
        </w:numPr>
        <w:rPr>
          <w:rFonts w:ascii="Arial" w:cs="Arial" w:eastAsia="Arial" w:hAnsi="Arial"/>
          <w:sz w:val="17"/>
          <w:szCs w:val="17"/>
          <w:color w:val="auto"/>
        </w:rPr>
      </w:pPr>
      <w:r>
        <w:rPr>
          <w:rFonts w:ascii="Arial" w:cs="Arial" w:eastAsia="Arial" w:hAnsi="Arial"/>
          <w:sz w:val="17"/>
          <w:szCs w:val="17"/>
          <w:b w:val="1"/>
          <w:bCs w:val="1"/>
          <w:color w:val="auto"/>
        </w:rPr>
        <w:t>Survival</w:t>
      </w:r>
      <w:r>
        <w:rPr>
          <w:rFonts w:ascii="Arial" w:cs="Arial" w:eastAsia="Arial" w:hAnsi="Arial"/>
          <w:sz w:val="17"/>
          <w:szCs w:val="17"/>
          <w:color w:val="auto"/>
        </w:rPr>
        <w:t>. The following provisions shall survive expiration or termination of this Agreement and continue to be enforceable: Article 10</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(Confidentiality), Article 13 (Indemnification, Insurance and Liability). Article 14 (Dispute Resolution), and Article 15 (Miscellaneous); and Sections 8.5(c) (Royalty Term) to the extent applicable, 9.1 (Ownership), 9.4 (Abandonment of Prosecution and Maintenance) solely with respect to the Jointly Owned Collaboration IP, and 11.3 (Consequences of Termination).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Representations, Warranties and Covenants By Both Parties</w:t>
      </w:r>
      <w:r>
        <w:rPr>
          <w:rFonts w:ascii="Arial" w:cs="Arial" w:eastAsia="Arial" w:hAnsi="Arial"/>
          <w:sz w:val="16"/>
          <w:szCs w:val="16"/>
          <w:color w:val="auto"/>
        </w:rPr>
        <w:t>. Each Party hereby severally represents, warrants and covenants to the other</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Party:</w:t>
      </w:r>
    </w:p>
    <w:p>
      <w:pPr>
        <w:spacing w:after="0" w:line="116" w:lineRule="exact"/>
        <w:rPr>
          <w:sz w:val="20"/>
          <w:szCs w:val="20"/>
          <w:color w:val="auto"/>
        </w:rPr>
      </w:pPr>
    </w:p>
    <w:p>
      <w:pPr>
        <w:ind w:left="1380" w:right="180" w:hanging="575"/>
        <w:spacing w:after="0" w:line="277" w:lineRule="auto"/>
        <w:tabs>
          <w:tab w:leader="none" w:pos="13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laws of the jurisdiction of its incorporation or continuance, as the case may be, and has full corporate power and authority to enter into this Agreement and to carry out the provisions hereof;</w:t>
      </w:r>
    </w:p>
    <w:p>
      <w:pPr>
        <w:spacing w:after="0" w:line="75" w:lineRule="exact"/>
        <w:rPr>
          <w:rFonts w:ascii="Arial" w:cs="Arial" w:eastAsia="Arial" w:hAnsi="Arial"/>
          <w:sz w:val="18"/>
          <w:szCs w:val="18"/>
          <w:color w:val="auto"/>
        </w:rPr>
      </w:pPr>
    </w:p>
    <w:p>
      <w:pPr>
        <w:ind w:left="1380" w:right="460" w:hanging="575"/>
        <w:spacing w:after="0" w:line="277" w:lineRule="auto"/>
        <w:tabs>
          <w:tab w:leader="none" w:pos="13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it is duly authorized to execute and deliver this Agreement and to perform its obligations hereunder, and the individual executing this Agreement on its behalf has been duly authorized to do so by all requisite corporate action;</w:t>
      </w:r>
    </w:p>
    <w:p>
      <w:pPr>
        <w:spacing w:after="0" w:line="75" w:lineRule="exact"/>
        <w:rPr>
          <w:rFonts w:ascii="Arial" w:cs="Arial" w:eastAsia="Arial" w:hAnsi="Arial"/>
          <w:sz w:val="18"/>
          <w:szCs w:val="18"/>
          <w:color w:val="auto"/>
        </w:rPr>
      </w:pPr>
    </w:p>
    <w:p>
      <w:pPr>
        <w:ind w:left="1380" w:hanging="575"/>
        <w:spacing w:after="0"/>
        <w:tabs>
          <w:tab w:leader="none" w:pos="13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this Agreement is legally binding upon it and enforceable in accordance with its terms;</w:t>
      </w:r>
    </w:p>
    <w:p>
      <w:pPr>
        <w:spacing w:after="0" w:line="130" w:lineRule="exact"/>
        <w:rPr>
          <w:rFonts w:ascii="Arial" w:cs="Arial" w:eastAsia="Arial" w:hAnsi="Arial"/>
          <w:sz w:val="18"/>
          <w:szCs w:val="18"/>
          <w:color w:val="auto"/>
        </w:rPr>
      </w:pPr>
    </w:p>
    <w:p>
      <w:pPr>
        <w:ind w:left="1380" w:right="40" w:hanging="575"/>
        <w:spacing w:after="0" w:line="277" w:lineRule="auto"/>
        <w:tabs>
          <w:tab w:leader="none" w:pos="13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it does not conflict with any agreement, instrument or understanding, oral or written, to which it is a party or by which it may be bound, nor violate, any material Applicable Law;</w:t>
      </w:r>
    </w:p>
    <w:p>
      <w:pPr>
        <w:spacing w:after="0" w:line="75" w:lineRule="exact"/>
        <w:rPr>
          <w:rFonts w:ascii="Arial" w:cs="Arial" w:eastAsia="Arial" w:hAnsi="Arial"/>
          <w:sz w:val="18"/>
          <w:szCs w:val="18"/>
          <w:color w:val="auto"/>
        </w:rPr>
      </w:pPr>
    </w:p>
    <w:p>
      <w:pPr>
        <w:ind w:left="1380" w:right="380" w:hanging="575"/>
        <w:spacing w:after="0" w:line="277" w:lineRule="auto"/>
        <w:tabs>
          <w:tab w:leader="none" w:pos="13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it has not granted, and shall not grant during the Term, any right to any Third Party which would conflict with the rights granted to the other Party hereunder;</w:t>
      </w:r>
    </w:p>
    <w:p>
      <w:pPr>
        <w:spacing w:after="0" w:line="75" w:lineRule="exact"/>
        <w:rPr>
          <w:rFonts w:ascii="Arial" w:cs="Arial" w:eastAsia="Arial" w:hAnsi="Arial"/>
          <w:sz w:val="18"/>
          <w:szCs w:val="18"/>
          <w:color w:val="auto"/>
        </w:rPr>
      </w:pPr>
    </w:p>
    <w:p>
      <w:pPr>
        <w:ind w:left="1380" w:right="520" w:hanging="575"/>
        <w:spacing w:after="0" w:line="277" w:lineRule="auto"/>
        <w:tabs>
          <w:tab w:leader="none" w:pos="13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it is not aware of any action, suit or inquiry or investigation instituted by any Person which questions or threatens the validity of this Agreement;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270" w:right="239" w:bottom="1440" w:gutter="0" w:footer="0" w:header="0"/>
        </w:sectPr>
      </w:pPr>
    </w:p>
    <w:bookmarkStart w:id="485" w:name="page486"/>
    <w:bookmarkEnd w:id="4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right="20" w:hanging="575"/>
        <w:spacing w:after="0" w:line="277" w:lineRule="auto"/>
        <w:tabs>
          <w:tab w:leader="none" w:pos="13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no consent or approval from any Third Party (including any governmental or administrative body or court) is necessary to consummate this Agreement or, to its knowledge, to conduct the activities contemplated hereunder.</w:t>
      </w:r>
    </w:p>
    <w:p>
      <w:pPr>
        <w:spacing w:after="0" w:line="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b w:val="1"/>
          <w:bCs w:val="1"/>
          <w:color w:val="auto"/>
        </w:rPr>
        <w:t>AC Immune Representations, Warranties and Covenants</w:t>
      </w:r>
      <w:r>
        <w:rPr>
          <w:rFonts w:ascii="Arial" w:cs="Arial" w:eastAsia="Arial" w:hAnsi="Arial"/>
          <w:sz w:val="16"/>
          <w:szCs w:val="16"/>
          <w:color w:val="auto"/>
        </w:rPr>
        <w:t>. AC Immune hereby represents and warrants that as of the Effective Date: ·</w:t>
      </w:r>
    </w:p>
    <w:p>
      <w:pPr>
        <w:spacing w:after="0" w:line="135" w:lineRule="exact"/>
        <w:rPr>
          <w:sz w:val="20"/>
          <w:szCs w:val="20"/>
          <w:color w:val="auto"/>
        </w:rPr>
      </w:pPr>
    </w:p>
    <w:p>
      <w:pPr>
        <w:ind w:left="1380" w:right="240" w:hanging="575"/>
        <w:spacing w:after="0" w:line="264" w:lineRule="auto"/>
        <w:tabs>
          <w:tab w:leader="none" w:pos="13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To its knowledge it does not own or otherwise control any Patents or Know-How other than the AC Immune Background IP and AC Immune Tau Protein Imaging IP that would be necessary for Piramal to exercise its rights under this Agreement, including to make, use, sell and import Products in the Field in the Territory;</w:t>
      </w:r>
    </w:p>
    <w:p>
      <w:pPr>
        <w:spacing w:after="0" w:line="86" w:lineRule="exact"/>
        <w:rPr>
          <w:rFonts w:ascii="Arial" w:cs="Arial" w:eastAsia="Arial" w:hAnsi="Arial"/>
          <w:sz w:val="18"/>
          <w:szCs w:val="18"/>
          <w:color w:val="auto"/>
        </w:rPr>
      </w:pPr>
    </w:p>
    <w:p>
      <w:pPr>
        <w:ind w:left="1380" w:right="60" w:hanging="575"/>
        <w:spacing w:after="0" w:line="342" w:lineRule="auto"/>
        <w:tabs>
          <w:tab w:leader="none" w:pos="138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 xml:space="preserve">it solely owns all right, title and interest in, to and under the AC Immune Tau Protein Imaging Patents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has not licensed the AC Immune Tau Protein Imaging Patents in the Field with respect to a PET Agent product to any Affiliate or any Third Party;</w:t>
      </w:r>
    </w:p>
    <w:p>
      <w:pPr>
        <w:spacing w:after="0" w:line="29" w:lineRule="exact"/>
        <w:rPr>
          <w:rFonts w:ascii="Arial" w:cs="Arial" w:eastAsia="Arial" w:hAnsi="Arial"/>
          <w:sz w:val="16"/>
          <w:szCs w:val="16"/>
          <w:color w:val="auto"/>
        </w:rPr>
      </w:pPr>
    </w:p>
    <w:p>
      <w:pPr>
        <w:ind w:left="1380" w:right="160" w:hanging="575"/>
        <w:spacing w:after="0" w:line="259" w:lineRule="auto"/>
        <w:tabs>
          <w:tab w:leader="none" w:pos="13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it has full legal rights and authority to grant the licenses and rights under the AC Immune Tau Protein Imaging IP and AC Immune Background IP granted under this Agreement and has not assigned, transferred, conveyed or licensed its right, title and interest in the AC Immune Tau Protein Imaging IP or AC Immune Background IP, including in any manner inconsistent with such license grant or the other terms of this Agreement;</w:t>
      </w:r>
    </w:p>
    <w:p>
      <w:pPr>
        <w:spacing w:after="0" w:line="92" w:lineRule="exact"/>
        <w:rPr>
          <w:rFonts w:ascii="Arial" w:cs="Arial" w:eastAsia="Arial" w:hAnsi="Arial"/>
          <w:sz w:val="18"/>
          <w:szCs w:val="18"/>
          <w:color w:val="auto"/>
        </w:rPr>
      </w:pPr>
    </w:p>
    <w:p>
      <w:pPr>
        <w:ind w:left="1380" w:right="120" w:hanging="575"/>
        <w:spacing w:after="0" w:line="259" w:lineRule="auto"/>
        <w:tabs>
          <w:tab w:leader="none" w:pos="13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there is no pending litigation or, to the best of AC Immune’s knowledge, written threat of litigation that has been received by AC Immune (and has not been resolved by taking a license or otherwise), which alleges that AC Immune’s activities with respect to the AC Immune Tau Protein Imaging IP or AC Immune Background IP have infringed or misappropriated any of the intellectual property rights of any Third Party; and</w:t>
      </w:r>
    </w:p>
    <w:p>
      <w:pPr>
        <w:spacing w:after="0" w:line="92" w:lineRule="exact"/>
        <w:rPr>
          <w:rFonts w:ascii="Arial" w:cs="Arial" w:eastAsia="Arial" w:hAnsi="Arial"/>
          <w:sz w:val="18"/>
          <w:szCs w:val="18"/>
          <w:color w:val="auto"/>
        </w:rPr>
      </w:pPr>
    </w:p>
    <w:p>
      <w:pPr>
        <w:ind w:left="1380" w:right="160" w:hanging="575"/>
        <w:spacing w:after="0" w:line="264" w:lineRule="auto"/>
        <w:tabs>
          <w:tab w:leader="none" w:pos="13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to the best of AC Immune’s knowledge, the making, using, selling, or importing of Compounds claimed in the AC Immune Tau Protein Imaging IP and AC Immune Background IP as contemplated by this Agreement does not infringe any patent rights or misappropriate any other intellectual property owned by a Third Party.</w:t>
      </w:r>
    </w:p>
    <w:p>
      <w:pPr>
        <w:spacing w:after="0" w:line="83" w:lineRule="exact"/>
        <w:rPr>
          <w:sz w:val="20"/>
          <w:szCs w:val="20"/>
          <w:color w:val="auto"/>
        </w:rPr>
      </w:pPr>
    </w:p>
    <w:p>
      <w:pPr>
        <w:ind w:left="800" w:right="100" w:hanging="796"/>
        <w:spacing w:after="0" w:line="258" w:lineRule="auto"/>
        <w:tabs>
          <w:tab w:leader="none" w:pos="7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b w:val="1"/>
          <w:bCs w:val="1"/>
          <w:color w:val="auto"/>
        </w:rPr>
        <w:t xml:space="preserve">Disclaimer. </w:t>
      </w:r>
      <w:r>
        <w:rPr>
          <w:rFonts w:ascii="Arial" w:cs="Arial" w:eastAsia="Arial" w:hAnsi="Arial"/>
          <w:sz w:val="18"/>
          <w:szCs w:val="18"/>
          <w:color w:val="auto"/>
        </w:rPr>
        <w:t>EXCEPT AS OTHER WISE EXPRESSLY SET FORTH IN SECTIONS 12.1 AND 12.2, THE PARTIES MAKE NO</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EXTEND NO WARRANTIES OF ANY KIND, EITHER EXPRESS OR IMPLIED, AND PARTICULARLY THAT PRODUCTS WILL BE SUCCESSFULLY DEVELOPED HEREUNDER, AND IF PRODUCTS ARE DEVELOPED, WITH RESPECT TO SUCH PRODUCTS, AND TO THE EXTENT PERMITTED BY LAW THE PARTIES EXCLUDE ALL IMPLIED WARRANTIES OF TITLE, NON-INFRINGEMENT, MERCHANTABILITY AND FITNESS FOR A PARTICULAR PURPOSE.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INSURANCE AND LIABILITY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270" w:right="239" w:bottom="1440" w:gutter="0" w:footer="0" w:header="0"/>
        </w:sectPr>
      </w:pPr>
    </w:p>
    <w:bookmarkStart w:id="486" w:name="page487"/>
    <w:bookmarkEnd w:id="4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20" w:hanging="796"/>
        <w:spacing w:after="0" w:line="291" w:lineRule="auto"/>
        <w:tabs>
          <w:tab w:leader="none" w:pos="7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color w:val="auto"/>
        </w:rPr>
        <w:t>Indemnification by AC Immune</w:t>
      </w:r>
      <w:r>
        <w:rPr>
          <w:rFonts w:ascii="Arial" w:cs="Arial" w:eastAsia="Arial" w:hAnsi="Arial"/>
          <w:sz w:val="16"/>
          <w:szCs w:val="16"/>
          <w:color w:val="auto"/>
        </w:rPr>
        <w:t>. AC Immune shall defend, indemnify and hold harmless Piramal and its officers, directors, employees, agents,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successor and assigns (“</w:t>
      </w:r>
      <w:r>
        <w:rPr>
          <w:rFonts w:ascii="Arial" w:cs="Arial" w:eastAsia="Arial" w:hAnsi="Arial"/>
          <w:sz w:val="16"/>
          <w:szCs w:val="16"/>
          <w:b w:val="1"/>
          <w:bCs w:val="1"/>
          <w:color w:val="auto"/>
        </w:rPr>
        <w:t>Piramal Indemnitee</w:t>
      </w:r>
      <w:r>
        <w:rPr>
          <w:rFonts w:ascii="Arial" w:cs="Arial" w:eastAsia="Arial" w:hAnsi="Arial"/>
          <w:sz w:val="16"/>
          <w:szCs w:val="16"/>
          <w:color w:val="auto"/>
        </w:rPr>
        <w:t>”) from and against any liability or expense (including reasonable legal expenses, costs of litigation and attorneys’ fees), damages, or judgments, whether for money or equitable relief (collectively, “</w:t>
      </w:r>
      <w:r>
        <w:rPr>
          <w:rFonts w:ascii="Arial" w:cs="Arial" w:eastAsia="Arial" w:hAnsi="Arial"/>
          <w:sz w:val="16"/>
          <w:szCs w:val="16"/>
          <w:b w:val="1"/>
          <w:bCs w:val="1"/>
          <w:color w:val="auto"/>
        </w:rPr>
        <w:t>Losses</w:t>
      </w:r>
      <w:r>
        <w:rPr>
          <w:rFonts w:ascii="Arial" w:cs="Arial" w:eastAsia="Arial" w:hAnsi="Arial"/>
          <w:sz w:val="16"/>
          <w:szCs w:val="16"/>
          <w:color w:val="auto"/>
        </w:rPr>
        <w:t>”) resulting from suits, proceedings, claims, actions, demands, or threatened claims, actions or demands, in each case brought by a Third Party (each, a “</w:t>
      </w:r>
      <w:r>
        <w:rPr>
          <w:rFonts w:ascii="Arial" w:cs="Arial" w:eastAsia="Arial" w:hAnsi="Arial"/>
          <w:sz w:val="16"/>
          <w:szCs w:val="16"/>
          <w:b w:val="1"/>
          <w:bCs w:val="1"/>
          <w:color w:val="auto"/>
        </w:rPr>
        <w:t>Claim</w:t>
      </w:r>
      <w:r>
        <w:rPr>
          <w:rFonts w:ascii="Arial" w:cs="Arial" w:eastAsia="Arial" w:hAnsi="Arial"/>
          <w:sz w:val="16"/>
          <w:szCs w:val="16"/>
          <w:color w:val="auto"/>
        </w:rPr>
        <w:t>”) against a Piramal Indemnitee arising out of: (a) any negligent act or omission, or willful wrongdoing by AC Immune or its Affiliates in the performance of this Agreement, (b) the failure by AC Immune to comply with any applicable Law, or (c) any breach of any representation or warranty or covenant of AC Immune under this Agreement, except, in each case, to the extent any such Losses result from the gross negligence or willful misconduct of a Piramal Indemnitee, as applicable, or from the breach of any representation or warranty or obligation under this Agreement by Piramal.</w:t>
      </w:r>
    </w:p>
    <w:p>
      <w:pPr>
        <w:spacing w:after="0" w:line="66" w:lineRule="exact"/>
        <w:rPr>
          <w:sz w:val="20"/>
          <w:szCs w:val="20"/>
          <w:color w:val="auto"/>
        </w:rPr>
      </w:pPr>
    </w:p>
    <w:p>
      <w:pPr>
        <w:ind w:left="800" w:right="160" w:hanging="796"/>
        <w:spacing w:after="0" w:line="292" w:lineRule="auto"/>
        <w:tabs>
          <w:tab w:leader="none" w:pos="7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Indemnification by Piramal</w:t>
      </w:r>
      <w:r>
        <w:rPr>
          <w:rFonts w:ascii="Arial" w:cs="Arial" w:eastAsia="Arial" w:hAnsi="Arial"/>
          <w:sz w:val="16"/>
          <w:szCs w:val="16"/>
          <w:color w:val="auto"/>
        </w:rPr>
        <w:t>. Piramal shall defend, indemnify and hold harmless AC Immune and its Affiliates, and its and their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employees, agents, representatives, successor and assigns (“</w:t>
      </w:r>
      <w:r>
        <w:rPr>
          <w:rFonts w:ascii="Arial" w:cs="Arial" w:eastAsia="Arial" w:hAnsi="Arial"/>
          <w:sz w:val="16"/>
          <w:szCs w:val="16"/>
          <w:b w:val="1"/>
          <w:bCs w:val="1"/>
          <w:color w:val="auto"/>
        </w:rPr>
        <w:t>AC Immune Indemnitee</w:t>
      </w:r>
      <w:r>
        <w:rPr>
          <w:rFonts w:ascii="Arial" w:cs="Arial" w:eastAsia="Arial" w:hAnsi="Arial"/>
          <w:sz w:val="16"/>
          <w:szCs w:val="16"/>
          <w:color w:val="auto"/>
        </w:rPr>
        <w:t>”) from and against any and all Losses resulting from Claims, including, bodily, injury, risk of bodily injury, death, property damage and product liability, against an AC Immune Indemnitee arising out of or relating to, directly or indirectly: (a) any negligent act or omission, or willful wrongdoing by Piramal in the performance of this Agreement, (b) the failure by Piramal to comply with any applicable Law, or (c) any breach of any representation or warranty or covenant of Piramal under this Agreement; except, in each case, to the extent any such Losses result from the gross negligence or willful misconduct of a AC Immune Indemnitee or from the breach of any representation or warranty or obligation under this Agreement by AC Immune.</w:t>
      </w:r>
    </w:p>
    <w:p>
      <w:pPr>
        <w:spacing w:after="0" w:line="67" w:lineRule="exact"/>
        <w:rPr>
          <w:sz w:val="20"/>
          <w:szCs w:val="20"/>
          <w:color w:val="auto"/>
        </w:rPr>
      </w:pPr>
    </w:p>
    <w:p>
      <w:pPr>
        <w:ind w:left="800" w:hanging="796"/>
        <w:spacing w:after="0" w:line="290" w:lineRule="auto"/>
        <w:tabs>
          <w:tab w:leader="none" w:pos="7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b w:val="1"/>
          <w:bCs w:val="1"/>
          <w:color w:val="auto"/>
        </w:rPr>
        <w:t>Limitations on Indemnification</w:t>
      </w:r>
      <w:r>
        <w:rPr>
          <w:rFonts w:ascii="Arial" w:cs="Arial" w:eastAsia="Arial" w:hAnsi="Arial"/>
          <w:sz w:val="16"/>
          <w:szCs w:val="16"/>
          <w:color w:val="auto"/>
        </w:rPr>
        <w:t>. The obligations to indemnify, defend, and hold harmless set forth in Sections 13.1 and 13.2 shall be contingent</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Party seeking indemnification (the “</w:t>
      </w:r>
      <w:r>
        <w:rPr>
          <w:rFonts w:ascii="Arial" w:cs="Arial" w:eastAsia="Arial" w:hAnsi="Arial"/>
          <w:sz w:val="16"/>
          <w:szCs w:val="16"/>
          <w:b w:val="1"/>
          <w:bCs w:val="1"/>
          <w:color w:val="auto"/>
        </w:rPr>
        <w:t>Indemnitee</w:t>
      </w:r>
      <w:r>
        <w:rPr>
          <w:rFonts w:ascii="Arial" w:cs="Arial" w:eastAsia="Arial" w:hAnsi="Arial"/>
          <w:sz w:val="16"/>
          <w:szCs w:val="16"/>
          <w:color w:val="auto"/>
        </w:rPr>
        <w:t xml:space="preserve">”): (a) notifying the indemnifying Party of a claim, demand or suit within [*****] days of receipt of same;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Indemnitee’s failure or delay in providing such notice shall not relieve the indemnifying Party of its indemnification obligation except to the extent the indemnifying Party is prejudiced thereby; (b) allowing the indemnifying Party and/or its insurers the right to assume direction and control of the defense of any such claim, demand or suit; (c) using its best efforts to cooperate with the indemnifying Party and/or its insurers, at the indemnifying Party’s expense, in the defense of such claim, demand or suit; and (d) agreeing not to settle or compromise any claim, demand or suit without prior written authorization of the indemnifying Party. The Indemnitee shall have the right to participate in the defense of any such claim, demand or suit referred to in this Section utilizing attorneys of its choice, at its own expense,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indemnifying Party shall have full authority and control to handle any such claim, demand or suit.</w:t>
      </w:r>
    </w:p>
    <w:p>
      <w:pPr>
        <w:spacing w:after="0" w:line="65" w:lineRule="exact"/>
        <w:rPr>
          <w:sz w:val="20"/>
          <w:szCs w:val="20"/>
          <w:color w:val="auto"/>
        </w:rPr>
      </w:pPr>
    </w:p>
    <w:p>
      <w:pPr>
        <w:ind w:left="800" w:right="260" w:hanging="796"/>
        <w:spacing w:after="0" w:line="313" w:lineRule="auto"/>
        <w:tabs>
          <w:tab w:leader="none" w:pos="7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b w:val="1"/>
          <w:bCs w:val="1"/>
          <w:color w:val="auto"/>
        </w:rPr>
        <w:t>Limitation on Liability</w:t>
      </w:r>
      <w:r>
        <w:rPr>
          <w:rFonts w:ascii="Arial" w:cs="Arial" w:eastAsia="Arial" w:hAnsi="Arial"/>
          <w:sz w:val="17"/>
          <w:szCs w:val="17"/>
          <w:color w:val="auto"/>
        </w:rPr>
        <w:t>. In no event shall any Party be liable to the other Party for any indirect, special, incidental, exemplary or consequential</w:t>
      </w:r>
      <w:r>
        <w:rPr>
          <w:rFonts w:ascii="Arial" w:cs="Arial" w:eastAsia="Arial" w:hAnsi="Arial"/>
          <w:sz w:val="17"/>
          <w:szCs w:val="17"/>
          <w:b w:val="1"/>
          <w:bCs w:val="1"/>
          <w:color w:val="auto"/>
        </w:rPr>
        <w:t xml:space="preserve"> </w:t>
      </w:r>
      <w:r>
        <w:rPr>
          <w:rFonts w:ascii="Arial" w:cs="Arial" w:eastAsia="Arial" w:hAnsi="Arial"/>
          <w:sz w:val="17"/>
          <w:szCs w:val="17"/>
          <w:color w:val="auto"/>
        </w:rPr>
        <w:t>damages of any kind arising out of or in connection with this Agreement, however caused and on any theory of liability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270" w:right="239" w:bottom="1440" w:gutter="0" w:footer="0" w:header="0"/>
        </w:sectPr>
      </w:pPr>
    </w:p>
    <w:bookmarkStart w:id="487" w:name="page488"/>
    <w:bookmarkEnd w:id="4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20"/>
        <w:spacing w:after="0" w:line="279" w:lineRule="auto"/>
        <w:rPr>
          <w:sz w:val="20"/>
          <w:szCs w:val="20"/>
          <w:color w:val="auto"/>
        </w:rPr>
      </w:pPr>
      <w:r>
        <w:rPr>
          <w:rFonts w:ascii="Arial" w:cs="Arial" w:eastAsia="Arial" w:hAnsi="Arial"/>
          <w:sz w:val="17"/>
          <w:szCs w:val="17"/>
          <w:color w:val="auto"/>
        </w:rPr>
        <w:t>(whether in contract, tort (including negligence), strict liability or otherwise), even if such Party was advised or otherwise aware of the likelihood of such damages. The limitations set forth in this Section 13.4 shall not apply with respect to (a) the Party’s indemnification obligations under Sections 13.1 and 13.2, as applicable, (b) breach of Article 10, or (c) intentional misconduct of a Party. Nothing in this Section 13.4 shall exclude a Party’s liability for death or injury caused by that Party’s negligence, or fraud or fraudulent misrepresentation.</w:t>
      </w:r>
    </w:p>
    <w:p>
      <w:pPr>
        <w:spacing w:after="0" w:line="73" w:lineRule="exact"/>
        <w:rPr>
          <w:sz w:val="20"/>
          <w:szCs w:val="20"/>
          <w:color w:val="auto"/>
        </w:rPr>
      </w:pPr>
    </w:p>
    <w:p>
      <w:pPr>
        <w:jc w:val="both"/>
        <w:ind w:left="800" w:right="40" w:hanging="796"/>
        <w:spacing w:after="0" w:line="266" w:lineRule="auto"/>
        <w:tabs>
          <w:tab w:leader="none" w:pos="7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b w:val="1"/>
          <w:bCs w:val="1"/>
          <w:color w:val="auto"/>
        </w:rPr>
        <w:t xml:space="preserve">Insurance. </w:t>
      </w:r>
      <w:r>
        <w:rPr>
          <w:rFonts w:ascii="Arial" w:cs="Arial" w:eastAsia="Arial" w:hAnsi="Arial"/>
          <w:sz w:val="18"/>
          <w:szCs w:val="18"/>
          <w:color w:val="auto"/>
        </w:rPr>
        <w:t>During the Term and for a period of [*****] years after the Term, each Party shall obtain and/or maintain, at its sole cost and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policies, including product liability insurance, adequate to cover its obligations hereunder and which are consistent with normal business practices of prudent companies similarly situated.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DISPUTE RESOLUTION</w:t>
      </w:r>
    </w:p>
    <w:p>
      <w:pPr>
        <w:spacing w:after="0" w:line="234" w:lineRule="exact"/>
        <w:rPr>
          <w:sz w:val="20"/>
          <w:szCs w:val="20"/>
          <w:color w:val="auto"/>
        </w:rPr>
      </w:pPr>
    </w:p>
    <w:p>
      <w:pPr>
        <w:ind w:left="800" w:right="20" w:hanging="796"/>
        <w:spacing w:after="0" w:line="314" w:lineRule="auto"/>
        <w:tabs>
          <w:tab w:leader="none" w:pos="7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b w:val="1"/>
          <w:bCs w:val="1"/>
          <w:color w:val="auto"/>
        </w:rPr>
        <w:t xml:space="preserve">General. </w:t>
      </w:r>
      <w:r>
        <w:rPr>
          <w:rFonts w:ascii="Arial" w:cs="Arial" w:eastAsia="Arial" w:hAnsi="Arial"/>
          <w:sz w:val="16"/>
          <w:szCs w:val="16"/>
          <w:color w:val="auto"/>
        </w:rPr>
        <w:t>Any controversy, claim or dispute arising out of or relating to this Agreement shall be settled, if possible, through good faith negotiations</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Parties. If, however, the Parties are unable to settle such dispute after good faith negotiations, the matter shall be referred to the executive officers to be resolved by negotiation in good faith as soon as is practicable but in no event later than [*****] days after referral.</w:t>
      </w:r>
    </w:p>
    <w:p>
      <w:pPr>
        <w:spacing w:after="0" w:line="48" w:lineRule="exact"/>
        <w:rPr>
          <w:sz w:val="20"/>
          <w:szCs w:val="20"/>
          <w:color w:val="auto"/>
        </w:rPr>
      </w:pPr>
    </w:p>
    <w:p>
      <w:pPr>
        <w:ind w:left="800" w:right="240" w:hanging="796"/>
        <w:spacing w:after="0" w:line="261" w:lineRule="auto"/>
        <w:tabs>
          <w:tab w:leader="none" w:pos="7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b w:val="1"/>
          <w:bCs w:val="1"/>
          <w:color w:val="auto"/>
        </w:rPr>
        <w:t xml:space="preserve">Failure of Executive Officers to Resolve Dispute. </w:t>
      </w:r>
      <w:r>
        <w:rPr>
          <w:rFonts w:ascii="Arial" w:cs="Arial" w:eastAsia="Arial" w:hAnsi="Arial"/>
          <w:sz w:val="18"/>
          <w:szCs w:val="18"/>
          <w:color w:val="auto"/>
        </w:rPr>
        <w:t>If the executive officers are unable to settle the dispute after good faith negotiation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manner set forth above, which matter is not a subject for which one of the Parties has final decision making authority pursuant to Section 2.3(c), the matter (a) shall be resolved in accordance with Section 14.3, and (b) either Party may seek injunctive or other equitable relief in any court in any jurisdiction where appropriate.</w:t>
      </w:r>
    </w:p>
    <w:p>
      <w:pPr>
        <w:spacing w:after="0" w:line="86" w:lineRule="exact"/>
        <w:rPr>
          <w:sz w:val="20"/>
          <w:szCs w:val="20"/>
          <w:color w:val="auto"/>
        </w:rPr>
      </w:pPr>
    </w:p>
    <w:p>
      <w:pPr>
        <w:ind w:left="800" w:right="180" w:hanging="796"/>
        <w:spacing w:after="0" w:line="289" w:lineRule="auto"/>
        <w:tabs>
          <w:tab w:leader="none" w:pos="7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b w:val="1"/>
          <w:bCs w:val="1"/>
          <w:color w:val="auto"/>
        </w:rPr>
        <w:t xml:space="preserve">Binding Arbitration. </w:t>
      </w:r>
      <w:r>
        <w:rPr>
          <w:rFonts w:ascii="Arial" w:cs="Arial" w:eastAsia="Arial" w:hAnsi="Arial"/>
          <w:sz w:val="17"/>
          <w:szCs w:val="17"/>
          <w:color w:val="auto"/>
        </w:rPr>
        <w:t>Matters under Section 14.2 which are to be resolved through binding arbitration shall be resolved through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arbitration in London, United Kingdom administered by the International Chamber of Commerce (“</w:t>
      </w:r>
      <w:r>
        <w:rPr>
          <w:rFonts w:ascii="Arial" w:cs="Arial" w:eastAsia="Arial" w:hAnsi="Arial"/>
          <w:sz w:val="17"/>
          <w:szCs w:val="17"/>
          <w:b w:val="1"/>
          <w:bCs w:val="1"/>
          <w:color w:val="auto"/>
        </w:rPr>
        <w:t>ICC</w:t>
      </w:r>
      <w:r>
        <w:rPr>
          <w:rFonts w:ascii="Arial" w:cs="Arial" w:eastAsia="Arial" w:hAnsi="Arial"/>
          <w:sz w:val="17"/>
          <w:szCs w:val="17"/>
          <w:color w:val="auto"/>
        </w:rPr>
        <w:t>”) pursuant to the arbitration rules of the ICC then in effect (the “</w:t>
      </w:r>
      <w:r>
        <w:rPr>
          <w:rFonts w:ascii="Arial" w:cs="Arial" w:eastAsia="Arial" w:hAnsi="Arial"/>
          <w:sz w:val="17"/>
          <w:szCs w:val="17"/>
          <w:b w:val="1"/>
          <w:bCs w:val="1"/>
          <w:color w:val="auto"/>
        </w:rPr>
        <w:t>Rules</w:t>
      </w:r>
      <w:r>
        <w:rPr>
          <w:rFonts w:ascii="Arial" w:cs="Arial" w:eastAsia="Arial" w:hAnsi="Arial"/>
          <w:sz w:val="17"/>
          <w:szCs w:val="17"/>
          <w:color w:val="auto"/>
        </w:rPr>
        <w:t>”). The language of the arbitration (including all evidence and submissions) shall be in English.</w:t>
      </w:r>
    </w:p>
    <w:p>
      <w:pPr>
        <w:spacing w:after="0" w:line="64" w:lineRule="exact"/>
        <w:rPr>
          <w:sz w:val="20"/>
          <w:szCs w:val="20"/>
          <w:color w:val="auto"/>
        </w:rPr>
      </w:pPr>
    </w:p>
    <w:p>
      <w:pPr>
        <w:ind w:left="800" w:right="80" w:hanging="796"/>
        <w:spacing w:after="0" w:line="292" w:lineRule="auto"/>
        <w:tabs>
          <w:tab w:leader="none" w:pos="7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b w:val="1"/>
          <w:bCs w:val="1"/>
          <w:color w:val="auto"/>
        </w:rPr>
        <w:t xml:space="preserve">Arbitrators. </w:t>
      </w:r>
      <w:r>
        <w:rPr>
          <w:rFonts w:ascii="Arial" w:cs="Arial" w:eastAsia="Arial" w:hAnsi="Arial"/>
          <w:sz w:val="16"/>
          <w:szCs w:val="16"/>
          <w:color w:val="auto"/>
        </w:rPr>
        <w:t>There shall be [*****] arbitrator; provided that if either Party requests, the arbitration shall be conducted by a panel of [*****]</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arbitrators. Each arbitrator shall have experience in the pharmaceutical business. In the case of a sole arbitrator, the Parties shall attempt jointly to select such arbitrator within [*****] days after notice of arbitration is given. If the Parties cannot reach an agreement regarding the sole arbitrator within that time, ICC shall appoint the sole arbitrator. In the case of [*****] arbitrators, each Party shall appoint [*****] arbitrator meeting the foregoing criteria by written notice to the other Party and the [*****] Party-appointed arbitrators shall select the [*****] arbitrator within [*****] days of their appointment. If the Party-appointed arbitrators are unable to agree upon the third arbitrator or if either Party fails to appoint a Party-appointed arbitrator within [*****] days after notice of arbitration is given, the remaining arbitrator(s) shall be appointed by ICC.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269" w:right="239" w:bottom="1440" w:gutter="0" w:footer="0" w:header="0"/>
        </w:sectPr>
      </w:pPr>
    </w:p>
    <w:bookmarkStart w:id="488" w:name="page489"/>
    <w:bookmarkEnd w:id="4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ind w:left="800" w:right="580" w:hanging="796"/>
        <w:spacing w:after="0" w:line="282" w:lineRule="auto"/>
        <w:tabs>
          <w:tab w:leader="none" w:pos="7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b w:val="1"/>
          <w:bCs w:val="1"/>
          <w:color w:val="auto"/>
        </w:rPr>
        <w:t xml:space="preserve">Judgment. </w:t>
      </w:r>
      <w:r>
        <w:rPr>
          <w:rFonts w:ascii="Arial" w:cs="Arial" w:eastAsia="Arial" w:hAnsi="Arial"/>
          <w:sz w:val="18"/>
          <w:szCs w:val="18"/>
          <w:color w:val="auto"/>
        </w:rPr>
        <w:t>Judgment upon the opinion rendered by such arbitrators shall be binding on the Parties and may be entered by any court having</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thereof.</w:t>
      </w:r>
    </w:p>
    <w:p>
      <w:pPr>
        <w:spacing w:after="0" w:line="67" w:lineRule="exact"/>
        <w:rPr>
          <w:sz w:val="20"/>
          <w:szCs w:val="20"/>
          <w:color w:val="auto"/>
        </w:rPr>
      </w:pPr>
    </w:p>
    <w:p>
      <w:pPr>
        <w:jc w:val="both"/>
        <w:ind w:left="800" w:right="260" w:hanging="796"/>
        <w:spacing w:after="0" w:line="303" w:lineRule="auto"/>
        <w:tabs>
          <w:tab w:leader="none" w:pos="7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b w:val="1"/>
          <w:bCs w:val="1"/>
          <w:color w:val="auto"/>
        </w:rPr>
        <w:t xml:space="preserve">Injunctive Relief. </w:t>
      </w:r>
      <w:r>
        <w:rPr>
          <w:rFonts w:ascii="Arial" w:cs="Arial" w:eastAsia="Arial" w:hAnsi="Arial"/>
          <w:sz w:val="16"/>
          <w:szCs w:val="16"/>
          <w:color w:val="auto"/>
        </w:rPr>
        <w:t>Either Party may apply to the arbitrators for interim injunctive relief (including a temporary restraining order or preliminary</w:t>
      </w:r>
      <w:r>
        <w:rPr>
          <w:rFonts w:ascii="Arial" w:cs="Arial" w:eastAsia="Arial" w:hAnsi="Arial"/>
          <w:sz w:val="16"/>
          <w:szCs w:val="16"/>
          <w:b w:val="1"/>
          <w:bCs w:val="1"/>
          <w:color w:val="auto"/>
        </w:rPr>
        <w:t xml:space="preserve"> </w:t>
      </w:r>
      <w:r>
        <w:rPr>
          <w:rFonts w:ascii="Arial" w:cs="Arial" w:eastAsia="Arial" w:hAnsi="Arial"/>
          <w:sz w:val="16"/>
          <w:szCs w:val="16"/>
          <w:color w:val="auto"/>
        </w:rPr>
        <w:t>injunction) until the arbitration award is rendered or the controversy is otherwise resolved. Nothing in this Agreement shall prevent either Party from seeking provisional measures, including a temporary restraining order or preliminary injunction, from any court of competent jurisdiction, and any such request shall not be deemed incompatible with the agreement to arbitrate or a waiver of the right to arbitrate.</w:t>
      </w:r>
    </w:p>
    <w:p>
      <w:pPr>
        <w:spacing w:after="0" w:line="57" w:lineRule="exact"/>
        <w:rPr>
          <w:sz w:val="20"/>
          <w:szCs w:val="20"/>
          <w:color w:val="auto"/>
        </w:rPr>
      </w:pPr>
    </w:p>
    <w:p>
      <w:pPr>
        <w:jc w:val="both"/>
        <w:ind w:left="800" w:right="340" w:hanging="796"/>
        <w:spacing w:after="0" w:line="314" w:lineRule="auto"/>
        <w:tabs>
          <w:tab w:leader="none" w:pos="78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b w:val="1"/>
          <w:bCs w:val="1"/>
          <w:color w:val="auto"/>
        </w:rPr>
        <w:t xml:space="preserve">Award. </w:t>
      </w:r>
      <w:r>
        <w:rPr>
          <w:rFonts w:ascii="Arial" w:cs="Arial" w:eastAsia="Arial" w:hAnsi="Arial"/>
          <w:sz w:val="16"/>
          <w:szCs w:val="16"/>
          <w:color w:val="auto"/>
        </w:rPr>
        <w:t>The written decision of the arbitrators shall state the panel’s findings of material facts and the grounds for its conclusions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final, conclusive and binding on the Parties and enforceable by any court of competent jurisdiction. The arbitrators shall be required to comply with, and their award shall be limited by, any express provisions of this Agreement relating to damages or the limitation thereof.</w:t>
      </w:r>
    </w:p>
    <w:p>
      <w:pPr>
        <w:spacing w:after="0" w:line="48" w:lineRule="exact"/>
        <w:rPr>
          <w:sz w:val="20"/>
          <w:szCs w:val="20"/>
          <w:color w:val="auto"/>
        </w:rPr>
      </w:pPr>
    </w:p>
    <w:p>
      <w:pPr>
        <w:jc w:val="both"/>
        <w:ind w:left="800" w:right="60" w:hanging="796"/>
        <w:spacing w:after="0" w:line="261" w:lineRule="auto"/>
        <w:tabs>
          <w:tab w:leader="none" w:pos="78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b w:val="1"/>
          <w:bCs w:val="1"/>
          <w:color w:val="auto"/>
        </w:rPr>
        <w:t xml:space="preserve">Costs. </w:t>
      </w:r>
      <w:r>
        <w:rPr>
          <w:rFonts w:ascii="Arial" w:cs="Arial" w:eastAsia="Arial" w:hAnsi="Arial"/>
          <w:sz w:val="18"/>
          <w:szCs w:val="18"/>
          <w:color w:val="auto"/>
        </w:rPr>
        <w:t>Each Party shall bear its own costs and expenses (including legal fees and expenses) relating to the arbitration proceeding, except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fees of the arbitrators and other related costs of the arbitration shall be shared equally by the Parties, unless the arbitration panel determines that a Party has incurred unreasonable expenses due to vexatious or bad faith positions taken by the other Party, in which event the arbitration panel may make an award of all or any portion of such expenses so incurred.</w:t>
      </w:r>
    </w:p>
    <w:p>
      <w:pPr>
        <w:spacing w:after="0" w:line="86" w:lineRule="exact"/>
        <w:rPr>
          <w:sz w:val="20"/>
          <w:szCs w:val="20"/>
          <w:color w:val="auto"/>
        </w:rPr>
      </w:pPr>
    </w:p>
    <w:p>
      <w:pPr>
        <w:ind w:left="800" w:right="300" w:hanging="796"/>
        <w:spacing w:after="0" w:line="282" w:lineRule="auto"/>
        <w:tabs>
          <w:tab w:leader="none" w:pos="78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Except to the extent necessary to confirm an opinion or as may be required by applicable Law, neither Party nor any arbitrator</w:t>
      </w:r>
      <w:r>
        <w:rPr>
          <w:rFonts w:ascii="Arial" w:cs="Arial" w:eastAsia="Arial" w:hAnsi="Arial"/>
          <w:sz w:val="18"/>
          <w:szCs w:val="18"/>
          <w:b w:val="1"/>
          <w:bCs w:val="1"/>
          <w:color w:val="auto"/>
        </w:rPr>
        <w:t xml:space="preserve"> </w:t>
      </w:r>
      <w:r>
        <w:rPr>
          <w:rFonts w:ascii="Arial" w:cs="Arial" w:eastAsia="Arial" w:hAnsi="Arial"/>
          <w:sz w:val="18"/>
          <w:szCs w:val="18"/>
          <w:color w:val="auto"/>
        </w:rPr>
        <w:t>may disclose the existence, content, or results of an arbitration without the prior written consent of both Parties.</w:t>
      </w:r>
    </w:p>
    <w:p>
      <w:pPr>
        <w:spacing w:after="0" w:line="67" w:lineRule="exact"/>
        <w:rPr>
          <w:sz w:val="20"/>
          <w:szCs w:val="20"/>
          <w:color w:val="auto"/>
        </w:rPr>
      </w:pPr>
    </w:p>
    <w:p>
      <w:pPr>
        <w:ind w:left="800" w:right="440" w:hanging="796"/>
        <w:spacing w:after="0" w:line="282" w:lineRule="auto"/>
        <w:tabs>
          <w:tab w:leader="none" w:pos="780" w:val="left"/>
        </w:tabs>
        <w:rPr>
          <w:sz w:val="20"/>
          <w:szCs w:val="20"/>
          <w:color w:val="auto"/>
        </w:rPr>
      </w:pPr>
      <w:r>
        <w:rPr>
          <w:rFonts w:ascii="Arial" w:cs="Arial" w:eastAsia="Arial" w:hAnsi="Arial"/>
          <w:sz w:val="18"/>
          <w:szCs w:val="18"/>
          <w:color w:val="auto"/>
        </w:rPr>
        <w:t>14.10</w:t>
      </w:r>
      <w:r>
        <w:rPr>
          <w:sz w:val="20"/>
          <w:szCs w:val="20"/>
          <w:color w:val="auto"/>
        </w:rPr>
        <w:tab/>
      </w:r>
      <w:r>
        <w:rPr>
          <w:rFonts w:ascii="Arial" w:cs="Arial" w:eastAsia="Arial" w:hAnsi="Arial"/>
          <w:sz w:val="18"/>
          <w:szCs w:val="18"/>
          <w:b w:val="1"/>
          <w:bCs w:val="1"/>
          <w:color w:val="auto"/>
        </w:rPr>
        <w:t xml:space="preserve">Patent Disputes. </w:t>
      </w:r>
      <w:r>
        <w:rPr>
          <w:rFonts w:ascii="Arial" w:cs="Arial" w:eastAsia="Arial" w:hAnsi="Arial"/>
          <w:sz w:val="18"/>
          <w:szCs w:val="18"/>
          <w:color w:val="auto"/>
        </w:rPr>
        <w:t>Any dispute, controversy or claim relating to the scope, validity, enforceability or infringement of any Patent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shall be submitted to a court of competent jurisdiction in the country in which such Patent exists.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ind w:left="800" w:right="140" w:hanging="796"/>
        <w:spacing w:after="0" w:line="282" w:lineRule="auto"/>
        <w:tabs>
          <w:tab w:leader="none" w:pos="7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and any non-contractual obligations arising out of or in connection with it shall be governed by and interpreted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England and Wales without regard to conflict of law principles thereof.</w:t>
      </w:r>
    </w:p>
    <w:p>
      <w:pPr>
        <w:spacing w:after="0" w:line="67" w:lineRule="exact"/>
        <w:rPr>
          <w:sz w:val="20"/>
          <w:szCs w:val="20"/>
          <w:color w:val="auto"/>
        </w:rPr>
      </w:pPr>
    </w:p>
    <w:p>
      <w:pPr>
        <w:ind w:left="800" w:right="120" w:hanging="796"/>
        <w:spacing w:after="0" w:line="298" w:lineRule="auto"/>
        <w:tabs>
          <w:tab w:leader="none" w:pos="7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 xml:space="preserve">Compliance with Laws. </w:t>
      </w:r>
      <w:r>
        <w:rPr>
          <w:rFonts w:ascii="Arial" w:cs="Arial" w:eastAsia="Arial" w:hAnsi="Arial"/>
          <w:sz w:val="16"/>
          <w:szCs w:val="16"/>
          <w:color w:val="auto"/>
        </w:rPr>
        <w:t>Each Party shall conduct its activities under this Agreement in accordance with Law and good business practices.</w:t>
      </w:r>
      <w:r>
        <w:rPr>
          <w:rFonts w:ascii="Arial" w:cs="Arial" w:eastAsia="Arial" w:hAnsi="Arial"/>
          <w:sz w:val="16"/>
          <w:szCs w:val="16"/>
          <w:b w:val="1"/>
          <w:bCs w:val="1"/>
          <w:color w:val="auto"/>
        </w:rPr>
        <w:t xml:space="preserve"> </w:t>
      </w:r>
      <w:r>
        <w:rPr>
          <w:rFonts w:ascii="Arial" w:cs="Arial" w:eastAsia="Arial" w:hAnsi="Arial"/>
          <w:sz w:val="16"/>
          <w:szCs w:val="16"/>
          <w:color w:val="auto"/>
        </w:rPr>
        <w:t>Furthermore, each Party represents, warrants and agrees that it has been at all times and will continue to be in compliance with all potentially applicable anti-bribery and anti-corruption laws, including the U.S. Foreign Corrupt Practices Act of 1977 and the U.K.’s Bribery Act 2010. Each party represents, warrants and agrees that no bribes, payments, kickbacks, gifts, hospitality, donations, loans, or anything of value have been or will be made or received, offered, promised, or authorized, directly or indirectly, to improperly influence any act or decision of any person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270" w:right="239" w:bottom="1440" w:gutter="0" w:footer="0" w:header="0"/>
        </w:sectPr>
      </w:pPr>
    </w:p>
    <w:bookmarkStart w:id="489" w:name="page490"/>
    <w:bookmarkEnd w:id="4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460"/>
        <w:spacing w:after="0" w:line="277" w:lineRule="auto"/>
        <w:rPr>
          <w:sz w:val="20"/>
          <w:szCs w:val="20"/>
          <w:color w:val="auto"/>
        </w:rPr>
      </w:pPr>
      <w:r>
        <w:rPr>
          <w:rFonts w:ascii="Arial" w:cs="Arial" w:eastAsia="Arial" w:hAnsi="Arial"/>
          <w:sz w:val="18"/>
          <w:szCs w:val="18"/>
          <w:color w:val="auto"/>
        </w:rPr>
        <w:t>or entity, induce any person or entity to do or omit to do any act in violation of any person’s or entities’ lawful duties, or secure any improper advantage.</w:t>
      </w:r>
    </w:p>
    <w:p>
      <w:pPr>
        <w:spacing w:after="0" w:line="3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Assignment of Rights and Obligations.</w:t>
      </w:r>
    </w:p>
    <w:p>
      <w:pPr>
        <w:spacing w:after="0" w:line="131" w:lineRule="exact"/>
        <w:rPr>
          <w:sz w:val="20"/>
          <w:szCs w:val="20"/>
          <w:color w:val="auto"/>
        </w:rPr>
      </w:pPr>
    </w:p>
    <w:p>
      <w:pPr>
        <w:ind w:left="1380" w:right="120" w:hanging="575"/>
        <w:spacing w:after="0" w:line="282" w:lineRule="auto"/>
        <w:tabs>
          <w:tab w:leader="none" w:pos="1380" w:val="left"/>
        </w:tabs>
        <w:numPr>
          <w:ilvl w:val="0"/>
          <w:numId w:val="378"/>
        </w:numPr>
        <w:rPr>
          <w:rFonts w:ascii="Arial" w:cs="Arial" w:eastAsia="Arial" w:hAnsi="Arial"/>
          <w:sz w:val="18"/>
          <w:szCs w:val="18"/>
          <w:color w:val="auto"/>
        </w:rPr>
      </w:pPr>
      <w:r>
        <w:rPr>
          <w:rFonts w:ascii="Arial" w:cs="Arial" w:eastAsia="Arial" w:hAnsi="Arial"/>
          <w:sz w:val="18"/>
          <w:szCs w:val="18"/>
          <w:b w:val="1"/>
          <w:bCs w:val="1"/>
          <w:color w:val="auto"/>
        </w:rPr>
        <w:t xml:space="preserve">General Rule. </w:t>
      </w:r>
      <w:r>
        <w:rPr>
          <w:rFonts w:ascii="Arial" w:cs="Arial" w:eastAsia="Arial" w:hAnsi="Arial"/>
          <w:sz w:val="18"/>
          <w:szCs w:val="18"/>
          <w:color w:val="auto"/>
        </w:rPr>
        <w:t>This Agreement and its rights or obligations may not be assigned or otherwise transferred by either Party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other Party.</w:t>
      </w:r>
    </w:p>
    <w:p>
      <w:pPr>
        <w:spacing w:after="0" w:line="67" w:lineRule="exact"/>
        <w:rPr>
          <w:rFonts w:ascii="Arial" w:cs="Arial" w:eastAsia="Arial" w:hAnsi="Arial"/>
          <w:sz w:val="18"/>
          <w:szCs w:val="18"/>
          <w:color w:val="auto"/>
        </w:rPr>
      </w:pPr>
    </w:p>
    <w:p>
      <w:pPr>
        <w:ind w:left="1380" w:right="20" w:hanging="575"/>
        <w:spacing w:after="0" w:line="258" w:lineRule="auto"/>
        <w:tabs>
          <w:tab w:leader="none" w:pos="1380" w:val="left"/>
        </w:tabs>
        <w:numPr>
          <w:ilvl w:val="0"/>
          <w:numId w:val="378"/>
        </w:numPr>
        <w:rPr>
          <w:rFonts w:ascii="Arial" w:cs="Arial" w:eastAsia="Arial" w:hAnsi="Arial"/>
          <w:sz w:val="18"/>
          <w:szCs w:val="18"/>
          <w:color w:val="auto"/>
        </w:rPr>
      </w:pPr>
      <w:r>
        <w:rPr>
          <w:rFonts w:ascii="Arial" w:cs="Arial" w:eastAsia="Arial" w:hAnsi="Arial"/>
          <w:sz w:val="18"/>
          <w:szCs w:val="18"/>
          <w:b w:val="1"/>
          <w:bCs w:val="1"/>
          <w:color w:val="auto"/>
        </w:rPr>
        <w:t xml:space="preserve">Assignment in Case of a Change of Control and to Affiliates. </w:t>
      </w:r>
      <w:r>
        <w:rPr>
          <w:rFonts w:ascii="Arial" w:cs="Arial" w:eastAsia="Arial" w:hAnsi="Arial"/>
          <w:sz w:val="18"/>
          <w:szCs w:val="18"/>
          <w:color w:val="auto"/>
        </w:rPr>
        <w:t>Notwithstanding Section 15.3(a), either Party may, even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consent of the other Party, assign this Agreement or any of its rights or obligations (i) to any Affiliate, or (ii) in connection with a Change of Control;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Party’s rights and obligations under this Agreement shall be assumed in writing by its successor in interest in any such transaction and shall not be transferred separate from all or substantially all of its other business assets, including those business assets that are the subject of this Agreement.</w:t>
      </w:r>
    </w:p>
    <w:p>
      <w:pPr>
        <w:spacing w:after="0" w:line="89" w:lineRule="exact"/>
        <w:rPr>
          <w:sz w:val="20"/>
          <w:szCs w:val="20"/>
          <w:color w:val="auto"/>
        </w:rPr>
      </w:pPr>
    </w:p>
    <w:p>
      <w:pPr>
        <w:ind w:left="800" w:right="620" w:hanging="796"/>
        <w:spacing w:after="0" w:line="282" w:lineRule="auto"/>
        <w:tabs>
          <w:tab w:leader="none" w:pos="78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b w:val="1"/>
          <w:bCs w:val="1"/>
          <w:color w:val="auto"/>
        </w:rPr>
        <w:t xml:space="preserve">Further Actions. </w:t>
      </w:r>
      <w:r>
        <w:rPr>
          <w:rFonts w:ascii="Arial" w:cs="Arial" w:eastAsia="Arial" w:hAnsi="Arial"/>
          <w:sz w:val="18"/>
          <w:szCs w:val="18"/>
          <w:color w:val="auto"/>
        </w:rPr>
        <w:t>Each Party agrees to execute, acknowledge and deliver such further instruments, and to do all such other acts,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in order to carry out the purposes and intent of the Agreement.</w:t>
      </w:r>
    </w:p>
    <w:p>
      <w:pPr>
        <w:spacing w:after="0" w:line="67" w:lineRule="exact"/>
        <w:rPr>
          <w:sz w:val="20"/>
          <w:szCs w:val="20"/>
          <w:color w:val="auto"/>
        </w:rPr>
      </w:pPr>
    </w:p>
    <w:p>
      <w:pPr>
        <w:ind w:left="800" w:right="60" w:hanging="796"/>
        <w:spacing w:after="0" w:line="291" w:lineRule="auto"/>
        <w:tabs>
          <w:tab w:leader="none" w:pos="78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b w:val="1"/>
          <w:bCs w:val="1"/>
          <w:color w:val="auto"/>
        </w:rPr>
        <w:t xml:space="preserve">Force Majeure. </w:t>
      </w:r>
      <w:r>
        <w:rPr>
          <w:rFonts w:ascii="Arial" w:cs="Arial" w:eastAsia="Arial" w:hAnsi="Arial"/>
          <w:sz w:val="16"/>
          <w:szCs w:val="16"/>
          <w:color w:val="auto"/>
        </w:rPr>
        <w:t>Except with respect to payment of money, no Party shall be liable to the other Party for failure or delay in the performance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obligations under this Agreement for the time and to the extent such failure or delay is caused by earthquake, riot, civil commotion, war, terrorist acts, strike, flood, or governmental acts or restriction, or other cause that is beyond the reasonable control of the respective Party (“</w:t>
      </w:r>
      <w:r>
        <w:rPr>
          <w:rFonts w:ascii="Arial" w:cs="Arial" w:eastAsia="Arial" w:hAnsi="Arial"/>
          <w:sz w:val="16"/>
          <w:szCs w:val="16"/>
          <w:b w:val="1"/>
          <w:bCs w:val="1"/>
          <w:color w:val="auto"/>
        </w:rPr>
        <w:t>Force</w:t>
      </w:r>
      <w:r>
        <w:rPr>
          <w:rFonts w:ascii="Arial" w:cs="Arial" w:eastAsia="Arial" w:hAnsi="Arial"/>
          <w:sz w:val="16"/>
          <w:szCs w:val="16"/>
          <w:color w:val="auto"/>
        </w:rPr>
        <w:t xml:space="preserve"> </w:t>
      </w:r>
      <w:r>
        <w:rPr>
          <w:rFonts w:ascii="Arial" w:cs="Arial" w:eastAsia="Arial" w:hAnsi="Arial"/>
          <w:sz w:val="16"/>
          <w:szCs w:val="16"/>
          <w:b w:val="1"/>
          <w:bCs w:val="1"/>
          <w:color w:val="auto"/>
        </w:rPr>
        <w:t>Majeure</w:t>
      </w:r>
      <w:r>
        <w:rPr>
          <w:rFonts w:ascii="Arial" w:cs="Arial" w:eastAsia="Arial" w:hAnsi="Arial"/>
          <w:sz w:val="16"/>
          <w:szCs w:val="16"/>
          <w:color w:val="auto"/>
        </w:rPr>
        <w:t>”). The Party affected by such Force Majeure will provide the other Party with full particulars thereof as soon as it becomes aware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(including its best estimate of the likely extent and duration of the interference with its activities), and will use Commercially Reasonable Efforts to overcome the difficulties created thereby and to resume performance of its obligations as soon as practicable. If the performance of any such obligation under this Agreement is delayed owing to an event of Force Majeure for any continuous period of more than [*****] days, the Parties will consult with respect to an equitable solution, including the possibility of the termination of this Agreement.</w:t>
      </w:r>
    </w:p>
    <w:p>
      <w:pPr>
        <w:spacing w:after="0" w:line="66" w:lineRule="exact"/>
        <w:rPr>
          <w:sz w:val="20"/>
          <w:szCs w:val="20"/>
          <w:color w:val="auto"/>
        </w:rPr>
      </w:pPr>
    </w:p>
    <w:p>
      <w:pPr>
        <w:ind w:left="800" w:right="180" w:hanging="796"/>
        <w:spacing w:after="0" w:line="289" w:lineRule="auto"/>
        <w:tabs>
          <w:tab w:leader="none" w:pos="78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b w:val="1"/>
          <w:bCs w:val="1"/>
          <w:color w:val="auto"/>
        </w:rPr>
        <w:t xml:space="preserve">Representation by Legal Counsel. </w:t>
      </w:r>
      <w:r>
        <w:rPr>
          <w:rFonts w:ascii="Arial" w:cs="Arial" w:eastAsia="Arial" w:hAnsi="Arial"/>
          <w:sz w:val="17"/>
          <w:szCs w:val="17"/>
          <w:color w:val="auto"/>
        </w:rPr>
        <w:t>Each Party hereto represents that it has been represented by legal counsel in connection with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acknowledges that it has participated in the drafting hereof. In interpreting and applying the terms and provisions of this Agreement, the Parties agree that no presumption shall exist or be implied against the Party which drafted such terms and provisions.</w:t>
      </w:r>
    </w:p>
    <w:p>
      <w:pPr>
        <w:spacing w:after="0" w:line="64" w:lineRule="exact"/>
        <w:rPr>
          <w:sz w:val="20"/>
          <w:szCs w:val="20"/>
          <w:color w:val="auto"/>
        </w:rPr>
      </w:pPr>
    </w:p>
    <w:p>
      <w:pPr>
        <w:ind w:left="800" w:right="100" w:hanging="796"/>
        <w:spacing w:after="0" w:line="281" w:lineRule="auto"/>
        <w:tabs>
          <w:tab w:leader="none" w:pos="78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7"/>
          <w:szCs w:val="17"/>
          <w:b w:val="1"/>
          <w:bCs w:val="1"/>
          <w:color w:val="auto"/>
        </w:rPr>
        <w:t xml:space="preserve">Notices. </w:t>
      </w:r>
      <w:r>
        <w:rPr>
          <w:rFonts w:ascii="Arial" w:cs="Arial" w:eastAsia="Arial" w:hAnsi="Arial"/>
          <w:sz w:val="17"/>
          <w:szCs w:val="17"/>
          <w:color w:val="auto"/>
        </w:rPr>
        <w:t>Any notice, request, delivery, approval or consent required or permitted to be given under this Agreement shall be in writing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been sufficiently given if delivered in person, transmitted by facsimile (receipt verified) or by express courier service (signature required) or [*****] days after it was sent by registered letter, return receipt requested (or its equivalent), provided that no postal strike or other disruption is then in effect or comes into effect within [*****] days after such mailing, 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20"/>
          </w:cols>
          <w:pgMar w:left="240" w:top="270" w:right="239" w:bottom="1440" w:gutter="0" w:footer="0" w:header="0"/>
        </w:sectPr>
      </w:pPr>
    </w:p>
    <w:bookmarkStart w:id="490" w:name="page491"/>
    <w:bookmarkEnd w:id="4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120"/>
        <w:spacing w:after="0" w:line="277" w:lineRule="auto"/>
        <w:rPr>
          <w:sz w:val="20"/>
          <w:szCs w:val="20"/>
          <w:color w:val="auto"/>
        </w:rPr>
      </w:pPr>
      <w:r>
        <w:rPr>
          <w:rFonts w:ascii="Arial" w:cs="Arial" w:eastAsia="Arial" w:hAnsi="Arial"/>
          <w:sz w:val="18"/>
          <w:szCs w:val="18"/>
          <w:color w:val="auto"/>
        </w:rPr>
        <w:t>the Party to which it is directed at its address or facsimile number shown below or such other address or facsimile number as such Party will have last given by notice to the other Party.</w:t>
      </w:r>
    </w:p>
    <w:p>
      <w:pPr>
        <w:spacing w:after="0" w:line="180"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2860" w:type="dxa"/>
            <w:vAlign w:val="bottom"/>
            <w:gridSpan w:val="3"/>
          </w:tcPr>
          <w:p>
            <w:pPr>
              <w:spacing w:after="0"/>
              <w:rPr>
                <w:sz w:val="20"/>
                <w:szCs w:val="20"/>
                <w:color w:val="auto"/>
              </w:rPr>
            </w:pPr>
            <w:r>
              <w:rPr>
                <w:rFonts w:ascii="Arial" w:cs="Arial" w:eastAsia="Arial" w:hAnsi="Arial"/>
                <w:sz w:val="18"/>
                <w:szCs w:val="18"/>
                <w:color w:val="auto"/>
              </w:rPr>
              <w:t>If to Piramal Imaging:</w:t>
            </w:r>
          </w:p>
        </w:tc>
        <w:tc>
          <w:tcPr>
            <w:tcW w:w="3000" w:type="dxa"/>
            <w:vAlign w:val="bottom"/>
          </w:tcPr>
          <w:p>
            <w:pPr>
              <w:ind w:left="1260"/>
              <w:spacing w:after="0"/>
              <w:rPr>
                <w:sz w:val="20"/>
                <w:szCs w:val="20"/>
                <w:color w:val="auto"/>
              </w:rPr>
            </w:pPr>
            <w:r>
              <w:rPr>
                <w:rFonts w:ascii="Arial" w:cs="Arial" w:eastAsia="Arial" w:hAnsi="Arial"/>
                <w:sz w:val="18"/>
                <w:szCs w:val="18"/>
                <w:color w:val="auto"/>
              </w:rPr>
              <w:t>Piramal Imaging SA</w:t>
            </w:r>
          </w:p>
        </w:tc>
      </w:tr>
      <w:tr>
        <w:trPr>
          <w:trHeight w:val="222"/>
        </w:trPr>
        <w:tc>
          <w:tcPr>
            <w:tcW w:w="1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Route de l’Ecole 13</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1753 Matran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Switzerland</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Attention: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Telephone:</w:t>
            </w:r>
          </w:p>
        </w:tc>
      </w:tr>
      <w:tr>
        <w:trPr>
          <w:trHeight w:val="230"/>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Facsimile:</w:t>
            </w:r>
          </w:p>
        </w:tc>
      </w:tr>
      <w:tr>
        <w:trPr>
          <w:trHeight w:val="418"/>
        </w:trPr>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Piramal Imaging Ltd</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23, Science Park</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Cambridge-CB4 0EY</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United Kingdom</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Attention: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Telephone:</w:t>
            </w:r>
          </w:p>
        </w:tc>
      </w:tr>
      <w:tr>
        <w:trPr>
          <w:trHeight w:val="230"/>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Facsimile:</w:t>
            </w:r>
          </w:p>
        </w:tc>
      </w:tr>
      <w:tr>
        <w:trPr>
          <w:trHeight w:val="418"/>
        </w:trPr>
        <w:tc>
          <w:tcPr>
            <w:tcW w:w="286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3000" w:type="dxa"/>
            <w:vAlign w:val="bottom"/>
          </w:tcPr>
          <w:p>
            <w:pPr>
              <w:ind w:left="1260"/>
              <w:spacing w:after="0"/>
              <w:rPr>
                <w:sz w:val="20"/>
                <w:szCs w:val="20"/>
                <w:color w:val="auto"/>
              </w:rPr>
            </w:pPr>
            <w:r>
              <w:rPr>
                <w:rFonts w:ascii="Arial" w:cs="Arial" w:eastAsia="Arial" w:hAnsi="Arial"/>
                <w:sz w:val="18"/>
                <w:szCs w:val="18"/>
                <w:color w:val="auto"/>
                <w:w w:val="91"/>
              </w:rPr>
              <w:t>Piramal Imaging GmbH</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Tegeler Straße 6-7</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13353 Berlin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Germany</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Attention: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Telephone:</w:t>
            </w:r>
          </w:p>
        </w:tc>
      </w:tr>
      <w:tr>
        <w:trPr>
          <w:trHeight w:val="230"/>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Facsimile:</w:t>
            </w:r>
          </w:p>
        </w:tc>
      </w:tr>
      <w:tr>
        <w:trPr>
          <w:trHeight w:val="392"/>
        </w:trPr>
        <w:tc>
          <w:tcPr>
            <w:tcW w:w="2860" w:type="dxa"/>
            <w:vAlign w:val="bottom"/>
            <w:gridSpan w:val="3"/>
          </w:tcPr>
          <w:p>
            <w:pPr>
              <w:spacing w:after="0"/>
              <w:rPr>
                <w:sz w:val="20"/>
                <w:szCs w:val="20"/>
                <w:color w:val="auto"/>
              </w:rPr>
            </w:pPr>
            <w:r>
              <w:rPr>
                <w:rFonts w:ascii="Arial" w:cs="Arial" w:eastAsia="Arial" w:hAnsi="Arial"/>
                <w:sz w:val="18"/>
                <w:szCs w:val="18"/>
                <w:color w:val="auto"/>
              </w:rPr>
              <w:t>If to AC Immune:</w:t>
            </w:r>
          </w:p>
        </w:tc>
        <w:tc>
          <w:tcPr>
            <w:tcW w:w="3000" w:type="dxa"/>
            <w:vAlign w:val="bottom"/>
          </w:tcPr>
          <w:p>
            <w:pPr>
              <w:ind w:left="1260"/>
              <w:spacing w:after="0"/>
              <w:rPr>
                <w:sz w:val="20"/>
                <w:szCs w:val="20"/>
                <w:color w:val="auto"/>
              </w:rPr>
            </w:pPr>
            <w:r>
              <w:rPr>
                <w:rFonts w:ascii="Arial" w:cs="Arial" w:eastAsia="Arial" w:hAnsi="Arial"/>
                <w:sz w:val="18"/>
                <w:szCs w:val="18"/>
                <w:color w:val="auto"/>
              </w:rPr>
              <w:t>AC Immune SA</w:t>
            </w:r>
          </w:p>
        </w:tc>
      </w:tr>
      <w:tr>
        <w:trPr>
          <w:trHeight w:val="222"/>
        </w:trPr>
        <w:tc>
          <w:tcPr>
            <w:tcW w:w="12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w w:val="98"/>
              </w:rPr>
              <w:t>EPFL Innovation Park</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Building B</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1015 Lausanne</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Switzerland</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Attention:</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Telephone:</w:t>
            </w:r>
          </w:p>
        </w:tc>
      </w:tr>
      <w:tr>
        <w:trPr>
          <w:trHeight w:val="230"/>
        </w:trPr>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0" w:type="dxa"/>
            <w:vAlign w:val="bottom"/>
          </w:tcPr>
          <w:p>
            <w:pPr>
              <w:ind w:left="1260"/>
              <w:spacing w:after="0"/>
              <w:rPr>
                <w:sz w:val="20"/>
                <w:szCs w:val="20"/>
                <w:color w:val="auto"/>
              </w:rPr>
            </w:pPr>
            <w:r>
              <w:rPr>
                <w:rFonts w:ascii="Arial" w:cs="Arial" w:eastAsia="Arial" w:hAnsi="Arial"/>
                <w:sz w:val="18"/>
                <w:szCs w:val="18"/>
                <w:color w:val="auto"/>
              </w:rPr>
              <w:t>Facsimile:</w:t>
            </w:r>
          </w:p>
        </w:tc>
      </w:tr>
    </w:tbl>
    <w:p>
      <w:pPr>
        <w:spacing w:after="0" w:line="225" w:lineRule="exact"/>
        <w:rPr>
          <w:sz w:val="20"/>
          <w:szCs w:val="20"/>
          <w:color w:val="auto"/>
        </w:rPr>
      </w:pPr>
    </w:p>
    <w:p>
      <w:pPr>
        <w:ind w:left="800" w:right="20" w:hanging="796"/>
        <w:spacing w:after="0" w:line="261" w:lineRule="auto"/>
        <w:tabs>
          <w:tab w:leader="none" w:pos="78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Parties hereto acknowledge that this Agreement, together with the Exhibits and Appendices attached hereto, set forth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agreement and understanding of the Parties hereto as to the subject matter hereof, and supersedes all prior and contemporaneous discussions, agreements and writings in respect. Except as required by statute, no terms shall be implied (whether by custom, usage or otherwise) into this Agreement. Each Party:</w:t>
      </w:r>
    </w:p>
    <w:p>
      <w:pPr>
        <w:spacing w:after="0" w:line="90" w:lineRule="exact"/>
        <w:rPr>
          <w:sz w:val="20"/>
          <w:szCs w:val="20"/>
          <w:color w:val="auto"/>
        </w:rPr>
      </w:pPr>
    </w:p>
    <w:p>
      <w:pPr>
        <w:ind w:left="1380" w:right="180" w:hanging="575"/>
        <w:spacing w:after="0" w:line="264" w:lineRule="auto"/>
        <w:tabs>
          <w:tab w:leader="none" w:pos="138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acknowledges that, in agreeing to enter into this Agreement, and save for any representation, undertaking or warranty contained in this Agreement, it has not relied on any express or implied representation, warranty, draft agreement, undertaking, promise collateral contract or other assurance or arrangement of 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269" w:right="239" w:bottom="1440" w:gutter="0" w:footer="0" w:header="0"/>
        </w:sectPr>
      </w:pPr>
    </w:p>
    <w:bookmarkStart w:id="491" w:name="page492"/>
    <w:bookmarkEnd w:id="4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kind whether or not in writing made by or on behalf of any other party at any time before the signature of this agreement; and</w:t>
      </w:r>
    </w:p>
    <w:p>
      <w:pPr>
        <w:spacing w:after="0" w:line="131" w:lineRule="exact"/>
        <w:rPr>
          <w:sz w:val="20"/>
          <w:szCs w:val="20"/>
          <w:color w:val="auto"/>
        </w:rPr>
      </w:pPr>
    </w:p>
    <w:p>
      <w:pPr>
        <w:ind w:left="1380" w:right="280" w:hanging="575"/>
        <w:spacing w:after="0" w:line="277" w:lineRule="auto"/>
        <w:tabs>
          <w:tab w:leader="none" w:pos="13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waives all rights and remedies which, but for this subclause, might otherwise be available to it in respect of any such express or implied representation, warranty, collateral contract or other assurance.</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Nothing in this subclause limits or excludes any liability for fraud.</w:t>
      </w:r>
    </w:p>
    <w:p>
      <w:pPr>
        <w:spacing w:after="0" w:line="127" w:lineRule="exact"/>
        <w:rPr>
          <w:sz w:val="20"/>
          <w:szCs w:val="20"/>
          <w:color w:val="auto"/>
        </w:rPr>
      </w:pPr>
    </w:p>
    <w:p>
      <w:pPr>
        <w:ind w:left="800" w:right="280" w:hanging="796"/>
        <w:spacing w:after="0" w:line="282" w:lineRule="auto"/>
        <w:tabs>
          <w:tab w:leader="none" w:pos="78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b w:val="1"/>
          <w:bCs w:val="1"/>
          <w:color w:val="auto"/>
        </w:rPr>
        <w:t xml:space="preserve">Amendment. </w:t>
      </w:r>
      <w:r>
        <w:rPr>
          <w:rFonts w:ascii="Arial" w:cs="Arial" w:eastAsia="Arial" w:hAnsi="Arial"/>
          <w:sz w:val="18"/>
          <w:szCs w:val="18"/>
          <w:color w:val="auto"/>
        </w:rPr>
        <w:t>No amendment, modification or supplement of any provision of this Agreement shall be valid or effective unless made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signed by a duly authorized officer of each Party.</w:t>
      </w:r>
    </w:p>
    <w:p>
      <w:pPr>
        <w:spacing w:after="0" w:line="67" w:lineRule="exact"/>
        <w:rPr>
          <w:sz w:val="20"/>
          <w:szCs w:val="20"/>
          <w:color w:val="auto"/>
        </w:rPr>
      </w:pPr>
    </w:p>
    <w:p>
      <w:pPr>
        <w:ind w:left="800" w:right="100" w:hanging="796"/>
        <w:spacing w:after="0" w:line="261" w:lineRule="auto"/>
        <w:tabs>
          <w:tab w:leader="none" w:pos="780" w:val="left"/>
        </w:tabs>
        <w:rPr>
          <w:sz w:val="20"/>
          <w:szCs w:val="20"/>
          <w:color w:val="auto"/>
        </w:rPr>
      </w:pPr>
      <w:r>
        <w:rPr>
          <w:rFonts w:ascii="Arial" w:cs="Arial" w:eastAsia="Arial" w:hAnsi="Arial"/>
          <w:sz w:val="18"/>
          <w:szCs w:val="18"/>
          <w:color w:val="auto"/>
        </w:rPr>
        <w:t>15.10</w:t>
      </w:r>
      <w:r>
        <w:rPr>
          <w:sz w:val="20"/>
          <w:szCs w:val="20"/>
          <w:color w:val="auto"/>
        </w:rPr>
        <w:tab/>
      </w:r>
      <w:r>
        <w:rPr>
          <w:rFonts w:ascii="Arial" w:cs="Arial" w:eastAsia="Arial" w:hAnsi="Arial"/>
          <w:sz w:val="18"/>
          <w:szCs w:val="18"/>
          <w:b w:val="1"/>
          <w:bCs w:val="1"/>
          <w:color w:val="auto"/>
        </w:rPr>
        <w:t xml:space="preserve">Waiver. </w:t>
      </w:r>
      <w:r>
        <w:rPr>
          <w:rFonts w:ascii="Arial" w:cs="Arial" w:eastAsia="Arial" w:hAnsi="Arial"/>
          <w:sz w:val="18"/>
          <w:szCs w:val="18"/>
          <w:color w:val="auto"/>
        </w:rPr>
        <w:t>No provision of the Agreement shall be waived by any act, omission or knowledge of a Party or its agents or employees except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in writing expressly waiving such provision and signed by a duly authorized officer of the waiving Party. The waiver by any of the Parties of any breach of any provision hereof by another Party shall not be construed to be a waiver of any succeeding breach of such provision or a waiver of the provision itself.</w:t>
      </w:r>
    </w:p>
    <w:p>
      <w:pPr>
        <w:spacing w:after="0" w:line="86" w:lineRule="exact"/>
        <w:rPr>
          <w:sz w:val="20"/>
          <w:szCs w:val="20"/>
          <w:color w:val="auto"/>
        </w:rPr>
      </w:pPr>
    </w:p>
    <w:p>
      <w:pPr>
        <w:ind w:left="800" w:hanging="796"/>
        <w:spacing w:after="0" w:line="277" w:lineRule="auto"/>
        <w:tabs>
          <w:tab w:leader="none" w:pos="780" w:val="left"/>
        </w:tabs>
        <w:rPr>
          <w:sz w:val="20"/>
          <w:szCs w:val="20"/>
          <w:color w:val="auto"/>
        </w:rPr>
      </w:pPr>
      <w:r>
        <w:rPr>
          <w:rFonts w:ascii="Arial" w:cs="Arial" w:eastAsia="Arial" w:hAnsi="Arial"/>
          <w:sz w:val="18"/>
          <w:szCs w:val="18"/>
          <w:color w:val="auto"/>
        </w:rPr>
        <w:t>15.11</w:t>
      </w:r>
      <w:r>
        <w:rPr>
          <w:sz w:val="20"/>
          <w:szCs w:val="20"/>
          <w:color w:val="auto"/>
        </w:rPr>
        <w:tab/>
      </w: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lf any clause or portion thereof in this Agreement is for any reason held to be invalid, illegal or unenforceable, the same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any other portion of this Agreement, as it is the intent of the Parties that this Agreement shall be construed in such fashion as to maintain its existence, validity and enforceability to the greatest extent possible. In any such event, this Agreement shall be construed as if such clause of portion thereof had never been contained in this Agreement, and there shall be deemed substituted therefor such provision as will most nearly carry out the intent of the Parties as expressed in this Agreement to the fullest extent permitted by applicable Law.</w:t>
      </w:r>
    </w:p>
    <w:p>
      <w:pPr>
        <w:spacing w:after="0" w:line="74" w:lineRule="exact"/>
        <w:rPr>
          <w:sz w:val="20"/>
          <w:szCs w:val="20"/>
          <w:color w:val="auto"/>
        </w:rPr>
      </w:pPr>
    </w:p>
    <w:p>
      <w:pPr>
        <w:ind w:left="800" w:right="80" w:hanging="796"/>
        <w:spacing w:after="0" w:line="277" w:lineRule="auto"/>
        <w:tabs>
          <w:tab w:leader="none" w:pos="780"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7"/>
          <w:szCs w:val="17"/>
          <w:b w:val="1"/>
          <w:bCs w:val="1"/>
          <w:color w:val="auto"/>
        </w:rPr>
        <w:t xml:space="preserve">Relationship of the Parties. </w:t>
      </w:r>
      <w:r>
        <w:rPr>
          <w:rFonts w:ascii="Arial" w:cs="Arial" w:eastAsia="Arial" w:hAnsi="Arial"/>
          <w:sz w:val="17"/>
          <w:szCs w:val="17"/>
          <w:color w:val="auto"/>
        </w:rPr>
        <w:t>The Parties agree that the relationship of Piramal and AC Immune established by this Agreement is that of</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contractors. Furthermore, the Parties agree that this Agreement does not, is not intended to, and shall not be construed to, establish an employment, agency, partnership or any other relationship. Except as may be specifically provided herein, no Party shall have any right, power or authority, nor shall they represent themselves as having any authority to assume, create or incur any expense, liability or obligation, express or implied, on behalf of any other Party, or otherwise act as an agent for any other Party for any purpose.</w:t>
      </w:r>
    </w:p>
    <w:p>
      <w:pPr>
        <w:spacing w:after="0" w:line="74" w:lineRule="exact"/>
        <w:rPr>
          <w:sz w:val="20"/>
          <w:szCs w:val="20"/>
          <w:color w:val="auto"/>
        </w:rPr>
      </w:pPr>
    </w:p>
    <w:p>
      <w:pPr>
        <w:ind w:left="800" w:right="20" w:hanging="796"/>
        <w:spacing w:after="0" w:line="255" w:lineRule="auto"/>
        <w:tabs>
          <w:tab w:leader="none" w:pos="780" w:val="left"/>
        </w:tabs>
        <w:rPr>
          <w:sz w:val="20"/>
          <w:szCs w:val="20"/>
          <w:color w:val="auto"/>
        </w:rPr>
      </w:pPr>
      <w:r>
        <w:rPr>
          <w:rFonts w:ascii="Arial" w:cs="Arial" w:eastAsia="Arial" w:hAnsi="Arial"/>
          <w:sz w:val="18"/>
          <w:szCs w:val="18"/>
          <w:color w:val="auto"/>
        </w:rPr>
        <w:t>15.13</w:t>
      </w:r>
      <w:r>
        <w:rPr>
          <w:sz w:val="20"/>
          <w:szCs w:val="20"/>
          <w:color w:val="auto"/>
        </w:rPr>
        <w:tab/>
      </w:r>
      <w:r>
        <w:rPr>
          <w:rFonts w:ascii="Arial" w:cs="Arial" w:eastAsia="Arial" w:hAnsi="Arial"/>
          <w:sz w:val="18"/>
          <w:szCs w:val="18"/>
          <w:b w:val="1"/>
          <w:bCs w:val="1"/>
          <w:color w:val="auto"/>
        </w:rPr>
        <w:t xml:space="preserve">Interpretation. </w:t>
      </w:r>
      <w:r>
        <w:rPr>
          <w:rFonts w:ascii="Arial" w:cs="Arial" w:eastAsia="Arial" w:hAnsi="Arial"/>
          <w:sz w:val="18"/>
          <w:szCs w:val="18"/>
          <w:color w:val="auto"/>
        </w:rPr>
        <w:t>The captions and headings to this Agreement are for convenience only, and are to be of no force or effect in construing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interpreting any of the provisions of this Agreement. Unless specified to the contrary, references to Articles, Sections, Exhibits or Appendices shall refer to the particular Articles, Sections, Exhibits or Appendices of or to this Agreement and references to this Agreement include all Exhibits and Appendices hereto. Unless context otherwise clearly requires, whenever used in this Agreement: (a) the words “include” or “including” shall be construed as incorporating, also, “but not limited to” or “without limitation;” (b) the word “notice” shall mean notice in writing (whether or not specifically stated) and shall include notices, consents, approvals and other written communications contemplated under this Agreement; (c) the word “hereof,”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270" w:right="239" w:bottom="1440" w:gutter="0" w:footer="0" w:header="0"/>
        </w:sectPr>
      </w:pPr>
    </w:p>
    <w:bookmarkStart w:id="492" w:name="page493"/>
    <w:bookmarkEnd w:id="4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ind w:left="800" w:right="20"/>
        <w:spacing w:after="0" w:line="276" w:lineRule="auto"/>
        <w:rPr>
          <w:sz w:val="20"/>
          <w:szCs w:val="20"/>
          <w:color w:val="auto"/>
        </w:rPr>
      </w:pPr>
      <w:r>
        <w:rPr>
          <w:rFonts w:ascii="Arial" w:cs="Arial" w:eastAsia="Arial" w:hAnsi="Arial"/>
          <w:sz w:val="17"/>
          <w:szCs w:val="17"/>
          <w:color w:val="auto"/>
        </w:rPr>
        <w:t>“herein,” “hereby” and derivative or similar word refers to this Agreement (including any Exhibits); (d) the word “or” shall have its inclusive meaning identified with the phrase “and/or;” (e) the words “will” and “shall” shall have the same obligatory meaning; (f) provisions that require that a Party, the Parties or a Committee hereunder “agree,” “consent” or “approve” or the like shall require that such agreement, consent or approval be specific and in writing, whether by written agreement, letter, approved minutes or otherwise; (g) words of any gender include the other gender; and (h) words using the singular or plural number also include the plural or singular number, respectively.</w:t>
      </w:r>
    </w:p>
    <w:p>
      <w:pPr>
        <w:spacing w:after="0" w:line="74" w:lineRule="exact"/>
        <w:rPr>
          <w:sz w:val="20"/>
          <w:szCs w:val="20"/>
          <w:color w:val="auto"/>
        </w:rPr>
      </w:pPr>
    </w:p>
    <w:p>
      <w:pPr>
        <w:ind w:left="800" w:right="100" w:hanging="796"/>
        <w:spacing w:after="0" w:line="292" w:lineRule="auto"/>
        <w:tabs>
          <w:tab w:leader="none" w:pos="780" w:val="left"/>
        </w:tabs>
        <w:rPr>
          <w:sz w:val="20"/>
          <w:szCs w:val="20"/>
          <w:color w:val="auto"/>
        </w:rPr>
      </w:pPr>
      <w:r>
        <w:rPr>
          <w:rFonts w:ascii="Arial" w:cs="Arial" w:eastAsia="Arial" w:hAnsi="Arial"/>
          <w:sz w:val="18"/>
          <w:szCs w:val="18"/>
          <w:color w:val="auto"/>
        </w:rPr>
        <w:t>15.14</w:t>
      </w:r>
      <w:r>
        <w:rPr>
          <w:sz w:val="20"/>
          <w:szCs w:val="20"/>
          <w:color w:val="auto"/>
        </w:rPr>
        <w:tab/>
      </w:r>
      <w:r>
        <w:rPr>
          <w:rFonts w:ascii="Arial" w:cs="Arial" w:eastAsia="Arial" w:hAnsi="Arial"/>
          <w:sz w:val="16"/>
          <w:szCs w:val="16"/>
          <w:b w:val="1"/>
          <w:bCs w:val="1"/>
          <w:color w:val="auto"/>
        </w:rPr>
        <w:t xml:space="preserve">Third Party Beneficiaries. </w:t>
      </w:r>
      <w:r>
        <w:rPr>
          <w:rFonts w:ascii="Arial" w:cs="Arial" w:eastAsia="Arial" w:hAnsi="Arial"/>
          <w:sz w:val="16"/>
          <w:szCs w:val="16"/>
          <w:color w:val="auto"/>
        </w:rPr>
        <w:t>Except for the rights to indemnification provided for a Party’s Indemnitees pursuant to Article 13, all rights,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and remedies under this Agreement are solely intended for the benefit of the Parties (including any successor in interest or permitted assigns), and except rights to indemnification expressly provided pursuant to Article 13, no Third Party shall have any rights whatsoever to (a) enforce any obligation contained in this Agreement (b) seek a benefit or remedy for any breach of this Agreement, or (c) take any other action relating to this Agreement under any legal theory, including but not limited to, actions in contract, tort (including but not limited to negligence, gross negligence and strict liability), or as a defense, setoff or counterclaim to any action or claim brought or made by the Parties. Without limiting the foregoing, a person who is not a Party to this Agreement may not enforce any of its terms under the Contracts (Rights of Third Parties) Act 1999.</w:t>
      </w:r>
    </w:p>
    <w:p>
      <w:pPr>
        <w:spacing w:after="0" w:line="67" w:lineRule="exact"/>
        <w:rPr>
          <w:sz w:val="20"/>
          <w:szCs w:val="20"/>
          <w:color w:val="auto"/>
        </w:rPr>
      </w:pPr>
    </w:p>
    <w:p>
      <w:pPr>
        <w:ind w:left="800" w:right="60" w:hanging="796"/>
        <w:spacing w:after="0" w:line="266" w:lineRule="auto"/>
        <w:tabs>
          <w:tab w:leader="none" w:pos="780" w:val="left"/>
        </w:tabs>
        <w:rPr>
          <w:sz w:val="20"/>
          <w:szCs w:val="20"/>
          <w:color w:val="auto"/>
        </w:rPr>
      </w:pPr>
      <w:r>
        <w:rPr>
          <w:rFonts w:ascii="Arial" w:cs="Arial" w:eastAsia="Arial" w:hAnsi="Arial"/>
          <w:sz w:val="18"/>
          <w:szCs w:val="18"/>
          <w:color w:val="auto"/>
        </w:rPr>
        <w:t>15.15</w:t>
      </w:r>
      <w:r>
        <w:rPr>
          <w:sz w:val="20"/>
          <w:szCs w:val="20"/>
          <w:color w:val="auto"/>
        </w:rPr>
        <w:tab/>
      </w: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need not contain the signature of more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Party but all such counterparts taken together shall constitute one and the same agreement. Any signature page delivered by facsimile or electronic image transmission shall be binding to the same extent as an original signature page.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269" w:right="239" w:bottom="1440" w:gutter="0" w:footer="0" w:header="0"/>
        </w:sectPr>
      </w:pPr>
    </w:p>
    <w:bookmarkStart w:id="493" w:name="page494"/>
    <w:bookmarkEnd w:id="4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ind w:left="9880"/>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I</w:t>
      </w:r>
      <w:r>
        <w:rPr>
          <w:rFonts w:ascii="Arial" w:cs="Arial" w:eastAsia="Arial" w:hAnsi="Arial"/>
          <w:sz w:val="14"/>
          <w:szCs w:val="14"/>
          <w:color w:val="auto"/>
        </w:rPr>
        <w:t>N</w:t>
      </w:r>
      <w:r>
        <w:rPr>
          <w:rFonts w:ascii="Arial" w:cs="Arial" w:eastAsia="Arial" w:hAnsi="Arial"/>
          <w:sz w:val="17"/>
          <w:szCs w:val="17"/>
          <w:color w:val="auto"/>
        </w:rPr>
        <w:t xml:space="preserve"> W</w:t>
      </w:r>
      <w:r>
        <w:rPr>
          <w:rFonts w:ascii="Arial" w:cs="Arial" w:eastAsia="Arial" w:hAnsi="Arial"/>
          <w:sz w:val="14"/>
          <w:szCs w:val="14"/>
          <w:color w:val="auto"/>
        </w:rPr>
        <w:t>ITNESS</w:t>
      </w:r>
      <w:r>
        <w:rPr>
          <w:rFonts w:ascii="Arial" w:cs="Arial" w:eastAsia="Arial" w:hAnsi="Arial"/>
          <w:sz w:val="17"/>
          <w:szCs w:val="17"/>
          <w:color w:val="auto"/>
        </w:rPr>
        <w:t xml:space="preserve"> W</w:t>
      </w:r>
      <w:r>
        <w:rPr>
          <w:rFonts w:ascii="Arial" w:cs="Arial" w:eastAsia="Arial" w:hAnsi="Arial"/>
          <w:sz w:val="14"/>
          <w:szCs w:val="14"/>
          <w:color w:val="auto"/>
        </w:rPr>
        <w:t>HEREOF</w:t>
      </w:r>
      <w:r>
        <w:rPr>
          <w:rFonts w:ascii="Arial" w:cs="Arial" w:eastAsia="Arial" w:hAnsi="Arial"/>
          <w:sz w:val="17"/>
          <w:szCs w:val="17"/>
          <w:color w:val="auto"/>
        </w:rPr>
        <w:t>, the Parties hereto have executed this Agreement by their duly authorized representatives as of the dates set forth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9, 2014</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9, 2014</w:t>
            </w:r>
          </w:p>
        </w:tc>
      </w:tr>
      <w:tr>
        <w:trPr>
          <w:trHeight w:val="439"/>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Piramal Imaging SA</w:t>
            </w:r>
          </w:p>
        </w:tc>
        <w:tc>
          <w:tcPr>
            <w:tcW w:w="6060" w:type="dxa"/>
            <w:vAlign w:val="bottom"/>
            <w:gridSpan w:val="3"/>
          </w:tcPr>
          <w:p>
            <w:pPr>
              <w:ind w:left="72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Pr>
          <w:p>
            <w:pPr>
              <w:spacing w:after="0"/>
              <w:rPr>
                <w:sz w:val="20"/>
                <w:szCs w:val="20"/>
                <w:color w:val="auto"/>
              </w:rPr>
            </w:pPr>
            <w:r>
              <w:rPr>
                <w:rFonts w:ascii="Arial" w:cs="Arial" w:eastAsia="Arial" w:hAnsi="Arial"/>
                <w:sz w:val="18"/>
                <w:szCs w:val="18"/>
                <w:color w:val="auto"/>
              </w:rPr>
              <w:t>/s/ L. Dinkelborg</w:t>
            </w:r>
          </w:p>
        </w:tc>
        <w:tc>
          <w:tcPr>
            <w:tcW w:w="6060" w:type="dxa"/>
            <w:vAlign w:val="bottom"/>
            <w:gridSpan w:val="3"/>
          </w:tcPr>
          <w:p>
            <w:pPr>
              <w:ind w:left="720"/>
              <w:spacing w:after="0"/>
              <w:rPr>
                <w:sz w:val="20"/>
                <w:szCs w:val="20"/>
                <w:color w:val="auto"/>
              </w:rPr>
            </w:pPr>
            <w:r>
              <w:rPr>
                <w:rFonts w:ascii="Arial" w:cs="Arial" w:eastAsia="Arial" w:hAnsi="Arial"/>
                <w:sz w:val="18"/>
                <w:szCs w:val="18"/>
                <w:color w:val="auto"/>
              </w:rPr>
              <w:t>/s/ A. Pfeifer</w:t>
            </w: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 Dinkelborg</w:t>
            </w:r>
          </w:p>
        </w:tc>
        <w:tc>
          <w:tcPr>
            <w:tcW w:w="72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Pfeifer</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Function:</w:t>
            </w:r>
          </w:p>
        </w:tc>
        <w:tc>
          <w:tcPr>
            <w:tcW w:w="4440" w:type="dxa"/>
            <w:vAlign w:val="bottom"/>
          </w:tcPr>
          <w:p>
            <w:pPr>
              <w:spacing w:after="0"/>
              <w:rPr>
                <w:sz w:val="20"/>
                <w:szCs w:val="20"/>
                <w:color w:val="auto"/>
              </w:rPr>
            </w:pPr>
            <w:r>
              <w:rPr>
                <w:rFonts w:ascii="Arial" w:cs="Arial" w:eastAsia="Arial" w:hAnsi="Arial"/>
                <w:sz w:val="18"/>
                <w:szCs w:val="18"/>
                <w:color w:val="auto"/>
              </w:rPr>
              <w:t>Director of the board</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Function:</w:t>
            </w:r>
          </w:p>
        </w:tc>
        <w:tc>
          <w:tcPr>
            <w:tcW w:w="444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09, 2014</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09, 2014</w:t>
            </w:r>
          </w:p>
        </w:tc>
      </w:tr>
      <w:tr>
        <w:trPr>
          <w:trHeight w:val="439"/>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Piramal Imaging SA</w:t>
            </w:r>
          </w:p>
        </w:tc>
        <w:tc>
          <w:tcPr>
            <w:tcW w:w="6060" w:type="dxa"/>
            <w:vAlign w:val="bottom"/>
            <w:gridSpan w:val="3"/>
          </w:tcPr>
          <w:p>
            <w:pPr>
              <w:ind w:left="72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Pr>
          <w:p>
            <w:pPr>
              <w:spacing w:after="0"/>
              <w:rPr>
                <w:sz w:val="20"/>
                <w:szCs w:val="20"/>
                <w:color w:val="auto"/>
              </w:rPr>
            </w:pPr>
            <w:r>
              <w:rPr>
                <w:rFonts w:ascii="Arial" w:cs="Arial" w:eastAsia="Arial" w:hAnsi="Arial"/>
                <w:sz w:val="18"/>
                <w:szCs w:val="18"/>
                <w:color w:val="auto"/>
              </w:rPr>
              <w:t>/s/ Rajesh Laddha</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w w:val="97"/>
              </w:rPr>
              <w:t>/s/ A. Muhs</w:t>
            </w:r>
          </w:p>
        </w:tc>
        <w:tc>
          <w:tcPr>
            <w:tcW w:w="4440" w:type="dxa"/>
            <w:vAlign w:val="bottom"/>
          </w:tcPr>
          <w:p>
            <w:pPr>
              <w:spacing w:after="0"/>
              <w:rPr>
                <w:sz w:val="24"/>
                <w:szCs w:val="24"/>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Rajesh Laddha</w:t>
            </w:r>
          </w:p>
        </w:tc>
        <w:tc>
          <w:tcPr>
            <w:tcW w:w="72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Muhs</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Function:</w:t>
            </w:r>
          </w:p>
        </w:tc>
        <w:tc>
          <w:tcPr>
            <w:tcW w:w="4440" w:type="dxa"/>
            <w:vAlign w:val="bottom"/>
          </w:tcPr>
          <w:p>
            <w:pPr>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720"/>
              <w:spacing w:after="0"/>
              <w:rPr>
                <w:sz w:val="20"/>
                <w:szCs w:val="20"/>
                <w:color w:val="auto"/>
              </w:rPr>
            </w:pPr>
            <w:r>
              <w:rPr>
                <w:rFonts w:ascii="Arial" w:cs="Arial" w:eastAsia="Arial" w:hAnsi="Arial"/>
                <w:sz w:val="18"/>
                <w:szCs w:val="18"/>
                <w:color w:val="auto"/>
              </w:rPr>
              <w:t>Function:</w:t>
            </w:r>
          </w:p>
        </w:tc>
        <w:tc>
          <w:tcPr>
            <w:tcW w:w="4440" w:type="dxa"/>
            <w:vAlign w:val="bottom"/>
          </w:tcPr>
          <w:p>
            <w:pPr>
              <w:spacing w:after="0"/>
              <w:rPr>
                <w:sz w:val="20"/>
                <w:szCs w:val="20"/>
                <w:color w:val="auto"/>
              </w:rPr>
            </w:pPr>
            <w:r>
              <w:rPr>
                <w:rFonts w:ascii="Arial" w:cs="Arial" w:eastAsia="Arial" w:hAnsi="Arial"/>
                <w:sz w:val="18"/>
                <w:szCs w:val="18"/>
                <w:color w:val="auto"/>
              </w:rPr>
              <w:t>CSO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A – AC Immune Tau Protein Imaging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 – Initial Development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Appendices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Appendix 1 – Selection Criteria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2 – Patent Filing Country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Appendix 3 – Research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20"/>
          </w:cols>
          <w:pgMar w:left="240" w:top="270" w:right="239" w:bottom="1440" w:gutter="0" w:footer="0" w:header="0"/>
        </w:sectPr>
      </w:pPr>
    </w:p>
    <w:bookmarkStart w:id="494" w:name="page495"/>
    <w:bookmarkEnd w:id="4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TAU PROTEIN IMAGING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420"/>
          </w:cols>
          <w:pgMar w:left="240" w:top="270" w:right="239" w:bottom="1440" w:gutter="0" w:footer="0" w:header="0"/>
        </w:sectPr>
      </w:pPr>
    </w:p>
    <w:bookmarkStart w:id="495" w:name="page496"/>
    <w:bookmarkEnd w:id="4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20" w:type="dxa"/>
            <w:vAlign w:val="bottom"/>
            <w:gridSpan w:val="3"/>
          </w:tcPr>
          <w:p>
            <w:pPr>
              <w:jc w:val="center"/>
              <w:ind w:right="1479"/>
              <w:spacing w:after="0"/>
              <w:rPr>
                <w:sz w:val="20"/>
                <w:szCs w:val="20"/>
                <w:color w:val="auto"/>
              </w:rPr>
            </w:pPr>
            <w:r>
              <w:rPr>
                <w:rFonts w:ascii="Arial" w:cs="Arial" w:eastAsia="Arial" w:hAnsi="Arial"/>
                <w:sz w:val="18"/>
                <w:szCs w:val="18"/>
                <w:b w:val="1"/>
                <w:bCs w:val="1"/>
                <w:color w:val="auto"/>
                <w:w w:val="94"/>
              </w:rPr>
              <w:t>Exhibit B</w:t>
            </w:r>
          </w:p>
        </w:tc>
        <w:tc>
          <w:tcPr>
            <w:tcW w:w="0" w:type="dxa"/>
            <w:vAlign w:val="bottom"/>
          </w:tcPr>
          <w:p>
            <w:pPr>
              <w:spacing w:after="0"/>
              <w:rPr>
                <w:sz w:val="1"/>
                <w:szCs w:val="1"/>
                <w:color w:val="auto"/>
              </w:rPr>
            </w:pPr>
          </w:p>
        </w:tc>
      </w:tr>
      <w:tr>
        <w:trPr>
          <w:trHeight w:val="432"/>
        </w:trPr>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20" w:type="dxa"/>
            <w:vAlign w:val="bottom"/>
            <w:gridSpan w:val="3"/>
          </w:tcPr>
          <w:p>
            <w:pPr>
              <w:jc w:val="center"/>
              <w:ind w:right="1479"/>
              <w:spacing w:after="0"/>
              <w:rPr>
                <w:sz w:val="20"/>
                <w:szCs w:val="20"/>
                <w:color w:val="auto"/>
              </w:rPr>
            </w:pPr>
            <w:r>
              <w:rPr>
                <w:rFonts w:ascii="Arial" w:cs="Arial" w:eastAsia="Arial" w:hAnsi="Arial"/>
                <w:sz w:val="18"/>
                <w:szCs w:val="18"/>
                <w:b w:val="1"/>
                <w:bCs w:val="1"/>
                <w:color w:val="auto"/>
              </w:rPr>
              <w:t>INITIAL DEVELOPMENT PLAN</w:t>
            </w:r>
          </w:p>
        </w:tc>
        <w:tc>
          <w:tcPr>
            <w:tcW w:w="0" w:type="dxa"/>
            <w:vAlign w:val="bottom"/>
          </w:tcPr>
          <w:p>
            <w:pPr>
              <w:spacing w:after="0"/>
              <w:rPr>
                <w:sz w:val="1"/>
                <w:szCs w:val="1"/>
                <w:color w:val="auto"/>
              </w:rPr>
            </w:pPr>
          </w:p>
        </w:tc>
      </w:tr>
      <w:tr>
        <w:trPr>
          <w:trHeight w:val="412"/>
        </w:trPr>
        <w:tc>
          <w:tcPr>
            <w:tcW w:w="184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Task</w:t>
            </w:r>
          </w:p>
        </w:tc>
        <w:tc>
          <w:tcPr>
            <w:tcW w:w="1240" w:type="dxa"/>
            <w:vAlign w:val="bottom"/>
            <w:gridSpan w:val="2"/>
          </w:tcPr>
          <w:p>
            <w:pPr>
              <w:spacing w:after="0"/>
              <w:rPr>
                <w:sz w:val="24"/>
                <w:szCs w:val="24"/>
                <w:color w:val="auto"/>
              </w:rPr>
            </w:pPr>
          </w:p>
        </w:tc>
        <w:tc>
          <w:tcPr>
            <w:tcW w:w="6220" w:type="dxa"/>
            <w:vAlign w:val="bottom"/>
            <w:gridSpan w:val="3"/>
          </w:tcPr>
          <w:p>
            <w:pPr>
              <w:jc w:val="right"/>
              <w:spacing w:after="0"/>
              <w:rPr>
                <w:sz w:val="20"/>
                <w:szCs w:val="20"/>
                <w:color w:val="auto"/>
              </w:rPr>
            </w:pPr>
            <w:r>
              <w:rPr>
                <w:rFonts w:ascii="Arial" w:cs="Arial" w:eastAsia="Arial" w:hAnsi="Arial"/>
                <w:sz w:val="14"/>
                <w:szCs w:val="14"/>
                <w:b w:val="1"/>
                <w:bCs w:val="1"/>
                <w:color w:val="auto"/>
              </w:rPr>
              <w:t>Time (months)</w:t>
            </w:r>
          </w:p>
        </w:tc>
        <w:tc>
          <w:tcPr>
            <w:tcW w:w="0" w:type="dxa"/>
            <w:vAlign w:val="bottom"/>
          </w:tcPr>
          <w:p>
            <w:pPr>
              <w:spacing w:after="0"/>
              <w:rPr>
                <w:sz w:val="1"/>
                <w:szCs w:val="1"/>
                <w:color w:val="auto"/>
              </w:rPr>
            </w:pPr>
          </w:p>
        </w:tc>
      </w:tr>
      <w:tr>
        <w:trPr>
          <w:trHeight w:val="204"/>
        </w:trPr>
        <w:tc>
          <w:tcPr>
            <w:tcW w:w="1840" w:type="dxa"/>
            <w:vAlign w:val="bottom"/>
            <w:vMerge w:val="restart"/>
          </w:tcPr>
          <w:p>
            <w:pPr>
              <w:jc w:val="right"/>
              <w:ind w:right="1170"/>
              <w:spacing w:after="0"/>
              <w:rPr>
                <w:sz w:val="20"/>
                <w:szCs w:val="20"/>
                <w:color w:val="auto"/>
              </w:rPr>
            </w:pPr>
            <w:r>
              <w:rPr>
                <w:rFonts w:ascii="Arial" w:cs="Arial" w:eastAsia="Arial" w:hAnsi="Arial"/>
                <w:sz w:val="18"/>
                <w:szCs w:val="18"/>
                <w:color w:val="auto"/>
              </w:rPr>
              <w:t>[*****]</w:t>
            </w:r>
          </w:p>
        </w:tc>
        <w:tc>
          <w:tcPr>
            <w:tcW w:w="1540" w:type="dxa"/>
            <w:vAlign w:val="bottom"/>
            <w:gridSpan w:val="3"/>
          </w:tcPr>
          <w:p>
            <w:pPr>
              <w:spacing w:after="0" w:line="204" w:lineRule="exact"/>
              <w:rPr>
                <w:sz w:val="20"/>
                <w:szCs w:val="20"/>
                <w:color w:val="auto"/>
              </w:rPr>
            </w:pPr>
            <w:r>
              <w:rPr>
                <w:rFonts w:ascii="Arial" w:cs="Arial" w:eastAsia="Arial" w:hAnsi="Arial"/>
                <w:sz w:val="18"/>
                <w:szCs w:val="18"/>
                <w:color w:val="auto"/>
              </w:rPr>
              <w:t>[*****]</w:t>
            </w:r>
          </w:p>
        </w:tc>
        <w:tc>
          <w:tcPr>
            <w:tcW w:w="53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4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Outcome</w:t>
            </w:r>
          </w:p>
        </w:tc>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ind w:right="19"/>
              <w:spacing w:after="0"/>
              <w:rPr>
                <w:sz w:val="20"/>
                <w:szCs w:val="20"/>
                <w:color w:val="auto"/>
              </w:rPr>
            </w:pPr>
            <w:r>
              <w:rPr>
                <w:rFonts w:ascii="Arial" w:cs="Arial" w:eastAsia="Arial" w:hAnsi="Arial"/>
                <w:sz w:val="14"/>
                <w:szCs w:val="14"/>
                <w:b w:val="1"/>
                <w:bCs w:val="1"/>
                <w:color w:val="auto"/>
                <w:w w:val="98"/>
              </w:rPr>
              <w:t>Design</w:t>
            </w:r>
          </w:p>
        </w:tc>
        <w:tc>
          <w:tcPr>
            <w:tcW w:w="0" w:type="dxa"/>
            <w:vAlign w:val="bottom"/>
          </w:tcPr>
          <w:p>
            <w:pPr>
              <w:spacing w:after="0"/>
              <w:rPr>
                <w:sz w:val="1"/>
                <w:szCs w:val="1"/>
                <w:color w:val="auto"/>
              </w:rPr>
            </w:pPr>
          </w:p>
        </w:tc>
      </w:tr>
      <w:tr>
        <w:trPr>
          <w:trHeight w:val="217"/>
        </w:trPr>
        <w:tc>
          <w:tcPr>
            <w:tcW w:w="1840" w:type="dxa"/>
            <w:vAlign w:val="bottom"/>
          </w:tcPr>
          <w:p>
            <w:pPr>
              <w:spacing w:after="0"/>
              <w:rPr>
                <w:sz w:val="18"/>
                <w:szCs w:val="18"/>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5640" w:type="dxa"/>
            <w:vAlign w:val="bottom"/>
            <w:gridSpan w:val="2"/>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184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20" w:type="dxa"/>
            <w:vAlign w:val="bottom"/>
            <w:gridSpan w:val="3"/>
          </w:tcPr>
          <w:p>
            <w:pPr>
              <w:jc w:val="center"/>
              <w:ind w:right="1479"/>
              <w:spacing w:after="0"/>
              <w:rPr>
                <w:sz w:val="20"/>
                <w:szCs w:val="20"/>
                <w:color w:val="auto"/>
              </w:rPr>
            </w:pPr>
            <w:r>
              <w:rPr>
                <w:rFonts w:ascii="Arial" w:cs="Arial" w:eastAsia="Arial" w:hAnsi="Arial"/>
                <w:sz w:val="18"/>
                <w:szCs w:val="18"/>
                <w:color w:val="auto"/>
                <w:w w:val="86"/>
              </w:rPr>
              <w:t>Page 42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96" w:name="page497"/>
    <w:bookmarkEnd w:id="4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20"/>
          </w:cols>
          <w:pgMar w:left="240" w:top="269" w:right="239" w:bottom="1440" w:gutter="0" w:footer="0" w:header="0"/>
        </w:sectPr>
      </w:pPr>
    </w:p>
    <w:bookmarkStart w:id="497" w:name="page498"/>
    <w:bookmarkEnd w:id="497"/>
    <w:p>
      <w:pPr>
        <w:jc w:val="center"/>
        <w:ind w:right="1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694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w w:val="98"/>
              </w:rPr>
              <w:t>APPENDIX 1</w:t>
            </w:r>
          </w:p>
        </w:tc>
      </w:tr>
      <w:tr>
        <w:trPr>
          <w:trHeight w:val="432"/>
        </w:trPr>
        <w:tc>
          <w:tcPr>
            <w:tcW w:w="820" w:type="dxa"/>
            <w:vAlign w:val="bottom"/>
          </w:tcPr>
          <w:p>
            <w:pPr>
              <w:spacing w:after="0"/>
              <w:rPr>
                <w:sz w:val="24"/>
                <w:szCs w:val="24"/>
                <w:color w:val="auto"/>
              </w:rPr>
            </w:pPr>
          </w:p>
        </w:tc>
        <w:tc>
          <w:tcPr>
            <w:tcW w:w="694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rPr>
              <w:t>SELECTION CRITERIA</w:t>
            </w:r>
          </w:p>
        </w:tc>
      </w:tr>
      <w:tr>
        <w:trPr>
          <w:trHeight w:val="412"/>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CATEGORY</w:t>
            </w:r>
          </w:p>
        </w:tc>
        <w:tc>
          <w:tcPr>
            <w:tcW w:w="6940" w:type="dxa"/>
            <w:vAlign w:val="bottom"/>
            <w:gridSpan w:val="2"/>
          </w:tcPr>
          <w:p>
            <w:pPr>
              <w:jc w:val="center"/>
              <w:ind w:left="6094"/>
              <w:spacing w:after="0"/>
              <w:rPr>
                <w:sz w:val="20"/>
                <w:szCs w:val="20"/>
                <w:color w:val="auto"/>
              </w:rPr>
            </w:pPr>
            <w:r>
              <w:rPr>
                <w:rFonts w:ascii="Arial" w:cs="Arial" w:eastAsia="Arial" w:hAnsi="Arial"/>
                <w:sz w:val="14"/>
                <w:szCs w:val="14"/>
                <w:b w:val="1"/>
                <w:bCs w:val="1"/>
                <w:color w:val="auto"/>
              </w:rPr>
              <w:t>CRITERIA</w:t>
            </w:r>
          </w:p>
        </w:tc>
      </w:tr>
      <w:tr>
        <w:trPr>
          <w:trHeight w:val="217"/>
        </w:trPr>
        <w:tc>
          <w:tcPr>
            <w:tcW w:w="820" w:type="dxa"/>
            <w:vAlign w:val="bottom"/>
          </w:tcPr>
          <w:p>
            <w:pPr>
              <w:spacing w:after="0"/>
              <w:rPr>
                <w:sz w:val="20"/>
                <w:szCs w:val="20"/>
                <w:color w:val="auto"/>
              </w:rPr>
            </w:pPr>
            <w:r>
              <w:rPr>
                <w:rFonts w:ascii="Arial" w:cs="Arial" w:eastAsia="Arial" w:hAnsi="Arial"/>
                <w:sz w:val="18"/>
                <w:szCs w:val="18"/>
                <w:color w:val="auto"/>
              </w:rPr>
              <w:t>[*****]</w:t>
            </w:r>
          </w:p>
        </w:tc>
        <w:tc>
          <w:tcPr>
            <w:tcW w:w="62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350"/>
        </w:trPr>
        <w:tc>
          <w:tcPr>
            <w:tcW w:w="820" w:type="dxa"/>
            <w:vAlign w:val="bottom"/>
          </w:tcPr>
          <w:p>
            <w:pPr>
              <w:spacing w:after="0"/>
              <w:rPr>
                <w:sz w:val="24"/>
                <w:szCs w:val="24"/>
                <w:color w:val="auto"/>
              </w:rPr>
            </w:pPr>
          </w:p>
        </w:tc>
        <w:tc>
          <w:tcPr>
            <w:tcW w:w="6940" w:type="dxa"/>
            <w:vAlign w:val="bottom"/>
            <w:gridSpan w:val="2"/>
          </w:tcPr>
          <w:p>
            <w:pPr>
              <w:jc w:val="center"/>
              <w:ind w:right="750"/>
              <w:spacing w:after="0"/>
              <w:rPr>
                <w:sz w:val="20"/>
                <w:szCs w:val="20"/>
                <w:color w:val="auto"/>
              </w:rPr>
            </w:pPr>
            <w:r>
              <w:rPr>
                <w:rFonts w:ascii="Arial" w:cs="Arial" w:eastAsia="Arial" w:hAnsi="Arial"/>
                <w:sz w:val="18"/>
                <w:szCs w:val="18"/>
                <w:color w:val="auto"/>
                <w:w w:val="86"/>
              </w:rPr>
              <w:t>Page 44</w:t>
            </w:r>
          </w:p>
        </w:tc>
      </w:tr>
    </w:tbl>
    <w:p>
      <w:pPr>
        <w:sectPr>
          <w:pgSz w:w="11900" w:h="16838" w:orient="portrait"/>
          <w:cols w:equalWidth="0" w:num="1">
            <w:col w:w="10220"/>
          </w:cols>
          <w:pgMar w:left="1440" w:top="269" w:right="239" w:bottom="1440" w:gutter="0" w:footer="0" w:header="0"/>
        </w:sectPr>
      </w:pPr>
    </w:p>
    <w:bookmarkStart w:id="498" w:name="page499"/>
    <w:bookmarkEnd w:id="4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FILING COUNTRY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20"/>
          </w:cols>
          <w:pgMar w:left="240" w:top="270" w:right="239" w:bottom="1440" w:gutter="0" w:footer="0" w:header="0"/>
        </w:sectPr>
      </w:pPr>
    </w:p>
    <w:bookmarkStart w:id="499" w:name="page500"/>
    <w:bookmarkEnd w:id="4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00" w:type="dxa"/>
            <w:vAlign w:val="bottom"/>
            <w:gridSpan w:val="3"/>
          </w:tcPr>
          <w:p>
            <w:pPr>
              <w:jc w:val="center"/>
              <w:ind w:right="2990"/>
              <w:spacing w:after="0"/>
              <w:rPr>
                <w:sz w:val="20"/>
                <w:szCs w:val="20"/>
                <w:color w:val="auto"/>
              </w:rPr>
            </w:pPr>
            <w:r>
              <w:rPr>
                <w:rFonts w:ascii="Arial" w:cs="Arial" w:eastAsia="Arial" w:hAnsi="Arial"/>
                <w:sz w:val="18"/>
                <w:szCs w:val="18"/>
                <w:b w:val="1"/>
                <w:bCs w:val="1"/>
                <w:color w:val="auto"/>
                <w:w w:val="98"/>
              </w:rPr>
              <w:t>APPENDIX 3</w:t>
            </w:r>
          </w:p>
        </w:tc>
      </w:tr>
      <w:tr>
        <w:trPr>
          <w:trHeight w:val="392"/>
        </w:trPr>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00" w:type="dxa"/>
            <w:vAlign w:val="bottom"/>
            <w:gridSpan w:val="3"/>
          </w:tcPr>
          <w:p>
            <w:pPr>
              <w:jc w:val="center"/>
              <w:ind w:right="2990"/>
              <w:spacing w:after="0"/>
              <w:rPr>
                <w:sz w:val="20"/>
                <w:szCs w:val="20"/>
                <w:color w:val="auto"/>
              </w:rPr>
            </w:pPr>
            <w:r>
              <w:rPr>
                <w:rFonts w:ascii="Arial" w:cs="Arial" w:eastAsia="Arial" w:hAnsi="Arial"/>
                <w:sz w:val="18"/>
                <w:szCs w:val="18"/>
                <w:b w:val="1"/>
                <w:bCs w:val="1"/>
                <w:color w:val="auto"/>
                <w:w w:val="91"/>
              </w:rPr>
              <w:t>Initial Research Plan</w:t>
            </w:r>
          </w:p>
        </w:tc>
      </w:tr>
      <w:tr>
        <w:trPr>
          <w:trHeight w:val="412"/>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Profiling of Lead Candidates</w:t>
            </w:r>
          </w:p>
        </w:tc>
        <w:tc>
          <w:tcPr>
            <w:tcW w:w="2800" w:type="dxa"/>
            <w:vAlign w:val="bottom"/>
            <w:gridSpan w:val="2"/>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1840" w:type="dxa"/>
            <w:vAlign w:val="bottom"/>
          </w:tcPr>
          <w:p>
            <w:pPr>
              <w:spacing w:after="0"/>
              <w:rPr>
                <w:sz w:val="24"/>
                <w:szCs w:val="24"/>
                <w:color w:val="auto"/>
              </w:rPr>
            </w:pPr>
          </w:p>
        </w:tc>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Task</w:t>
            </w:r>
          </w:p>
        </w:tc>
        <w:tc>
          <w:tcPr>
            <w:tcW w:w="2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80" w:type="dxa"/>
            <w:vAlign w:val="bottom"/>
            <w:gridSpan w:val="2"/>
          </w:tcPr>
          <w:p>
            <w:pPr>
              <w:jc w:val="center"/>
              <w:ind w:left="1988"/>
              <w:spacing w:after="0"/>
              <w:rPr>
                <w:sz w:val="20"/>
                <w:szCs w:val="20"/>
                <w:color w:val="auto"/>
              </w:rPr>
            </w:pPr>
            <w:r>
              <w:rPr>
                <w:rFonts w:ascii="Arial" w:cs="Arial" w:eastAsia="Arial" w:hAnsi="Arial"/>
                <w:sz w:val="14"/>
                <w:szCs w:val="14"/>
                <w:b w:val="1"/>
                <w:bCs w:val="1"/>
                <w:color w:val="auto"/>
                <w:w w:val="96"/>
              </w:rPr>
              <w:t>Time (months)*</w:t>
            </w:r>
          </w:p>
        </w:tc>
      </w:tr>
      <w:tr>
        <w:trPr>
          <w:trHeight w:val="189"/>
        </w:trPr>
        <w:tc>
          <w:tcPr>
            <w:tcW w:w="1840" w:type="dxa"/>
            <w:vAlign w:val="bottom"/>
          </w:tcPr>
          <w:p>
            <w:pPr>
              <w:spacing w:after="0"/>
              <w:rPr>
                <w:sz w:val="16"/>
                <w:szCs w:val="16"/>
                <w:color w:val="auto"/>
              </w:rPr>
            </w:pPr>
          </w:p>
        </w:tc>
        <w:tc>
          <w:tcPr>
            <w:tcW w:w="3060" w:type="dxa"/>
            <w:vAlign w:val="bottom"/>
            <w:gridSpan w:val="3"/>
          </w:tcPr>
          <w:p>
            <w:pPr>
              <w:spacing w:after="0" w:line="189" w:lineRule="exact"/>
              <w:rPr>
                <w:sz w:val="20"/>
                <w:szCs w:val="20"/>
                <w:color w:val="auto"/>
              </w:rPr>
            </w:pPr>
            <w:r>
              <w:rPr>
                <w:rFonts w:ascii="Arial" w:cs="Arial" w:eastAsia="Arial" w:hAnsi="Arial"/>
                <w:sz w:val="18"/>
                <w:szCs w:val="18"/>
                <w:color w:val="auto"/>
              </w:rPr>
              <w:t>[*****]</w:t>
            </w:r>
          </w:p>
        </w:tc>
        <w:tc>
          <w:tcPr>
            <w:tcW w:w="1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r>
      <w:tr>
        <w:trPr>
          <w:trHeight w:val="216"/>
        </w:trPr>
        <w:tc>
          <w:tcPr>
            <w:tcW w:w="184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Candidate(s) selection</w:t>
            </w:r>
          </w:p>
        </w:tc>
        <w:tc>
          <w:tcPr>
            <w:tcW w:w="1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900" w:type="dxa"/>
            <w:vAlign w:val="bottom"/>
            <w:gridSpan w:val="4"/>
          </w:tcPr>
          <w:p>
            <w:pPr>
              <w:ind w:left="1840"/>
              <w:spacing w:after="0"/>
              <w:rPr>
                <w:sz w:val="20"/>
                <w:szCs w:val="20"/>
                <w:color w:val="auto"/>
              </w:rPr>
            </w:pPr>
            <w:r>
              <w:rPr>
                <w:rFonts w:ascii="Arial" w:cs="Arial" w:eastAsia="Arial" w:hAnsi="Arial"/>
                <w:sz w:val="18"/>
                <w:szCs w:val="18"/>
                <w:color w:val="auto"/>
              </w:rPr>
              <w:t>[*****]</w:t>
            </w:r>
          </w:p>
        </w:tc>
        <w:tc>
          <w:tcPr>
            <w:tcW w:w="4700" w:type="dxa"/>
            <w:vAlign w:val="bottom"/>
            <w:gridSpan w:val="3"/>
          </w:tcPr>
          <w:p>
            <w:pPr>
              <w:jc w:val="center"/>
              <w:ind w:left="3610"/>
              <w:spacing w:after="0"/>
              <w:rPr>
                <w:sz w:val="20"/>
                <w:szCs w:val="20"/>
                <w:color w:val="auto"/>
              </w:rPr>
            </w:pPr>
            <w:r>
              <w:rPr>
                <w:rFonts w:ascii="Arial" w:cs="Arial" w:eastAsia="Arial" w:hAnsi="Arial"/>
                <w:sz w:val="18"/>
                <w:szCs w:val="18"/>
                <w:color w:val="auto"/>
              </w:rPr>
              <w:t>[*****]</w:t>
            </w:r>
          </w:p>
        </w:tc>
      </w:tr>
      <w:tr>
        <w:trPr>
          <w:trHeight w:val="459"/>
        </w:trPr>
        <w:tc>
          <w:tcPr>
            <w:tcW w:w="1840" w:type="dxa"/>
            <w:vAlign w:val="bottom"/>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5"/>
        </w:trPr>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00" w:type="dxa"/>
            <w:vAlign w:val="bottom"/>
            <w:gridSpan w:val="3"/>
          </w:tcPr>
          <w:p>
            <w:pPr>
              <w:jc w:val="center"/>
              <w:ind w:right="2990"/>
              <w:spacing w:after="0"/>
              <w:rPr>
                <w:sz w:val="20"/>
                <w:szCs w:val="20"/>
                <w:color w:val="auto"/>
              </w:rPr>
            </w:pPr>
            <w:r>
              <w:rPr>
                <w:rFonts w:ascii="Arial" w:cs="Arial" w:eastAsia="Arial" w:hAnsi="Arial"/>
                <w:sz w:val="18"/>
                <w:szCs w:val="18"/>
                <w:color w:val="auto"/>
                <w:w w:val="86"/>
              </w:rPr>
              <w:t>Page 46</w:t>
            </w:r>
          </w:p>
        </w:tc>
      </w:tr>
    </w:tbl>
    <w:p>
      <w:pPr>
        <w:sectPr>
          <w:pgSz w:w="11900" w:h="16838" w:orient="portrait"/>
          <w:cols w:equalWidth="0" w:num="1">
            <w:col w:w="11420"/>
          </w:cols>
          <w:pgMar w:left="240" w:top="270" w:right="239" w:bottom="1440" w:gutter="0" w:footer="0" w:header="0"/>
        </w:sectPr>
      </w:pPr>
    </w:p>
    <w:bookmarkStart w:id="500" w:name="page501"/>
    <w:bookmarkEnd w:id="5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57"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420"/>
          </w:cols>
          <w:pgMar w:left="240" w:top="269" w:right="239" w:bottom="1440" w:gutter="0" w:footer="0" w:header="0"/>
        </w:sectPr>
      </w:pPr>
    </w:p>
    <w:bookmarkStart w:id="501" w:name="page502"/>
    <w:bookmarkEnd w:id="501"/>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CONFIDENTIAL TREATMENT REQUESTED UNDER RULE 406</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7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LICENSE, DEVELOPMENT AND COMMERCIALIZATION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JANSSEN PHARMACEUTICALS, INC.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AC IMMUNE SA</w:t>
      </w:r>
    </w:p>
    <w:p>
      <w:pPr>
        <w:sectPr>
          <w:pgSz w:w="11900" w:h="16838" w:orient="portrait"/>
          <w:cols w:equalWidth="0" w:num="1">
            <w:col w:w="10220"/>
          </w:cols>
          <w:pgMar w:left="1440" w:top="121" w:right="239" w:bottom="1440" w:gutter="0" w:footer="0" w:header="0"/>
        </w:sectPr>
      </w:pPr>
    </w:p>
    <w:bookmarkStart w:id="502" w:name="page503"/>
    <w:bookmarkEnd w:id="50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LICENSE, DEVELOPMENT AND COMMERCIALIZATION AGREEMENT</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This license, development and commercialization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dated December 24, 2014 and is between Janssen Pharmaceuticals, Inc., a Pennsylvania company (“Janssen”) and AC Immune SA, a Swiss company (“</w:t>
      </w:r>
      <w:r>
        <w:rPr>
          <w:rFonts w:ascii="Arial" w:cs="Arial" w:eastAsia="Arial" w:hAnsi="Arial"/>
          <w:sz w:val="18"/>
          <w:szCs w:val="18"/>
          <w:b w:val="1"/>
          <w:bCs w:val="1"/>
          <w:color w:val="auto"/>
        </w:rPr>
        <w:t>ACI</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ACI conducts research and develops therapeutics for the treatment of proteinopathy diseases including Alzheimer’s disease and other neurological disorders.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ACI has identified Tau specific peptides (“Tau peptides”)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Janssen develops and commercializes therapeutics in areas that include neurological disorders and wants to further develop and commercialize ACI’s Tau peptide-based vaccines which have desirable efficacy and safety.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parties want to conduct joint research to identify and develop Tau peptides for use as vaccines and have Janssen commercialize such Tau peptide-based vaccines which have desirable efficacy and safety.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parties therefore agree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DEFINITIONS</w:t>
      </w:r>
    </w:p>
    <w:p>
      <w:pPr>
        <w:spacing w:after="0" w:line="131" w:lineRule="exact"/>
        <w:rPr>
          <w:sz w:val="20"/>
          <w:szCs w:val="20"/>
          <w:color w:val="auto"/>
        </w:rPr>
      </w:pPr>
    </w:p>
    <w:p>
      <w:pPr>
        <w:ind w:left="580" w:right="2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ACI Know-How</w:t>
      </w:r>
      <w:r>
        <w:rPr>
          <w:rFonts w:ascii="Arial" w:cs="Arial" w:eastAsia="Arial" w:hAnsi="Arial"/>
          <w:sz w:val="18"/>
          <w:szCs w:val="18"/>
          <w:color w:val="auto"/>
        </w:rPr>
        <w:t xml:space="preserve">” means all information, materials, Inventions and trade secrets, not generally known to the public, that do not fall within the ACI Patent Rights, and that are Controlled by ACI or any of its Affiliates (a) (i) as of the Effective Date, or (ii) are discovered, created or developed, in the course of ACI’s performance of activities under this Agreement, and (b) are related to the Research, Development, use, Manufacture or Commercialization of any Product;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term “ACI Know-How” [*****].</w:t>
      </w:r>
    </w:p>
    <w:p>
      <w:pPr>
        <w:spacing w:after="0" w:line="85" w:lineRule="exact"/>
        <w:rPr>
          <w:sz w:val="20"/>
          <w:szCs w:val="20"/>
          <w:color w:val="auto"/>
        </w:rPr>
      </w:pPr>
    </w:p>
    <w:p>
      <w:pPr>
        <w:ind w:left="580" w:right="32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ACI Patent Rights</w:t>
      </w:r>
      <w:r>
        <w:rPr>
          <w:rFonts w:ascii="Arial" w:cs="Arial" w:eastAsia="Arial" w:hAnsi="Arial"/>
          <w:sz w:val="18"/>
          <w:szCs w:val="18"/>
          <w:color w:val="auto"/>
        </w:rPr>
        <w:t xml:space="preserve">” means all Patent Rights Controlled by ACI or any of its Affiliates that would be infringed by the making, using, selling, offering for sale, or import of a Product, but for the licenses granted in this Agreement. ACI Patent Rights as of the Effective Date are set forth on </w:t>
      </w:r>
      <w:r>
        <w:rPr>
          <w:rFonts w:ascii="Arial" w:cs="Arial" w:eastAsia="Arial" w:hAnsi="Arial"/>
          <w:sz w:val="18"/>
          <w:szCs w:val="18"/>
          <w:u w:val="single" w:color="auto"/>
          <w:color w:val="auto"/>
        </w:rPr>
        <w:t>Schedule 10.1.5</w:t>
      </w:r>
      <w:r>
        <w:rPr>
          <w:rFonts w:ascii="Arial" w:cs="Arial" w:eastAsia="Arial" w:hAnsi="Arial"/>
          <w:sz w:val="18"/>
          <w:szCs w:val="18"/>
          <w:color w:val="auto"/>
        </w:rPr>
        <w:t>.</w:t>
      </w:r>
    </w:p>
    <w:p>
      <w:pPr>
        <w:spacing w:after="0" w:line="82" w:lineRule="exact"/>
        <w:rPr>
          <w:sz w:val="20"/>
          <w:szCs w:val="20"/>
          <w:color w:val="auto"/>
        </w:rPr>
      </w:pPr>
    </w:p>
    <w:p>
      <w:pPr>
        <w:ind w:left="580" w:right="6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AD Indication</w:t>
      </w:r>
      <w:r>
        <w:rPr>
          <w:rFonts w:ascii="Arial" w:cs="Arial" w:eastAsia="Arial" w:hAnsi="Arial"/>
          <w:sz w:val="18"/>
          <w:szCs w:val="18"/>
          <w:color w:val="auto"/>
        </w:rPr>
        <w:t>” means any Alzheimer’s disease (AD) Indication listed under the header “INDICATIONS AND USAGE” of a Product’s approved label upon Regulatory Approval for the Product by a Regulatory Authority, including any patient group, population or subpopulation, including but not limited to an indication for preclinical or asymptomatic at risk, prodromal or mild cognitive impairment due to AD, mild, moderate or severe AD, familial AD, AD with mixed pathology or mixed AD with cardiovascular dementia.</w:t>
      </w:r>
    </w:p>
    <w:p>
      <w:pPr>
        <w:spacing w:after="0" w:line="86" w:lineRule="exact"/>
        <w:rPr>
          <w:sz w:val="20"/>
          <w:szCs w:val="20"/>
          <w:color w:val="auto"/>
        </w:rPr>
      </w:pPr>
    </w:p>
    <w:p>
      <w:pPr>
        <w:ind w:left="580" w:hanging="566"/>
        <w:spacing w:after="0" w:line="274" w:lineRule="auto"/>
        <w:tabs>
          <w:tab w:leader="none" w:pos="5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that directly or indirectly controls, is controlled by or is under direct or indirect common control with, such person. For purposes of this section 1.4, the term “control” means the possession, direct or indirect, of the power to direct or cause the direction of the management and policies of a person, whether through the ownership of voting securities, by contract or otherwise. Control of any person by another person will be presumed if fifty percent (50%) or more of the securities or other ownership interests representing the equity, the voting stock or general partnership interest of the first person are owned, controlled or held, directly or indirectly, by the other person, or by an Affiliate of the other person. A person, for the purpose of this definition, means any individual,</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503" w:name="page504"/>
    <w:bookmarkEnd w:id="50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corporation, partnership, association, joint-stock company, trust, unincorporated organization or government or political subdivision thereof.</w:t>
      </w:r>
    </w:p>
    <w:p>
      <w:pPr>
        <w:spacing w:after="0" w:line="138" w:lineRule="exact"/>
        <w:rPr>
          <w:sz w:val="20"/>
          <w:szCs w:val="20"/>
          <w:color w:val="auto"/>
        </w:rPr>
      </w:pPr>
    </w:p>
    <w:p>
      <w:pPr>
        <w:ind w:left="580" w:right="40" w:hanging="566"/>
        <w:spacing w:after="0" w:line="255" w:lineRule="auto"/>
        <w:tabs>
          <w:tab w:leader="none" w:pos="5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Biosimilar Product</w:t>
      </w:r>
      <w:r>
        <w:rPr>
          <w:rFonts w:ascii="Arial" w:cs="Arial" w:eastAsia="Arial" w:hAnsi="Arial"/>
          <w:sz w:val="18"/>
          <w:szCs w:val="18"/>
          <w:color w:val="auto"/>
        </w:rPr>
        <w:t>” means: (a) in respect of a Product sold in the United States, a biological product approved under the Public Health Service Act 351(k) that is highly similar to such Product, notwithstanding minor differences in clinically inactive components, and for which there are no clinically meaningful differences between the biosimilar and the Product in terms of the safety, purity and potency; (b) in respect of a Product sold in the EU, a biological product approved under Article 10(4) of Directive 2001/83/EC and Section 4, Part II, Annex I to such Directive based on the demonstration of the similar nature of such biological medicinal product and Product; and (c) in respect of a Product sold outside the United States and the EU, a biological product approved under a similar regulatory pathway as in the United States and in the European Union, if such pathway exists.</w:t>
      </w:r>
    </w:p>
    <w:p>
      <w:pPr>
        <w:spacing w:after="0" w:line="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BLA</w:t>
      </w:r>
      <w:r>
        <w:rPr>
          <w:rFonts w:ascii="Arial" w:cs="Arial" w:eastAsia="Arial" w:hAnsi="Arial"/>
          <w:sz w:val="16"/>
          <w:szCs w:val="16"/>
          <w:color w:val="auto"/>
        </w:rPr>
        <w:t>” means a biologics license application, or similar application, submitted to a Regulatory Authority.</w:t>
      </w:r>
    </w:p>
    <w:p>
      <w:pPr>
        <w:spacing w:after="0" w:line="131" w:lineRule="exact"/>
        <w:rPr>
          <w:sz w:val="20"/>
          <w:szCs w:val="20"/>
          <w:color w:val="auto"/>
        </w:rPr>
      </w:pPr>
    </w:p>
    <w:p>
      <w:pPr>
        <w:ind w:left="580" w:hanging="566"/>
        <w:spacing w:after="0" w:line="314" w:lineRule="auto"/>
        <w:tabs>
          <w:tab w:leader="none" w:pos="5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Quarter</w:t>
      </w:r>
      <w:r>
        <w:rPr>
          <w:rFonts w:ascii="Arial" w:cs="Arial" w:eastAsia="Arial" w:hAnsi="Arial"/>
          <w:sz w:val="16"/>
          <w:szCs w:val="16"/>
          <w:color w:val="auto"/>
        </w:rPr>
        <w:t xml:space="preserve">” means a calendar quarter during any Calendar Year based on the J&amp;J Universal Calendar (pursuant to </w:t>
      </w:r>
      <w:r>
        <w:rPr>
          <w:rFonts w:ascii="Arial" w:cs="Arial" w:eastAsia="Arial" w:hAnsi="Arial"/>
          <w:sz w:val="16"/>
          <w:szCs w:val="16"/>
          <w:u w:val="single" w:color="auto"/>
          <w:color w:val="auto"/>
        </w:rPr>
        <w:t>Schedule 1.7</w:t>
      </w:r>
      <w:r>
        <w:rPr>
          <w:rFonts w:ascii="Arial" w:cs="Arial" w:eastAsia="Arial" w:hAnsi="Arial"/>
          <w:sz w:val="16"/>
          <w:szCs w:val="16"/>
          <w:color w:val="auto"/>
        </w:rPr>
        <w:t>) for that year consistent with the J&amp;J Universal Calendar used for Janssen’s internal business purposes; provided, however that the last Calendar Quarter under this Agreement will extend from the first day of such Calendar Quarter until the effective date of the termination or expiration of this Agreement.</w:t>
      </w:r>
    </w:p>
    <w:p>
      <w:pPr>
        <w:spacing w:after="0" w:line="48" w:lineRule="exact"/>
        <w:rPr>
          <w:sz w:val="20"/>
          <w:szCs w:val="20"/>
          <w:color w:val="auto"/>
        </w:rPr>
      </w:pPr>
    </w:p>
    <w:p>
      <w:pPr>
        <w:ind w:left="580" w:right="20" w:hanging="566"/>
        <w:spacing w:after="0" w:line="289" w:lineRule="auto"/>
        <w:tabs>
          <w:tab w:leader="none" w:pos="5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Calendar Year</w:t>
      </w:r>
      <w:r>
        <w:rPr>
          <w:rFonts w:ascii="Arial" w:cs="Arial" w:eastAsia="Arial" w:hAnsi="Arial"/>
          <w:sz w:val="17"/>
          <w:szCs w:val="17"/>
          <w:color w:val="auto"/>
        </w:rPr>
        <w:t>” means a calendar year during the term of this Agreement based on the J&amp;J Universal Calendar for that year consistent with the J&amp;J Universal Calendar used for Janssen’s internal business purposes; provided, however that the last Calendar Year under this Agreement will extend from the first day of such Calendar Year until the effective date of the termination or expiration of this Agreement.</w:t>
      </w:r>
    </w:p>
    <w:p>
      <w:pPr>
        <w:spacing w:after="0" w:line="64" w:lineRule="exact"/>
        <w:rPr>
          <w:sz w:val="20"/>
          <w:szCs w:val="20"/>
          <w:color w:val="auto"/>
        </w:rPr>
      </w:pPr>
    </w:p>
    <w:p>
      <w:pPr>
        <w:ind w:left="580" w:right="120" w:hanging="566"/>
        <w:spacing w:after="0" w:line="256" w:lineRule="auto"/>
        <w:tabs>
          <w:tab w:leader="none" w:pos="5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cGCP</w:t>
      </w:r>
      <w:r>
        <w:rPr>
          <w:rFonts w:ascii="Arial" w:cs="Arial" w:eastAsia="Arial" w:hAnsi="Arial"/>
          <w:sz w:val="18"/>
          <w:szCs w:val="18"/>
          <w:color w:val="auto"/>
        </w:rPr>
        <w:t>” means the current Good Clinical Practice standards for the design, conduct, performance, monitoring, auditing, recording, analysis, and reporting of clinical trials, including: (a) the requirements in Parts 11, 50, 54, 56, 312, and 314 of Title 21 of the Code of Federal Regulations and all related guidance published by the FDA, that provide assurance that the data and reported results are credible and accurate, and that the rights, integrity, and confidentiality of trial subjects are protected, (b) as required by Law in countries other than the United States where Clinical Trials are conducted, and (c) as required by Law in countries other than the United States where data from Clinical Trials conducted in other countries may be used for Regulatory Approval.</w:t>
      </w:r>
    </w:p>
    <w:p>
      <w:pPr>
        <w:spacing w:after="0" w:line="93" w:lineRule="exact"/>
        <w:rPr>
          <w:sz w:val="20"/>
          <w:szCs w:val="20"/>
          <w:color w:val="auto"/>
        </w:rPr>
      </w:pPr>
    </w:p>
    <w:p>
      <w:pPr>
        <w:ind w:left="580" w:right="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cGLP</w:t>
      </w:r>
      <w:r>
        <w:rPr>
          <w:rFonts w:ascii="Arial" w:cs="Arial" w:eastAsia="Arial" w:hAnsi="Arial"/>
          <w:sz w:val="18"/>
          <w:szCs w:val="18"/>
          <w:color w:val="auto"/>
        </w:rPr>
        <w:t>” means the current Good Laboratory Practices (a) the requirements in Part 58 of Title 21 of the Code of Federal Regulations and all related guidance published by the FDA, (b) as required by Law in countries other than the United States where non-clinical laboratory studies are conducted, and (c) as required by Law in countries other than the United States where data from non-clinical laboratory studies conducted in other countries may be used to obtain Regulatory Approval.</w:t>
      </w:r>
    </w:p>
    <w:p>
      <w:pPr>
        <w:spacing w:after="0" w:line="86" w:lineRule="exact"/>
        <w:rPr>
          <w:sz w:val="20"/>
          <w:szCs w:val="20"/>
          <w:color w:val="auto"/>
        </w:rPr>
      </w:pPr>
    </w:p>
    <w:p>
      <w:pPr>
        <w:ind w:left="580" w:right="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cGMP</w:t>
      </w:r>
      <w:r>
        <w:rPr>
          <w:rFonts w:ascii="Arial" w:cs="Arial" w:eastAsia="Arial" w:hAnsi="Arial"/>
          <w:sz w:val="18"/>
          <w:szCs w:val="18"/>
          <w:color w:val="auto"/>
        </w:rPr>
        <w:t>” means the current practices for the Manufacture of Peptide or Product required: (a) if the Peptide or Product is to be supplied to a region covered by The International Conference on Harmonization of Technical Requirements for Registration of Pharmaceuticals for Human Use (“</w:t>
      </w:r>
      <w:r>
        <w:rPr>
          <w:rFonts w:ascii="Arial" w:cs="Arial" w:eastAsia="Arial" w:hAnsi="Arial"/>
          <w:sz w:val="18"/>
          <w:szCs w:val="18"/>
          <w:u w:val="single" w:color="auto"/>
          <w:color w:val="auto"/>
        </w:rPr>
        <w:t>ICH</w:t>
      </w:r>
      <w:r>
        <w:rPr>
          <w:rFonts w:ascii="Arial" w:cs="Arial" w:eastAsia="Arial" w:hAnsi="Arial"/>
          <w:sz w:val="18"/>
          <w:szCs w:val="18"/>
          <w:color w:val="auto"/>
        </w:rPr>
        <w:t>”), by the relevant ICH Quality Guidelines relating to good manufacturing practice; (b) if the manufacturing site is within the European Union or if the Peptide or Product is to be supplied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504" w:name="page505"/>
    <w:bookmarkEnd w:id="50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20"/>
        <w:spacing w:after="0" w:line="270" w:lineRule="auto"/>
        <w:rPr>
          <w:sz w:val="20"/>
          <w:szCs w:val="20"/>
          <w:color w:val="auto"/>
        </w:rPr>
      </w:pPr>
      <w:r>
        <w:rPr>
          <w:rFonts w:ascii="Arial" w:cs="Arial" w:eastAsia="Arial" w:hAnsi="Arial"/>
          <w:sz w:val="17"/>
          <w:szCs w:val="17"/>
          <w:color w:val="auto"/>
        </w:rPr>
        <w:t>to a country within the European Union, by the principles and guidelines of good manufacturing practice in respect of medicinal products as laid down by Directive 2003/94/EC and the associated guidance set out in EudraLex -Volume 4 of the Rules Governing Medicinal Products in the European Union entitled “EU Guidelines to Good Manufacturing Practice Medicinal Products for Human and Veterinary Use”; (c) if the manufacturing site is in the United States of America or if the Peptide or Product is to be supplied to a country regulated by the FDA, by Parts 11, 210 and 211 of Title 21 of the Code of Federal Regulations and all related guidance published by the FDA; and (d) if the Peptide or Product is to be supplied to any other country not falling within (a), (b), or (c) above, by Laws promulgated by any Governmental Authority having jurisdiction over the Manufacture of Peptide or Product or any component of any of the foregoing and any guidance documents promulgated by any Governmental Authority having jurisdiction over the Manufacture of Peptide or Product (including advisory opinions, compliance policy guides and guidelines) which guidance documents are being implemented within the pharmaceutical manufacturing industry.</w:t>
      </w:r>
    </w:p>
    <w:p>
      <w:pPr>
        <w:spacing w:after="0" w:line="83"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 transaction or series of related transactions that result in (a) the holders of outstanding voting securities of a Party immediately prior to such transaction ceasing to represent at least fifty percent (50%) of the combined outstanding voting power of the surviving entity immediately after such transaction; (b) any Third Party (other than a trustee or other fiduciary holding securities under an employee benefit plan) becoming the beneficial owner of fifty percent (50%) or more of the combined voting power of the outstanding securities of a Party; or (c) a sale or other disposition to a Third Party of all or substantially all of a Party’s assets or business.</w:t>
      </w:r>
    </w:p>
    <w:p>
      <w:pPr>
        <w:spacing w:after="0" w:line="74" w:lineRule="exact"/>
        <w:rPr>
          <w:sz w:val="20"/>
          <w:szCs w:val="20"/>
          <w:color w:val="auto"/>
        </w:rPr>
      </w:pPr>
    </w:p>
    <w:p>
      <w:pPr>
        <w:ind w:left="580" w:right="1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any research study of a therapeutic product with human subjects designed to provide specific data to determine either or both the safety and efficacy of such product.</w:t>
      </w:r>
    </w:p>
    <w:p>
      <w:pPr>
        <w:spacing w:after="0" w:line="67" w:lineRule="exact"/>
        <w:rPr>
          <w:sz w:val="20"/>
          <w:szCs w:val="20"/>
          <w:color w:val="auto"/>
        </w:rPr>
      </w:pPr>
    </w:p>
    <w:p>
      <w:pPr>
        <w:ind w:left="580" w:right="20" w:hanging="566"/>
        <w:spacing w:after="0" w:line="347" w:lineRule="auto"/>
        <w:tabs>
          <w:tab w:leader="none" w:pos="5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CMC Work Plan</w:t>
      </w:r>
      <w:r>
        <w:rPr>
          <w:rFonts w:ascii="Arial" w:cs="Arial" w:eastAsia="Arial" w:hAnsi="Arial"/>
          <w:sz w:val="16"/>
          <w:szCs w:val="16"/>
          <w:color w:val="auto"/>
        </w:rPr>
        <w:t>” means the chemistry, manufacturing and controls (CMC) activities to be conducted by ACI for the Product, as may be updated or amended from time to time in accordance with the terms of this Agreement. The initial CMC Work Plan is attached as Schedule 1.14.</w:t>
      </w:r>
    </w:p>
    <w:p>
      <w:pPr>
        <w:spacing w:after="0" w:line="22" w:lineRule="exact"/>
        <w:rPr>
          <w:sz w:val="20"/>
          <w:szCs w:val="20"/>
          <w:color w:val="auto"/>
        </w:rPr>
      </w:pPr>
    </w:p>
    <w:p>
      <w:pPr>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Commercialize</w:t>
      </w:r>
      <w:r>
        <w:rPr>
          <w:rFonts w:ascii="Arial" w:cs="Arial" w:eastAsia="Arial" w:hAnsi="Arial"/>
          <w:sz w:val="18"/>
          <w:szCs w:val="18"/>
          <w:color w:val="auto"/>
        </w:rPr>
        <w:t>” or “</w:t>
      </w:r>
      <w:r>
        <w:rPr>
          <w:rFonts w:ascii="Arial" w:cs="Arial" w:eastAsia="Arial" w:hAnsi="Arial"/>
          <w:sz w:val="18"/>
          <w:szCs w:val="18"/>
          <w:b w:val="1"/>
          <w:bCs w:val="1"/>
          <w:color w:val="auto"/>
        </w:rPr>
        <w:t>Commercialization</w:t>
      </w:r>
      <w:r>
        <w:rPr>
          <w:rFonts w:ascii="Arial" w:cs="Arial" w:eastAsia="Arial" w:hAnsi="Arial"/>
          <w:sz w:val="18"/>
          <w:szCs w:val="18"/>
          <w:color w:val="auto"/>
        </w:rPr>
        <w:t>” means any action directed to marketing, promoting, distributing, importing or selling a pharmaceutical product, obtaining pricing or reimbursement approvals for that product and Clinical Trials of a Product conducted after Regulatory Approval for that Product, including label expansion, pricing/reimbursement, epidemiological, modeling and pharmacoeconomic, voluntary post-marketing surveillance and health economics studies.</w:t>
      </w:r>
    </w:p>
    <w:p>
      <w:pPr>
        <w:spacing w:after="0" w:line="85" w:lineRule="exact"/>
        <w:rPr>
          <w:sz w:val="20"/>
          <w:szCs w:val="20"/>
          <w:color w:val="auto"/>
        </w:rPr>
      </w:pPr>
    </w:p>
    <w:p>
      <w:pPr>
        <w:ind w:left="580" w:right="1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information or data, including all scientific, pre-clinical, clinical, regulatory, manufacturing, marketing, financial and commercial information or data, whether communicated in writing, electronically or orally or by any other method, that is identified as confidential or, if disclosed orally, shall be confirmed in writing as being confidential within [*****] of its oral disclosure, which is provided by one Party to the other Party in connection with this Agreement.</w:t>
      </w:r>
    </w:p>
    <w:p>
      <w:pPr>
        <w:spacing w:after="0" w:line="86" w:lineRule="exact"/>
        <w:rPr>
          <w:sz w:val="20"/>
          <w:szCs w:val="20"/>
          <w:color w:val="auto"/>
        </w:rPr>
      </w:pPr>
    </w:p>
    <w:p>
      <w:pPr>
        <w:jc w:val="right"/>
        <w:ind w:right="120"/>
        <w:spacing w:after="0" w:line="276"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or “</w:t>
      </w:r>
      <w:r>
        <w:rPr>
          <w:rFonts w:ascii="Arial" w:cs="Arial" w:eastAsia="Arial" w:hAnsi="Arial"/>
          <w:sz w:val="17"/>
          <w:szCs w:val="17"/>
          <w:b w:val="1"/>
          <w:bCs w:val="1"/>
          <w:color w:val="auto"/>
        </w:rPr>
        <w:t>Controlled</w:t>
      </w:r>
      <w:r>
        <w:rPr>
          <w:rFonts w:ascii="Arial" w:cs="Arial" w:eastAsia="Arial" w:hAnsi="Arial"/>
          <w:sz w:val="17"/>
          <w:szCs w:val="17"/>
          <w:color w:val="auto"/>
        </w:rPr>
        <w:t>” means, with respect to intellectual property, the ownership or other legal authority or right of a Party to grant a license or</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 of intellectual property to the other Party (a) without violating the terms of any agreement or other arrangement with any Third Party, and</w:t>
      </w:r>
    </w:p>
    <w:p>
      <w:pPr>
        <w:spacing w:after="0" w:line="1" w:lineRule="exact"/>
        <w:rPr>
          <w:sz w:val="20"/>
          <w:szCs w:val="20"/>
          <w:color w:val="auto"/>
        </w:rPr>
      </w:pPr>
    </w:p>
    <w:p>
      <w:pPr>
        <w:jc w:val="both"/>
        <w:ind w:left="580" w:right="40" w:hanging="5"/>
        <w:spacing w:after="0" w:line="255" w:lineRule="auto"/>
        <w:tabs>
          <w:tab w:leader="none" w:pos="83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without being required to make any additional payment or royalties to a Third Party in connection with such license or sublicense unless the other Party agrees to pay the additional payments or royalties to the Third Party. In the case of a Change of Control of ACI or an ACI Business Acquisition, or restructuring of ACI business, then with respect to any rights granted by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505" w:name="page506"/>
    <w:bookmarkEnd w:id="5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80"/>
        <w:spacing w:after="0" w:line="264" w:lineRule="auto"/>
        <w:rPr>
          <w:sz w:val="20"/>
          <w:szCs w:val="20"/>
          <w:color w:val="auto"/>
        </w:rPr>
      </w:pPr>
      <w:r>
        <w:rPr>
          <w:rFonts w:ascii="Arial" w:cs="Arial" w:eastAsia="Arial" w:hAnsi="Arial"/>
          <w:sz w:val="18"/>
          <w:szCs w:val="18"/>
          <w:color w:val="auto"/>
        </w:rPr>
        <w:t>ACI under this Agreement, “Controlled” shall not include, and the applicable license grant shall not include within its scope, the intellectual property of the surviving entity, or acquirer or Affiliate of the surviving entity or acquirer, that was not ACI’s intellectual property prior to the Change of Control or ACI Business Acquisition.</w:t>
      </w:r>
    </w:p>
    <w:p>
      <w:pPr>
        <w:spacing w:after="0" w:line="83" w:lineRule="exact"/>
        <w:rPr>
          <w:sz w:val="20"/>
          <w:szCs w:val="20"/>
          <w:color w:val="auto"/>
        </w:rPr>
      </w:pPr>
    </w:p>
    <w:p>
      <w:pPr>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Currency Hedge Rate</w:t>
      </w:r>
      <w:r>
        <w:rPr>
          <w:rFonts w:ascii="Arial" w:cs="Arial" w:eastAsia="Arial" w:hAnsi="Arial"/>
          <w:sz w:val="18"/>
          <w:szCs w:val="18"/>
          <w:color w:val="auto"/>
        </w:rPr>
        <w:t>” means the weighted average hedge rate of the outstanding external foreign currency forward hedge contract(s) of Johnson &amp; Johnson’s Global Treasury Services Center (“</w:t>
      </w:r>
      <w:r>
        <w:rPr>
          <w:rFonts w:ascii="Arial" w:cs="Arial" w:eastAsia="Arial" w:hAnsi="Arial"/>
          <w:sz w:val="18"/>
          <w:szCs w:val="18"/>
          <w:b w:val="1"/>
          <w:bCs w:val="1"/>
          <w:color w:val="auto"/>
        </w:rPr>
        <w:t>GTSC</w:t>
      </w:r>
      <w:r>
        <w:rPr>
          <w:rFonts w:ascii="Arial" w:cs="Arial" w:eastAsia="Arial" w:hAnsi="Arial"/>
          <w:sz w:val="18"/>
          <w:szCs w:val="18"/>
          <w:color w:val="auto"/>
        </w:rPr>
        <w:t>”) and its Affiliates with Third Party banks. The hedge contract(s) is entered into to protect the transactional foreign exchange risk exposures of Janssen by reducing the impact of foreign currency volatility through a systematic build-up of yearly currency hedge rates.</w:t>
      </w:r>
    </w:p>
    <w:p>
      <w:pPr>
        <w:spacing w:after="0" w:line="86" w:lineRule="exact"/>
        <w:rPr>
          <w:sz w:val="20"/>
          <w:szCs w:val="20"/>
          <w:color w:val="auto"/>
        </w:rPr>
      </w:pPr>
    </w:p>
    <w:p>
      <w:pPr>
        <w:ind w:left="580" w:right="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w:t>
      </w:r>
      <w:r>
        <w:rPr>
          <w:rFonts w:ascii="Arial" w:cs="Arial" w:eastAsia="Arial" w:hAnsi="Arial"/>
          <w:sz w:val="18"/>
          <w:szCs w:val="18"/>
          <w:color w:val="auto"/>
        </w:rPr>
        <w:t>” or “</w:t>
      </w:r>
      <w:r>
        <w:rPr>
          <w:rFonts w:ascii="Arial" w:cs="Arial" w:eastAsia="Arial" w:hAnsi="Arial"/>
          <w:sz w:val="18"/>
          <w:szCs w:val="18"/>
          <w:b w:val="1"/>
          <w:bCs w:val="1"/>
          <w:color w:val="auto"/>
        </w:rPr>
        <w:t>Develop</w:t>
      </w:r>
      <w:r>
        <w:rPr>
          <w:rFonts w:ascii="Arial" w:cs="Arial" w:eastAsia="Arial" w:hAnsi="Arial"/>
          <w:sz w:val="18"/>
          <w:szCs w:val="18"/>
          <w:color w:val="auto"/>
        </w:rPr>
        <w:t>” means any non-clinical and clinical drug development activities from the initiation of cGLP studies that are undertaken or planned in order to obtain or maintain Regulatory Approval.</w:t>
      </w:r>
    </w:p>
    <w:p>
      <w:pPr>
        <w:spacing w:after="0" w:line="67" w:lineRule="exact"/>
        <w:rPr>
          <w:sz w:val="20"/>
          <w:szCs w:val="20"/>
          <w:color w:val="auto"/>
        </w:rPr>
      </w:pPr>
    </w:p>
    <w:p>
      <w:pPr>
        <w:ind w:left="580" w:right="100" w:hanging="566"/>
        <w:spacing w:after="0" w:line="313" w:lineRule="auto"/>
        <w:tabs>
          <w:tab w:leader="none" w:pos="56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Development Plan</w:t>
      </w:r>
      <w:r>
        <w:rPr>
          <w:rFonts w:ascii="Arial" w:cs="Arial" w:eastAsia="Arial" w:hAnsi="Arial"/>
          <w:sz w:val="17"/>
          <w:szCs w:val="17"/>
          <w:color w:val="auto"/>
        </w:rPr>
        <w:t xml:space="preserve">” means the plan for the Development of Product as may be updated or amended from time to time in accordance with the terms of this Agreement. The initial Development Plan, which includes the Development activities and timeline, is attached as </w:t>
      </w:r>
      <w:r>
        <w:rPr>
          <w:rFonts w:ascii="Arial" w:cs="Arial" w:eastAsia="Arial" w:hAnsi="Arial"/>
          <w:sz w:val="17"/>
          <w:szCs w:val="17"/>
          <w:u w:val="single" w:color="auto"/>
          <w:color w:val="auto"/>
        </w:rPr>
        <w:t>Schedule 1.20</w:t>
      </w:r>
      <w:r>
        <w:rPr>
          <w:rFonts w:ascii="Arial" w:cs="Arial" w:eastAsia="Arial" w:hAnsi="Arial"/>
          <w:sz w:val="17"/>
          <w:szCs w:val="17"/>
          <w:color w:val="auto"/>
        </w:rPr>
        <w:t>.</w:t>
      </w:r>
    </w:p>
    <w:p>
      <w:pPr>
        <w:spacing w:after="0" w:line="44" w:lineRule="exact"/>
        <w:rPr>
          <w:sz w:val="20"/>
          <w:szCs w:val="20"/>
          <w:color w:val="auto"/>
        </w:rPr>
      </w:pPr>
    </w:p>
    <w:p>
      <w:pPr>
        <w:ind w:left="580" w:right="80" w:hanging="566"/>
        <w:spacing w:after="0" w:line="281" w:lineRule="auto"/>
        <w:tabs>
          <w:tab w:leader="none" w:pos="5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Diligent Efforts</w:t>
      </w:r>
      <w:r>
        <w:rPr>
          <w:rFonts w:ascii="Arial" w:cs="Arial" w:eastAsia="Arial" w:hAnsi="Arial"/>
          <w:sz w:val="17"/>
          <w:szCs w:val="17"/>
          <w:color w:val="auto"/>
        </w:rPr>
        <w:t>” means those efforts and resources reasonably and normally used in the development and commercialization by major pharmaceutical companies for a product that is of similar market potential, at a similar stage in its development or product life, and that has a similar potential market opportunity as the applicable Product, taking into account issues of safety, efficacy, target product profile and proprietary position of the Product, and other relevant regulatory, scientific, technical, business, marketing, and commercial factors.</w:t>
      </w:r>
    </w:p>
    <w:p>
      <w:pPr>
        <w:spacing w:after="0" w:line="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of the signature of the last Party to sign this Agreement.</w:t>
      </w:r>
    </w:p>
    <w:p>
      <w:pPr>
        <w:spacing w:after="0" w:line="131" w:lineRule="exact"/>
        <w:rPr>
          <w:sz w:val="20"/>
          <w:szCs w:val="20"/>
          <w:color w:val="auto"/>
        </w:rPr>
      </w:pPr>
    </w:p>
    <w:p>
      <w:pPr>
        <w:ind w:left="580" w:right="16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agency that is responsible for reviewing applications seeking approval for the sale of pharmaceuticals in the EU.</w:t>
      </w:r>
    </w:p>
    <w:p>
      <w:pPr>
        <w:spacing w:after="0" w:line="67" w:lineRule="exact"/>
        <w:rPr>
          <w:sz w:val="20"/>
          <w:szCs w:val="20"/>
          <w:color w:val="auto"/>
        </w:rPr>
      </w:pPr>
    </w:p>
    <w:p>
      <w:pPr>
        <w:ind w:left="580" w:right="4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European Commission</w:t>
      </w:r>
      <w:r>
        <w:rPr>
          <w:rFonts w:ascii="Arial" w:cs="Arial" w:eastAsia="Arial" w:hAnsi="Arial"/>
          <w:sz w:val="18"/>
          <w:szCs w:val="18"/>
          <w:color w:val="auto"/>
        </w:rPr>
        <w:t>” means the European Commission or any successor agency that is responsible for granting marketing approvals authorizing the sale of pharmaceuticals in the EU.</w:t>
      </w:r>
    </w:p>
    <w:p>
      <w:pPr>
        <w:spacing w:after="0" w:line="67" w:lineRule="exact"/>
        <w:rPr>
          <w:sz w:val="20"/>
          <w:szCs w:val="20"/>
          <w:color w:val="auto"/>
        </w:rPr>
      </w:pPr>
    </w:p>
    <w:p>
      <w:pPr>
        <w:ind w:left="580" w:right="1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European Union</w:t>
      </w:r>
      <w:r>
        <w:rPr>
          <w:rFonts w:ascii="Arial" w:cs="Arial" w:eastAsia="Arial" w:hAnsi="Arial"/>
          <w:sz w:val="18"/>
          <w:szCs w:val="18"/>
          <w:color w:val="auto"/>
        </w:rPr>
        <w:t>” or “</w:t>
      </w:r>
      <w:r>
        <w:rPr>
          <w:rFonts w:ascii="Arial" w:cs="Arial" w:eastAsia="Arial" w:hAnsi="Arial"/>
          <w:sz w:val="18"/>
          <w:szCs w:val="18"/>
          <w:b w:val="1"/>
          <w:bCs w:val="1"/>
          <w:color w:val="auto"/>
        </w:rPr>
        <w:t>EU</w:t>
      </w:r>
      <w:r>
        <w:rPr>
          <w:rFonts w:ascii="Arial" w:cs="Arial" w:eastAsia="Arial" w:hAnsi="Arial"/>
          <w:sz w:val="18"/>
          <w:szCs w:val="18"/>
          <w:color w:val="auto"/>
        </w:rPr>
        <w:t>” means the countries of the European Union, as the European Union is constituted as of the Effective Date and as it may be modified from time to time.</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Claim</w:t>
      </w:r>
      <w:r>
        <w:rPr>
          <w:rFonts w:ascii="Arial" w:cs="Arial" w:eastAsia="Arial" w:hAnsi="Arial"/>
          <w:sz w:val="16"/>
          <w:szCs w:val="16"/>
          <w:color w:val="auto"/>
        </w:rPr>
        <w:t>” has the meaning set forth in section 13.7.5.</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Executive Officer</w:t>
      </w:r>
      <w:r>
        <w:rPr>
          <w:rFonts w:ascii="Arial" w:cs="Arial" w:eastAsia="Arial" w:hAnsi="Arial"/>
          <w:sz w:val="16"/>
          <w:szCs w:val="16"/>
          <w:color w:val="auto"/>
        </w:rPr>
        <w:t>” has the meaning set forth in section 13.7 .1.</w:t>
      </w:r>
    </w:p>
    <w:p>
      <w:pPr>
        <w:spacing w:after="0" w:line="131" w:lineRule="exact"/>
        <w:rPr>
          <w:sz w:val="20"/>
          <w:szCs w:val="20"/>
          <w:color w:val="auto"/>
        </w:rPr>
      </w:pPr>
    </w:p>
    <w:p>
      <w:pPr>
        <w:ind w:left="580" w:right="10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government agency that is responsible for approving the sale of pharmaceuticals in the United States.</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Field</w:t>
      </w:r>
      <w:r>
        <w:rPr>
          <w:rFonts w:ascii="Arial" w:cs="Arial" w:eastAsia="Arial" w:hAnsi="Arial"/>
          <w:sz w:val="17"/>
          <w:szCs w:val="17"/>
          <w:color w:val="auto"/>
        </w:rPr>
        <w:t>” means the [*****].</w:t>
      </w:r>
    </w:p>
    <w:p>
      <w:pPr>
        <w:spacing w:after="0" w:line="131" w:lineRule="exact"/>
        <w:rPr>
          <w:sz w:val="20"/>
          <w:szCs w:val="20"/>
          <w:color w:val="auto"/>
        </w:rPr>
      </w:pPr>
    </w:p>
    <w:p>
      <w:pPr>
        <w:ind w:left="580" w:right="1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any Product, the first arm’s length sale of the Product to a Third Party in a country of the Territory by a Party, its Affiliate(s) or sublicensee(s) for use or consumption in such country following Regulatory Approval.</w:t>
      </w:r>
    </w:p>
    <w:p>
      <w:pPr>
        <w:spacing w:after="0" w:line="67" w:lineRule="exact"/>
        <w:rPr>
          <w:sz w:val="20"/>
          <w:szCs w:val="20"/>
          <w:color w:val="auto"/>
        </w:rPr>
      </w:pPr>
    </w:p>
    <w:p>
      <w:pPr>
        <w:ind w:left="580" w:right="26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court, tribunal, arbitrator, agency, legislative body, commission, official or other instrumentality of (a) any government of any country, (b) a federal,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69" w:right="259" w:bottom="1440" w:gutter="0" w:footer="0" w:header="0"/>
        </w:sectPr>
      </w:pPr>
    </w:p>
    <w:bookmarkStart w:id="506" w:name="page507"/>
    <w:bookmarkEnd w:id="50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state, province, county, city or other political subdivision thereof or (c) any supranational body, including the EMA.</w:t>
      </w:r>
    </w:p>
    <w:p>
      <w:pPr>
        <w:spacing w:after="0" w:line="127" w:lineRule="exact"/>
        <w:rPr>
          <w:sz w:val="20"/>
          <w:szCs w:val="20"/>
          <w:color w:val="auto"/>
        </w:rPr>
      </w:pPr>
    </w:p>
    <w:p>
      <w:pPr>
        <w:ind w:left="58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(a) the Hart-Scott-Rodino Antitrust Improvements Act of 1976, as amended, and the rules and regulations promulgated thereunder, and (b) any applicable foreign equivalent thereof.</w:t>
      </w:r>
    </w:p>
    <w:p>
      <w:pPr>
        <w:spacing w:after="0" w:line="67" w:lineRule="exact"/>
        <w:rPr>
          <w:sz w:val="20"/>
          <w:szCs w:val="20"/>
          <w:color w:val="auto"/>
        </w:rPr>
      </w:pPr>
    </w:p>
    <w:p>
      <w:pPr>
        <w:ind w:left="580" w:right="5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Clearance Date</w:t>
      </w:r>
      <w:r>
        <w:rPr>
          <w:rFonts w:ascii="Arial" w:cs="Arial" w:eastAsia="Arial" w:hAnsi="Arial"/>
          <w:sz w:val="18"/>
          <w:szCs w:val="18"/>
          <w:color w:val="auto"/>
        </w:rPr>
        <w:t>” means the expiration or termination of all applicable waiting periods and requests for information (and any extensions thereof) under the HSR Act.</w:t>
      </w:r>
    </w:p>
    <w:p>
      <w:pPr>
        <w:spacing w:after="0" w:line="67" w:lineRule="exact"/>
        <w:rPr>
          <w:sz w:val="20"/>
          <w:szCs w:val="20"/>
          <w:color w:val="auto"/>
        </w:rPr>
      </w:pPr>
    </w:p>
    <w:p>
      <w:pPr>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Filing</w:t>
      </w:r>
      <w:r>
        <w:rPr>
          <w:rFonts w:ascii="Arial" w:cs="Arial" w:eastAsia="Arial" w:hAnsi="Arial"/>
          <w:sz w:val="18"/>
          <w:szCs w:val="18"/>
          <w:color w:val="auto"/>
        </w:rPr>
        <w:t>” means (a) filings by Janssen and ACI with the United States Federal Trade Commission and the Antitrust Division of the United States Department of Justice of a Notification and Report Form for Certain Mergers and Acquisitions (as that term is defined in the HSR Act) with respect to the matters set forth in this Agreement, together with all required documentary attachments thereto, or (b) equivalent filings with relevant foreign authorities.</w:t>
      </w:r>
    </w:p>
    <w:p>
      <w:pPr>
        <w:spacing w:after="0" w:line="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Indemnitee</w:t>
      </w:r>
      <w:r>
        <w:rPr>
          <w:rFonts w:ascii="Arial" w:cs="Arial" w:eastAsia="Arial" w:hAnsi="Arial"/>
          <w:sz w:val="16"/>
          <w:szCs w:val="16"/>
          <w:color w:val="auto"/>
        </w:rPr>
        <w:t>” has the meaning set forth in section 13.1.3.</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Indemnitor</w:t>
      </w:r>
      <w:r>
        <w:rPr>
          <w:rFonts w:ascii="Arial" w:cs="Arial" w:eastAsia="Arial" w:hAnsi="Arial"/>
          <w:sz w:val="16"/>
          <w:szCs w:val="16"/>
          <w:color w:val="auto"/>
        </w:rPr>
        <w:t>” has the meaning set forth in section 13.1.3.</w:t>
      </w:r>
    </w:p>
    <w:p>
      <w:pPr>
        <w:spacing w:after="0" w:line="131" w:lineRule="exact"/>
        <w:rPr>
          <w:sz w:val="20"/>
          <w:szCs w:val="20"/>
          <w:color w:val="auto"/>
        </w:rPr>
      </w:pPr>
    </w:p>
    <w:p>
      <w:pPr>
        <w:ind w:left="580" w:right="2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a specific disease, disorder or condition which is recognized by the applicable Regulatory Authority in a given country or jurisdiction as a disease, disorder or condition. For the avoidance of doubt, all variants of a single disease, disorder or condition (whether classified by severity or otherwise) will be treated as the same Indication.</w:t>
      </w:r>
    </w:p>
    <w:p>
      <w:pPr>
        <w:spacing w:after="0" w:line="8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Initiation</w:t>
      </w:r>
      <w:r>
        <w:rPr>
          <w:rFonts w:ascii="Arial" w:cs="Arial" w:eastAsia="Arial" w:hAnsi="Arial"/>
          <w:sz w:val="16"/>
          <w:szCs w:val="16"/>
          <w:color w:val="auto"/>
        </w:rPr>
        <w:t>” means, with respect to a Clinical Trial, the administration of the first dose to a subject or patient in that Clinical Trial.</w:t>
      </w:r>
    </w:p>
    <w:p>
      <w:pPr>
        <w:spacing w:after="0" w:line="131" w:lineRule="exact"/>
        <w:rPr>
          <w:sz w:val="20"/>
          <w:szCs w:val="20"/>
          <w:color w:val="auto"/>
        </w:rPr>
      </w:pPr>
    </w:p>
    <w:p>
      <w:pPr>
        <w:ind w:left="580" w:right="3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means any process, method, use, protocol, formula, data, composition of matter, article of manufacture, discovery or finding, in each case whether or not patentable.</w:t>
      </w:r>
    </w:p>
    <w:p>
      <w:pPr>
        <w:spacing w:after="0" w:line="67" w:lineRule="exact"/>
        <w:rPr>
          <w:sz w:val="20"/>
          <w:szCs w:val="20"/>
          <w:color w:val="auto"/>
        </w:rPr>
      </w:pPr>
    </w:p>
    <w:p>
      <w:pPr>
        <w:ind w:left="580" w:right="60" w:hanging="566"/>
        <w:spacing w:after="0" w:line="277" w:lineRule="auto"/>
        <w:tabs>
          <w:tab w:leader="none" w:pos="560" w:val="left"/>
        </w:tabs>
        <w:rPr>
          <w:sz w:val="20"/>
          <w:szCs w:val="20"/>
          <w:color w:val="auto"/>
        </w:rPr>
      </w:pPr>
      <w:r>
        <w:rPr>
          <w:rFonts w:ascii="Arial" w:cs="Arial" w:eastAsia="Arial" w:hAnsi="Arial"/>
          <w:sz w:val="18"/>
          <w:szCs w:val="18"/>
          <w:b w:val="1"/>
          <w:bCs w:val="1"/>
          <w:color w:val="auto"/>
        </w:rPr>
        <w:t>1.40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Janssen Know-How</w:t>
      </w:r>
      <w:r>
        <w:rPr>
          <w:rFonts w:ascii="Arial" w:cs="Arial" w:eastAsia="Arial" w:hAnsi="Arial"/>
          <w:sz w:val="17"/>
          <w:szCs w:val="17"/>
          <w:color w:val="auto"/>
        </w:rPr>
        <w:t xml:space="preserve">” means all information, materials, Inventions and trade secrets, not generally known to the public, that do not fall within the Janssen Patent Rights, and that are Controlled by Janssen or any of its Affiliates (a) (i) as of the Effective Date, or (ii) are discovered, created or developed by Janssen or any of its Affiliates (including any sublicensee pursuant to section 7.2) in the course of Janssen’s or such Affiliate’s performance of activities under this Agreement, and (b) are necessary for the Research, Development, use, Manufacture or Commercialization of any Peptide or Product;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term “Janssen Know-How” will not apply to [*****].</w:t>
      </w:r>
    </w:p>
    <w:p>
      <w:pPr>
        <w:spacing w:after="0" w:line="74" w:lineRule="exact"/>
        <w:rPr>
          <w:sz w:val="20"/>
          <w:szCs w:val="20"/>
          <w:color w:val="auto"/>
        </w:rPr>
      </w:pPr>
    </w:p>
    <w:p>
      <w:pPr>
        <w:ind w:left="580" w:right="3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Janssen Patent Rights</w:t>
      </w:r>
      <w:r>
        <w:rPr>
          <w:rFonts w:ascii="Arial" w:cs="Arial" w:eastAsia="Arial" w:hAnsi="Arial"/>
          <w:sz w:val="18"/>
          <w:szCs w:val="18"/>
          <w:color w:val="auto"/>
        </w:rPr>
        <w:t>” means all Patent Rights Controlled by Janssen or any of its Related Parties that (a) are necessary or useful for the Development, Manufacture and/or Commercialization of a Product or (b) claim or disclose Inventions Controlled by Janssen or any of its Related Parties that are conceived of or reduced to practice in the course of the Development, Manufacture or Commercialization of Products under this Agreement.</w:t>
      </w:r>
    </w:p>
    <w:p>
      <w:pPr>
        <w:spacing w:after="0" w:line="86" w:lineRule="exact"/>
        <w:rPr>
          <w:sz w:val="20"/>
          <w:szCs w:val="20"/>
          <w:color w:val="auto"/>
        </w:rPr>
      </w:pPr>
    </w:p>
    <w:p>
      <w:pPr>
        <w:ind w:left="580" w:right="6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Know-How</w:t>
      </w:r>
      <w:r>
        <w:rPr>
          <w:rFonts w:ascii="Arial" w:cs="Arial" w:eastAsia="Arial" w:hAnsi="Arial"/>
          <w:sz w:val="18"/>
          <w:szCs w:val="18"/>
          <w:color w:val="auto"/>
        </w:rPr>
        <w:t>” means all information, materials, Inventions and trade secrets, not generally known to the public, that do not fall within the Joint Patent Rights, discovered, developed, or conceived of jointly by employees of Janssen and ACI or their Affiliates, or by others acting on behalf of Janssen and ACI, in the course of activities undertaken under this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507" w:name="page508"/>
    <w:bookmarkEnd w:id="507"/>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440" w:right="118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580" w:right="3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Patent Rights</w:t>
      </w:r>
      <w:r>
        <w:rPr>
          <w:rFonts w:ascii="Arial" w:cs="Arial" w:eastAsia="Arial" w:hAnsi="Arial"/>
          <w:sz w:val="18"/>
          <w:szCs w:val="18"/>
          <w:color w:val="auto"/>
        </w:rPr>
        <w:t>” means Patent Rights that, recite a claim directed to an invention that was Joint Know-How at the time of the filing of the original patent application.</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means all laws, statutes, rules, codes, regulations, orders, judgments, and ordinances of any Governmental Authority.</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MAA</w:t>
      </w:r>
      <w:r>
        <w:rPr>
          <w:rFonts w:ascii="Arial" w:cs="Arial" w:eastAsia="Arial" w:hAnsi="Arial"/>
          <w:sz w:val="16"/>
          <w:szCs w:val="16"/>
          <w:color w:val="auto"/>
        </w:rPr>
        <w:t>” means a marketing authorization application, or similar application, submitted to the EMA in the European Union.</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Market</w:t>
      </w:r>
      <w:r>
        <w:rPr>
          <w:rFonts w:ascii="Arial" w:cs="Arial" w:eastAsia="Arial" w:hAnsi="Arial"/>
          <w:sz w:val="17"/>
          <w:szCs w:val="17"/>
          <w:color w:val="auto"/>
        </w:rPr>
        <w:t>” means any of the United States, a Major Market Country of the EU and [*****].</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Market Country of the EU</w:t>
      </w:r>
      <w:r>
        <w:rPr>
          <w:rFonts w:ascii="Arial" w:cs="Arial" w:eastAsia="Arial" w:hAnsi="Arial"/>
          <w:sz w:val="17"/>
          <w:szCs w:val="17"/>
          <w:color w:val="auto"/>
        </w:rPr>
        <w:t>” means any one of the following countries: [*****].</w:t>
      </w:r>
    </w:p>
    <w:p>
      <w:pPr>
        <w:spacing w:after="0" w:line="131" w:lineRule="exact"/>
        <w:rPr>
          <w:sz w:val="20"/>
          <w:szCs w:val="20"/>
          <w:color w:val="auto"/>
        </w:rPr>
      </w:pPr>
    </w:p>
    <w:p>
      <w:pPr>
        <w:ind w:left="58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Manufacturing</w:t>
      </w:r>
      <w:r>
        <w:rPr>
          <w:rFonts w:ascii="Arial" w:cs="Arial" w:eastAsia="Arial" w:hAnsi="Arial"/>
          <w:sz w:val="18"/>
          <w:szCs w:val="18"/>
          <w:color w:val="auto"/>
        </w:rPr>
        <w:t>” or “</w:t>
      </w:r>
      <w:r>
        <w:rPr>
          <w:rFonts w:ascii="Arial" w:cs="Arial" w:eastAsia="Arial" w:hAnsi="Arial"/>
          <w:sz w:val="18"/>
          <w:szCs w:val="18"/>
          <w:b w:val="1"/>
          <w:bCs w:val="1"/>
          <w:color w:val="auto"/>
        </w:rPr>
        <w:t>Manufacture</w:t>
      </w:r>
      <w:r>
        <w:rPr>
          <w:rFonts w:ascii="Arial" w:cs="Arial" w:eastAsia="Arial" w:hAnsi="Arial"/>
          <w:sz w:val="18"/>
          <w:szCs w:val="18"/>
          <w:color w:val="auto"/>
        </w:rPr>
        <w:t>” means the activities relating to producing a Product, including purchasing raw materials and intermediates, producing peptides or other active ingredients, formulating and filling, and all related quality control and quality assurance activities and all storage, shipping, handling, packaging and manufacturing technical transfer activities.</w:t>
      </w:r>
    </w:p>
    <w:p>
      <w:pPr>
        <w:spacing w:after="0" w:line="8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Event</w:t>
      </w:r>
      <w:r>
        <w:rPr>
          <w:rFonts w:ascii="Arial" w:cs="Arial" w:eastAsia="Arial" w:hAnsi="Arial"/>
          <w:sz w:val="16"/>
          <w:szCs w:val="16"/>
          <w:color w:val="auto"/>
        </w:rPr>
        <w:t>” has the meaning set forth in section 9 .2.1.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Milestone Payment</w:t>
      </w:r>
      <w:r>
        <w:rPr>
          <w:rFonts w:ascii="Arial" w:cs="Arial" w:eastAsia="Arial" w:hAnsi="Arial"/>
          <w:sz w:val="16"/>
          <w:szCs w:val="16"/>
          <w:color w:val="auto"/>
        </w:rPr>
        <w:t>” has the meaning set forth in section 9.2.1.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NDA</w:t>
      </w:r>
      <w:r>
        <w:rPr>
          <w:rFonts w:ascii="Arial" w:cs="Arial" w:eastAsia="Arial" w:hAnsi="Arial"/>
          <w:sz w:val="16"/>
          <w:szCs w:val="16"/>
          <w:color w:val="auto"/>
        </w:rPr>
        <w:t>” means a new drug application, or similar application, submitted to the FDA in the United States.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269" w:right="419" w:bottom="1440" w:gutter="0" w:footer="0" w:header="0"/>
        </w:sectPr>
      </w:pPr>
    </w:p>
    <w:bookmarkStart w:id="508" w:name="page509"/>
    <w:bookmarkEnd w:id="508"/>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means Janssen or ACI, and “</w:t>
      </w:r>
      <w:r>
        <w:rPr>
          <w:rFonts w:ascii="Arial" w:cs="Arial" w:eastAsia="Arial" w:hAnsi="Arial"/>
          <w:sz w:val="16"/>
          <w:szCs w:val="16"/>
          <w:b w:val="1"/>
          <w:bCs w:val="1"/>
          <w:color w:val="auto"/>
        </w:rPr>
        <w:t>Parties</w:t>
      </w:r>
      <w:r>
        <w:rPr>
          <w:rFonts w:ascii="Arial" w:cs="Arial" w:eastAsia="Arial" w:hAnsi="Arial"/>
          <w:sz w:val="16"/>
          <w:szCs w:val="16"/>
          <w:color w:val="auto"/>
        </w:rPr>
        <w:t>” means Janssen and ACI.</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70" w:right="1440" w:bottom="1440" w:gutter="0" w:footer="0" w:header="0"/>
        </w:sectPr>
      </w:pPr>
    </w:p>
    <w:bookmarkStart w:id="509" w:name="page510"/>
    <w:bookmarkEnd w:id="5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580" w:right="24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Proceeding</w:t>
      </w:r>
      <w:r>
        <w:rPr>
          <w:rFonts w:ascii="Arial" w:cs="Arial" w:eastAsia="Arial" w:hAnsi="Arial"/>
          <w:sz w:val="18"/>
          <w:szCs w:val="18"/>
          <w:color w:val="auto"/>
        </w:rPr>
        <w:t>” means any opposition, re-issue, and re-examination, and any contested case, including inter-partes review, post-grant review, interference, derivation or similar proceedings.</w:t>
      </w:r>
    </w:p>
    <w:p>
      <w:pPr>
        <w:spacing w:after="0" w:line="67" w:lineRule="exact"/>
        <w:rPr>
          <w:sz w:val="20"/>
          <w:szCs w:val="20"/>
          <w:color w:val="auto"/>
        </w:rPr>
      </w:pPr>
    </w:p>
    <w:p>
      <w:pPr>
        <w:ind w:left="580" w:right="220" w:hanging="566"/>
        <w:spacing w:after="0" w:line="266" w:lineRule="auto"/>
        <w:tabs>
          <w:tab w:leader="none" w:pos="56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national, regional and international patents and patent applications, including divisions, continuations, continuations-in-part, additions, re-issues, renewals, extensions, substitutions, re-examinations or restorations, registrations and revalidations, and supplementary protection certificates and equivalents to any of the foregoing.</w:t>
      </w:r>
    </w:p>
    <w:p>
      <w:pPr>
        <w:spacing w:after="0" w:line="82"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Peptide</w:t>
      </w:r>
      <w:r>
        <w:rPr>
          <w:rFonts w:ascii="Arial" w:cs="Arial" w:eastAsia="Arial" w:hAnsi="Arial"/>
          <w:sz w:val="18"/>
          <w:szCs w:val="18"/>
          <w:color w:val="auto"/>
        </w:rPr>
        <w:t>” means any amino acid sequence or peptide or protein that is derived from Tau, including variants, modifications, fragments or derivatives of Tau and that is (i) disclosed or claimed in the ACI Patent Rights, or (ii) identified by either ACI or Janssen (or jointly by ACI and Janssen) prior to the end of the Research Term. For clarity, a Peptide shall not include a monoclonal antibody protein or nonantigenic fragment, nonantigenic derivative or nonantigenic modification thereof.</w:t>
      </w:r>
    </w:p>
    <w:p>
      <w:pPr>
        <w:spacing w:after="0" w:line="86" w:lineRule="exact"/>
        <w:rPr>
          <w:sz w:val="20"/>
          <w:szCs w:val="20"/>
          <w:color w:val="auto"/>
        </w:rPr>
      </w:pPr>
    </w:p>
    <w:p>
      <w:pPr>
        <w:jc w:val="both"/>
        <w:ind w:left="580" w:right="80" w:hanging="566"/>
        <w:spacing w:after="0" w:line="289" w:lineRule="auto"/>
        <w:tabs>
          <w:tab w:leader="none" w:pos="56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Phase 2 Clinical Trial</w:t>
      </w:r>
      <w:r>
        <w:rPr>
          <w:rFonts w:ascii="Arial" w:cs="Arial" w:eastAsia="Arial" w:hAnsi="Arial"/>
          <w:sz w:val="17"/>
          <w:szCs w:val="17"/>
          <w:color w:val="auto"/>
        </w:rPr>
        <w:t>” means a Clinical Trial generally consistent with 21 CFR §312.21(b) that is required for receipt of Regulatory Approval of a Product and which is conducted to evaluate the effectiveness and the appropriate dose range of a Product for a particular indication or indications in patients with the disease or condition under study and to determine the common short-term side effects and risks.</w:t>
      </w:r>
    </w:p>
    <w:p>
      <w:pPr>
        <w:spacing w:after="0" w:line="64" w:lineRule="exact"/>
        <w:rPr>
          <w:sz w:val="20"/>
          <w:szCs w:val="20"/>
          <w:color w:val="auto"/>
        </w:rPr>
      </w:pPr>
    </w:p>
    <w:p>
      <w:pPr>
        <w:jc w:val="center"/>
        <w:ind w:right="100"/>
        <w:spacing w:after="0"/>
        <w:tabs>
          <w:tab w:leader="none" w:pos="24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Phase 3 Clinical Trial</w:t>
      </w:r>
      <w:r>
        <w:rPr>
          <w:rFonts w:ascii="Arial" w:cs="Arial" w:eastAsia="Arial" w:hAnsi="Arial"/>
          <w:sz w:val="16"/>
          <w:szCs w:val="16"/>
          <w:color w:val="auto"/>
        </w:rPr>
        <w:t>” means a Clinical Trial generally consistent with 21 CFR §312.21(c) that is required for receipt of Regulatory Approval of a</w:t>
      </w:r>
    </w:p>
    <w:p>
      <w:pPr>
        <w:spacing w:after="0" w:line="27" w:lineRule="exact"/>
        <w:rPr>
          <w:sz w:val="20"/>
          <w:szCs w:val="20"/>
          <w:color w:val="auto"/>
        </w:rPr>
      </w:pPr>
    </w:p>
    <w:p>
      <w:pPr>
        <w:ind w:left="580" w:right="660"/>
        <w:spacing w:after="0" w:line="323" w:lineRule="auto"/>
        <w:rPr>
          <w:sz w:val="20"/>
          <w:szCs w:val="20"/>
          <w:color w:val="auto"/>
        </w:rPr>
      </w:pPr>
      <w:r>
        <w:rPr>
          <w:rFonts w:ascii="Arial" w:cs="Arial" w:eastAsia="Arial" w:hAnsi="Arial"/>
          <w:sz w:val="16"/>
          <w:szCs w:val="16"/>
          <w:color w:val="auto"/>
        </w:rPr>
        <w:t>Product and which is conducted after preliminary evidence suggesting effectiveness of the drug has been obtained, and are intended to gather additional information to evaluate the overall benefit-risk relationship of the drug and provide an adequate basis for physician labeling.</w:t>
      </w:r>
    </w:p>
    <w:p>
      <w:pPr>
        <w:spacing w:after="0" w:line="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Product</w:t>
      </w:r>
      <w:r>
        <w:rPr>
          <w:rFonts w:ascii="Arial" w:cs="Arial" w:eastAsia="Arial" w:hAnsi="Arial"/>
          <w:sz w:val="17"/>
          <w:szCs w:val="17"/>
          <w:color w:val="auto"/>
        </w:rPr>
        <w:t>” means any [*****].</w:t>
      </w:r>
    </w:p>
    <w:p>
      <w:pPr>
        <w:spacing w:after="0" w:line="131" w:lineRule="exact"/>
        <w:rPr>
          <w:sz w:val="20"/>
          <w:szCs w:val="20"/>
          <w:color w:val="auto"/>
        </w:rPr>
      </w:pPr>
    </w:p>
    <w:p>
      <w:pPr>
        <w:ind w:left="580" w:right="20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approval and authorization, by governmental entities, required for marketing and commercial sale of a Product in a country or region, such as an NDA or BLA in the United States, an MAA or BLA in the European Union and [*****].</w:t>
      </w:r>
    </w:p>
    <w:p>
      <w:pPr>
        <w:spacing w:after="0" w:line="67" w:lineRule="exact"/>
        <w:rPr>
          <w:sz w:val="20"/>
          <w:szCs w:val="20"/>
          <w:color w:val="auto"/>
        </w:rPr>
      </w:pPr>
    </w:p>
    <w:p>
      <w:pPr>
        <w:ind w:left="580" w:right="6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applicable government regulatory authority involved in granting Regulatory Approval in the Territory, including the FDA, EMA/European Commission [*****].</w:t>
      </w:r>
    </w:p>
    <w:p>
      <w:pPr>
        <w:spacing w:after="0" w:line="67" w:lineRule="exact"/>
        <w:rPr>
          <w:sz w:val="20"/>
          <w:szCs w:val="20"/>
          <w:color w:val="auto"/>
        </w:rPr>
      </w:pPr>
    </w:p>
    <w:p>
      <w:pPr>
        <w:ind w:left="580" w:right="440" w:hanging="566"/>
        <w:spacing w:after="0" w:line="347" w:lineRule="auto"/>
        <w:tabs>
          <w:tab w:leader="none" w:pos="5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Regulatory Filing(s)</w:t>
      </w:r>
      <w:r>
        <w:rPr>
          <w:rFonts w:ascii="Arial" w:cs="Arial" w:eastAsia="Arial" w:hAnsi="Arial"/>
          <w:sz w:val="16"/>
          <w:szCs w:val="16"/>
          <w:color w:val="auto"/>
        </w:rPr>
        <w:t>” means acceptance by Regulatory Authorities of a marketing approval application and/or any other comparable filings or dossier as may be required by Regulatory Authorities to obtain Regulatory Approvals for marketing or use of a Product in the Field.</w:t>
      </w:r>
    </w:p>
    <w:p>
      <w:pPr>
        <w:spacing w:after="0" w:line="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Related Party</w:t>
      </w:r>
      <w:r>
        <w:rPr>
          <w:rFonts w:ascii="Arial" w:cs="Arial" w:eastAsia="Arial" w:hAnsi="Arial"/>
          <w:sz w:val="16"/>
          <w:szCs w:val="16"/>
          <w:color w:val="auto"/>
        </w:rPr>
        <w:t>” means each of Janssen’s Affiliates and permitted sublicensees.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Research</w:t>
      </w:r>
      <w:r>
        <w:rPr>
          <w:rFonts w:ascii="Arial" w:cs="Arial" w:eastAsia="Arial" w:hAnsi="Arial"/>
          <w:sz w:val="17"/>
          <w:szCs w:val="17"/>
          <w:color w:val="auto"/>
        </w:rPr>
        <w:t>” means [*****].</w:t>
      </w:r>
    </w:p>
    <w:p>
      <w:pPr>
        <w:spacing w:after="0" w:line="131" w:lineRule="exact"/>
        <w:rPr>
          <w:sz w:val="20"/>
          <w:szCs w:val="20"/>
          <w:color w:val="auto"/>
        </w:rPr>
      </w:pPr>
    </w:p>
    <w:p>
      <w:pPr>
        <w:ind w:left="580" w:right="540" w:hanging="566"/>
        <w:spacing w:after="0" w:line="347" w:lineRule="auto"/>
        <w:tabs>
          <w:tab w:leader="none" w:pos="56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Plan</w:t>
      </w:r>
      <w:r>
        <w:rPr>
          <w:rFonts w:ascii="Arial" w:cs="Arial" w:eastAsia="Arial" w:hAnsi="Arial"/>
          <w:sz w:val="16"/>
          <w:szCs w:val="16"/>
          <w:color w:val="auto"/>
        </w:rPr>
        <w:t xml:space="preserve">” means the Research activities to be conducted by the Parties for the Product during the Research Term, as may be updated or amended from time to time in accordance with the terms of this Agreement. The initial Research Plan is attached as </w:t>
      </w:r>
      <w:r>
        <w:rPr>
          <w:rFonts w:ascii="Arial" w:cs="Arial" w:eastAsia="Arial" w:hAnsi="Arial"/>
          <w:sz w:val="16"/>
          <w:szCs w:val="16"/>
          <w:u w:val="single" w:color="auto"/>
          <w:color w:val="auto"/>
        </w:rPr>
        <w:t>Schedule 1.66</w:t>
      </w:r>
      <w:r>
        <w:rPr>
          <w:rFonts w:ascii="Arial" w:cs="Arial" w:eastAsia="Arial" w:hAnsi="Arial"/>
          <w:sz w:val="16"/>
          <w:szCs w:val="16"/>
          <w:color w:val="auto"/>
        </w:rPr>
        <w:t>.</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510" w:name="page511"/>
    <w:bookmarkEnd w:id="5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Term</w:t>
      </w:r>
      <w:r>
        <w:rPr>
          <w:rFonts w:ascii="Arial" w:cs="Arial" w:eastAsia="Arial" w:hAnsi="Arial"/>
          <w:sz w:val="16"/>
          <w:szCs w:val="16"/>
          <w:color w:val="auto"/>
        </w:rPr>
        <w:t>” means the three year period immediately following the Effective Date.</w:t>
      </w:r>
    </w:p>
    <w:p>
      <w:pPr>
        <w:spacing w:after="0" w:line="131" w:lineRule="exact"/>
        <w:rPr>
          <w:sz w:val="20"/>
          <w:szCs w:val="20"/>
          <w:color w:val="auto"/>
        </w:rPr>
      </w:pPr>
    </w:p>
    <w:p>
      <w:pPr>
        <w:ind w:left="580" w:right="40" w:hanging="566"/>
        <w:spacing w:after="0" w:line="261" w:lineRule="auto"/>
        <w:tabs>
          <w:tab w:leader="none" w:pos="56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Second Indication</w:t>
      </w:r>
      <w:r>
        <w:rPr>
          <w:rFonts w:ascii="Arial" w:cs="Arial" w:eastAsia="Arial" w:hAnsi="Arial"/>
          <w:sz w:val="18"/>
          <w:szCs w:val="18"/>
          <w:color w:val="auto"/>
        </w:rPr>
        <w:t>” means an Indication listed under the header “INDICATIONS AND USAGE” of a Product’s approved label upon Regulatory Approval for the Product by a Regulatory Authority other than the AD Indication. For purposes of the milestones that occur prior to receipt of Regulatory Approval, “Second Indication” means an Indication that is not the AD Indication and is intended to be included in the regulatory filing for such Product.</w:t>
      </w:r>
    </w:p>
    <w:p>
      <w:pPr>
        <w:spacing w:after="0" w:line="8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Swiss Francs</w:t>
      </w:r>
      <w:r>
        <w:rPr>
          <w:rFonts w:ascii="Arial" w:cs="Arial" w:eastAsia="Arial" w:hAnsi="Arial"/>
          <w:sz w:val="16"/>
          <w:szCs w:val="16"/>
          <w:color w:val="auto"/>
        </w:rPr>
        <w:t>” or “</w:t>
      </w:r>
      <w:r>
        <w:rPr>
          <w:rFonts w:ascii="Arial" w:cs="Arial" w:eastAsia="Arial" w:hAnsi="Arial"/>
          <w:sz w:val="16"/>
          <w:szCs w:val="16"/>
          <w:b w:val="1"/>
          <w:bCs w:val="1"/>
          <w:color w:val="auto"/>
        </w:rPr>
        <w:t>CHF</w:t>
      </w:r>
      <w:r>
        <w:rPr>
          <w:rFonts w:ascii="Arial" w:cs="Arial" w:eastAsia="Arial" w:hAnsi="Arial"/>
          <w:sz w:val="16"/>
          <w:szCs w:val="16"/>
          <w:color w:val="auto"/>
        </w:rPr>
        <w:t>” means Swiss francs.</w:t>
      </w:r>
    </w:p>
    <w:p>
      <w:pPr>
        <w:spacing w:after="0" w:line="131" w:lineRule="exact"/>
        <w:rPr>
          <w:sz w:val="20"/>
          <w:szCs w:val="20"/>
          <w:color w:val="auto"/>
        </w:rPr>
      </w:pPr>
    </w:p>
    <w:p>
      <w:pPr>
        <w:ind w:left="580" w:right="34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1.70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Tau</w:t>
      </w:r>
      <w:r>
        <w:rPr>
          <w:rFonts w:ascii="Arial" w:cs="Arial" w:eastAsia="Arial" w:hAnsi="Arial"/>
          <w:sz w:val="18"/>
          <w:szCs w:val="18"/>
          <w:color w:val="auto"/>
        </w:rPr>
        <w:t>” means the microtubule-associated protein known as tau and all isoforms thereof, with Uniprot # P10636 for human microtubule-associated protein tan and human MAPT gene.</w:t>
      </w:r>
    </w:p>
    <w:p>
      <w:pPr>
        <w:spacing w:after="0" w:line="67" w:lineRule="exact"/>
        <w:rPr>
          <w:sz w:val="20"/>
          <w:szCs w:val="20"/>
          <w:color w:val="auto"/>
        </w:rPr>
      </w:pPr>
    </w:p>
    <w:p>
      <w:pPr>
        <w:ind w:left="580" w:right="220" w:hanging="566"/>
        <w:spacing w:after="0" w:line="282" w:lineRule="auto"/>
        <w:tabs>
          <w:tab w:leader="none" w:pos="56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means any present or future taxes, levies, imposts, duties, charges and assessments of any nature (including any interest thereon), but excluding any penalties imposed by any tax authority.</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has the meaning set forth in section 12.1.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all of the countries in the world, and their territories and possessions.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 entity other than Janssen and its Related Parties, and ACI and its Affiliates.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Claim</w:t>
      </w:r>
      <w:r>
        <w:rPr>
          <w:rFonts w:ascii="Arial" w:cs="Arial" w:eastAsia="Arial" w:hAnsi="Arial"/>
          <w:sz w:val="16"/>
          <w:szCs w:val="16"/>
          <w:color w:val="auto"/>
        </w:rPr>
        <w:t>” has the meaning set forth in section 13.1.1.</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USD</w:t>
      </w:r>
      <w:r>
        <w:rPr>
          <w:rFonts w:ascii="Arial" w:cs="Arial" w:eastAsia="Arial" w:hAnsi="Arial"/>
          <w:sz w:val="16"/>
          <w:szCs w:val="16"/>
          <w:color w:val="auto"/>
        </w:rPr>
        <w:t>” or “</w:t>
      </w:r>
      <w:r>
        <w:rPr>
          <w:rFonts w:ascii="Arial" w:cs="Arial" w:eastAsia="Arial" w:hAnsi="Arial"/>
          <w:sz w:val="16"/>
          <w:szCs w:val="16"/>
          <w:b w:val="1"/>
          <w:bCs w:val="1"/>
          <w:color w:val="auto"/>
        </w:rPr>
        <w:t>U.S. Dollars</w:t>
      </w:r>
      <w:r>
        <w:rPr>
          <w:rFonts w:ascii="Arial" w:cs="Arial" w:eastAsia="Arial" w:hAnsi="Arial"/>
          <w:sz w:val="16"/>
          <w:szCs w:val="16"/>
          <w:color w:val="auto"/>
        </w:rPr>
        <w:t>” means United States dollars.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Vaccine</w:t>
      </w:r>
      <w:r>
        <w:rPr>
          <w:rFonts w:ascii="Arial" w:cs="Arial" w:eastAsia="Arial" w:hAnsi="Arial"/>
          <w:sz w:val="17"/>
          <w:szCs w:val="17"/>
          <w:color w:val="auto"/>
        </w:rPr>
        <w:t>” means [*****] Tau.</w:t>
      </w:r>
    </w:p>
    <w:p>
      <w:pPr>
        <w:spacing w:after="0" w:line="131" w:lineRule="exact"/>
        <w:rPr>
          <w:sz w:val="20"/>
          <w:szCs w:val="20"/>
          <w:color w:val="auto"/>
        </w:rPr>
      </w:pPr>
    </w:p>
    <w:p>
      <w:pPr>
        <w:ind w:left="580" w:hanging="566"/>
        <w:spacing w:after="0" w:line="292" w:lineRule="auto"/>
        <w:tabs>
          <w:tab w:leader="none" w:pos="56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any claim of an issued unexpired patent that (i) has not been finally cancelled, withdrawn, abandoned or rejected by any administrative agency or other body of competent jurisdiction; (ii) has not been permanently revoked, or held invalid by a decision of a court or other body of competent jurisdiction that is unappealable or unappealed within the time allowed for appeal; (iii) has not been rendered unenforceable through terminal disclaimer or otherwise and (iv) is not lost through an interference proceeding that is unappealable or unappealed within the time allowed for appeal or (b) a claim of a pending patent application where such claim has been pending for a period of [*****] years or less. If a claim of a published patent application that ceased to be a Valid Claim under this subsection (b) of this section later issues or grants as a patent within the scope of subsection (a), then such claim is considered to be a Valid Claim from the date of such issue or grant.</w:t>
      </w:r>
    </w:p>
    <w:p>
      <w:pPr>
        <w:spacing w:after="0" w:line="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Safety Issue</w:t>
      </w:r>
      <w:r>
        <w:rPr>
          <w:rFonts w:ascii="Arial" w:cs="Arial" w:eastAsia="Arial" w:hAnsi="Arial"/>
          <w:sz w:val="16"/>
          <w:szCs w:val="16"/>
          <w:color w:val="auto"/>
        </w:rPr>
        <w:t>” has the meaning set forth in section 12.2.2.</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1.80</w:t>
      </w:r>
      <w:r>
        <w:rPr>
          <w:sz w:val="20"/>
          <w:szCs w:val="20"/>
          <w:color w:val="auto"/>
        </w:rPr>
        <w:tab/>
      </w:r>
      <w:r>
        <w:rPr>
          <w:rFonts w:ascii="Arial" w:cs="Arial" w:eastAsia="Arial" w:hAnsi="Arial"/>
          <w:sz w:val="16"/>
          <w:szCs w:val="16"/>
          <w:b w:val="1"/>
          <w:bCs w:val="1"/>
          <w:color w:val="auto"/>
        </w:rPr>
        <w:t>Additional Definitions</w:t>
      </w:r>
      <w:r>
        <w:rPr>
          <w:rFonts w:ascii="Arial" w:cs="Arial" w:eastAsia="Arial" w:hAnsi="Arial"/>
          <w:sz w:val="16"/>
          <w:szCs w:val="16"/>
          <w:color w:val="auto"/>
        </w:rPr>
        <w:t>. Each of the following definitions is set forth in the Section of this Agreement indicated below:</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86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1780" w:type="dxa"/>
            <w:vAlign w:val="bottom"/>
            <w:gridSpan w:val="3"/>
          </w:tcPr>
          <w:p>
            <w:pPr>
              <w:ind w:left="1320"/>
              <w:spacing w:after="0"/>
              <w:rPr>
                <w:sz w:val="20"/>
                <w:szCs w:val="20"/>
                <w:color w:val="auto"/>
              </w:rPr>
            </w:pPr>
            <w:r>
              <w:rPr>
                <w:rFonts w:ascii="Arial" w:cs="Arial" w:eastAsia="Arial" w:hAnsi="Arial"/>
                <w:sz w:val="14"/>
                <w:szCs w:val="14"/>
                <w:color w:val="auto"/>
                <w:w w:val="94"/>
              </w:rPr>
              <w:t>Section</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60" w:type="dxa"/>
            <w:vAlign w:val="bottom"/>
            <w:gridSpan w:val="2"/>
          </w:tcPr>
          <w:p>
            <w:pPr>
              <w:spacing w:after="0"/>
              <w:rPr>
                <w:sz w:val="20"/>
                <w:szCs w:val="20"/>
                <w:color w:val="auto"/>
              </w:rPr>
            </w:pPr>
            <w:r>
              <w:rPr>
                <w:rFonts w:ascii="Arial" w:cs="Arial" w:eastAsia="Arial" w:hAnsi="Arial"/>
                <w:sz w:val="18"/>
                <w:szCs w:val="18"/>
                <w:color w:val="auto"/>
              </w:rPr>
              <w:t>ACI Business Acquisition</w:t>
            </w:r>
          </w:p>
        </w:tc>
        <w:tc>
          <w:tcPr>
            <w:tcW w:w="1340" w:type="dxa"/>
            <w:vAlign w:val="bottom"/>
            <w:vMerge w:val="continue"/>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40" w:type="dxa"/>
            <w:vAlign w:val="bottom"/>
          </w:tcPr>
          <w:p>
            <w:pPr>
              <w:jc w:val="right"/>
              <w:ind w:right="199"/>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9" w:right="239" w:bottom="1440" w:gutter="0" w:footer="0" w:header="0"/>
        </w:sectPr>
      </w:pPr>
    </w:p>
    <w:bookmarkStart w:id="511" w:name="page512"/>
    <w:bookmarkEnd w:id="5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94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1800" w:type="dxa"/>
            <w:vAlign w:val="bottom"/>
            <w:gridSpan w:val="3"/>
          </w:tcPr>
          <w:p>
            <w:pPr>
              <w:ind w:left="1240"/>
              <w:spacing w:after="0"/>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360" w:type="dxa"/>
            <w:vAlign w:val="bottom"/>
            <w:vMerge w:val="restart"/>
          </w:tcPr>
          <w:p>
            <w:pPr>
              <w:ind w:left="80"/>
              <w:spacing w:after="0"/>
              <w:rPr>
                <w:sz w:val="20"/>
                <w:szCs w:val="20"/>
                <w:color w:val="auto"/>
              </w:rPr>
            </w:pPr>
            <w:r>
              <w:rPr>
                <w:rFonts w:ascii="Arial" w:cs="Arial" w:eastAsia="Arial" w:hAnsi="Arial"/>
                <w:sz w:val="18"/>
                <w:szCs w:val="18"/>
                <w:color w:val="auto"/>
              </w:rPr>
              <w:t>Product</w:t>
            </w:r>
          </w:p>
        </w:tc>
        <w:tc>
          <w:tcPr>
            <w:tcW w:w="12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w w:val="84"/>
              </w:rPr>
              <w:t>Back-up</w:t>
            </w:r>
          </w:p>
        </w:tc>
        <w:tc>
          <w:tcPr>
            <w:tcW w:w="236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w w:val="83"/>
              </w:rPr>
              <w:t>9.2.1(a)</w:t>
            </w:r>
          </w:p>
        </w:tc>
        <w:tc>
          <w:tcPr>
            <w:tcW w:w="0" w:type="dxa"/>
            <w:vAlign w:val="bottom"/>
          </w:tcPr>
          <w:p>
            <w:pPr>
              <w:spacing w:after="0"/>
              <w:rPr>
                <w:sz w:val="1"/>
                <w:szCs w:val="1"/>
                <w:color w:val="auto"/>
              </w:rPr>
            </w:pPr>
          </w:p>
        </w:tc>
      </w:tr>
      <w:tr>
        <w:trPr>
          <w:trHeight w:val="310"/>
        </w:trPr>
        <w:tc>
          <w:tcPr>
            <w:tcW w:w="2940" w:type="dxa"/>
            <w:vAlign w:val="bottom"/>
            <w:gridSpan w:val="2"/>
          </w:tcPr>
          <w:p>
            <w:pPr>
              <w:spacing w:after="0"/>
              <w:rPr>
                <w:sz w:val="20"/>
                <w:szCs w:val="20"/>
                <w:color w:val="auto"/>
              </w:rPr>
            </w:pPr>
            <w:r>
              <w:rPr>
                <w:rFonts w:ascii="Arial" w:cs="Arial" w:eastAsia="Arial" w:hAnsi="Arial"/>
                <w:sz w:val="18"/>
                <w:szCs w:val="18"/>
                <w:color w:val="auto"/>
              </w:rPr>
              <w:t>CMC</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Completion</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w w:val="86"/>
              </w:rPr>
              <w:t>9.2.1(a)</w:t>
            </w: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Dispute</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FTE</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ISC</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JRC</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Lead Product</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w w:val="86"/>
              </w:rPr>
              <w:t>9.2.1(a)</w:t>
            </w:r>
          </w:p>
        </w:tc>
        <w:tc>
          <w:tcPr>
            <w:tcW w:w="0" w:type="dxa"/>
            <w:vAlign w:val="bottom"/>
          </w:tcPr>
          <w:p>
            <w:pPr>
              <w:spacing w:after="0"/>
              <w:rPr>
                <w:sz w:val="1"/>
                <w:szCs w:val="1"/>
                <w:color w:val="auto"/>
              </w:rPr>
            </w:pP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color w:val="auto"/>
              </w:rPr>
              <w:t>Outside Patent Counsel</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DILIGENCE</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2.1 Diligent Efforts</w:t>
      </w:r>
      <w:r>
        <w:rPr>
          <w:rFonts w:ascii="Arial" w:cs="Arial" w:eastAsia="Arial" w:hAnsi="Arial"/>
          <w:sz w:val="18"/>
          <w:szCs w:val="18"/>
          <w:color w:val="auto"/>
        </w:rPr>
        <w:t>. Janssen shall use Diligent Efforts to Develop, Manufacture and Commercialize a first Product for the AD Indication in each country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Major Market.</w:t>
      </w:r>
    </w:p>
    <w:p>
      <w:pPr>
        <w:spacing w:after="0" w:line="162"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2.2 ACI</w:t>
      </w:r>
      <w:r>
        <w:rPr>
          <w:rFonts w:ascii="Arial" w:cs="Arial" w:eastAsia="Arial" w:hAnsi="Arial"/>
          <w:sz w:val="16"/>
          <w:szCs w:val="16"/>
          <w:color w:val="auto"/>
        </w:rPr>
        <w:t>. ACI and its Affiliates will not Develop or Commercialize a Product except according to the terms of this Agreement. In the case of a Change of</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of ACI, or if ACI or an Affiliate of ACI acquires any Third Party, business or assets, or any interest therein (a “</w:t>
      </w:r>
      <w:r>
        <w:rPr>
          <w:rFonts w:ascii="Arial" w:cs="Arial" w:eastAsia="Arial" w:hAnsi="Arial"/>
          <w:sz w:val="16"/>
          <w:szCs w:val="16"/>
          <w:b w:val="1"/>
          <w:bCs w:val="1"/>
          <w:color w:val="auto"/>
        </w:rPr>
        <w:t>ACI Business Acquisition</w:t>
      </w:r>
      <w:r>
        <w:rPr>
          <w:rFonts w:ascii="Arial" w:cs="Arial" w:eastAsia="Arial" w:hAnsi="Arial"/>
          <w:sz w:val="16"/>
          <w:szCs w:val="16"/>
          <w:color w:val="auto"/>
        </w:rPr>
        <w:t>”), then the aforementioned restrictions shall not apply to any Development or Commercialization program of the surviving entity or Affiliate that was not ACI (prior to the Change of Control or ACI Business Acquisition) had ongoing as of immediately prior to the date of such Change of Control or ACI Business Acquisition.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JOINT RESEARCH COMMITTEE ACTIVITIES</w:t>
      </w:r>
    </w:p>
    <w:p>
      <w:pPr>
        <w:spacing w:after="0" w:line="117"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3.1 Formation and Purpose</w:t>
      </w:r>
      <w:r>
        <w:rPr>
          <w:rFonts w:ascii="Arial" w:cs="Arial" w:eastAsia="Arial" w:hAnsi="Arial"/>
          <w:sz w:val="16"/>
          <w:szCs w:val="16"/>
          <w:color w:val="auto"/>
        </w:rPr>
        <w:t>. Within [*****] days after the Effective Date, the Parties will form a joint research committee (“</w:t>
      </w:r>
      <w:r>
        <w:rPr>
          <w:rFonts w:ascii="Arial" w:cs="Arial" w:eastAsia="Arial" w:hAnsi="Arial"/>
          <w:sz w:val="16"/>
          <w:szCs w:val="16"/>
          <w:b w:val="1"/>
          <w:bCs w:val="1"/>
          <w:color w:val="auto"/>
        </w:rPr>
        <w:t>JRC</w:t>
      </w:r>
      <w:r>
        <w:rPr>
          <w:rFonts w:ascii="Arial" w:cs="Arial" w:eastAsia="Arial" w:hAnsi="Arial"/>
          <w:sz w:val="16"/>
          <w:szCs w:val="16"/>
          <w:color w:val="auto"/>
        </w:rPr>
        <w:t>”) to oversee the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under this Agreement during the Research Term. The purposes of the JRC will be to provide oversight of the Research Plan, to resolve matters relating to Research in which the Parties are unable to reach consensus, and to approve plans, budgets and resource allocation for the Research.</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Specific Responsibilities of the JRC</w:t>
      </w:r>
      <w:r>
        <w:rPr>
          <w:rFonts w:ascii="Arial" w:cs="Arial" w:eastAsia="Arial" w:hAnsi="Arial"/>
          <w:sz w:val="18"/>
          <w:szCs w:val="18"/>
          <w:color w:val="auto"/>
        </w:rPr>
        <w:t>. As part of its overall responsibilities described in section 3.1, the JRC will:</w:t>
      </w:r>
    </w:p>
    <w:p>
      <w:pPr>
        <w:spacing w:after="0" w:line="135" w:lineRule="exact"/>
        <w:rPr>
          <w:sz w:val="20"/>
          <w:szCs w:val="20"/>
          <w:color w:val="auto"/>
        </w:rPr>
      </w:pPr>
    </w:p>
    <w:p>
      <w:pPr>
        <w:ind w:left="1940" w:hanging="568"/>
        <w:spacing w:after="0"/>
        <w:tabs>
          <w:tab w:leader="none" w:pos="19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review the progress of the Research activities, and if necessary, propose and approve changes to the Research Plan;</w:t>
      </w:r>
    </w:p>
    <w:p>
      <w:pPr>
        <w:spacing w:after="0" w:line="130" w:lineRule="exact"/>
        <w:rPr>
          <w:rFonts w:ascii="Arial" w:cs="Arial" w:eastAsia="Arial" w:hAnsi="Arial"/>
          <w:sz w:val="18"/>
          <w:szCs w:val="18"/>
          <w:color w:val="auto"/>
        </w:rPr>
      </w:pPr>
    </w:p>
    <w:p>
      <w:pPr>
        <w:ind w:left="1940" w:hanging="568"/>
        <w:spacing w:after="0"/>
        <w:tabs>
          <w:tab w:leader="none" w:pos="19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review and approve any changes to the allocation of responsibility for Research costs;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69" w:right="279" w:bottom="1440" w:gutter="0" w:footer="0" w:header="0"/>
        </w:sectPr>
      </w:pPr>
    </w:p>
    <w:bookmarkStart w:id="512" w:name="page513"/>
    <w:bookmarkEnd w:id="5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940" w:right="300" w:hanging="568"/>
        <w:spacing w:after="0" w:line="277" w:lineRule="auto"/>
        <w:tabs>
          <w:tab w:leader="none" w:pos="19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review and approve the strategy for the filing, prosecution, and maintenance of the ACI Patent Rights, Janssen Patent Rights or Joint Patent Rights; and</w:t>
      </w:r>
    </w:p>
    <w:p>
      <w:pPr>
        <w:spacing w:after="0" w:line="75" w:lineRule="exact"/>
        <w:rPr>
          <w:rFonts w:ascii="Arial" w:cs="Arial" w:eastAsia="Arial" w:hAnsi="Arial"/>
          <w:sz w:val="18"/>
          <w:szCs w:val="18"/>
          <w:color w:val="auto"/>
        </w:rPr>
      </w:pPr>
    </w:p>
    <w:p>
      <w:pPr>
        <w:ind w:left="1940" w:hanging="568"/>
        <w:spacing w:after="0"/>
        <w:tabs>
          <w:tab w:leader="none" w:pos="19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perform such other functions as appropriate to further the purposes of this Agreement as determined by the Parties.</w:t>
      </w:r>
    </w:p>
    <w:p>
      <w:pPr>
        <w:spacing w:after="0" w:line="22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3.3 JRC Meetings</w:t>
      </w:r>
      <w:r>
        <w:rPr>
          <w:rFonts w:ascii="Arial" w:cs="Arial" w:eastAsia="Arial" w:hAnsi="Arial"/>
          <w:sz w:val="16"/>
          <w:szCs w:val="16"/>
          <w:color w:val="auto"/>
        </w:rPr>
        <w:t>. The JRC will meet at least quarterly during the Research Term. The first meeting of the JRC will be held as soon as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practicable, but in no event later than [*****] after the Effective Date. Meetings will be held at a place or places as are mutually agreed or by teleconference or videoconference, provided that at least [*****] of the meetings are in person annually. The JRC meetings will be co-chaired, one designated by each Party. The co-chairpersons of the JRC will be responsible for calling meetings, preparing and circulating an agenda in advance of each meeting of the JRC, and preparing and issuing minutes of each meeting within [*****] thereafter; </w:t>
      </w:r>
      <w:r>
        <w:rPr>
          <w:rFonts w:ascii="Arial" w:cs="Arial" w:eastAsia="Arial" w:hAnsi="Arial"/>
          <w:sz w:val="16"/>
          <w:szCs w:val="16"/>
          <w:i w:val="1"/>
          <w:iCs w:val="1"/>
          <w:color w:val="auto"/>
        </w:rPr>
        <w:t>provided however</w:t>
      </w:r>
      <w:r>
        <w:rPr>
          <w:rFonts w:ascii="Arial" w:cs="Arial" w:eastAsia="Arial" w:hAnsi="Arial"/>
          <w:sz w:val="16"/>
          <w:szCs w:val="16"/>
          <w:color w:val="auto"/>
        </w:rPr>
        <w:t>, that a JRC co-chairperson will call a meeting promptly upon the request of the other co-chairperson to convene a JRC meeting. The minutes will not be finalized until both chairpersons review and approve them. The co-chairs will rotate the responsibility for recording, preparing and issuing draft minutes of each JRC meeting. [*****].</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3.4 Membership</w:t>
      </w:r>
      <w:r>
        <w:rPr>
          <w:rFonts w:ascii="Arial" w:cs="Arial" w:eastAsia="Arial" w:hAnsi="Arial"/>
          <w:sz w:val="17"/>
          <w:szCs w:val="17"/>
          <w:color w:val="auto"/>
        </w:rPr>
        <w:t>. The JRC will have [*****] co-chairpersons, one designated by each Party and an equal number of additional members from each Party,</w:t>
      </w:r>
      <w:r>
        <w:rPr>
          <w:rFonts w:ascii="Arial" w:cs="Arial" w:eastAsia="Arial" w:hAnsi="Arial"/>
          <w:sz w:val="17"/>
          <w:szCs w:val="17"/>
          <w:b w:val="1"/>
          <w:bCs w:val="1"/>
          <w:color w:val="auto"/>
        </w:rPr>
        <w:t xml:space="preserve"> </w:t>
      </w:r>
      <w:r>
        <w:rPr>
          <w:rFonts w:ascii="Arial" w:cs="Arial" w:eastAsia="Arial" w:hAnsi="Arial"/>
          <w:sz w:val="17"/>
          <w:szCs w:val="17"/>
          <w:color w:val="auto"/>
        </w:rPr>
        <w:t>such total number including co-chairpersons not to exceed [*****] from each Party, with any additional members invited to participate on an as-needed basis. The co-chairpersons of the JRC will mutually determine the number of such additional members of the JRC, which such number may be changed from time to time by the co-chairpersons. Each Party may replace its JRC representatives at any time upon written notice to the other Party. Each Party may change its respective designated co-chairperson(s) from time to time upon written notice to the other Party,</w:t>
      </w:r>
    </w:p>
    <w:p>
      <w:pPr>
        <w:spacing w:after="0" w:line="16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3.5 Sub-committees</w:t>
      </w:r>
      <w:r>
        <w:rPr>
          <w:rFonts w:ascii="Arial" w:cs="Arial" w:eastAsia="Arial" w:hAnsi="Arial"/>
          <w:sz w:val="18"/>
          <w:szCs w:val="18"/>
          <w:color w:val="auto"/>
        </w:rPr>
        <w:t>. The JRC will establish joint sub-committees as needed, and will delegate duties to such joint sub-committees to oversee and direct</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projects or activities at an appropriate time of which specific responsibilities and operating procedures will be separately agreed by the Parties at the JRC. One such sub-committee may be a joint intellectual property committee for preparation of the strategy on the filing, prosecution, and maintenance of the ACI Patents, Janssen Patents or Joint Patents.</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3.6 JRC Decision-Making</w:t>
      </w:r>
      <w:r>
        <w:rPr>
          <w:rFonts w:ascii="Arial" w:cs="Arial" w:eastAsia="Arial" w:hAnsi="Arial"/>
          <w:sz w:val="18"/>
          <w:szCs w:val="18"/>
          <w:color w:val="auto"/>
        </w:rPr>
        <w:t>. The JRC will take action by unanimous vote with each Party having a single vote, irrespective of the number of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actually in attendance at a meeting, or by a written resolution signed by all of the designated representatives of each of the Parties. If the JRC is unable to reach unanimous consent on a particular matter within [*****] (unless otherwise agreed) of its initial consideration of such matter, then the matter will be referred to the Executive Officers (or their respective designees;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such designee is not a member of the JRC and occupies a position senior to the positions occupied by the applicable Party’s members of the JRC) of the other Party for resolution. If the Executive Officers are unable to resolve a dispute pursuant to section 3.6 after good faith negotiations (not to extend beyond [*****] unless otherwise agreed), such issue will be decided consistent with [*****].</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RESEARCH</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4.1 Research Efforts</w:t>
      </w:r>
      <w:r>
        <w:rPr>
          <w:rFonts w:ascii="Arial" w:cs="Arial" w:eastAsia="Arial" w:hAnsi="Arial"/>
          <w:sz w:val="18"/>
          <w:szCs w:val="18"/>
          <w:color w:val="auto"/>
        </w:rPr>
        <w:t>. Each Party will use Diligent Efforts a) to execute and perform its obligations under the Research Plan during the Research Term, b)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and utilize for the conduct of Research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69" w:right="259" w:bottom="1440" w:gutter="0" w:footer="0" w:header="0"/>
        </w:sectPr>
      </w:pPr>
    </w:p>
    <w:bookmarkStart w:id="513" w:name="page514"/>
    <w:bookmarkEnd w:id="5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scientific staff, laboratories, offices and other facilities consistent with its commitment of FTEs herein, and c) to cooperate with each other in the conduct of the Research. “</w:t>
      </w:r>
      <w:r>
        <w:rPr>
          <w:rFonts w:ascii="Arial" w:cs="Arial" w:eastAsia="Arial" w:hAnsi="Arial"/>
          <w:sz w:val="16"/>
          <w:szCs w:val="16"/>
          <w:b w:val="1"/>
          <w:bCs w:val="1"/>
          <w:color w:val="auto"/>
        </w:rPr>
        <w:t>FTE</w:t>
      </w:r>
      <w:r>
        <w:rPr>
          <w:rFonts w:ascii="Arial" w:cs="Arial" w:eastAsia="Arial" w:hAnsi="Arial"/>
          <w:sz w:val="16"/>
          <w:szCs w:val="16"/>
          <w:color w:val="auto"/>
        </w:rPr>
        <w:t xml:space="preserve">” means the equivalent of the work of one employee with appropriate professional scientific and/or technical or managerial experience, working on a dedicated full time basis for [*****] (consisting of at least a total of [*****] hours per year of dedicated effort, excluding vacations and holidays) of work on or directly related to the activities under this Agreement. ACI shall take adequate measures to ensure that its employees conducting Research or Development activities under this Agreement will not be working on any other Tau [*****] Tau-active antibody [*****]; provided that the foregoing will not apply [*****]. A list of ACI employees who will be conducting Research or Development activities under this Agreement is attached as </w:t>
      </w:r>
      <w:r>
        <w:rPr>
          <w:rFonts w:ascii="Arial" w:cs="Arial" w:eastAsia="Arial" w:hAnsi="Arial"/>
          <w:sz w:val="16"/>
          <w:szCs w:val="16"/>
          <w:u w:val="single" w:color="auto"/>
          <w:color w:val="auto"/>
        </w:rPr>
        <w:t>Schedule 4.1</w:t>
      </w:r>
      <w:r>
        <w:rPr>
          <w:rFonts w:ascii="Arial" w:cs="Arial" w:eastAsia="Arial" w:hAnsi="Arial"/>
          <w:sz w:val="16"/>
          <w:szCs w:val="16"/>
          <w:color w:val="auto"/>
        </w:rPr>
        <w:t xml:space="preserve">. The JRC will update </w:t>
      </w:r>
      <w:r>
        <w:rPr>
          <w:rFonts w:ascii="Arial" w:cs="Arial" w:eastAsia="Arial" w:hAnsi="Arial"/>
          <w:sz w:val="16"/>
          <w:szCs w:val="16"/>
          <w:u w:val="single" w:color="auto"/>
          <w:color w:val="auto"/>
        </w:rPr>
        <w:t>Schedule 4.1</w:t>
      </w:r>
      <w:r>
        <w:rPr>
          <w:rFonts w:ascii="Arial" w:cs="Arial" w:eastAsia="Arial" w:hAnsi="Arial"/>
          <w:sz w:val="16"/>
          <w:szCs w:val="16"/>
          <w:color w:val="auto"/>
        </w:rPr>
        <w:t xml:space="preserve"> as needed if additional ACI employees conduct Research or Development activities during the Term.</w:t>
      </w:r>
    </w:p>
    <w:p>
      <w:pPr>
        <w:spacing w:after="0" w:line="16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4.2 Research Costs</w:t>
      </w:r>
      <w:r>
        <w:rPr>
          <w:rFonts w:ascii="Arial" w:cs="Arial" w:eastAsia="Arial" w:hAnsi="Arial"/>
          <w:sz w:val="18"/>
          <w:szCs w:val="18"/>
          <w:color w:val="auto"/>
        </w:rPr>
        <w:t>. During the second year of the Research Term, and upon completion of the “analysis of sera (J&amp;J and ACI) on functionality” as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on part 1 of the Research Plan in Schedule 1.66, ACI will provide Janssen with a written invoice for [*****]. During the Research Term, ACI will provide Janssen with a report at the end of each Calendar Quarter providing an accounting of the Research activities conducted by ACI during the previous Calendar Quarter and the costs for conducting those Research activities. If ACI fails to perform a Research activity assigned to it under the then current Research Plan, then [*****]</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INFORMATION SHARING COMMITTEE</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5.1 Formation and Purpose</w:t>
      </w:r>
      <w:r>
        <w:rPr>
          <w:rFonts w:ascii="Arial" w:cs="Arial" w:eastAsia="Arial" w:hAnsi="Arial"/>
          <w:sz w:val="18"/>
          <w:szCs w:val="18"/>
          <w:color w:val="auto"/>
        </w:rPr>
        <w:t>: Within [*****] after the Effective Date, the Parties will establish an Information Sharing Committee (the “ISC”) to monitor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Product. The ISC will review and discuss the Development activities to be undertaken with respect to the Product being Developed by Janssen and will provide a forum for ACI to provide input into such Development activities.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 Specific Responsibilities of the ISC: </w:t>
      </w:r>
      <w:r>
        <w:rPr>
          <w:rFonts w:ascii="Arial" w:cs="Arial" w:eastAsia="Arial" w:hAnsi="Arial"/>
          <w:sz w:val="18"/>
          <w:szCs w:val="18"/>
          <w:color w:val="auto"/>
        </w:rPr>
        <w:t>As part of its overall responsibilities described in section 5.1, the ISC will:</w:t>
      </w:r>
    </w:p>
    <w:p>
      <w:pPr>
        <w:spacing w:after="0" w:line="135" w:lineRule="exact"/>
        <w:rPr>
          <w:sz w:val="20"/>
          <w:szCs w:val="20"/>
          <w:color w:val="auto"/>
        </w:rPr>
      </w:pPr>
    </w:p>
    <w:p>
      <w:pPr>
        <w:ind w:left="1940" w:hanging="568"/>
        <w:spacing w:after="0"/>
        <w:tabs>
          <w:tab w:leader="none" w:pos="194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review the progress of the Development Plan;</w:t>
      </w:r>
    </w:p>
    <w:p>
      <w:pPr>
        <w:spacing w:after="0" w:line="130" w:lineRule="exact"/>
        <w:rPr>
          <w:rFonts w:ascii="Arial" w:cs="Arial" w:eastAsia="Arial" w:hAnsi="Arial"/>
          <w:sz w:val="18"/>
          <w:szCs w:val="18"/>
          <w:color w:val="auto"/>
        </w:rPr>
      </w:pPr>
    </w:p>
    <w:p>
      <w:pPr>
        <w:ind w:left="1940" w:hanging="568"/>
        <w:spacing w:after="0"/>
        <w:tabs>
          <w:tab w:leader="none" w:pos="194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review any changes to the Development Plan.</w:t>
      </w:r>
    </w:p>
    <w:p>
      <w:pPr>
        <w:spacing w:after="0" w:line="130" w:lineRule="exact"/>
        <w:rPr>
          <w:rFonts w:ascii="Arial" w:cs="Arial" w:eastAsia="Arial" w:hAnsi="Arial"/>
          <w:sz w:val="18"/>
          <w:szCs w:val="18"/>
          <w:color w:val="auto"/>
        </w:rPr>
      </w:pPr>
    </w:p>
    <w:p>
      <w:pPr>
        <w:ind w:left="5620" w:right="4840" w:hanging="4248"/>
        <w:spacing w:after="0" w:line="490" w:lineRule="auto"/>
        <w:tabs>
          <w:tab w:leader="none" w:pos="1935"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actively seek ACI input and consider all input in good faith; and 12</w:t>
      </w:r>
    </w:p>
    <w:p>
      <w:pPr>
        <w:sectPr>
          <w:pgSz w:w="11900" w:h="16838" w:orient="portrait"/>
          <w:cols w:equalWidth="0" w:num="1">
            <w:col w:w="11400"/>
          </w:cols>
          <w:pgMar w:left="240" w:top="270" w:right="259" w:bottom="1440" w:gutter="0" w:footer="0" w:header="0"/>
        </w:sectPr>
      </w:pPr>
    </w:p>
    <w:bookmarkStart w:id="514" w:name="page515"/>
    <w:bookmarkEnd w:id="5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940" w:hanging="568"/>
        <w:spacing w:after="0"/>
        <w:tabs>
          <w:tab w:leader="none" w:pos="19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perform such other functions as appropriate to further the purposes of this Agreement as determined by the Parties.</w:t>
      </w:r>
    </w:p>
    <w:p>
      <w:pPr>
        <w:spacing w:after="0" w:line="2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5.3 ISC Meetings: </w:t>
      </w:r>
      <w:r>
        <w:rPr>
          <w:rFonts w:ascii="Arial" w:cs="Arial" w:eastAsia="Arial" w:hAnsi="Arial"/>
          <w:sz w:val="17"/>
          <w:szCs w:val="17"/>
          <w:color w:val="auto"/>
        </w:rPr>
        <w:t>The ISC will meet [*****]. The first meeting of the ISC will be held as soon as reasonably practicable, but in no event later than [*****]</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after the Effective Date. Meetings will be held at such place or places as are mutually agreed or by teleconference or videoconference, provided that at least [*****] of the meetings are in person annually. The ISC meetings will be chaired by Janssen. The chairperson of the ISC will be responsible for calling meetings, preparing and circulating an agenda in advance of each meeting of the ISC, and preparing and issuing minutes of each meeting within [*****] thereafter; </w:t>
      </w:r>
      <w:r>
        <w:rPr>
          <w:rFonts w:ascii="Arial" w:cs="Arial" w:eastAsia="Arial" w:hAnsi="Arial"/>
          <w:sz w:val="17"/>
          <w:szCs w:val="17"/>
          <w:i w:val="1"/>
          <w:iCs w:val="1"/>
          <w:color w:val="auto"/>
        </w:rPr>
        <w:t>provided however</w:t>
      </w:r>
      <w:r>
        <w:rPr>
          <w:rFonts w:ascii="Arial" w:cs="Arial" w:eastAsia="Arial" w:hAnsi="Arial"/>
          <w:sz w:val="17"/>
          <w:szCs w:val="17"/>
          <w:color w:val="auto"/>
        </w:rPr>
        <w:t>, that a ISC chairperson will call a meeting promptly upon the request by ACI to convene an ISC meeting. The minutes will not be finalized until both Parties review and approve them. [*****] incurred by its ISC members or by any additional non-member participants of a Party in connection with their attendance at ISC meetings and other activities related to any ISC.</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5.4 ISC Decision-Making: </w:t>
      </w:r>
      <w:r>
        <w:rPr>
          <w:rFonts w:ascii="Arial" w:cs="Arial" w:eastAsia="Arial" w:hAnsi="Arial"/>
          <w:sz w:val="18"/>
          <w:szCs w:val="18"/>
          <w:color w:val="auto"/>
        </w:rPr>
        <w:t>If a disagreement relating to a particular matter of Development arises at the ISC, the Parties will discuss the matter in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order to resolve the issue. If the members of the ISC are unable to resolve the matter within [*****] (unless otherwise agreed) of its initial consideration of the matter, then it will be referred to the Executive Officers (or their respective designees;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such designee is not a member of the ISC and occupies a position senior to the positions occupied by the applicable Party’s members of the ISC) for resolution. If the Executive Officers are unable to resolve a dispute pursuant to section 5.4 after good faith negotiations (not to extend beyond [*****] unless otherwise agreed), the issue will be decided consistent with [*****].</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DEVELOPMENT; COMMERCIALIZATION</w:t>
      </w:r>
    </w:p>
    <w:p>
      <w:pPr>
        <w:spacing w:after="0" w:line="117"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color w:val="auto"/>
        </w:rPr>
        <w:t>6.1 Phase 1b Clinical Trial</w:t>
      </w:r>
      <w:r>
        <w:rPr>
          <w:rFonts w:ascii="Arial" w:cs="Arial" w:eastAsia="Arial" w:hAnsi="Arial"/>
          <w:sz w:val="18"/>
          <w:szCs w:val="18"/>
          <w:color w:val="auto"/>
        </w:rPr>
        <w:t>. ACI will conduct Development activities for Product on Janssen’s behalf until completion of the phase 1b Clinical Trial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the Development Plan, which will include an extension of the ongoing phase 1b Clinical Trial in accordance with the Development Plan. [*****].</w:t>
      </w:r>
    </w:p>
    <w:p>
      <w:pPr>
        <w:spacing w:after="0" w:line="17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6.2 Development Responsibility and Costs</w:t>
      </w:r>
      <w:r>
        <w:rPr>
          <w:rFonts w:ascii="Arial" w:cs="Arial" w:eastAsia="Arial" w:hAnsi="Arial"/>
          <w:sz w:val="18"/>
          <w:szCs w:val="18"/>
          <w:color w:val="auto"/>
        </w:rPr>
        <w:t>. Except as provided in Section 6.1, [*****]. Within [*****] days after the earlier of (a) completion of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Phase 2 Clinical Trial for a Product for PSP/FTD as described in the Development Plan, or (b) [*****] years after the Effective Date, Janssen will make a decision on whether to commit to using Diligent Efforts to Develop, Manufacture and Commercialize a Product for a Second Indication and shall notify ACI in writing of its decision. If Janssen notifies ACI that it commits to use Diligent Efforts to Develop, Manufacture and Commercialize a Product for a Second Indication, then Section 2.1 of this Agreement shall be amended to include the obligation to use Diligent Efforts to Develop, Manufacture and Commercialize a Product for a Second Indication. [*****]</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515" w:name="page516"/>
    <w:bookmarkEnd w:id="5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If ACI thereafter solely Develops a Product for a Second Indication (and not in collaboration with a Third Party), and provided that such Product shall not contain [*****] as the Product Janssen is Developing for the AD Indication, then ACI will give written notice to Janssen upon completion of a phase 2b Clinical Trial for such Second Indication of the Product and grant Janssen the exclusive right to negotiate an agreement to Develop and Commercialize the Product for the Second Indication. If the Parties are unable to reach such an agreement within [*****] days from Janssen’s receipt of ACI’s notice, ACI shall be free to enter into an agreement with any Third Party.</w:t>
      </w:r>
    </w:p>
    <w:p>
      <w:pPr>
        <w:spacing w:after="0" w:line="18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6.3 Regulatory Approvals</w:t>
      </w:r>
      <w:r>
        <w:rPr>
          <w:rFonts w:ascii="Arial" w:cs="Arial" w:eastAsia="Arial" w:hAnsi="Arial"/>
          <w:sz w:val="18"/>
          <w:szCs w:val="18"/>
          <w:color w:val="auto"/>
        </w:rPr>
        <w:t>. Janssen is solely responsible for preparing and submitting registration dossiers for Regulatory Approval of Products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All Regulatory Approvals shall be held by and in the name of Janssen, and Janssen will own all submissions in connection with them. Janssen has sole discretion for the regulatory strategy and regulatory decision-making for all Products.</w:t>
      </w:r>
    </w:p>
    <w:p>
      <w:pPr>
        <w:spacing w:after="0" w:line="176" w:lineRule="exact"/>
        <w:rPr>
          <w:sz w:val="20"/>
          <w:szCs w:val="20"/>
          <w:color w:val="auto"/>
        </w:rPr>
      </w:pPr>
    </w:p>
    <w:p>
      <w:pPr>
        <w:ind w:right="340"/>
        <w:spacing w:after="0" w:line="347" w:lineRule="auto"/>
        <w:rPr>
          <w:sz w:val="20"/>
          <w:szCs w:val="20"/>
          <w:color w:val="auto"/>
        </w:rPr>
      </w:pPr>
      <w:r>
        <w:rPr>
          <w:rFonts w:ascii="Arial" w:cs="Arial" w:eastAsia="Arial" w:hAnsi="Arial"/>
          <w:sz w:val="16"/>
          <w:szCs w:val="16"/>
          <w:b w:val="1"/>
          <w:bCs w:val="1"/>
          <w:color w:val="auto"/>
        </w:rPr>
        <w:t>6.4 CMC Work</w:t>
      </w:r>
      <w:r>
        <w:rPr>
          <w:rFonts w:ascii="Arial" w:cs="Arial" w:eastAsia="Arial" w:hAnsi="Arial"/>
          <w:sz w:val="16"/>
          <w:szCs w:val="16"/>
          <w:color w:val="auto"/>
        </w:rPr>
        <w:t>. ACI shall conduct CMC activities for the Product in accordance with the CMC Work Plan. ACI may not enter into any contract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 with any Third Party for performance of any activities under the CMC Work Plan without the prior written consent of Janssen. [*****].</w:t>
      </w:r>
    </w:p>
    <w:p>
      <w:pPr>
        <w:spacing w:after="0" w:line="11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6.5 Commercialization</w:t>
      </w:r>
      <w:r>
        <w:rPr>
          <w:rFonts w:ascii="Arial" w:cs="Arial" w:eastAsia="Arial" w:hAnsi="Arial"/>
          <w:sz w:val="18"/>
          <w:szCs w:val="18"/>
          <w:color w:val="auto"/>
        </w:rPr>
        <w:t>. Janssen has the exclusive right to Manufacture and Commercialize Products in the Territory [*****]. All decisions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and Commercialization of Products will be made solely by Janssen.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6.6 Trademarks</w:t>
      </w:r>
      <w:r>
        <w:rPr>
          <w:rFonts w:ascii="Arial" w:cs="Arial" w:eastAsia="Arial" w:hAnsi="Arial"/>
          <w:sz w:val="18"/>
          <w:szCs w:val="18"/>
          <w:color w:val="auto"/>
        </w:rPr>
        <w:t>. Janssen will develop, select, maintain, and own trademark(s) for the Product(s) in the Territory.</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6.7 Compliance</w:t>
      </w:r>
      <w:r>
        <w:rPr>
          <w:rFonts w:ascii="Arial" w:cs="Arial" w:eastAsia="Arial" w:hAnsi="Arial"/>
          <w:sz w:val="17"/>
          <w:szCs w:val="17"/>
          <w:color w:val="auto"/>
        </w:rPr>
        <w:t>. ACI will, and will cause its Affiliates and Third Party subcontractors to, comply with all applicable Laws in performing ACI’s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CMC activities, including those pertaining to the use of laboratory animals, cGLP, cGMP or cGCP as appropriate, under the Reearch Plan, Development Plan and CMC Work Plan. ACI will, and will cause its Affiliates and Third Party subcontractors to, maintain complete and accurate records of all work conducted in the performance of the Research Plan, Development Plan and CMC Work Plan, and all results, data, inventions and developments made in the performance of the Research Plan, Development Plan and CMC Work Plan. The records will be in sufficient detail, in good scientific and, as appropriate, cGLP, cGCP, and cGMP manner suitable for patent preparation and filing and regulatory purposes. ACI will maintain such records and related information for a period of [*****] years from their creation.</w:t>
      </w:r>
    </w:p>
    <w:p>
      <w:pPr>
        <w:spacing w:after="0" w:line="17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6.8 Audit</w:t>
      </w:r>
      <w:r>
        <w:rPr>
          <w:rFonts w:ascii="Arial" w:cs="Arial" w:eastAsia="Arial" w:hAnsi="Arial"/>
          <w:sz w:val="16"/>
          <w:szCs w:val="16"/>
          <w:color w:val="auto"/>
        </w:rPr>
        <w:t>. With respect to any facility or site at which ACI conducts Research, Development or CMC activities pursuant to the Research Plan,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Plan or CMC Work Plan, respectively, including, where commercially reasonable and within the control of ACI, subcontractor facilities or sites, Janssen will have the right exercisable no more than once per Calendar Year, or more often if there are material compliance issues, at its expense, upon reasonable written notice and during normal business hours, to inspect such site and facility and any records relating thereto, in each case, only to the extent reasonably necessary to verify ACI’s, or its subcontractors compliance with the terms of this Agreement relating to cGMP, cGLP and cGCP. Such inspection shall be subject to the confidentiality provisions of this Agreement. ACI agrees, to use reasonable efforts to include in any contract or other written arrangement with a subcontractor relating to such facilities and sites a clause permitting Janssen to exercise its rights under this Section. In the event that during an inspection visit by Janssen of the facilities of ACI or any subcontractor’s facilities appointed by ACI, the facilities are found to be non-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9" w:right="239" w:bottom="1440" w:gutter="0" w:footer="0" w:header="0"/>
        </w:sectPr>
      </w:pPr>
    </w:p>
    <w:bookmarkStart w:id="516" w:name="page517"/>
    <w:bookmarkEnd w:id="5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compliant with one or more cGMP, cGLP or cGCP standards, ACI shall submit a proposed recovery/corrective action plan within [*****] days after Janssen’s notification to ACI of noncompliance.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LICENSE</w:t>
      </w:r>
    </w:p>
    <w:p>
      <w:pPr>
        <w:spacing w:after="0" w:line="117"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7.1 License Grant</w:t>
      </w:r>
      <w:r>
        <w:rPr>
          <w:rFonts w:ascii="Arial" w:cs="Arial" w:eastAsia="Arial" w:hAnsi="Arial"/>
          <w:sz w:val="17"/>
          <w:szCs w:val="17"/>
          <w:color w:val="auto"/>
        </w:rPr>
        <w:t>. ACI hereby grants to Janssen an exclusive license in the Field in the Territory under ACI Know-How and ACI Patent Rights and ACI’s</w:t>
      </w:r>
      <w:r>
        <w:rPr>
          <w:rFonts w:ascii="Arial" w:cs="Arial" w:eastAsia="Arial" w:hAnsi="Arial"/>
          <w:sz w:val="17"/>
          <w:szCs w:val="17"/>
          <w:b w:val="1"/>
          <w:bCs w:val="1"/>
          <w:color w:val="auto"/>
        </w:rPr>
        <w:t xml:space="preserve"> </w:t>
      </w:r>
      <w:r>
        <w:rPr>
          <w:rFonts w:ascii="Arial" w:cs="Arial" w:eastAsia="Arial" w:hAnsi="Arial"/>
          <w:sz w:val="17"/>
          <w:szCs w:val="17"/>
          <w:color w:val="auto"/>
        </w:rPr>
        <w:t>rights under Joint Know-How and Joint Patent Rights to make, have made, use, sell, offer for sale, have sold, and import Products.</w:t>
      </w:r>
    </w:p>
    <w:p>
      <w:pPr>
        <w:spacing w:after="0" w:line="13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7.2 Right to Sublicense</w:t>
      </w:r>
      <w:r>
        <w:rPr>
          <w:rFonts w:ascii="Arial" w:cs="Arial" w:eastAsia="Arial" w:hAnsi="Arial"/>
          <w:sz w:val="16"/>
          <w:szCs w:val="16"/>
          <w:color w:val="auto"/>
        </w:rPr>
        <w:t>. The rights granted to Janssen in section 7.1 include the right to grant sublicenses;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any such sublicense obliges the</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sublicensee to comply with all the terms of this Agreement (except those provisions which, by their clear meaning, are not applicable to a sublicense) and that Janssen remains liable to ACI for all material acts and omissions of any such sublicensee. In addition, Janssen will provide written notice to ACI of any such sublicense, along with a summary of the principal non-financial terms of that sublicense including its scope, the sublicensee’s duties and representations.</w:t>
      </w:r>
    </w:p>
    <w:p>
      <w:pPr>
        <w:spacing w:after="0" w:line="15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7.3 License Grant to ACI</w:t>
      </w:r>
      <w:r>
        <w:rPr>
          <w:rFonts w:ascii="Arial" w:cs="Arial" w:eastAsia="Arial" w:hAnsi="Arial"/>
          <w:sz w:val="18"/>
          <w:szCs w:val="18"/>
          <w:color w:val="auto"/>
        </w:rPr>
        <w:t>. Janssen grants to ACI a worldwide non-exclusive license under Janssen Patent Rights and Janssen Know-How, including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to Janssen by ACI under section 7.1, for ACI to conduct: (i) Research activities in accordance with the Research Plan, and (ii) Development and CMC activities in accordance with sections 6.1 and 6.4.</w:t>
      </w:r>
    </w:p>
    <w:p>
      <w:pPr>
        <w:spacing w:after="0" w:line="17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7.4 No Implied Licenses</w:t>
      </w:r>
      <w:r>
        <w:rPr>
          <w:rFonts w:ascii="Arial" w:cs="Arial" w:eastAsia="Arial" w:hAnsi="Arial"/>
          <w:sz w:val="18"/>
          <w:szCs w:val="18"/>
          <w:color w:val="auto"/>
        </w:rPr>
        <w:t>. Only those licenses expressly granted in this Agreement have effect. No license or other intellectual property interest is granted by</w:t>
      </w:r>
      <w:r>
        <w:rPr>
          <w:rFonts w:ascii="Arial" w:cs="Arial" w:eastAsia="Arial" w:hAnsi="Arial"/>
          <w:sz w:val="18"/>
          <w:szCs w:val="18"/>
          <w:b w:val="1"/>
          <w:bCs w:val="1"/>
          <w:color w:val="auto"/>
        </w:rPr>
        <w:t xml:space="preserve"> </w:t>
      </w:r>
      <w:r>
        <w:rPr>
          <w:rFonts w:ascii="Arial" w:cs="Arial" w:eastAsia="Arial" w:hAnsi="Arial"/>
          <w:sz w:val="18"/>
          <w:szCs w:val="18"/>
          <w:color w:val="auto"/>
        </w:rPr>
        <w:t>implication or any method that is not express.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CONFIDENTIALITY AND PUBLICATION</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8.1 Nondisclosure Obligation</w:t>
      </w:r>
      <w:r>
        <w:rPr>
          <w:rFonts w:ascii="Arial" w:cs="Arial" w:eastAsia="Arial" w:hAnsi="Arial"/>
          <w:sz w:val="18"/>
          <w:szCs w:val="18"/>
          <w:color w:val="auto"/>
        </w:rPr>
        <w:t>. All Confidential Information disclosed by one Party to the other Party will be maintained in confidence by the receiving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receiving Party will not disclose it to a Third Party except to the extent that such Confidential Information is:</w:t>
      </w:r>
    </w:p>
    <w:p>
      <w:pPr>
        <w:spacing w:after="0" w:line="71" w:lineRule="exact"/>
        <w:rPr>
          <w:sz w:val="20"/>
          <w:szCs w:val="20"/>
          <w:color w:val="auto"/>
        </w:rPr>
      </w:pPr>
    </w:p>
    <w:p>
      <w:pPr>
        <w:ind w:left="1940" w:hanging="568"/>
        <w:spacing w:after="0"/>
        <w:tabs>
          <w:tab w:leader="none" w:pos="19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information which, at the time of disclosure is published, known publicly or is otherwise in the public domain; or</w:t>
      </w:r>
    </w:p>
    <w:p>
      <w:pPr>
        <w:spacing w:after="0" w:line="130" w:lineRule="exact"/>
        <w:rPr>
          <w:rFonts w:ascii="Arial" w:cs="Arial" w:eastAsia="Arial" w:hAnsi="Arial"/>
          <w:sz w:val="18"/>
          <w:szCs w:val="18"/>
          <w:color w:val="auto"/>
        </w:rPr>
      </w:pPr>
    </w:p>
    <w:p>
      <w:pPr>
        <w:ind w:left="1940" w:right="420" w:hanging="568"/>
        <w:spacing w:after="0" w:line="277" w:lineRule="auto"/>
        <w:tabs>
          <w:tab w:leader="none" w:pos="19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information which, after disclosure, is published or becomes known publicly or otherwise becomes part of the public domain, through no fault of the receiving Party; or</w:t>
      </w:r>
    </w:p>
    <w:p>
      <w:pPr>
        <w:spacing w:after="0" w:line="75" w:lineRule="exact"/>
        <w:rPr>
          <w:rFonts w:ascii="Arial" w:cs="Arial" w:eastAsia="Arial" w:hAnsi="Arial"/>
          <w:sz w:val="18"/>
          <w:szCs w:val="18"/>
          <w:color w:val="auto"/>
        </w:rPr>
      </w:pPr>
    </w:p>
    <w:p>
      <w:pPr>
        <w:ind w:left="1940" w:hanging="568"/>
        <w:spacing w:after="0"/>
        <w:tabs>
          <w:tab w:leader="none" w:pos="194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information which, prior to the time of disclosure, is known to the receiving Party, as evidenced by its written records; or</w:t>
      </w:r>
    </w:p>
    <w:p>
      <w:pPr>
        <w:spacing w:after="0" w:line="142" w:lineRule="exact"/>
        <w:rPr>
          <w:rFonts w:ascii="Arial" w:cs="Arial" w:eastAsia="Arial" w:hAnsi="Arial"/>
          <w:sz w:val="17"/>
          <w:szCs w:val="17"/>
          <w:color w:val="auto"/>
        </w:rPr>
      </w:pPr>
    </w:p>
    <w:p>
      <w:pPr>
        <w:ind w:left="1940" w:right="160" w:hanging="568"/>
        <w:spacing w:after="0" w:line="342" w:lineRule="auto"/>
        <w:tabs>
          <w:tab w:leader="none" w:pos="194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information which has been or is disclosed to the receiving Party in good faith by a Third Party who was not, or is not, under any obligation of confidence or secrecy to the disclosing Party at the time the Third Party discloses it to the receiving Party; or</w:t>
      </w:r>
    </w:p>
    <w:p>
      <w:pPr>
        <w:spacing w:after="0" w:line="29" w:lineRule="exact"/>
        <w:rPr>
          <w:rFonts w:ascii="Arial" w:cs="Arial" w:eastAsia="Arial" w:hAnsi="Arial"/>
          <w:sz w:val="16"/>
          <w:szCs w:val="16"/>
          <w:color w:val="auto"/>
        </w:rPr>
      </w:pPr>
    </w:p>
    <w:p>
      <w:pPr>
        <w:ind w:left="1940" w:right="120" w:hanging="568"/>
        <w:spacing w:after="0" w:line="264" w:lineRule="auto"/>
        <w:tabs>
          <w:tab w:leader="none" w:pos="19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disclosed to governmental or other regulatory agencies to comply with applicable law or regulations,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receiving Party or its Affiliate provides to the disclosing Party prompt prior written notice of its obligation to make such disclosure and takes reasonable and lawful actions to avoid or minimize the degree of such disclosure; or</w:t>
      </w:r>
    </w:p>
    <w:p>
      <w:pPr>
        <w:spacing w:after="0" w:line="86" w:lineRule="exact"/>
        <w:rPr>
          <w:rFonts w:ascii="Arial" w:cs="Arial" w:eastAsia="Arial" w:hAnsi="Arial"/>
          <w:sz w:val="18"/>
          <w:szCs w:val="18"/>
          <w:color w:val="auto"/>
        </w:rPr>
      </w:pPr>
    </w:p>
    <w:p>
      <w:pPr>
        <w:ind w:left="1940" w:hanging="568"/>
        <w:spacing w:after="0" w:line="277" w:lineRule="auto"/>
        <w:tabs>
          <w:tab w:leader="none" w:pos="19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to the extent it is deemed necessary by Janssen or its Affiliate, in its reasonable judgment, to be disclosed to any Third Party for the research and Development, Manufacturing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517" w:name="page518"/>
    <w:bookmarkEnd w:id="5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both"/>
        <w:ind w:left="1940" w:right="120"/>
        <w:spacing w:after="0" w:line="264" w:lineRule="auto"/>
        <w:rPr>
          <w:sz w:val="20"/>
          <w:szCs w:val="20"/>
          <w:color w:val="auto"/>
        </w:rPr>
      </w:pPr>
      <w:r>
        <w:rPr>
          <w:rFonts w:ascii="Arial" w:cs="Arial" w:eastAsia="Arial" w:hAnsi="Arial"/>
          <w:sz w:val="18"/>
          <w:szCs w:val="18"/>
          <w:color w:val="auto"/>
        </w:rPr>
        <w:t xml:space="preserve">and/or Commercialization of a Product (or for such entities to determine their interest in performing such activities) in accordance with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Third Party agrees to be bound by confidentiality and non-use obligations that are no less stringent than those contained in this Agreement.</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Any combination of features or disclosures will not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Party is required by judicial or administrative process to disclose Confidential Information that is subject to the non-disclosure provisions of this section 8.1, such Party shall promptly inform the other Party of the disclosure that is being sought in order to provide the other Party an opportunity to challenge or limit the disclosure obligations. Confidential Information that is disclosed by judicial or administrative process remains otherwise subject to the confidentiality and non-use provisions of this section 8.1, and the receiving Party shall co-operate with any reasonable attempts of the disclosing Party to limit the disclosure required by law, including by obtaining an order of confidentiality, to ensure the continued confidential treatment of such Confidential Information.</w:t>
      </w:r>
    </w:p>
    <w:p>
      <w:pPr>
        <w:spacing w:after="0" w:line="3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Publication</w:t>
      </w:r>
      <w:r>
        <w:rPr>
          <w:rFonts w:ascii="Arial" w:cs="Arial" w:eastAsia="Arial" w:hAnsi="Arial"/>
          <w:sz w:val="16"/>
          <w:szCs w:val="16"/>
          <w:color w:val="auto"/>
        </w:rPr>
        <w:t>.</w:t>
      </w:r>
    </w:p>
    <w:p>
      <w:pPr>
        <w:spacing w:after="0" w:line="117" w:lineRule="exact"/>
        <w:rPr>
          <w:sz w:val="20"/>
          <w:szCs w:val="20"/>
          <w:color w:val="auto"/>
        </w:rPr>
      </w:pPr>
    </w:p>
    <w:p>
      <w:pPr>
        <w:ind w:left="580"/>
        <w:spacing w:after="0" w:line="270" w:lineRule="auto"/>
        <w:rPr>
          <w:sz w:val="20"/>
          <w:szCs w:val="20"/>
          <w:color w:val="auto"/>
        </w:rPr>
      </w:pPr>
      <w:r>
        <w:rPr>
          <w:rFonts w:ascii="Arial" w:cs="Arial" w:eastAsia="Arial" w:hAnsi="Arial"/>
          <w:sz w:val="17"/>
          <w:szCs w:val="17"/>
          <w:b w:val="1"/>
          <w:bCs w:val="1"/>
          <w:color w:val="auto"/>
        </w:rPr>
        <w:t xml:space="preserve">8.2.1 </w:t>
      </w:r>
      <w:r>
        <w:rPr>
          <w:rFonts w:ascii="Arial" w:cs="Arial" w:eastAsia="Arial" w:hAnsi="Arial"/>
          <w:sz w:val="17"/>
          <w:szCs w:val="17"/>
          <w:color w:val="auto"/>
        </w:rPr>
        <w:t>A Party, its employees or consultants wishing to publish or publicly present any information about a Product or the results of any activities to</w:t>
      </w:r>
      <w:r>
        <w:rPr>
          <w:rFonts w:ascii="Arial" w:cs="Arial" w:eastAsia="Arial" w:hAnsi="Arial"/>
          <w:sz w:val="17"/>
          <w:szCs w:val="17"/>
          <w:b w:val="1"/>
          <w:bCs w:val="1"/>
          <w:color w:val="auto"/>
        </w:rPr>
        <w:t xml:space="preserve"> </w:t>
      </w:r>
      <w:r>
        <w:rPr>
          <w:rFonts w:ascii="Arial" w:cs="Arial" w:eastAsia="Arial" w:hAnsi="Arial"/>
          <w:sz w:val="17"/>
          <w:szCs w:val="17"/>
          <w:color w:val="auto"/>
        </w:rPr>
        <w:t>Develop a Product shall deliver to the other Party a copy of the proposed written publication or an outline of an oral disclosure at least [*****] days prior to submission for publication or presentation. The reviewing Party shall notify the other Party within [*****] days of receipt of the proposed publication whether the draft publication contains (i) information that is Confidential to the reviewing Party, or (ii) information that if published would have an adverse effect on a patent application covering the subject matter of this Agreement. The reviewing Party will propose modifications to the publication or presentation for patent reasons, confidentiality reasons or request a reasonable delay in publication or presentation in order to protect patentable information. If the reviewing Party requests a delay to protect patentable information, the other Party shall delay submission or presentation for a period not to exceed [*****] days to enable relevant patent applications to be filed. Upon expiration of such [*****] days, such Party shall be free to proceed with the publication or presentation. If the reviewing Party reasonably requests modifications to the publication or presentation to prevent disclosure of Confidential Information of such Party, the other Party will edit such publication to prevent the disclosure of such information prior to submission of the publication or presentation.</w:t>
      </w:r>
    </w:p>
    <w:p>
      <w:pPr>
        <w:spacing w:after="0" w:line="66" w:lineRule="exact"/>
        <w:rPr>
          <w:sz w:val="20"/>
          <w:szCs w:val="20"/>
          <w:color w:val="auto"/>
        </w:rPr>
      </w:pPr>
    </w:p>
    <w:p>
      <w:pPr>
        <w:ind w:left="580" w:right="160"/>
        <w:spacing w:after="0" w:line="282" w:lineRule="auto"/>
        <w:rPr>
          <w:sz w:val="20"/>
          <w:szCs w:val="20"/>
          <w:color w:val="auto"/>
        </w:rPr>
      </w:pPr>
      <w:r>
        <w:rPr>
          <w:rFonts w:ascii="Arial" w:cs="Arial" w:eastAsia="Arial" w:hAnsi="Arial"/>
          <w:sz w:val="18"/>
          <w:szCs w:val="18"/>
          <w:b w:val="1"/>
          <w:bCs w:val="1"/>
          <w:color w:val="auto"/>
        </w:rPr>
        <w:t xml:space="preserve">8.2.2 </w:t>
      </w:r>
      <w:r>
        <w:rPr>
          <w:rFonts w:ascii="Arial" w:cs="Arial" w:eastAsia="Arial" w:hAnsi="Arial"/>
          <w:sz w:val="18"/>
          <w:szCs w:val="18"/>
          <w:color w:val="auto"/>
        </w:rPr>
        <w:t>Once a publication or presentation has been approved, the Parties may use the information contained in the publication or presentation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seeking further approval.</w:t>
      </w:r>
    </w:p>
    <w:p>
      <w:pPr>
        <w:spacing w:after="0" w:line="54" w:lineRule="exact"/>
        <w:rPr>
          <w:sz w:val="20"/>
          <w:szCs w:val="20"/>
          <w:color w:val="auto"/>
        </w:rPr>
      </w:pPr>
    </w:p>
    <w:p>
      <w:pPr>
        <w:ind w:left="580" w:right="20"/>
        <w:spacing w:after="0" w:line="282" w:lineRule="auto"/>
        <w:rPr>
          <w:sz w:val="20"/>
          <w:szCs w:val="20"/>
          <w:color w:val="auto"/>
        </w:rPr>
      </w:pPr>
      <w:r>
        <w:rPr>
          <w:rFonts w:ascii="Arial" w:cs="Arial" w:eastAsia="Arial" w:hAnsi="Arial"/>
          <w:sz w:val="18"/>
          <w:szCs w:val="18"/>
          <w:b w:val="1"/>
          <w:bCs w:val="1"/>
          <w:color w:val="auto"/>
        </w:rPr>
        <w:t xml:space="preserve">8.2.3 </w:t>
      </w:r>
      <w:r>
        <w:rPr>
          <w:rFonts w:ascii="Arial" w:cs="Arial" w:eastAsia="Arial" w:hAnsi="Arial"/>
          <w:sz w:val="18"/>
          <w:szCs w:val="18"/>
          <w:color w:val="auto"/>
        </w:rPr>
        <w:t>The Parties will ascribe authorship of any proposed publication using accepted standards used in peer-reviewed, academic journals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proposed publication.</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8.3 Publicity/Use of Names</w:t>
      </w:r>
      <w:r>
        <w:rPr>
          <w:rFonts w:ascii="Arial" w:cs="Arial" w:eastAsia="Arial" w:hAnsi="Arial"/>
          <w:sz w:val="17"/>
          <w:szCs w:val="17"/>
          <w:color w:val="auto"/>
        </w:rPr>
        <w:t>. The form of the initial press release that may be issued by ACI, is attached as Exhibit A. Each Party is free to use the</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disclosed in the press release in any other format without further approval by the other Party, except no statements by any Party’s official or representatives (if included in the initial press release) shall be used out of context or for promotional purposes. Otherwise, neither Party shall disclose the existence of this Agreement or its terms nor shall they use the name, trademark, trade name or logo of the other Party or its employees in any publicity, news release or promotional materials relating to this Agreement or its subject matter, without the prior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518" w:name="page519"/>
    <w:bookmarkEnd w:id="5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express written permission of the other Party, except as may be required by applicable laws, regulations, or judicial order. The Party desiring to make the public announcement shall provide the other Party with a written copy of the proposed announcement in sufficient time prior to public release to allow the other Party to comment upon the announcement, prior to public release. Notwithstanding the foregoing, ACI shall have the right to disclose the existence of this Agreement and its terms, under confidentiality obligations no less restrictive than those contained herein, to its actual or prospective investors or acquirers, or as reasonably necessary to its prospective licensees or collaborators provided that ACI redacts sensitive information before providing to licensees or collaborators including, but not limited to, all financial and payment provisions.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PAYMENTS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Upfront Fee and Development Cost Sharing.</w:t>
      </w:r>
    </w:p>
    <w:p>
      <w:pPr>
        <w:spacing w:after="0" w:line="117" w:lineRule="exact"/>
        <w:rPr>
          <w:sz w:val="20"/>
          <w:szCs w:val="20"/>
          <w:color w:val="auto"/>
        </w:rPr>
      </w:pPr>
    </w:p>
    <w:p>
      <w:pPr>
        <w:ind w:left="580" w:right="280"/>
        <w:spacing w:after="0" w:line="266" w:lineRule="auto"/>
        <w:rPr>
          <w:sz w:val="20"/>
          <w:szCs w:val="20"/>
          <w:color w:val="auto"/>
        </w:rPr>
      </w:pPr>
      <w:r>
        <w:rPr>
          <w:rFonts w:ascii="Arial" w:cs="Arial" w:eastAsia="Arial" w:hAnsi="Arial"/>
          <w:sz w:val="18"/>
          <w:szCs w:val="18"/>
          <w:b w:val="1"/>
          <w:bCs w:val="1"/>
          <w:color w:val="auto"/>
        </w:rPr>
        <w:t>9.1.1 Upfront Fee</w:t>
      </w:r>
      <w:r>
        <w:rPr>
          <w:rFonts w:ascii="Arial" w:cs="Arial" w:eastAsia="Arial" w:hAnsi="Arial"/>
          <w:sz w:val="18"/>
          <w:szCs w:val="18"/>
          <w:color w:val="auto"/>
        </w:rPr>
        <w:t>. Janssen shall pay to ACI the amount of twenty-five million eight hundred fifty-six thousand three hundred CHF (CHF</w:t>
      </w:r>
      <w:r>
        <w:rPr>
          <w:rFonts w:ascii="Arial" w:cs="Arial" w:eastAsia="Arial" w:hAnsi="Arial"/>
          <w:sz w:val="18"/>
          <w:szCs w:val="18"/>
          <w:b w:val="1"/>
          <w:bCs w:val="1"/>
          <w:color w:val="auto"/>
        </w:rPr>
        <w:t xml:space="preserve"> </w:t>
      </w:r>
      <w:r>
        <w:rPr>
          <w:rFonts w:ascii="Arial" w:cs="Arial" w:eastAsia="Arial" w:hAnsi="Arial"/>
          <w:sz w:val="18"/>
          <w:szCs w:val="18"/>
          <w:color w:val="auto"/>
        </w:rPr>
        <w:t>25,856,300) as a one-time, non-refundable and non-creditable upfront fee, due on the Effective Date but payable within 45 days after the Effective Date.</w:t>
      </w:r>
    </w:p>
    <w:p>
      <w:pPr>
        <w:spacing w:after="0" w:line="68"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b w:val="1"/>
          <w:bCs w:val="1"/>
          <w:color w:val="auto"/>
        </w:rPr>
        <w:t>9.1.2 Development Cost Sharing</w:t>
      </w:r>
      <w:r>
        <w:rPr>
          <w:rFonts w:ascii="Arial" w:cs="Arial" w:eastAsia="Arial" w:hAnsi="Arial"/>
          <w:sz w:val="18"/>
          <w:szCs w:val="18"/>
          <w:color w:val="auto"/>
        </w:rPr>
        <w:t>. [*****]. Up until completion of the phase 1b Clinical Trial, each Party will provide the other Party with a report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of each Calendar Quarter providing an accounting of its CMC and Development activities during the previous Calendar Quarter and the costs associated with such activities. In the event that at the end of any Calendar Year one Party has paid more than its share of the CMC and Development costs, such Party shall send a written notice and invoice to the other Party describing the overpayment against such Party’s share and requesting reimbursement for the overpayment amount. The Party receiving such invoice shall reimburse the other Party within [*****] of its receipt of the invoice.</w:t>
      </w:r>
    </w:p>
    <w:p>
      <w:pPr>
        <w:spacing w:after="0" w:line="3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Milestone Payments</w:t>
      </w:r>
      <w:r>
        <w:rPr>
          <w:rFonts w:ascii="Arial" w:cs="Arial" w:eastAsia="Arial" w:hAnsi="Arial"/>
          <w:sz w:val="15"/>
          <w:szCs w:val="15"/>
          <w:color w:val="auto"/>
        </w:rPr>
        <w:t>.</w:t>
      </w:r>
    </w:p>
    <w:p>
      <w:pPr>
        <w:spacing w:after="0" w:line="117" w:lineRule="exact"/>
        <w:rPr>
          <w:sz w:val="20"/>
          <w:szCs w:val="20"/>
          <w:color w:val="auto"/>
        </w:rPr>
      </w:pPr>
    </w:p>
    <w:p>
      <w:pPr>
        <w:ind w:left="580" w:right="160"/>
        <w:spacing w:after="0" w:line="282" w:lineRule="auto"/>
        <w:rPr>
          <w:sz w:val="20"/>
          <w:szCs w:val="20"/>
          <w:color w:val="auto"/>
        </w:rPr>
      </w:pPr>
      <w:r>
        <w:rPr>
          <w:rFonts w:ascii="Arial" w:cs="Arial" w:eastAsia="Arial" w:hAnsi="Arial"/>
          <w:sz w:val="18"/>
          <w:szCs w:val="18"/>
          <w:b w:val="1"/>
          <w:bCs w:val="1"/>
          <w:color w:val="auto"/>
        </w:rPr>
        <w:t xml:space="preserve">9.2.1 </w:t>
      </w:r>
      <w:r>
        <w:rPr>
          <w:rFonts w:ascii="Arial" w:cs="Arial" w:eastAsia="Arial" w:hAnsi="Arial"/>
          <w:sz w:val="18"/>
          <w:szCs w:val="18"/>
          <w:color w:val="auto"/>
        </w:rPr>
        <w:t>Janssen shall pay to ACI one time only each of the amounts set forth in this section 9.2.1 (each, a “</w:t>
      </w:r>
      <w:r>
        <w:rPr>
          <w:rFonts w:ascii="Arial" w:cs="Arial" w:eastAsia="Arial" w:hAnsi="Arial"/>
          <w:sz w:val="18"/>
          <w:szCs w:val="18"/>
          <w:u w:val="single" w:color="auto"/>
          <w:color w:val="auto"/>
        </w:rPr>
        <w:t>Milestone Payment</w:t>
      </w:r>
      <w:r>
        <w:rPr>
          <w:rFonts w:ascii="Arial" w:cs="Arial" w:eastAsia="Arial" w:hAnsi="Arial"/>
          <w:sz w:val="18"/>
          <w:szCs w:val="18"/>
          <w:color w:val="auto"/>
        </w:rPr>
        <w:t>”) if such corresponding</w:t>
      </w:r>
      <w:r>
        <w:rPr>
          <w:rFonts w:ascii="Arial" w:cs="Arial" w:eastAsia="Arial" w:hAnsi="Arial"/>
          <w:sz w:val="18"/>
          <w:szCs w:val="18"/>
          <w:b w:val="1"/>
          <w:bCs w:val="1"/>
          <w:color w:val="auto"/>
        </w:rPr>
        <w:t xml:space="preserve"> </w:t>
      </w:r>
      <w:r>
        <w:rPr>
          <w:rFonts w:ascii="Arial" w:cs="Arial" w:eastAsia="Arial" w:hAnsi="Arial"/>
          <w:sz w:val="18"/>
          <w:szCs w:val="18"/>
          <w:color w:val="auto"/>
        </w:rPr>
        <w:t>milestone event (each, a “</w:t>
      </w:r>
      <w:r>
        <w:rPr>
          <w:rFonts w:ascii="Arial" w:cs="Arial" w:eastAsia="Arial" w:hAnsi="Arial"/>
          <w:sz w:val="18"/>
          <w:szCs w:val="18"/>
          <w:u w:val="single" w:color="auto"/>
          <w:color w:val="auto"/>
        </w:rPr>
        <w:t>Milestone Event</w:t>
      </w:r>
      <w:r>
        <w:rPr>
          <w:rFonts w:ascii="Arial" w:cs="Arial" w:eastAsia="Arial" w:hAnsi="Arial"/>
          <w:sz w:val="18"/>
          <w:szCs w:val="18"/>
          <w:color w:val="auto"/>
        </w:rPr>
        <w:t>”) is achieved with a Product.</w:t>
      </w:r>
    </w:p>
    <w:p>
      <w:pPr>
        <w:spacing w:after="0" w:line="310" w:lineRule="exact"/>
        <w:rPr>
          <w:sz w:val="20"/>
          <w:szCs w:val="20"/>
          <w:color w:val="auto"/>
        </w:rPr>
      </w:pPr>
    </w:p>
    <w:p>
      <w:pPr>
        <w:ind w:left="1940" w:hanging="568"/>
        <w:spacing w:after="0"/>
        <w:tabs>
          <w:tab w:leader="none" w:pos="194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Milestone Events for AD Indication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2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Milestone Event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6"/>
              </w:rPr>
              <w:t>Milestone Amount ( CHF)</w:t>
            </w:r>
          </w:p>
        </w:tc>
      </w:tr>
      <w:tr>
        <w:trPr>
          <w:trHeight w:val="210"/>
        </w:trPr>
        <w:tc>
          <w:tcPr>
            <w:tcW w:w="3320" w:type="dxa"/>
            <w:vAlign w:val="bottom"/>
            <w:tcBorders>
              <w:top w:val="single" w:sz="8" w:color="CCEEFF"/>
            </w:tcBorders>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r>
      <w:tr>
        <w:trPr>
          <w:trHeight w:val="365"/>
        </w:trPr>
        <w:tc>
          <w:tcPr>
            <w:tcW w:w="3320" w:type="dxa"/>
            <w:vAlign w:val="bottom"/>
          </w:tcPr>
          <w:p>
            <w:pPr>
              <w:spacing w:after="0"/>
              <w:rPr>
                <w:sz w:val="24"/>
                <w:szCs w:val="24"/>
                <w:color w:val="auto"/>
              </w:rPr>
            </w:pPr>
          </w:p>
        </w:tc>
        <w:tc>
          <w:tcPr>
            <w:tcW w:w="2580" w:type="dxa"/>
            <w:vAlign w:val="bottom"/>
          </w:tcPr>
          <w:p>
            <w:pPr>
              <w:jc w:val="right"/>
              <w:ind w:right="1396"/>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519" w:name="page520"/>
    <w:bookmarkEnd w:id="519"/>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258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32"/>
        </w:trPr>
        <w:tc>
          <w:tcPr>
            <w:tcW w:w="13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Milestone Event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5"/>
              </w:rPr>
              <w:t>Milestone Amount ( CHF)</w:t>
            </w:r>
          </w:p>
        </w:tc>
      </w:tr>
      <w:tr>
        <w:trPr>
          <w:trHeight w:val="210"/>
        </w:trPr>
        <w:tc>
          <w:tcPr>
            <w:tcW w:w="138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581"/>
        </w:trPr>
        <w:tc>
          <w:tcPr>
            <w:tcW w:w="1760" w:type="dxa"/>
            <w:vAlign w:val="bottom"/>
            <w:gridSpan w:val="2"/>
          </w:tcPr>
          <w:p>
            <w:pPr>
              <w:ind w:left="1380"/>
              <w:spacing w:after="0"/>
              <w:rPr>
                <w:sz w:val="20"/>
                <w:szCs w:val="20"/>
                <w:color w:val="auto"/>
              </w:rPr>
            </w:pPr>
            <w:r>
              <w:rPr>
                <w:rFonts w:ascii="Arial" w:cs="Arial" w:eastAsia="Arial" w:hAnsi="Arial"/>
                <w:sz w:val="18"/>
                <w:szCs w:val="18"/>
                <w:b w:val="1"/>
                <w:bCs w:val="1"/>
                <w:color w:val="auto"/>
              </w:rPr>
              <w:t>(b)</w:t>
            </w:r>
          </w:p>
        </w:tc>
        <w:tc>
          <w:tcPr>
            <w:tcW w:w="5780" w:type="dxa"/>
            <w:vAlign w:val="bottom"/>
            <w:gridSpan w:val="3"/>
          </w:tcPr>
          <w:p>
            <w:pPr>
              <w:ind w:left="180"/>
              <w:spacing w:after="0"/>
              <w:rPr>
                <w:sz w:val="20"/>
                <w:szCs w:val="20"/>
                <w:color w:val="auto"/>
              </w:rPr>
            </w:pPr>
            <w:r>
              <w:rPr>
                <w:rFonts w:ascii="Arial" w:cs="Arial" w:eastAsia="Arial" w:hAnsi="Arial"/>
                <w:sz w:val="18"/>
                <w:szCs w:val="18"/>
                <w:b w:val="1"/>
                <w:bCs w:val="1"/>
                <w:color w:val="auto"/>
              </w:rPr>
              <w:t>Development Milestone Events for Second Indication</w:t>
            </w:r>
          </w:p>
        </w:tc>
        <w:tc>
          <w:tcPr>
            <w:tcW w:w="25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Milestone Event</w:t>
            </w:r>
          </w:p>
        </w:tc>
        <w:tc>
          <w:tcPr>
            <w:tcW w:w="260" w:type="dxa"/>
            <w:vAlign w:val="bottom"/>
          </w:tcPr>
          <w:p>
            <w:pPr>
              <w:spacing w:after="0"/>
              <w:rPr>
                <w:sz w:val="24"/>
                <w:szCs w:val="2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Milestone Amount ( CHF)</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270" w:right="1440" w:bottom="1440" w:gutter="0" w:footer="0" w:header="0"/>
        </w:sectPr>
      </w:pPr>
    </w:p>
    <w:bookmarkStart w:id="520" w:name="page521"/>
    <w:bookmarkEnd w:id="5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spacing w:after="0"/>
        <w:tabs>
          <w:tab w:leader="none" w:pos="5680" w:val="left"/>
          <w:tab w:leader="none" w:pos="8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ind w:left="1940" w:hanging="568"/>
        <w:spacing w:after="0"/>
        <w:tabs>
          <w:tab w:leader="none" w:pos="194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 Milestone Events for AD Indication and Second Indication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2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Milestone Event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5"/>
              </w:rPr>
              <w:t>Milestone Amount ( CHF)</w:t>
            </w:r>
          </w:p>
        </w:tc>
      </w:tr>
      <w:tr>
        <w:trPr>
          <w:trHeight w:val="210"/>
        </w:trPr>
        <w:tc>
          <w:tcPr>
            <w:tcW w:w="3320" w:type="dxa"/>
            <w:vAlign w:val="bottom"/>
            <w:tcBorders>
              <w:top w:val="single" w:sz="8" w:color="CCEEFF"/>
            </w:tcBorders>
            <w:shd w:val="clear" w:color="auto" w:fill="CCEEFF"/>
          </w:tcPr>
          <w:p>
            <w:pPr>
              <w:jc w:val="right"/>
              <w:ind w:right="2670"/>
              <w:spacing w:after="0"/>
              <w:rPr>
                <w:sz w:val="20"/>
                <w:szCs w:val="20"/>
                <w:color w:val="auto"/>
              </w:rPr>
            </w:pPr>
            <w:r>
              <w:rPr>
                <w:rFonts w:ascii="Arial" w:cs="Arial" w:eastAsia="Arial" w:hAnsi="Arial"/>
                <w:sz w:val="18"/>
                <w:szCs w:val="18"/>
                <w:color w:val="auto"/>
              </w:rPr>
              <w:t>[*****]</w:t>
            </w:r>
          </w:p>
        </w:tc>
        <w:tc>
          <w:tcPr>
            <w:tcW w:w="258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9.2.2</w:t>
      </w:r>
      <w:r>
        <w:rPr>
          <w:sz w:val="20"/>
          <w:szCs w:val="20"/>
          <w:color w:val="auto"/>
        </w:rPr>
        <w:tab/>
      </w:r>
      <w:r>
        <w:rPr>
          <w:rFonts w:ascii="Arial" w:cs="Arial" w:eastAsia="Arial" w:hAnsi="Arial"/>
          <w:sz w:val="16"/>
          <w:szCs w:val="16"/>
          <w:b w:val="1"/>
          <w:bCs w:val="1"/>
          <w:color w:val="auto"/>
        </w:rPr>
        <w:t>Maximum Milestone Payments.</w:t>
      </w:r>
    </w:p>
    <w:p>
      <w:pPr>
        <w:spacing w:after="0" w:line="121"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Milestone Payments are payable only once upon the initial achievement of the associated Milestone Event. Once a Milestone Event has been triggered and paid for a Product, no additional payment will be due for that particular Milestone Event regardless of the number of follow-on or back-up Products which may subsequently reach that same Milestone Event. Janssen shall promptly (but in no event more than [*****] days) provide ACI with written notice upon the achievement of each Milestone Event. The notice will indicate that the Milestone Event was achieved and request that ACI send a written invoice for the Milestone Amount to Janssen at a specific address, if the address is different than that indicated in section 13.5. Janssen shall pay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9" w:right="239" w:bottom="1440" w:gutter="0" w:footer="0" w:header="0"/>
        </w:sectPr>
      </w:pPr>
    </w:p>
    <w:bookmarkStart w:id="521" w:name="page522"/>
    <w:bookmarkEnd w:id="5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140"/>
        <w:spacing w:after="0" w:line="255" w:lineRule="auto"/>
        <w:rPr>
          <w:sz w:val="20"/>
          <w:szCs w:val="20"/>
          <w:color w:val="auto"/>
        </w:rPr>
      </w:pPr>
      <w:r>
        <w:rPr>
          <w:rFonts w:ascii="Arial" w:cs="Arial" w:eastAsia="Arial" w:hAnsi="Arial"/>
          <w:sz w:val="18"/>
          <w:szCs w:val="18"/>
          <w:color w:val="auto"/>
        </w:rPr>
        <w:t xml:space="preserve">each Milestone Amount to ACI within [*****] of Janssen’s receipt of ACI’s invoice for such Milestone Event. </w:t>
      </w:r>
      <w:r>
        <w:rPr>
          <w:rFonts w:ascii="Arial" w:cs="Arial" w:eastAsia="Arial" w:hAnsi="Arial"/>
          <w:sz w:val="18"/>
          <w:szCs w:val="18"/>
          <w:u w:val="single" w:color="auto"/>
          <w:color w:val="auto"/>
        </w:rPr>
        <w:t>Schedule 9.2.2</w:t>
      </w:r>
      <w:r>
        <w:rPr>
          <w:rFonts w:ascii="Arial" w:cs="Arial" w:eastAsia="Arial" w:hAnsi="Arial"/>
          <w:sz w:val="18"/>
          <w:szCs w:val="18"/>
          <w:color w:val="auto"/>
        </w:rPr>
        <w:t xml:space="preserve"> sets forth the relevant information of the Parties for payment of the Milestones. With regard to the Commercial Milestone Events in section 9.2.1(c), [*****]. If ACI believes any Milestone Payment is due in spite of not having received notice from Janssen, it shall so notify Janssen and provide to Janssen the data and information supporting its belief. Janssen shall have [*****] after receipt of the data and information from ACI to address ACI’s notification. If upon receipt of Janssen’s answer to ACI’s notification, ACI still believes such Milestone Payment is due, the matter will be referred to arbitration in accordance with Section 13.7.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9.3 Royalties. </w:t>
      </w:r>
      <w:r>
        <w:rPr>
          <w:rFonts w:ascii="Arial" w:cs="Arial" w:eastAsia="Arial" w:hAnsi="Arial"/>
          <w:sz w:val="18"/>
          <w:szCs w:val="18"/>
          <w:color w:val="auto"/>
        </w:rPr>
        <w:t>Janssen shall pay to ACI royalties on the Net Sales of Products as set out in this section 9.3.</w:t>
      </w:r>
    </w:p>
    <w:p>
      <w:pPr>
        <w:spacing w:after="0" w:line="374"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9.3.1</w:t>
      </w:r>
      <w:r>
        <w:rPr>
          <w:sz w:val="20"/>
          <w:szCs w:val="20"/>
          <w:color w:val="auto"/>
        </w:rPr>
        <w:tab/>
      </w:r>
      <w:r>
        <w:rPr>
          <w:rFonts w:ascii="Arial" w:cs="Arial" w:eastAsia="Arial" w:hAnsi="Arial"/>
          <w:sz w:val="16"/>
          <w:szCs w:val="16"/>
          <w:b w:val="1"/>
          <w:bCs w:val="1"/>
          <w:color w:val="auto"/>
        </w:rPr>
        <w:t>Royalty Rates.</w:t>
      </w:r>
    </w:p>
    <w:p>
      <w:pPr>
        <w:spacing w:after="0" w:line="131" w:lineRule="exact"/>
        <w:rPr>
          <w:sz w:val="20"/>
          <w:szCs w:val="20"/>
          <w:color w:val="auto"/>
        </w:rPr>
      </w:pPr>
    </w:p>
    <w:p>
      <w:pPr>
        <w:ind w:left="1940" w:hanging="568"/>
        <w:spacing w:after="0" w:line="291" w:lineRule="auto"/>
        <w:tabs>
          <w:tab w:leader="none" w:pos="1940" w:val="left"/>
        </w:tabs>
        <w:numPr>
          <w:ilvl w:val="0"/>
          <w:numId w:val="389"/>
        </w:numPr>
        <w:rPr>
          <w:rFonts w:ascii="Arial" w:cs="Arial" w:eastAsia="Arial" w:hAnsi="Arial"/>
          <w:sz w:val="16"/>
          <w:szCs w:val="16"/>
          <w:b w:val="1"/>
          <w:bCs w:val="1"/>
          <w:color w:val="auto"/>
        </w:rPr>
      </w:pPr>
      <w:r>
        <w:rPr>
          <w:rFonts w:ascii="Arial" w:cs="Arial" w:eastAsia="Arial" w:hAnsi="Arial"/>
          <w:sz w:val="16"/>
          <w:szCs w:val="16"/>
          <w:b w:val="1"/>
          <w:bCs w:val="1"/>
          <w:color w:val="auto"/>
        </w:rPr>
        <w:t>Royalties Payable</w:t>
      </w:r>
      <w:r>
        <w:rPr>
          <w:rFonts w:ascii="Arial" w:cs="Arial" w:eastAsia="Arial" w:hAnsi="Arial"/>
          <w:sz w:val="16"/>
          <w:szCs w:val="16"/>
          <w:color w:val="auto"/>
        </w:rPr>
        <w:t>. Janssen shall pay ACI royalties on aggregate Net Sales of all Products in each Calendar Year in the Territory at</w:t>
      </w:r>
      <w:r>
        <w:rPr>
          <w:rFonts w:ascii="Arial" w:cs="Arial" w:eastAsia="Arial" w:hAnsi="Arial"/>
          <w:sz w:val="16"/>
          <w:szCs w:val="16"/>
          <w:b w:val="1"/>
          <w:bCs w:val="1"/>
          <w:color w:val="auto"/>
        </w:rPr>
        <w:t xml:space="preserve"> </w:t>
      </w:r>
      <w:r>
        <w:rPr>
          <w:rFonts w:ascii="Arial" w:cs="Arial" w:eastAsia="Arial" w:hAnsi="Arial"/>
          <w:sz w:val="16"/>
          <w:szCs w:val="16"/>
          <w:color w:val="auto"/>
        </w:rPr>
        <w:t>the royalty rates set out below. The period in which royalties are payable for a Product commences with the First Commercial Sale of the Product in a country and ends, with respect to that Product in that country upon the later to occur of (i) ten years from First Commercial Sale of the Product in that country or (ii) expiration of the last-to-expire Valid Claim of the ACI Patent Rights, Janssen Patent Rights as set out in clause b of the definition (and not those set out in clause a) or Joint Patent Rights in that country that but for the licenses granted herein, would be infringed by the making, using, selling, offering for sale, keeping or importing of such Product or (iii) expiration of regulatory or data exclusivity granted by a Regulatory Authority that prevents a Third Party from obtaining an approval to sell a Biosimilar Product having a Peptide for a use similar to a Product in that country.</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Royalty</w:t>
            </w:r>
          </w:p>
        </w:tc>
        <w:tc>
          <w:tcPr>
            <w:tcW w:w="6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Royalty</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Rate</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Back-</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Lead</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up</w:t>
            </w: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3"/>
              </w:rPr>
              <w:t>Calendar Year Net Sales</w:t>
            </w:r>
          </w:p>
        </w:tc>
        <w:tc>
          <w:tcPr>
            <w:tcW w:w="53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Product</w:t>
            </w:r>
          </w:p>
        </w:tc>
        <w:tc>
          <w:tcPr>
            <w:tcW w:w="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Product</w:t>
            </w:r>
          </w:p>
        </w:tc>
        <w:tc>
          <w:tcPr>
            <w:tcW w:w="0" w:type="dxa"/>
            <w:vAlign w:val="bottom"/>
          </w:tcPr>
          <w:p>
            <w:pPr>
              <w:spacing w:after="0"/>
              <w:rPr>
                <w:sz w:val="1"/>
                <w:szCs w:val="1"/>
                <w:color w:val="auto"/>
              </w:rPr>
            </w:pPr>
          </w:p>
        </w:tc>
      </w:tr>
      <w:tr>
        <w:trPr>
          <w:trHeight w:val="178"/>
        </w:trPr>
        <w:tc>
          <w:tcPr>
            <w:tcW w:w="1520" w:type="dxa"/>
            <w:vAlign w:val="bottom"/>
            <w:tcBorders>
              <w:bottom w:val="single" w:sz="8" w:color="auto"/>
            </w:tcBorders>
            <w:vMerge w:val="continue"/>
          </w:tcPr>
          <w:p>
            <w:pPr>
              <w:spacing w:after="0"/>
              <w:rPr>
                <w:sz w:val="15"/>
                <w:szCs w:val="15"/>
                <w:color w:val="auto"/>
              </w:rPr>
            </w:pPr>
          </w:p>
        </w:tc>
        <w:tc>
          <w:tcPr>
            <w:tcW w:w="5960" w:type="dxa"/>
            <w:vAlign w:val="bottom"/>
            <w:gridSpan w:val="2"/>
          </w:tcPr>
          <w:p>
            <w:pPr>
              <w:jc w:val="right"/>
              <w:ind w:right="85"/>
              <w:spacing w:after="0" w:line="158" w:lineRule="exact"/>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105"/>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15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520" w:type="dxa"/>
            <w:vAlign w:val="bottom"/>
          </w:tcPr>
          <w:p>
            <w:pPr>
              <w:spacing w:after="0"/>
              <w:rPr>
                <w:sz w:val="24"/>
                <w:szCs w:val="24"/>
                <w:color w:val="auto"/>
              </w:rPr>
            </w:pPr>
          </w:p>
        </w:tc>
        <w:tc>
          <w:tcPr>
            <w:tcW w:w="5380" w:type="dxa"/>
            <w:vAlign w:val="bottom"/>
          </w:tcPr>
          <w:p>
            <w:pPr>
              <w:jc w:val="right"/>
              <w:ind w:right="2399"/>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22" w:name="page523"/>
    <w:bookmarkEnd w:id="522"/>
    <w:p>
      <w:pPr>
        <w:jc w:val="center"/>
        <w:ind w:righ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4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800"/>
        <w:spacing w:after="0"/>
        <w:tabs>
          <w:tab w:leader="none" w:pos="7680" w:val="left"/>
          <w:tab w:leader="none" w:pos="8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27" w:lineRule="exact"/>
        <w:rPr>
          <w:sz w:val="20"/>
          <w:szCs w:val="20"/>
          <w:color w:val="auto"/>
        </w:rPr>
      </w:pPr>
    </w:p>
    <w:p>
      <w:pPr>
        <w:ind w:left="1360" w:hanging="568"/>
        <w:spacing w:after="0"/>
        <w:tabs>
          <w:tab w:leader="none" w:pos="136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Generic Competition</w:t>
      </w:r>
      <w:r>
        <w:rPr>
          <w:rFonts w:ascii="Arial" w:cs="Arial" w:eastAsia="Arial" w:hAnsi="Arial"/>
          <w:sz w:val="18"/>
          <w:szCs w:val="18"/>
          <w:color w:val="auto"/>
        </w:rPr>
        <w:t>. The royalty rate applied in section 9.3.1(a)</w:t>
      </w:r>
      <w:r>
        <w:rPr>
          <w:rFonts w:ascii="Arial" w:cs="Arial" w:eastAsia="Arial" w:hAnsi="Arial"/>
          <w:sz w:val="18"/>
          <w:szCs w:val="18"/>
          <w:b w:val="1"/>
          <w:bCs w:val="1"/>
          <w:color w:val="auto"/>
        </w:rPr>
        <w:t xml:space="preserve"> [*****].</w:t>
      </w:r>
    </w:p>
    <w:p>
      <w:pPr>
        <w:spacing w:after="0" w:line="130" w:lineRule="exact"/>
        <w:rPr>
          <w:rFonts w:ascii="Arial" w:cs="Arial" w:eastAsia="Arial" w:hAnsi="Arial"/>
          <w:sz w:val="18"/>
          <w:szCs w:val="18"/>
          <w:b w:val="1"/>
          <w:bCs w:val="1"/>
          <w:color w:val="auto"/>
        </w:rPr>
      </w:pPr>
    </w:p>
    <w:p>
      <w:pPr>
        <w:ind w:left="1360" w:hanging="568"/>
        <w:spacing w:after="0"/>
        <w:tabs>
          <w:tab w:leader="none" w:pos="136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Royalty Reduction. </w:t>
      </w:r>
      <w:r>
        <w:rPr>
          <w:rFonts w:ascii="Arial" w:cs="Arial" w:eastAsia="Arial" w:hAnsi="Arial"/>
          <w:sz w:val="18"/>
          <w:szCs w:val="18"/>
          <w:color w:val="auto"/>
        </w:rPr>
        <w:t>The royalties applicable in any country will be [*****]</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1360" w:hanging="568"/>
        <w:spacing w:after="0"/>
        <w:tabs>
          <w:tab w:leader="none" w:pos="136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Off-Set for Third-Party Patents. </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1360" w:hanging="568"/>
        <w:spacing w:after="0"/>
        <w:tabs>
          <w:tab w:leader="none" w:pos="1360" w:val="left"/>
        </w:tabs>
        <w:numPr>
          <w:ilvl w:val="0"/>
          <w:numId w:val="390"/>
        </w:numPr>
        <w:rPr>
          <w:rFonts w:ascii="Arial" w:cs="Arial" w:eastAsia="Arial" w:hAnsi="Arial"/>
          <w:sz w:val="16"/>
          <w:szCs w:val="16"/>
          <w:b w:val="1"/>
          <w:bCs w:val="1"/>
          <w:color w:val="auto"/>
        </w:rPr>
      </w:pPr>
      <w:r>
        <w:rPr>
          <w:rFonts w:ascii="Arial" w:cs="Arial" w:eastAsia="Arial" w:hAnsi="Arial"/>
          <w:sz w:val="16"/>
          <w:szCs w:val="16"/>
          <w:b w:val="1"/>
          <w:bCs w:val="1"/>
          <w:color w:val="auto"/>
        </w:rPr>
        <w:t>Maximum Deduction</w:t>
      </w:r>
      <w:r>
        <w:rPr>
          <w:rFonts w:ascii="Arial" w:cs="Arial" w:eastAsia="Arial" w:hAnsi="Arial"/>
          <w:sz w:val="16"/>
          <w:szCs w:val="16"/>
          <w:color w:val="auto"/>
        </w:rPr>
        <w:t>. Notwithstanding the foregoing, regardless of the deductions made to the royalties under Sections 9.3.1(b),</w:t>
      </w:r>
    </w:p>
    <w:p>
      <w:pPr>
        <w:spacing w:after="0" w:line="50" w:lineRule="exact"/>
        <w:rPr>
          <w:rFonts w:ascii="Arial" w:cs="Arial" w:eastAsia="Arial" w:hAnsi="Arial"/>
          <w:sz w:val="16"/>
          <w:szCs w:val="16"/>
          <w:b w:val="1"/>
          <w:bCs w:val="1"/>
          <w:color w:val="auto"/>
        </w:rPr>
      </w:pPr>
    </w:p>
    <w:p>
      <w:pPr>
        <w:ind w:left="1360"/>
        <w:spacing w:after="0"/>
        <w:rPr>
          <w:rFonts w:ascii="Arial" w:cs="Arial" w:eastAsia="Arial" w:hAnsi="Arial"/>
          <w:sz w:val="16"/>
          <w:szCs w:val="16"/>
          <w:b w:val="1"/>
          <w:bCs w:val="1"/>
          <w:color w:val="auto"/>
        </w:rPr>
      </w:pPr>
      <w:r>
        <w:rPr>
          <w:rFonts w:ascii="Arial" w:cs="Arial" w:eastAsia="Arial" w:hAnsi="Arial"/>
          <w:sz w:val="18"/>
          <w:szCs w:val="18"/>
          <w:color w:val="auto"/>
        </w:rPr>
        <w:t>(c) and (d), [*****].</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9.3.2 Other Royalty Provisions</w:t>
      </w:r>
      <w:r>
        <w:rPr>
          <w:rFonts w:ascii="Arial" w:cs="Arial" w:eastAsia="Arial" w:hAnsi="Arial"/>
          <w:sz w:val="18"/>
          <w:szCs w:val="18"/>
          <w:color w:val="auto"/>
        </w:rPr>
        <w:t>. All royalties are subject to the following conditions: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20"/>
          </w:cols>
          <w:pgMar w:left="820" w:top="269" w:right="359" w:bottom="1440" w:gutter="0" w:footer="0" w:header="0"/>
        </w:sectPr>
      </w:pPr>
    </w:p>
    <w:bookmarkStart w:id="523" w:name="page524"/>
    <w:bookmarkEnd w:id="5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Compulsory Licenses.</w:t>
      </w:r>
    </w:p>
    <w:p>
      <w:pPr>
        <w:spacing w:after="0" w:line="131" w:lineRule="exact"/>
        <w:rPr>
          <w:sz w:val="20"/>
          <w:szCs w:val="20"/>
          <w:color w:val="auto"/>
        </w:rPr>
      </w:pPr>
    </w:p>
    <w:p>
      <w:pPr>
        <w:ind w:left="1380" w:right="1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9.4.1</w:t>
      </w:r>
      <w:r>
        <w:rPr>
          <w:sz w:val="20"/>
          <w:szCs w:val="20"/>
          <w:color w:val="auto"/>
        </w:rPr>
        <w:tab/>
      </w:r>
      <w:r>
        <w:rPr>
          <w:rFonts w:ascii="Arial" w:cs="Arial" w:eastAsia="Arial" w:hAnsi="Arial"/>
          <w:sz w:val="18"/>
          <w:szCs w:val="18"/>
          <w:color w:val="auto"/>
        </w:rPr>
        <w:t>Terms of a compulsory license granted by a governmental agency that are more favorable than terms granted to Janssen in this Agreement [*****].</w:t>
      </w:r>
    </w:p>
    <w:p>
      <w:pPr>
        <w:spacing w:after="0" w:line="76" w:lineRule="exact"/>
        <w:rPr>
          <w:sz w:val="20"/>
          <w:szCs w:val="20"/>
          <w:color w:val="auto"/>
        </w:rPr>
      </w:pPr>
    </w:p>
    <w:p>
      <w:pPr>
        <w:ind w:left="1380" w:right="2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9.4.2</w:t>
      </w:r>
      <w:r>
        <w:rPr>
          <w:sz w:val="20"/>
          <w:szCs w:val="20"/>
          <w:color w:val="auto"/>
        </w:rPr>
        <w:tab/>
      </w:r>
      <w:r>
        <w:rPr>
          <w:rFonts w:ascii="Arial" w:cs="Arial" w:eastAsia="Arial" w:hAnsi="Arial"/>
          <w:sz w:val="18"/>
          <w:szCs w:val="18"/>
          <w:color w:val="auto"/>
        </w:rPr>
        <w:t>[*****] if a government grants or compels Janssen to grant a compulsory license to a Third Party insofar as Janssen is compensated on a royalty basis [*****].</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9.5 Reports and Payments</w:t>
      </w:r>
      <w:r>
        <w:rPr>
          <w:rFonts w:ascii="Arial" w:cs="Arial" w:eastAsia="Arial" w:hAnsi="Arial"/>
          <w:sz w:val="17"/>
          <w:szCs w:val="17"/>
          <w:color w:val="auto"/>
        </w:rPr>
        <w:t>. During the term of this Agreement following the First Commercial Sale of a Product in any country, Janssen shall furnish to ACI</w:t>
      </w:r>
      <w:r>
        <w:rPr>
          <w:rFonts w:ascii="Arial" w:cs="Arial" w:eastAsia="Arial" w:hAnsi="Arial"/>
          <w:sz w:val="17"/>
          <w:szCs w:val="17"/>
          <w:b w:val="1"/>
          <w:bCs w:val="1"/>
          <w:color w:val="auto"/>
        </w:rPr>
        <w:t xml:space="preserve"> </w:t>
      </w:r>
      <w:r>
        <w:rPr>
          <w:rFonts w:ascii="Arial" w:cs="Arial" w:eastAsia="Arial" w:hAnsi="Arial"/>
          <w:sz w:val="17"/>
          <w:szCs w:val="17"/>
          <w:color w:val="auto"/>
        </w:rPr>
        <w:t>a quarterly written report, as of the end of each Calendar Quarter, showing [*****]. Janssen will provide such reports to ACI no later than [*****] day following the last day of each Calendar Quarter. Royalties shown to have accrued by each royalty report are due and payable to ACI on [*****] day following the end of such Calendar Quarter. Janssen will keep and will cause Related Parties to keep complete and accurate records in sufficient detail to enable the royalties payable to be determined and the information provided to be verified by ACI’s accounting firm pursuant to section 9.6.</w:t>
      </w:r>
    </w:p>
    <w:p>
      <w:pPr>
        <w:spacing w:after="0" w:line="17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All payments to be made by Janssen to ACI under this Agreement will be made in Swiss Francs (CHF) and paid by bank wire transfer in immediately available funds to a bank account in the United States or elsewhere as may be designated in writing by ACI.</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respect to Net Sales of Product invoiced by Janssen or Janssen’s Affiliates in a currency other than USD, the amounts and the amounts payable will be expressed in their USD equivalent calculated using the following method: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upcoming J&amp;J Calendar Year, Janssen will provide: I) a Currency Hedge Rate(s) to be used for the local currency of each country of the Territory, and</w:t>
      </w:r>
    </w:p>
    <w:p>
      <w:pPr>
        <w:spacing w:after="0" w:line="46" w:lineRule="exact"/>
        <w:rPr>
          <w:sz w:val="20"/>
          <w:szCs w:val="20"/>
          <w:color w:val="auto"/>
        </w:rPr>
      </w:pPr>
    </w:p>
    <w:p>
      <w:pPr>
        <w:ind w:right="60" w:firstLine="8"/>
        <w:spacing w:after="0" w:line="255" w:lineRule="auto"/>
        <w:tabs>
          <w:tab w:leader="none" w:pos="19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details of the Currency Hedge Rate(s) in writing to ACI not later than [*****] business days after the Currency Hedge Rate(s) are available from the GTSC or its Affiliates, which is customarily at the end of October. The Currency Hedge Rate(s) will remain constant throughout the upcoming J &amp;J Calendar Year.</w:t>
      </w:r>
    </w:p>
    <w:p>
      <w:pPr>
        <w:spacing w:after="0" w:line="1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Janssen will use the Currency Hedge Rate(s) during the J&amp;J Calendar Year to convert Net Sales to USD for the purpose of calculating royalties. After the First Commercial Sale of a Product in the Territory, Janssen will promptly inform ACI of any material change in the Currency Hedge Rate methodology and calculation.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9" w:right="239" w:bottom="1440" w:gutter="0" w:footer="0" w:header="0"/>
        </w:sectPr>
      </w:pPr>
    </w:p>
    <w:bookmarkStart w:id="524" w:name="page525"/>
    <w:bookmarkEnd w:id="5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9.6 Audits</w:t>
      </w:r>
      <w:r>
        <w:rPr>
          <w:rFonts w:ascii="Arial" w:cs="Arial" w:eastAsia="Arial" w:hAnsi="Arial"/>
          <w:sz w:val="17"/>
          <w:szCs w:val="17"/>
          <w:color w:val="auto"/>
        </w:rPr>
        <w:t>. Janssen shall and shall cause Related Parties to maintain complete and accurate financial records of the Net Sales of Products and calculation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royalties in sufficient detail to permit ACI to confirm the accuracy of such financial records limited to the royalty calculations and calculation of Net Sales. Upon the written request of ACI but not more often than once every Calendar Year, at ACI’s expense, Janssen will permit an independent certified accountant selected by ACI and reasonably acceptable to Janssen to have access during normal business hours to those financial records of Janssen and its Related Parties as may be reasonably necessary for the sole purpose of verifying the accuracy of the quarterly royalty calculations provided to ACI. Such examination shall be limited to a period of time no more than [*****] immediately preceding the request for examination. An audit of the records relating to a particular Calendar Year may be conducted only once.</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report of the independent public accountant shall be shared with Janssen prior to distribution to ACI so that Janssen can provide the independent public accountant with justifying remarks for inclusion in the report prior to sharing the conclusions of the independent public audit with ACI. The final audit report will be shared with Janssen and ACI at the same time and specify whether the amounts paid to ACI were correct or, if incorrect, the amount of any underpayment or overpayment. The audit report will only contain the information relevant to support the statement as to whether the royalties were calculated and paid accurately and will not include any confidential (or additional information that is ordinarily not included in the royalty reports) disclosed to the auditor during the course of the audit.</w:t>
      </w:r>
    </w:p>
    <w:p>
      <w:pPr>
        <w:spacing w:after="0" w:line="19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If Janssen’s royalties are found to be in error such that royalties were underpaid, Janssen shall remit to ACI within [*****] after Janssen’s receipt of such report, [*****]. If the report shows any overpayment, Janssen shall receive a credit equal to the overpayment against the royalty otherwise payable to the ACI. If Janssen disagrees with the findings of the audit report, the Parties will first seek to resolve the matter, and in the event they fail to reach agreement, the dispute resolution provisions outlined in Section 13.7 shall be followed to resolve the dispute.</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ACI shall treat all financial information subject to review or under any sublicense agreement in accordance with the confidentiality and non-use provisions of this Agreement, and will cause its accounting firm to enter into a reasonably acceptable confidentiality agreement with Janssen and/or its Related Parties obligating it to retain all such information in confidence.</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Income Tax Withholding</w:t>
      </w:r>
      <w:r>
        <w:rPr>
          <w:rFonts w:ascii="Arial" w:cs="Arial" w:eastAsia="Arial" w:hAnsi="Arial"/>
          <w:sz w:val="16"/>
          <w:szCs w:val="16"/>
          <w:color w:val="auto"/>
        </w:rPr>
        <w:t>.</w:t>
      </w:r>
    </w:p>
    <w:p>
      <w:pPr>
        <w:spacing w:after="0" w:line="131" w:lineRule="exact"/>
        <w:rPr>
          <w:sz w:val="20"/>
          <w:szCs w:val="20"/>
          <w:color w:val="auto"/>
        </w:rPr>
      </w:pPr>
    </w:p>
    <w:p>
      <w:pPr>
        <w:ind w:left="138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9.7.1</w:t>
      </w:r>
      <w:r>
        <w:rPr>
          <w:sz w:val="20"/>
          <w:szCs w:val="20"/>
          <w:color w:val="auto"/>
        </w:rPr>
        <w:tab/>
      </w:r>
      <w:r>
        <w:rPr>
          <w:rFonts w:ascii="Arial" w:cs="Arial" w:eastAsia="Arial" w:hAnsi="Arial"/>
          <w:sz w:val="18"/>
          <w:szCs w:val="18"/>
          <w:color w:val="auto"/>
        </w:rPr>
        <w:t>Janssen will make all payments to ACI under this Agreement without deduction or withholding for Taxes except to the extent that any such deduction or withholding is required by law in effect at the time of payment.</w:t>
      </w:r>
    </w:p>
    <w:p>
      <w:pPr>
        <w:spacing w:after="0" w:line="76" w:lineRule="exact"/>
        <w:rPr>
          <w:sz w:val="20"/>
          <w:szCs w:val="20"/>
          <w:color w:val="auto"/>
        </w:rPr>
      </w:pPr>
    </w:p>
    <w:p>
      <w:pPr>
        <w:ind w:left="1380" w:right="40" w:hanging="796"/>
        <w:spacing w:after="0" w:line="259" w:lineRule="auto"/>
        <w:tabs>
          <w:tab w:leader="none" w:pos="1360" w:val="left"/>
        </w:tabs>
        <w:rPr>
          <w:sz w:val="20"/>
          <w:szCs w:val="20"/>
          <w:color w:val="auto"/>
        </w:rPr>
      </w:pPr>
      <w:r>
        <w:rPr>
          <w:rFonts w:ascii="Arial" w:cs="Arial" w:eastAsia="Arial" w:hAnsi="Arial"/>
          <w:sz w:val="18"/>
          <w:szCs w:val="18"/>
          <w:b w:val="1"/>
          <w:bCs w:val="1"/>
          <w:color w:val="auto"/>
        </w:rPr>
        <w:t>9.7.2</w:t>
      </w:r>
      <w:r>
        <w:rPr>
          <w:sz w:val="20"/>
          <w:szCs w:val="20"/>
          <w:color w:val="auto"/>
        </w:rPr>
        <w:tab/>
      </w:r>
      <w:r>
        <w:rPr>
          <w:rFonts w:ascii="Arial" w:cs="Arial" w:eastAsia="Arial" w:hAnsi="Arial"/>
          <w:sz w:val="18"/>
          <w:szCs w:val="18"/>
          <w:color w:val="auto"/>
        </w:rPr>
        <w:t>Any Tax required to be withheld on amounts payable under this Agreement will be paid by Janssen on behalf of ACI to the appropriate governmental authority, and Janssen will furnish ACI with proof of payment of such Tax. Any such Tax required to be withheld will be an expense of and borne by ACI. If any such Tax is assessed against and paid by Janssen, then ACI will indemnify and hold harmless Janssen from and against such Tax.</w:t>
      </w:r>
    </w:p>
    <w:p>
      <w:pPr>
        <w:spacing w:after="0" w:line="92" w:lineRule="exact"/>
        <w:rPr>
          <w:sz w:val="20"/>
          <w:szCs w:val="20"/>
          <w:color w:val="auto"/>
        </w:rPr>
      </w:pPr>
    </w:p>
    <w:p>
      <w:pPr>
        <w:ind w:left="1380" w:right="120" w:hanging="796"/>
        <w:spacing w:after="0" w:line="259" w:lineRule="auto"/>
        <w:tabs>
          <w:tab w:leader="none" w:pos="1360" w:val="left"/>
        </w:tabs>
        <w:rPr>
          <w:sz w:val="20"/>
          <w:szCs w:val="20"/>
          <w:color w:val="auto"/>
        </w:rPr>
      </w:pPr>
      <w:r>
        <w:rPr>
          <w:rFonts w:ascii="Arial" w:cs="Arial" w:eastAsia="Arial" w:hAnsi="Arial"/>
          <w:sz w:val="18"/>
          <w:szCs w:val="18"/>
          <w:b w:val="1"/>
          <w:bCs w:val="1"/>
          <w:color w:val="auto"/>
        </w:rPr>
        <w:t>9.7.3</w:t>
      </w:r>
      <w:r>
        <w:rPr>
          <w:sz w:val="20"/>
          <w:szCs w:val="20"/>
          <w:color w:val="auto"/>
        </w:rPr>
        <w:tab/>
      </w:r>
      <w:r>
        <w:rPr>
          <w:rFonts w:ascii="Arial" w:cs="Arial" w:eastAsia="Arial" w:hAnsi="Arial"/>
          <w:sz w:val="18"/>
          <w:szCs w:val="18"/>
          <w:color w:val="auto"/>
        </w:rPr>
        <w:t>Janssen and ACI will cooperate with respect to all documentation required by any taxing authority or reasonably requested by Janssen to secure a reduction in the rate of applicable withholding Taxes. On the date of execution of this Agreement, ACI will deliver to Janssen an accurate and complete Internal Revenue Service Form W-8BEN-E certifying that ACI is entitled to the applicable benefits under the Income Tax Treaty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525" w:name="page526"/>
    <w:bookmarkEnd w:id="5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right="40"/>
        <w:spacing w:after="0" w:line="293" w:lineRule="auto"/>
        <w:rPr>
          <w:sz w:val="20"/>
          <w:szCs w:val="20"/>
          <w:color w:val="auto"/>
        </w:rPr>
      </w:pPr>
      <w:r>
        <w:rPr>
          <w:rFonts w:ascii="Arial" w:cs="Arial" w:eastAsia="Arial" w:hAnsi="Arial"/>
          <w:sz w:val="16"/>
          <w:szCs w:val="16"/>
          <w:color w:val="auto"/>
        </w:rPr>
        <w:t>between Switzerland and the United States. At ACI’s request, Janssen shall provide to ACI all relevant documents and correspondence regarding the tax withholding, and shall also provide to ACI any other cooperation or assistance on a reasonable basis as may be necessary to enable ACI to claim exemption from such withholding taxes and to receive a full refund of such withholding tax or claim a foreign tax credit. Janssen shall give proper evidence from time to time as to the payment of such Tax. The Parties shall cooperate with each other in seeking deductions under any double taxation or other similar treaty or agreement from time to time in force. Such cooperation may include Janssen making payments from a single source in the U.S., where possible.</w:t>
      </w:r>
    </w:p>
    <w:p>
      <w:pPr>
        <w:spacing w:after="0" w:line="16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9.8 Currency Restrictions</w:t>
      </w:r>
      <w:r>
        <w:rPr>
          <w:rFonts w:ascii="Arial" w:cs="Arial" w:eastAsia="Arial" w:hAnsi="Arial"/>
          <w:sz w:val="18"/>
          <w:szCs w:val="18"/>
          <w:color w:val="auto"/>
        </w:rPr>
        <w:t>. If restrictions on the transfer of currency exist in any country such as to prevent Janssen from making the payments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required under section 9.5, Janssen shall take all reasonable steps to obtain a waiver of such restrictions or otherwise enable Janssen to make such payments, failing which Janssen may make the royalty payments due upon sales in such country in local currency and deposit such payments in a local bank or other depository designated by ACI.</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9.9 Expiration of Royalty Obligations</w:t>
      </w:r>
      <w:r>
        <w:rPr>
          <w:rFonts w:ascii="Arial" w:cs="Arial" w:eastAsia="Arial" w:hAnsi="Arial"/>
          <w:sz w:val="18"/>
          <w:szCs w:val="18"/>
          <w:color w:val="auto"/>
        </w:rPr>
        <w:t>. Janssen retains a nonexclusive license under the ACI Know-How in the Territory and Field to make, use, sell, import</w:t>
      </w:r>
      <w:r>
        <w:rPr>
          <w:rFonts w:ascii="Arial" w:cs="Arial" w:eastAsia="Arial" w:hAnsi="Arial"/>
          <w:sz w:val="18"/>
          <w:szCs w:val="18"/>
          <w:b w:val="1"/>
          <w:bCs w:val="1"/>
          <w:color w:val="auto"/>
        </w:rPr>
        <w:t xml:space="preserve"> </w:t>
      </w:r>
      <w:r>
        <w:rPr>
          <w:rFonts w:ascii="Arial" w:cs="Arial" w:eastAsia="Arial" w:hAnsi="Arial"/>
          <w:sz w:val="18"/>
          <w:szCs w:val="18"/>
          <w:color w:val="auto"/>
        </w:rPr>
        <w:t>and have such acts performed for Janssen’s benefit following expiration of all royalty obligations in respect of any Product.</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9.10 Interest</w:t>
      </w:r>
      <w:r>
        <w:rPr>
          <w:rFonts w:ascii="Arial" w:cs="Arial" w:eastAsia="Arial" w:hAnsi="Arial"/>
          <w:sz w:val="18"/>
          <w:szCs w:val="18"/>
          <w:color w:val="auto"/>
        </w:rPr>
        <w:t>. In case of any delay in payment by Janssen to ACI not resulting from Force Majeure (as described in section 13.2), interest at the annual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 assessed from the [*****] day after the due date of the payment shall be due from Janssen.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REPRESENTATIONS AND WARRANTIES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Representations and Warranties of ACI</w:t>
      </w:r>
      <w:r>
        <w:rPr>
          <w:rFonts w:ascii="Arial" w:cs="Arial" w:eastAsia="Arial" w:hAnsi="Arial"/>
          <w:sz w:val="18"/>
          <w:szCs w:val="18"/>
          <w:color w:val="auto"/>
        </w:rPr>
        <w:t>. ACI represents and warrants to Janssen that as of the Effective Date:</w:t>
      </w:r>
    </w:p>
    <w:p>
      <w:pPr>
        <w:spacing w:after="0" w:line="131" w:lineRule="exact"/>
        <w:rPr>
          <w:sz w:val="20"/>
          <w:szCs w:val="20"/>
          <w:color w:val="auto"/>
        </w:rPr>
      </w:pPr>
    </w:p>
    <w:p>
      <w:pPr>
        <w:ind w:left="1380" w:right="6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7"/>
          <w:szCs w:val="17"/>
          <w:b w:val="1"/>
          <w:bCs w:val="1"/>
          <w:color w:val="auto"/>
        </w:rPr>
        <w:t>Authorization</w:t>
      </w:r>
      <w:r>
        <w:rPr>
          <w:rFonts w:ascii="Arial" w:cs="Arial" w:eastAsia="Arial" w:hAnsi="Arial"/>
          <w:sz w:val="17"/>
          <w:szCs w:val="17"/>
          <w:color w:val="auto"/>
        </w:rPr>
        <w:t>. This Agreement has been duly executed and delivered by ACI and constitutes the valid and binding obligation of ACI,</w:t>
      </w:r>
      <w:r>
        <w:rPr>
          <w:rFonts w:ascii="Arial" w:cs="Arial" w:eastAsia="Arial" w:hAnsi="Arial"/>
          <w:sz w:val="17"/>
          <w:szCs w:val="17"/>
          <w:b w:val="1"/>
          <w:bCs w:val="1"/>
          <w:color w:val="auto"/>
        </w:rPr>
        <w:t xml:space="preserve"> </w:t>
      </w:r>
      <w:r>
        <w:rPr>
          <w:rFonts w:ascii="Arial" w:cs="Arial" w:eastAsia="Arial" w:hAnsi="Arial"/>
          <w:sz w:val="17"/>
          <w:szCs w:val="17"/>
          <w:color w:val="auto"/>
        </w:rPr>
        <w:t>enforceable against ACI in accordance with its terms. The execution, delivery and performance of this Agreement have been duly authorized by all necessary action on the part of ACI, its officers and directors and does not conflict with any agreement, instrument or understanding, oral or written, to which ACI is a party or by which ACI may be bound, nor violate any applicable law or regulation of any court, governmental body or administrative or other agency having jurisdiction over it.</w:t>
      </w:r>
    </w:p>
    <w:p>
      <w:pPr>
        <w:spacing w:after="0" w:line="74"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6"/>
          <w:szCs w:val="16"/>
          <w:b w:val="1"/>
          <w:bCs w:val="1"/>
          <w:color w:val="auto"/>
        </w:rPr>
        <w:t>Intellectual Property</w:t>
      </w:r>
      <w:r>
        <w:rPr>
          <w:rFonts w:ascii="Arial" w:cs="Arial" w:eastAsia="Arial" w:hAnsi="Arial"/>
          <w:sz w:val="16"/>
          <w:szCs w:val="16"/>
          <w:color w:val="auto"/>
        </w:rPr>
        <w:t>. ACI has the rights necessary to grant the licenses in this Agreement.</w:t>
      </w:r>
    </w:p>
    <w:p>
      <w:pPr>
        <w:spacing w:after="0" w:line="131" w:lineRule="exact"/>
        <w:rPr>
          <w:sz w:val="20"/>
          <w:szCs w:val="20"/>
          <w:color w:val="auto"/>
        </w:rPr>
      </w:pPr>
    </w:p>
    <w:p>
      <w:pPr>
        <w:jc w:val="both"/>
        <w:ind w:left="1380" w:right="120" w:hanging="796"/>
        <w:spacing w:after="0" w:line="282" w:lineRule="auto"/>
        <w:tabs>
          <w:tab w:leader="none" w:pos="136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8"/>
          <w:szCs w:val="18"/>
          <w:b w:val="1"/>
          <w:bCs w:val="1"/>
          <w:color w:val="auto"/>
        </w:rPr>
        <w:t>No Third Party Patents</w:t>
      </w:r>
      <w:r>
        <w:rPr>
          <w:rFonts w:ascii="Arial" w:cs="Arial" w:eastAsia="Arial" w:hAnsi="Arial"/>
          <w:sz w:val="18"/>
          <w:szCs w:val="18"/>
          <w:color w:val="auto"/>
        </w:rPr>
        <w:t>. To ACI’s knowledge, the making, using, importing, offering for sale, keeping or selling of Products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not infringe or conflict with any Patent Rights of a Third Party.</w:t>
      </w:r>
    </w:p>
    <w:p>
      <w:pPr>
        <w:spacing w:after="0" w:line="67" w:lineRule="exact"/>
        <w:rPr>
          <w:sz w:val="20"/>
          <w:szCs w:val="20"/>
          <w:color w:val="auto"/>
        </w:rPr>
      </w:pPr>
    </w:p>
    <w:p>
      <w:pPr>
        <w:jc w:val="both"/>
        <w:ind w:left="1380" w:right="120" w:hanging="796"/>
        <w:spacing w:after="0" w:line="266" w:lineRule="auto"/>
        <w:tabs>
          <w:tab w:leader="none" w:pos="136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8"/>
          <w:szCs w:val="18"/>
          <w:b w:val="1"/>
          <w:bCs w:val="1"/>
          <w:color w:val="auto"/>
        </w:rPr>
        <w:t>No Patent Proceeding</w:t>
      </w:r>
      <w:r>
        <w:rPr>
          <w:rFonts w:ascii="Arial" w:cs="Arial" w:eastAsia="Arial" w:hAnsi="Arial"/>
          <w:sz w:val="18"/>
          <w:szCs w:val="18"/>
          <w:color w:val="auto"/>
        </w:rPr>
        <w:t>. To ACI’s knowledge, the ACI Patent Rights are not the subject of any Patent Proceeding known to ACI, and ACI</w:t>
      </w:r>
      <w:r>
        <w:rPr>
          <w:rFonts w:ascii="Arial" w:cs="Arial" w:eastAsia="Arial" w:hAnsi="Arial"/>
          <w:sz w:val="18"/>
          <w:szCs w:val="18"/>
          <w:b w:val="1"/>
          <w:bCs w:val="1"/>
          <w:color w:val="auto"/>
        </w:rPr>
        <w:t xml:space="preserve"> </w:t>
      </w:r>
      <w:r>
        <w:rPr>
          <w:rFonts w:ascii="Arial" w:cs="Arial" w:eastAsia="Arial" w:hAnsi="Arial"/>
          <w:sz w:val="18"/>
          <w:szCs w:val="18"/>
          <w:color w:val="auto"/>
        </w:rPr>
        <w:t>is not aware of any pending or threatened action, suit, proceeding or claim by a Third Party challenging ACI’s ownership rights in, or the validity or scope of, such ACI Patent Rights.</w:t>
      </w:r>
    </w:p>
    <w:p>
      <w:pPr>
        <w:spacing w:after="0" w:line="82" w:lineRule="exact"/>
        <w:rPr>
          <w:sz w:val="20"/>
          <w:szCs w:val="20"/>
          <w:color w:val="auto"/>
        </w:rPr>
      </w:pPr>
    </w:p>
    <w:p>
      <w:pPr>
        <w:jc w:val="both"/>
        <w:ind w:left="1380" w:right="12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8"/>
          <w:szCs w:val="18"/>
          <w:u w:val="single" w:color="auto"/>
          <w:color w:val="auto"/>
        </w:rPr>
        <w:t xml:space="preserve">Schedule 10.1.5 </w:t>
      </w:r>
      <w:r>
        <w:rPr>
          <w:rFonts w:ascii="Arial" w:cs="Arial" w:eastAsia="Arial" w:hAnsi="Arial"/>
          <w:sz w:val="18"/>
          <w:szCs w:val="18"/>
          <w:color w:val="auto"/>
        </w:rPr>
        <w:t>contains a complete list of all Patent Rights Controlled by ACI, as of the Effective Date, that claim Products or processes</w:t>
      </w:r>
      <w:r>
        <w:rPr>
          <w:rFonts w:ascii="Arial" w:cs="Arial" w:eastAsia="Arial" w:hAnsi="Arial"/>
          <w:sz w:val="18"/>
          <w:szCs w:val="18"/>
          <w:u w:val="single" w:color="auto"/>
          <w:color w:val="auto"/>
        </w:rPr>
        <w:t xml:space="preserve"> </w:t>
      </w:r>
      <w:r>
        <w:rPr>
          <w:rFonts w:ascii="Arial" w:cs="Arial" w:eastAsia="Arial" w:hAnsi="Arial"/>
          <w:sz w:val="18"/>
          <w:szCs w:val="18"/>
          <w:color w:val="auto"/>
        </w:rPr>
        <w:t>for making or using, or compositions containing, the same.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69" w:right="259" w:bottom="1440" w:gutter="0" w:footer="0" w:header="0"/>
        </w:sectPr>
      </w:pPr>
    </w:p>
    <w:bookmarkStart w:id="526" w:name="page527"/>
    <w:bookmarkEnd w:id="5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1380" w:right="240" w:hanging="796"/>
        <w:spacing w:after="0" w:line="264" w:lineRule="auto"/>
        <w:tabs>
          <w:tab w:leader="none" w:pos="1360" w:val="left"/>
        </w:tabs>
        <w:rPr>
          <w:sz w:val="20"/>
          <w:szCs w:val="20"/>
          <w:color w:val="auto"/>
        </w:rPr>
      </w:pPr>
      <w:r>
        <w:rPr>
          <w:rFonts w:ascii="Arial" w:cs="Arial" w:eastAsia="Arial" w:hAnsi="Arial"/>
          <w:sz w:val="18"/>
          <w:szCs w:val="18"/>
          <w:b w:val="1"/>
          <w:bCs w:val="1"/>
          <w:color w:val="auto"/>
        </w:rPr>
        <w:t>10.1.6</w:t>
      </w:r>
      <w:r>
        <w:rPr>
          <w:sz w:val="20"/>
          <w:szCs w:val="20"/>
          <w:color w:val="auto"/>
        </w:rPr>
        <w:tab/>
      </w:r>
      <w:r>
        <w:rPr>
          <w:rFonts w:ascii="Arial" w:cs="Arial" w:eastAsia="Arial" w:hAnsi="Arial"/>
          <w:sz w:val="18"/>
          <w:szCs w:val="18"/>
          <w:u w:val="single" w:color="auto"/>
          <w:color w:val="auto"/>
        </w:rPr>
        <w:t xml:space="preserve">Schedule 10.1.6 </w:t>
      </w:r>
      <w:r>
        <w:rPr>
          <w:rFonts w:ascii="Arial" w:cs="Arial" w:eastAsia="Arial" w:hAnsi="Arial"/>
          <w:sz w:val="18"/>
          <w:szCs w:val="18"/>
          <w:color w:val="auto"/>
        </w:rPr>
        <w:t>contains a complete list of all relevant agreements that ACI has entered into relating to the manufacture, use, Research,</w:t>
      </w:r>
      <w:r>
        <w:rPr>
          <w:rFonts w:ascii="Arial" w:cs="Arial" w:eastAsia="Arial" w:hAnsi="Arial"/>
          <w:sz w:val="18"/>
          <w:szCs w:val="18"/>
          <w:u w:val="single" w:color="auto"/>
          <w:color w:val="auto"/>
        </w:rPr>
        <w:t xml:space="preserve"> </w:t>
      </w:r>
      <w:r>
        <w:rPr>
          <w:rFonts w:ascii="Arial" w:cs="Arial" w:eastAsia="Arial" w:hAnsi="Arial"/>
          <w:sz w:val="18"/>
          <w:szCs w:val="18"/>
          <w:color w:val="auto"/>
        </w:rPr>
        <w:t>Development or Commercialization of Products, and ACI represents that all of the agreements on Schedule 10.1.6 have been made available to Janssen for review.</w:t>
      </w:r>
    </w:p>
    <w:p>
      <w:pPr>
        <w:spacing w:after="0" w:line="87" w:lineRule="exact"/>
        <w:rPr>
          <w:sz w:val="20"/>
          <w:szCs w:val="20"/>
          <w:color w:val="auto"/>
        </w:rPr>
      </w:pPr>
    </w:p>
    <w:p>
      <w:pPr>
        <w:ind w:left="1380" w:right="1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8"/>
          <w:szCs w:val="18"/>
          <w:color w:val="auto"/>
        </w:rPr>
        <w:t>ACI represents that the Peptides identified as of the Effective Date, including but not limited to [*****] Tau-active antibodies licensed by ACI to any Third Party.</w:t>
      </w:r>
    </w:p>
    <w:p>
      <w:pPr>
        <w:spacing w:after="0" w:line="76" w:lineRule="exact"/>
        <w:rPr>
          <w:sz w:val="20"/>
          <w:szCs w:val="20"/>
          <w:color w:val="auto"/>
        </w:rPr>
      </w:pPr>
    </w:p>
    <w:p>
      <w:pPr>
        <w:ind w:left="138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10.1.8</w:t>
      </w:r>
      <w:r>
        <w:rPr>
          <w:sz w:val="20"/>
          <w:szCs w:val="20"/>
          <w:color w:val="auto"/>
        </w:rPr>
        <w:tab/>
      </w:r>
      <w:r>
        <w:rPr>
          <w:rFonts w:ascii="Arial" w:cs="Arial" w:eastAsia="Arial" w:hAnsi="Arial"/>
          <w:sz w:val="18"/>
          <w:szCs w:val="18"/>
          <w:color w:val="auto"/>
        </w:rPr>
        <w:t>ACI represents that no Third Party retains under any ACI Patent Rights or ACI Know-How any right of first negotiation, or any other right or option, to any vaccine product incorporating Tau or any variant, derivative, modification, or fragment of Tau.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Representations and Warranties of Janssen</w:t>
      </w:r>
      <w:r>
        <w:rPr>
          <w:rFonts w:ascii="Arial" w:cs="Arial" w:eastAsia="Arial" w:hAnsi="Arial"/>
          <w:sz w:val="18"/>
          <w:szCs w:val="18"/>
          <w:color w:val="auto"/>
        </w:rPr>
        <w:t>. Janssen represents and warrants to ACI that as of the Effective Date:</w:t>
      </w:r>
    </w:p>
    <w:p>
      <w:pPr>
        <w:spacing w:after="0" w:line="131" w:lineRule="exact"/>
        <w:rPr>
          <w:sz w:val="20"/>
          <w:szCs w:val="20"/>
          <w:color w:val="auto"/>
        </w:rPr>
      </w:pPr>
    </w:p>
    <w:p>
      <w:pPr>
        <w:ind w:left="1380" w:right="2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10.2.1</w:t>
      </w:r>
      <w:r>
        <w:rPr>
          <w:sz w:val="20"/>
          <w:szCs w:val="20"/>
          <w:color w:val="auto"/>
        </w:rPr>
        <w:tab/>
      </w:r>
      <w:r>
        <w:rPr>
          <w:rFonts w:ascii="Arial" w:cs="Arial" w:eastAsia="Arial" w:hAnsi="Arial"/>
          <w:sz w:val="17"/>
          <w:szCs w:val="17"/>
          <w:b w:val="1"/>
          <w:bCs w:val="1"/>
          <w:color w:val="auto"/>
        </w:rPr>
        <w:t>Authorization</w:t>
      </w:r>
      <w:r>
        <w:rPr>
          <w:rFonts w:ascii="Arial" w:cs="Arial" w:eastAsia="Arial" w:hAnsi="Arial"/>
          <w:sz w:val="17"/>
          <w:szCs w:val="17"/>
          <w:color w:val="auto"/>
        </w:rPr>
        <w:t>. This Agreement has been duly executed and delivered by Janssen and constitutes the valid and binding obligation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Janssen, enforceable against Janssen in accordance with its terms. The execution, delivery and performance of this Agreement have been duly authorized by all necessary action on the part of Janssen, its officers and directors and does not conflict with any agreement, instrument or understanding, oral or written, to which Janssen is a party or by which Janssen may be bound, nor violate any applicable law or regulation of any court, governmental body or administrative or other agency having jurisdiction over it.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PATENT PROVISIONS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Filing, Prosecution and Maintenance of ACI Patent Rights and Joint Patent Rights.</w:t>
      </w:r>
    </w:p>
    <w:p>
      <w:pPr>
        <w:spacing w:after="0" w:line="131" w:lineRule="exact"/>
        <w:rPr>
          <w:sz w:val="20"/>
          <w:szCs w:val="20"/>
          <w:color w:val="auto"/>
        </w:rPr>
      </w:pPr>
    </w:p>
    <w:p>
      <w:pPr>
        <w:ind w:left="1380" w:hanging="796"/>
        <w:spacing w:after="0" w:line="281" w:lineRule="auto"/>
        <w:tabs>
          <w:tab w:leader="none" w:pos="13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7"/>
          <w:szCs w:val="17"/>
          <w:color w:val="auto"/>
        </w:rPr>
        <w:t>Janssen and ACI shall jointly select skilled outside patent attorneys (“</w:t>
      </w:r>
      <w:r>
        <w:rPr>
          <w:rFonts w:ascii="Arial" w:cs="Arial" w:eastAsia="Arial" w:hAnsi="Arial"/>
          <w:sz w:val="17"/>
          <w:szCs w:val="17"/>
          <w:b w:val="1"/>
          <w:bCs w:val="1"/>
          <w:color w:val="auto"/>
        </w:rPr>
        <w:t>Outside Patent Counsel</w:t>
      </w:r>
      <w:r>
        <w:rPr>
          <w:rFonts w:ascii="Arial" w:cs="Arial" w:eastAsia="Arial" w:hAnsi="Arial"/>
          <w:sz w:val="17"/>
          <w:szCs w:val="17"/>
          <w:color w:val="auto"/>
        </w:rPr>
        <w:t>”) to diligently file, prosecute and maintain the ACI Patent Rights and Joint Patent Rights in the Territory, and to conduct any interference, opposition, reexamination, re-issue or other similar proceeding. Such actions shall be taken in all such countries as is customary for ACI to file, prosecute and maintain patent rights covering pharmaceutical products and taking into account Janssen’s recommendations.</w:t>
      </w:r>
    </w:p>
    <w:p>
      <w:pPr>
        <w:spacing w:after="0" w:line="70" w:lineRule="exact"/>
        <w:rPr>
          <w:sz w:val="20"/>
          <w:szCs w:val="20"/>
          <w:color w:val="auto"/>
        </w:rPr>
      </w:pPr>
    </w:p>
    <w:p>
      <w:pPr>
        <w:ind w:left="1380" w:right="32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8"/>
          <w:szCs w:val="18"/>
          <w:color w:val="auto"/>
        </w:rPr>
        <w:t>[*****] in the preparation, prosecution and maintenance of ACI Patent Rights and Joint Patent Rights in the Territory for such matters occurring after the Effective Date.</w:t>
      </w:r>
    </w:p>
    <w:p>
      <w:pPr>
        <w:spacing w:after="0" w:line="76" w:lineRule="exact"/>
        <w:rPr>
          <w:sz w:val="20"/>
          <w:szCs w:val="20"/>
          <w:color w:val="auto"/>
        </w:rPr>
      </w:pPr>
    </w:p>
    <w:p>
      <w:pPr>
        <w:ind w:left="1380" w:right="20" w:hanging="796"/>
        <w:spacing w:after="0" w:line="290" w:lineRule="auto"/>
        <w:tabs>
          <w:tab w:leader="none" w:pos="136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6"/>
          <w:szCs w:val="16"/>
          <w:color w:val="auto"/>
        </w:rPr>
        <w:t>Each Party (either itself or through the Outside Patent Counsel) shall keep the other Party advised on at least a quarterly basis of the status of all actual and prospective ACI Patent Rights, Joint Patent Rights or Janssen Patent Rights, as applicable, in the Territory and upon the request of the other Party, provide advance copies of any material papers related to the filing, prosecution and maintenance of such patent filings. ACI shall provide primary direction to Outside Patent Counsel for patent matters relating to the ACI Patent Rights and shall solicit Janssen’s advice and review of the nature and text of such patent applications and important prosecution matters related to thereto in reasonably sufficient time prior to filing thereof, and ACI shall consider Janssen’s comments related thereto. ACI shall give reasonable advance notice to Janssen of the grant, lapse, revocation, surrender, invalidation or abandonment of any ACI Patent Rights in the Territory. Janssen shall provide primary direction to Outside Patent Counsel for patent matters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0" w:right="279" w:bottom="1440" w:gutter="0" w:footer="0" w:header="0"/>
        </w:sectPr>
      </w:pPr>
    </w:p>
    <w:bookmarkStart w:id="527" w:name="page528"/>
    <w:bookmarkEnd w:id="5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right="20"/>
        <w:spacing w:after="0" w:line="259" w:lineRule="auto"/>
        <w:rPr>
          <w:sz w:val="20"/>
          <w:szCs w:val="20"/>
          <w:color w:val="auto"/>
        </w:rPr>
      </w:pPr>
      <w:r>
        <w:rPr>
          <w:rFonts w:ascii="Arial" w:cs="Arial" w:eastAsia="Arial" w:hAnsi="Arial"/>
          <w:sz w:val="18"/>
          <w:szCs w:val="18"/>
          <w:color w:val="auto"/>
        </w:rPr>
        <w:t>relating to the Joint Patent Rights and shall solicit ACI’s advice and review of the nature and text of such patent applications and important prosecution matters related to thereto in reasonably sufficient time prior to filing thereof, and Janssen shall consider ACI’s comments related thereto. Jansen shall give reasonable advance notice to ACI of the grant, lapse, revocation, surrender, invalidation or abandonment of any Joint Patent Rights in the Territory.</w:t>
      </w:r>
    </w:p>
    <w:p>
      <w:pPr>
        <w:spacing w:after="0" w:line="88" w:lineRule="exact"/>
        <w:rPr>
          <w:sz w:val="20"/>
          <w:szCs w:val="20"/>
          <w:color w:val="auto"/>
        </w:rPr>
      </w:pPr>
    </w:p>
    <w:p>
      <w:pPr>
        <w:ind w:left="1380" w:right="60" w:hanging="796"/>
        <w:spacing w:after="0" w:line="308" w:lineRule="auto"/>
        <w:tabs>
          <w:tab w:leader="none" w:pos="13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7"/>
          <w:szCs w:val="17"/>
          <w:color w:val="auto"/>
        </w:rPr>
        <w:t>ACI and Janssen shall collaborate on a strategy to file divisional patent applications worldwide to specifically claim the Products and their components. With regard to such divisional applications, ACI shall consider Janssen’s comments related thereto, and [*****].</w:t>
      </w:r>
    </w:p>
    <w:p>
      <w:pPr>
        <w:spacing w:after="0" w:line="29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Option to Prosecute and Maintain Patents.</w:t>
      </w:r>
    </w:p>
    <w:p>
      <w:pPr>
        <w:spacing w:after="0" w:line="131" w:lineRule="exact"/>
        <w:rPr>
          <w:sz w:val="20"/>
          <w:szCs w:val="20"/>
          <w:color w:val="auto"/>
        </w:rPr>
      </w:pPr>
    </w:p>
    <w:p>
      <w:pPr>
        <w:ind w:left="1380" w:right="140" w:hanging="796"/>
        <w:spacing w:after="0" w:line="295" w:lineRule="auto"/>
        <w:tabs>
          <w:tab w:leader="none" w:pos="136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b w:val="1"/>
          <w:bCs w:val="1"/>
          <w:color w:val="auto"/>
        </w:rPr>
        <w:t>ACI Patents</w:t>
      </w:r>
      <w:r>
        <w:rPr>
          <w:rFonts w:ascii="Arial" w:cs="Arial" w:eastAsia="Arial" w:hAnsi="Arial"/>
          <w:sz w:val="16"/>
          <w:szCs w:val="16"/>
          <w:color w:val="auto"/>
        </w:rPr>
        <w:t>. ACI may cease prosecution and/or maintenance of ACI Patent Rights on a country-by-country basis in the Territory by</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Janssen written notice. If ACI elects to cease prosecution or maintenance of ACI Patent Rights in a country, Janssen, at its sole discretion and cost, may continue prosecution or maintenance of such ACI Patent Rights in such country in ACI’s name. If Janssen elects to continue prosecution or maintenance or elects to file additional applications following ACI’s election to cease prosecution or maintenance pursuant to this section 11.2.1, ACI shall execute such documents and perform such acts at ACI’s expense as may be reasonably necessary to allow Janssen to initiate or continue such filing, prosecution or maintenance at Janssen’s sole expense.</w:t>
      </w:r>
    </w:p>
    <w:p>
      <w:pPr>
        <w:spacing w:after="0" w:line="61" w:lineRule="exact"/>
        <w:rPr>
          <w:sz w:val="20"/>
          <w:szCs w:val="20"/>
          <w:color w:val="auto"/>
        </w:rPr>
      </w:pPr>
    </w:p>
    <w:p>
      <w:pPr>
        <w:ind w:left="1380" w:right="360" w:hanging="796"/>
        <w:spacing w:after="0" w:line="298" w:lineRule="auto"/>
        <w:tabs>
          <w:tab w:leader="none" w:pos="1360" w:val="left"/>
        </w:tabs>
        <w:rPr>
          <w:sz w:val="20"/>
          <w:szCs w:val="20"/>
          <w:color w:val="auto"/>
        </w:rPr>
      </w:pPr>
      <w:r>
        <w:rPr>
          <w:rFonts w:ascii="Arial" w:cs="Arial" w:eastAsia="Arial" w:hAnsi="Arial"/>
          <w:sz w:val="18"/>
          <w:szCs w:val="18"/>
          <w:b w:val="1"/>
          <w:bCs w:val="1"/>
          <w:color w:val="auto"/>
        </w:rPr>
        <w:t>11.2.2</w:t>
      </w:r>
      <w:r>
        <w:rPr>
          <w:sz w:val="20"/>
          <w:szCs w:val="20"/>
          <w:color w:val="auto"/>
        </w:rPr>
        <w:tab/>
      </w:r>
      <w:r>
        <w:rPr>
          <w:rFonts w:ascii="Arial" w:cs="Arial" w:eastAsia="Arial" w:hAnsi="Arial"/>
          <w:sz w:val="16"/>
          <w:szCs w:val="16"/>
          <w:b w:val="1"/>
          <w:bCs w:val="1"/>
          <w:color w:val="auto"/>
        </w:rPr>
        <w:t>Joint Patents</w:t>
      </w:r>
      <w:r>
        <w:rPr>
          <w:rFonts w:ascii="Arial" w:cs="Arial" w:eastAsia="Arial" w:hAnsi="Arial"/>
          <w:sz w:val="16"/>
          <w:szCs w:val="16"/>
          <w:color w:val="auto"/>
        </w:rPr>
        <w:t>. Janssen may cease prosecution or maintenance of Joint Patent Rights on a country-by-country basis in the Territory by</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ACI written notice. If Janssen elects to cease prosecution or maintenance of Joint Patent Rights in a country, ACI, at its sole discretion and cost, may continue prosecution or maintenance of such Joint Patent Rights in such country. If ACI elects to continue prosecution or maintenance or elects to file additional applications following Jansen’s election to cease prosecution or maintenance pursuant to this section 11.2.2, ACI shall continue such filing, prosecution or maintenance at ACI’s sole expense.</w:t>
      </w:r>
    </w:p>
    <w:p>
      <w:pPr>
        <w:spacing w:after="0" w:line="30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Interference, Opposition, Re-examination and Re-issue.</w:t>
      </w:r>
    </w:p>
    <w:p>
      <w:pPr>
        <w:spacing w:after="0" w:line="131" w:lineRule="exact"/>
        <w:rPr>
          <w:sz w:val="20"/>
          <w:szCs w:val="20"/>
          <w:color w:val="auto"/>
        </w:rPr>
      </w:pPr>
    </w:p>
    <w:p>
      <w:pPr>
        <w:ind w:left="1380" w:hanging="796"/>
        <w:spacing w:after="0" w:line="293" w:lineRule="auto"/>
        <w:tabs>
          <w:tab w:leader="none" w:pos="1360" w:val="left"/>
        </w:tabs>
        <w:rPr>
          <w:sz w:val="20"/>
          <w:szCs w:val="20"/>
          <w:color w:val="auto"/>
        </w:rPr>
      </w:pPr>
      <w:r>
        <w:rPr>
          <w:rFonts w:ascii="Arial" w:cs="Arial" w:eastAsia="Arial" w:hAnsi="Arial"/>
          <w:sz w:val="18"/>
          <w:szCs w:val="18"/>
          <w:b w:val="1"/>
          <w:bCs w:val="1"/>
          <w:color w:val="auto"/>
        </w:rPr>
        <w:t>11.3.1</w:t>
      </w:r>
      <w:r>
        <w:rPr>
          <w:sz w:val="20"/>
          <w:szCs w:val="20"/>
          <w:color w:val="auto"/>
        </w:rPr>
        <w:tab/>
      </w:r>
      <w:r>
        <w:rPr>
          <w:rFonts w:ascii="Arial" w:cs="Arial" w:eastAsia="Arial" w:hAnsi="Arial"/>
          <w:sz w:val="16"/>
          <w:szCs w:val="16"/>
          <w:color w:val="auto"/>
        </w:rPr>
        <w:t>ACI shall promptly, but in any case within [*****] of learning of any request for, or filing or declaration of, any Patent Proceeding relating to ACI Patent Rights for which ACI is responsible, and Janssen shall similarly promptly inform ACI of any request for, or filing or declaration of, any Patent Proceeding relating to Joint Patent Rights for which Janssen is responsible. Janssen and ACI shall thereafter consult and cooperate fully to determine a course of action with respect to any such Patent Proceeding. Each Party has the right to review any submission to be made in connection with the Patent Proceeding of the other Party and has the right to approve any such submission related to ACI Patent Rights and Joint Patent Rights, provided such approval shall not be unreasonably withheld.</w:t>
      </w:r>
    </w:p>
    <w:p>
      <w:pPr>
        <w:spacing w:after="0" w:line="70" w:lineRule="exact"/>
        <w:rPr>
          <w:sz w:val="20"/>
          <w:szCs w:val="20"/>
          <w:color w:val="auto"/>
        </w:rPr>
      </w:pPr>
    </w:p>
    <w:p>
      <w:pPr>
        <w:ind w:left="1380" w:hanging="796"/>
        <w:spacing w:after="0" w:line="264" w:lineRule="auto"/>
        <w:tabs>
          <w:tab w:leader="none" w:pos="1360"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8"/>
          <w:szCs w:val="18"/>
          <w:color w:val="auto"/>
        </w:rPr>
        <w:t>ACI shall provide Janssen with written notice as soon as practicable prior to initiating any Patent Proceeding relating to ACI Patent Rights, and Janssen shall provide ACI with written notice as soon as practicable prior to initiating any Patent Proceeding relating to Joint Patent Rights.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69" w:right="259" w:bottom="1440" w:gutter="0" w:footer="0" w:header="0"/>
        </w:sectPr>
      </w:pPr>
    </w:p>
    <w:bookmarkStart w:id="528" w:name="page529"/>
    <w:bookmarkEnd w:id="5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300" w:right="13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1380" w:right="140" w:hanging="796"/>
        <w:spacing w:after="0" w:line="279" w:lineRule="auto"/>
        <w:tabs>
          <w:tab w:leader="none" w:pos="1360" w:val="left"/>
        </w:tabs>
        <w:rPr>
          <w:sz w:val="20"/>
          <w:szCs w:val="20"/>
          <w:color w:val="auto"/>
        </w:rPr>
      </w:pPr>
      <w:r>
        <w:rPr>
          <w:rFonts w:ascii="Arial" w:cs="Arial" w:eastAsia="Arial" w:hAnsi="Arial"/>
          <w:sz w:val="18"/>
          <w:szCs w:val="18"/>
          <w:b w:val="1"/>
          <w:bCs w:val="1"/>
          <w:color w:val="auto"/>
        </w:rPr>
        <w:t>11.3.3</w:t>
      </w:r>
      <w:r>
        <w:rPr>
          <w:sz w:val="20"/>
          <w:szCs w:val="20"/>
          <w:color w:val="auto"/>
        </w:rPr>
        <w:tab/>
      </w:r>
      <w:r>
        <w:rPr>
          <w:rFonts w:ascii="Arial" w:cs="Arial" w:eastAsia="Arial" w:hAnsi="Arial"/>
          <w:sz w:val="17"/>
          <w:szCs w:val="17"/>
          <w:color w:val="auto"/>
        </w:rPr>
        <w:t>In connection with any Patent Proceeding relating to ACI Patent Rights or Joint Patent Rights, Janssen and ACI shall cooperate fully and shall provide each other with any information or assistance that either may reasonably request. Each Party shall keep the other Party informed of developments in any such action or proceeding, including, to the extent permissible by law, consultation regarding any settlement, the status of any settlement negotiations and the terms of any related offer.</w:t>
      </w:r>
    </w:p>
    <w:p>
      <w:pPr>
        <w:spacing w:after="0" w:line="77"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11.3.4</w:t>
      </w:r>
      <w:r>
        <w:rPr>
          <w:sz w:val="20"/>
          <w:szCs w:val="20"/>
          <w:color w:val="auto"/>
        </w:rPr>
        <w:tab/>
      </w:r>
      <w:r>
        <w:rPr>
          <w:rFonts w:ascii="Arial" w:cs="Arial" w:eastAsia="Arial" w:hAnsi="Arial"/>
          <w:sz w:val="15"/>
          <w:szCs w:val="15"/>
          <w:color w:val="auto"/>
        </w:rPr>
        <w:t>The expense of any Patent Proceeding shall, unless agreed otherwise, be treated as prosecution and maintenance costs pursuant to section</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11.1.2.</w:t>
      </w:r>
    </w:p>
    <w:p>
      <w:pPr>
        <w:spacing w:after="0" w:line="35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Enforcement and Defense.</w:t>
      </w:r>
    </w:p>
    <w:p>
      <w:pPr>
        <w:spacing w:after="0" w:line="131" w:lineRule="exact"/>
        <w:rPr>
          <w:sz w:val="20"/>
          <w:szCs w:val="20"/>
          <w:color w:val="auto"/>
        </w:rPr>
      </w:pPr>
    </w:p>
    <w:p>
      <w:pPr>
        <w:ind w:left="1380" w:right="40" w:hanging="796"/>
        <w:spacing w:after="0" w:line="287" w:lineRule="auto"/>
        <w:tabs>
          <w:tab w:leader="none" w:pos="1360" w:val="left"/>
        </w:tabs>
        <w:rPr>
          <w:sz w:val="20"/>
          <w:szCs w:val="20"/>
          <w:color w:val="auto"/>
        </w:rPr>
      </w:pPr>
      <w:r>
        <w:rPr>
          <w:rFonts w:ascii="Arial" w:cs="Arial" w:eastAsia="Arial" w:hAnsi="Arial"/>
          <w:sz w:val="18"/>
          <w:szCs w:val="18"/>
          <w:b w:val="1"/>
          <w:bCs w:val="1"/>
          <w:color w:val="auto"/>
        </w:rPr>
        <w:t>11.4.1</w:t>
      </w:r>
      <w:r>
        <w:rPr>
          <w:sz w:val="20"/>
          <w:szCs w:val="20"/>
          <w:color w:val="auto"/>
        </w:rPr>
        <w:tab/>
      </w:r>
      <w:r>
        <w:rPr>
          <w:rFonts w:ascii="Arial" w:cs="Arial" w:eastAsia="Arial" w:hAnsi="Arial"/>
          <w:sz w:val="16"/>
          <w:szCs w:val="16"/>
          <w:color w:val="auto"/>
        </w:rPr>
        <w:t>Each Party shall promptly give the other Party notice of (i) any infringement of ACI Patent Rights, Janssen Patent Rights or Joint Patent Rights with respect to a Product, or (ii) any misappropriation or misuse of ACI Know-How or Janssen Know-How with respect to a Product, that may come to a Party’s attention. Janssen and ACI shall thereafter cooperate to determine a course of action to terminate any such infringement of ACI Patent Rights, Janssen Patent Rights or Joint Patent Rights or any misappropriation or misuse of ACI Know-How or Janssen Know-How. Janssen has the right but not the obligation to initiate and prosecute any such legal action at its own expense and in the name of ACI and Janssen (or just ACI or just Janssen if the laws of the jurisdiction so dictate), or to control the defense of any declaratory judgment action relating to such ACI Patent Rights, Janssen Patent Rights, Joint Patent Rights, ACI Know-How or Janssen Know-How. [*****]. Janssen shall promptly inform ACI if it elects not to exercise that right with respect to ACI Patent Rights, Janssen Patent Rights or Joint Patent Rights and ACI Know-How and Janssen Know-How and ACI shall thereafter have the right at its sole cost to either initiate and prosecute such action or to control the defense of such declaratory judgment action in the name of Janssen and, if necessary, ACI. Each Party shall have the right to be represented by counsel of its own choice.</w:t>
      </w:r>
    </w:p>
    <w:p>
      <w:pPr>
        <w:spacing w:after="0" w:line="78" w:lineRule="exact"/>
        <w:rPr>
          <w:sz w:val="20"/>
          <w:szCs w:val="20"/>
          <w:color w:val="auto"/>
        </w:rPr>
      </w:pPr>
    </w:p>
    <w:p>
      <w:pPr>
        <w:ind w:left="1380" w:hanging="796"/>
        <w:spacing w:after="0" w:line="272" w:lineRule="auto"/>
        <w:tabs>
          <w:tab w:leader="none" w:pos="1360" w:val="left"/>
        </w:tabs>
        <w:rPr>
          <w:sz w:val="20"/>
          <w:szCs w:val="20"/>
          <w:color w:val="auto"/>
        </w:rPr>
      </w:pPr>
      <w:r>
        <w:rPr>
          <w:rFonts w:ascii="Arial" w:cs="Arial" w:eastAsia="Arial" w:hAnsi="Arial"/>
          <w:sz w:val="18"/>
          <w:szCs w:val="18"/>
          <w:b w:val="1"/>
          <w:bCs w:val="1"/>
          <w:color w:val="auto"/>
        </w:rPr>
        <w:t>11.4.2</w:t>
      </w:r>
      <w:r>
        <w:rPr>
          <w:sz w:val="20"/>
          <w:szCs w:val="20"/>
          <w:color w:val="auto"/>
        </w:rPr>
        <w:tab/>
      </w:r>
      <w:r>
        <w:rPr>
          <w:rFonts w:ascii="Arial" w:cs="Arial" w:eastAsia="Arial" w:hAnsi="Arial"/>
          <w:sz w:val="17"/>
          <w:szCs w:val="17"/>
          <w:color w:val="auto"/>
        </w:rPr>
        <w:t>For any action to terminate any infringement of ACI Patent Rights, Janssen Patent Rights or Joint Patent Rights or any misappropriation or misuse of ACI Know-How or Janssen Know-How, if Janssen is unable to initiate or prosecute such action solely in its own name, ACI shall join such action voluntarily and shall execute and cause its Affiliates to execute all documents necessary for Janssen to initiate litigation to prosecute and maintain such action. [*****]. In connection with any action, Janssen and ACI shall cooperate fully and shall provide each other with any information or assistance that either may reasonably request. Each Party shall keep the other informed of developments in any action or proceeding, including, to the extent permissible by law, the consultation and approval of any settlement negotiations and the terms of any offer related thereto.</w:t>
      </w:r>
    </w:p>
    <w:p>
      <w:pPr>
        <w:spacing w:after="0" w:line="83" w:lineRule="exact"/>
        <w:rPr>
          <w:sz w:val="20"/>
          <w:szCs w:val="20"/>
          <w:color w:val="auto"/>
        </w:rPr>
      </w:pPr>
    </w:p>
    <w:p>
      <w:pPr>
        <w:ind w:left="1380" w:right="400" w:hanging="796"/>
        <w:spacing w:after="0" w:line="277" w:lineRule="auto"/>
        <w:tabs>
          <w:tab w:leader="none" w:pos="1360" w:val="left"/>
        </w:tabs>
        <w:rPr>
          <w:sz w:val="20"/>
          <w:szCs w:val="20"/>
          <w:color w:val="auto"/>
        </w:rPr>
      </w:pPr>
      <w:r>
        <w:rPr>
          <w:rFonts w:ascii="Arial" w:cs="Arial" w:eastAsia="Arial" w:hAnsi="Arial"/>
          <w:sz w:val="18"/>
          <w:szCs w:val="18"/>
          <w:b w:val="1"/>
          <w:bCs w:val="1"/>
          <w:color w:val="auto"/>
        </w:rPr>
        <w:t>11.4.3</w:t>
      </w:r>
      <w:r>
        <w:rPr>
          <w:sz w:val="20"/>
          <w:szCs w:val="20"/>
          <w:color w:val="auto"/>
        </w:rPr>
        <w:tab/>
      </w:r>
      <w:r>
        <w:rPr>
          <w:rFonts w:ascii="Arial" w:cs="Arial" w:eastAsia="Arial" w:hAnsi="Arial"/>
          <w:sz w:val="18"/>
          <w:szCs w:val="18"/>
          <w:color w:val="auto"/>
        </w:rPr>
        <w:t>Any recovery obtained by either or both Janssen and ACI in connection with or as a result of any action contemplated by this section, whether by settlement or otherwise, shall be shared in order as follows:</w:t>
      </w:r>
    </w:p>
    <w:p>
      <w:pPr>
        <w:spacing w:after="0" w:line="80" w:lineRule="exact"/>
        <w:rPr>
          <w:sz w:val="20"/>
          <w:szCs w:val="20"/>
          <w:color w:val="auto"/>
        </w:rPr>
      </w:pPr>
    </w:p>
    <w:p>
      <w:pPr>
        <w:ind w:left="1940" w:hanging="568"/>
        <w:spacing w:after="0"/>
        <w:tabs>
          <w:tab w:leader="none" w:pos="1940"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the Party that initiated and prosecuted the action [*****];</w:t>
      </w:r>
    </w:p>
    <w:p>
      <w:pPr>
        <w:spacing w:after="0" w:line="130" w:lineRule="exact"/>
        <w:rPr>
          <w:rFonts w:ascii="Arial" w:cs="Arial" w:eastAsia="Arial" w:hAnsi="Arial"/>
          <w:sz w:val="18"/>
          <w:szCs w:val="18"/>
          <w:b w:val="1"/>
          <w:bCs w:val="1"/>
          <w:color w:val="auto"/>
        </w:rPr>
      </w:pPr>
    </w:p>
    <w:p>
      <w:pPr>
        <w:ind w:left="5620" w:right="5020" w:hanging="4248"/>
        <w:spacing w:after="0" w:line="449" w:lineRule="auto"/>
        <w:tabs>
          <w:tab w:leader="none" w:pos="1935"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the other Party shall then, to the extent possible, [*****]; and 27</w:t>
      </w:r>
    </w:p>
    <w:p>
      <w:pPr>
        <w:sectPr>
          <w:pgSz w:w="11900" w:h="16838" w:orient="portrait"/>
          <w:cols w:equalWidth="0" w:num="1">
            <w:col w:w="11380"/>
          </w:cols>
          <w:pgMar w:left="240" w:top="270" w:right="279" w:bottom="1440" w:gutter="0" w:footer="0" w:header="0"/>
        </w:sectPr>
      </w:pPr>
    </w:p>
    <w:bookmarkStart w:id="529" w:name="page530"/>
    <w:bookmarkEnd w:id="529"/>
    <w:p>
      <w:pPr>
        <w:jc w:val="center"/>
        <w:ind w:righ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5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60" w:right="4520" w:hanging="568"/>
        <w:spacing w:after="0" w:line="439" w:lineRule="auto"/>
        <w:tabs>
          <w:tab w:leader="none" w:pos="1351" w:val="left"/>
        </w:tabs>
        <w:numPr>
          <w:ilvl w:val="0"/>
          <w:numId w:val="393"/>
        </w:numPr>
        <w:rPr>
          <w:rFonts w:ascii="Arial" w:cs="Arial" w:eastAsia="Arial" w:hAnsi="Arial"/>
          <w:sz w:val="18"/>
          <w:szCs w:val="18"/>
          <w:b w:val="1"/>
          <w:bCs w:val="1"/>
          <w:color w:val="auto"/>
        </w:rPr>
      </w:pPr>
      <w:r>
        <w:rPr>
          <w:rFonts w:ascii="Arial" w:cs="Arial" w:eastAsia="Arial" w:hAnsi="Arial"/>
          <w:sz w:val="18"/>
          <w:szCs w:val="18"/>
          <w:color w:val="auto"/>
        </w:rPr>
        <w:t>The amount of any recovery remaining shall be allocated as follows: [*****] [*****]</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11.4.4</w:t>
      </w:r>
      <w:r>
        <w:rPr>
          <w:sz w:val="20"/>
          <w:szCs w:val="20"/>
          <w:color w:val="auto"/>
        </w:rPr>
        <w:tab/>
      </w:r>
      <w:r>
        <w:rPr>
          <w:rFonts w:ascii="Arial" w:cs="Arial" w:eastAsia="Arial" w:hAnsi="Arial"/>
          <w:sz w:val="16"/>
          <w:szCs w:val="16"/>
          <w:color w:val="auto"/>
        </w:rPr>
        <w:t>ACI shall inform Janssen of any certification regarding any ACI Patent Rights it has received pursuant to either 21 U.S.C. §§355(b)(2)(A)</w:t>
      </w:r>
    </w:p>
    <w:p>
      <w:pPr>
        <w:spacing w:after="0" w:line="27" w:lineRule="exact"/>
        <w:rPr>
          <w:sz w:val="20"/>
          <w:szCs w:val="20"/>
          <w:color w:val="auto"/>
        </w:rPr>
      </w:pPr>
    </w:p>
    <w:p>
      <w:pPr>
        <w:ind w:left="800" w:right="120" w:hanging="8"/>
        <w:spacing w:after="0" w:line="254" w:lineRule="auto"/>
        <w:tabs>
          <w:tab w:leader="none" w:pos="110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or (j)(2)(A)(vii)(IV) or its successor provisions or any similar provisions in a country in the Territory other than the United States and shall provide Janssen with a copy of the certification within [*****] days of receipt. ACI’s and Janssen’s rights with respect to the initiation and prosecution of any legal action as a result of certification or any recovery obtained as a result of such legal action shall be according to sections 11.4.1 through 11.4.3.</w:t>
      </w:r>
    </w:p>
    <w:p>
      <w:pPr>
        <w:spacing w:after="0" w:line="91" w:lineRule="exact"/>
        <w:rPr>
          <w:sz w:val="20"/>
          <w:szCs w:val="20"/>
          <w:color w:val="auto"/>
        </w:rPr>
      </w:pPr>
    </w:p>
    <w:p>
      <w:pPr>
        <w:ind w:left="800" w:right="60" w:hanging="796"/>
        <w:spacing w:after="0" w:line="266" w:lineRule="auto"/>
        <w:tabs>
          <w:tab w:leader="none" w:pos="780" w:val="left"/>
        </w:tabs>
        <w:rPr>
          <w:sz w:val="20"/>
          <w:szCs w:val="20"/>
          <w:color w:val="auto"/>
        </w:rPr>
      </w:pPr>
      <w:r>
        <w:rPr>
          <w:rFonts w:ascii="Arial" w:cs="Arial" w:eastAsia="Arial" w:hAnsi="Arial"/>
          <w:sz w:val="18"/>
          <w:szCs w:val="18"/>
          <w:b w:val="1"/>
          <w:bCs w:val="1"/>
          <w:color w:val="auto"/>
        </w:rPr>
        <w:t>11.4.5</w:t>
      </w:r>
      <w:r>
        <w:rPr>
          <w:sz w:val="20"/>
          <w:szCs w:val="20"/>
          <w:color w:val="auto"/>
        </w:rPr>
        <w:tab/>
      </w:r>
      <w:r>
        <w:rPr>
          <w:rFonts w:ascii="Arial" w:cs="Arial" w:eastAsia="Arial" w:hAnsi="Arial"/>
          <w:sz w:val="18"/>
          <w:szCs w:val="18"/>
          <w:b w:val="1"/>
          <w:bCs w:val="1"/>
          <w:color w:val="auto"/>
        </w:rPr>
        <w:t>Patent Term Restoration</w:t>
      </w:r>
      <w:r>
        <w:rPr>
          <w:rFonts w:ascii="Arial" w:cs="Arial" w:eastAsia="Arial" w:hAnsi="Arial"/>
          <w:sz w:val="18"/>
          <w:szCs w:val="18"/>
          <w:color w:val="auto"/>
        </w:rPr>
        <w:t>. The Parties shall cooperate with each other and use Diligent Efforts to obtain patent term restoration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protection certificates or their equivalents in any country in the Territory where applicable to ACI Patent Rights, Joint Patent Rights and Janssen Patent Rights.</w:t>
      </w:r>
    </w:p>
    <w:p>
      <w:pPr>
        <w:spacing w:after="0" w:line="3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11.4.6</w:t>
      </w:r>
      <w:r>
        <w:rPr>
          <w:sz w:val="20"/>
          <w:szCs w:val="20"/>
          <w:color w:val="auto"/>
        </w:rPr>
        <w:tab/>
      </w:r>
      <w:r>
        <w:rPr>
          <w:rFonts w:ascii="Arial" w:cs="Arial" w:eastAsia="Arial" w:hAnsi="Arial"/>
          <w:sz w:val="16"/>
          <w:szCs w:val="16"/>
          <w:b w:val="1"/>
          <w:bCs w:val="1"/>
          <w:color w:val="auto"/>
        </w:rPr>
        <w:t>Third Party Claims.</w:t>
      </w:r>
    </w:p>
    <w:p>
      <w:pPr>
        <w:spacing w:after="0" w:line="135" w:lineRule="exact"/>
        <w:rPr>
          <w:sz w:val="20"/>
          <w:szCs w:val="20"/>
          <w:color w:val="auto"/>
        </w:rPr>
      </w:pPr>
    </w:p>
    <w:p>
      <w:pPr>
        <w:ind w:left="1360" w:right="80" w:hanging="568"/>
        <w:spacing w:after="0" w:line="272" w:lineRule="auto"/>
        <w:tabs>
          <w:tab w:leader="none" w:pos="1360" w:val="left"/>
        </w:tabs>
        <w:numPr>
          <w:ilvl w:val="0"/>
          <w:numId w:val="395"/>
        </w:numPr>
        <w:rPr>
          <w:rFonts w:ascii="Arial" w:cs="Arial" w:eastAsia="Arial" w:hAnsi="Arial"/>
          <w:sz w:val="17"/>
          <w:szCs w:val="17"/>
          <w:b w:val="1"/>
          <w:bCs w:val="1"/>
          <w:color w:val="auto"/>
        </w:rPr>
      </w:pPr>
      <w:r>
        <w:rPr>
          <w:rFonts w:ascii="Arial" w:cs="Arial" w:eastAsia="Arial" w:hAnsi="Arial"/>
          <w:sz w:val="17"/>
          <w:szCs w:val="17"/>
          <w:color w:val="auto"/>
        </w:rPr>
        <w:t>Without prejudice to section 13.1.2, if any action, suit or proceeding is brought against Janssen or ACI or any Affiliate or sublicensee of either Party alleging the infringement of the intellectual property rights of a Third Party by reason of the discovery, development, manufacture, use, sale, importation or offer for sale of a Product in the Territory, each of the Parties shall have the right but not the obligation to defend itself in such action, suit or proceeding at its sole expense. The Parties shall cooperate with each other in any defense of any such suit, action or proceeding. The Parties shall give each other prompt written notice of the commencement of any such suit, action or proceeding, or receipt of any claim of infringement, and shall furnish each other a copy of each communication relating to the alleged infringement.</w:t>
      </w:r>
    </w:p>
    <w:p>
      <w:pPr>
        <w:spacing w:after="0" w:line="69" w:lineRule="exact"/>
        <w:rPr>
          <w:rFonts w:ascii="Arial" w:cs="Arial" w:eastAsia="Arial" w:hAnsi="Arial"/>
          <w:sz w:val="17"/>
          <w:szCs w:val="17"/>
          <w:b w:val="1"/>
          <w:bCs w:val="1"/>
          <w:color w:val="auto"/>
        </w:rPr>
      </w:pPr>
    </w:p>
    <w:p>
      <w:pPr>
        <w:jc w:val="both"/>
        <w:ind w:left="136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 xml:space="preserve">Neither Party shall compromise, litigate, settle or otherwise dispose of any such suit, action or proceeding without the other Party’s advice and prior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Party not having the right to defend the suit shall not unreasonably withhold its consent to any settlement which does not have a material adverse effect on its rights, obligations or benefits, either under this Agreement or otherwise. [*****].</w:t>
      </w:r>
    </w:p>
    <w:p>
      <w:pPr>
        <w:spacing w:after="0" w:line="92" w:lineRule="exact"/>
        <w:rPr>
          <w:rFonts w:ascii="Arial" w:cs="Arial" w:eastAsia="Arial" w:hAnsi="Arial"/>
          <w:sz w:val="17"/>
          <w:szCs w:val="17"/>
          <w:b w:val="1"/>
          <w:bCs w:val="1"/>
          <w:color w:val="auto"/>
        </w:rPr>
      </w:pPr>
    </w:p>
    <w:p>
      <w:pPr>
        <w:ind w:left="1360" w:right="140" w:hanging="568"/>
        <w:spacing w:after="0" w:line="342" w:lineRule="auto"/>
        <w:tabs>
          <w:tab w:leader="none" w:pos="1360" w:val="left"/>
        </w:tabs>
        <w:numPr>
          <w:ilvl w:val="0"/>
          <w:numId w:val="395"/>
        </w:numPr>
        <w:rPr>
          <w:rFonts w:ascii="Arial" w:cs="Arial" w:eastAsia="Arial" w:hAnsi="Arial"/>
          <w:sz w:val="16"/>
          <w:szCs w:val="16"/>
          <w:b w:val="1"/>
          <w:bCs w:val="1"/>
          <w:color w:val="auto"/>
        </w:rPr>
      </w:pPr>
      <w:r>
        <w:rPr>
          <w:rFonts w:ascii="Arial" w:cs="Arial" w:eastAsia="Arial" w:hAnsi="Arial"/>
          <w:sz w:val="16"/>
          <w:szCs w:val="16"/>
          <w:color w:val="auto"/>
        </w:rPr>
        <w:t>The Party first having actual notice of any claim, action or proceeding referenced in section 11.4.6(a) above shall promptly notify the other Party in writing, setting forth in reasonable detail, to its knowledge, the facts related to any such claim, action or</w:t>
      </w:r>
    </w:p>
    <w:p>
      <w:pPr>
        <w:spacing w:after="0" w:line="5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20"/>
          </w:cols>
          <w:pgMar w:left="820" w:top="270" w:right="259" w:bottom="1440" w:gutter="0" w:footer="0" w:header="0"/>
        </w:sectPr>
      </w:pPr>
    </w:p>
    <w:bookmarkStart w:id="530" w:name="page531"/>
    <w:bookmarkEnd w:id="5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proceeding. The Parties shall promptly discuss proposed responses to any such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TERM AND TERMINATION</w:t>
      </w:r>
    </w:p>
    <w:p>
      <w:pPr>
        <w:spacing w:after="0" w:line="11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12.1 Term and Expiration</w:t>
      </w:r>
      <w:r>
        <w:rPr>
          <w:rFonts w:ascii="Arial" w:cs="Arial" w:eastAsia="Arial" w:hAnsi="Arial"/>
          <w:sz w:val="18"/>
          <w:szCs w:val="18"/>
          <w:color w:val="auto"/>
        </w:rPr>
        <w:t>. This Agreement is effective as of the Effective Date and unless terminated earlier pursuant to sections 12.2, 12.3 or 12.6,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effect until expiration of all royalty obligations under Article 9 (the “Term”).</w:t>
      </w:r>
    </w:p>
    <w:p>
      <w:pPr>
        <w:spacing w:after="0" w:line="3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Termination by Janssen Without Cause.</w:t>
      </w:r>
    </w:p>
    <w:p>
      <w:pPr>
        <w:spacing w:after="0" w:line="131" w:lineRule="exact"/>
        <w:rPr>
          <w:sz w:val="20"/>
          <w:szCs w:val="20"/>
          <w:color w:val="auto"/>
        </w:rPr>
      </w:pPr>
    </w:p>
    <w:p>
      <w:pPr>
        <w:jc w:val="both"/>
        <w:ind w:left="1380" w:right="220" w:hanging="796"/>
        <w:spacing w:after="0" w:line="264" w:lineRule="auto"/>
        <w:tabs>
          <w:tab w:leader="none" w:pos="1360" w:val="left"/>
        </w:tabs>
        <w:rPr>
          <w:sz w:val="20"/>
          <w:szCs w:val="20"/>
          <w:color w:val="auto"/>
        </w:rPr>
      </w:pPr>
      <w:r>
        <w:rPr>
          <w:rFonts w:ascii="Arial" w:cs="Arial" w:eastAsia="Arial" w:hAnsi="Arial"/>
          <w:sz w:val="18"/>
          <w:szCs w:val="18"/>
          <w:b w:val="1"/>
          <w:bCs w:val="1"/>
          <w:color w:val="auto"/>
        </w:rPr>
        <w:t>12.2.1</w:t>
      </w:r>
      <w:r>
        <w:rPr>
          <w:sz w:val="20"/>
          <w:szCs w:val="20"/>
          <w:color w:val="auto"/>
        </w:rPr>
        <w:tab/>
      </w:r>
      <w:r>
        <w:rPr>
          <w:rFonts w:ascii="Arial" w:cs="Arial" w:eastAsia="Arial" w:hAnsi="Arial"/>
          <w:sz w:val="18"/>
          <w:szCs w:val="18"/>
          <w:color w:val="auto"/>
        </w:rPr>
        <w:t>Janssen has the right to terminate this Agreement in its entirety at any time after Completion of the phase 1b Clinical Trial and in its sole discretion on a Product-by-Product and country-by-country basis upon [*****] days advance written notice to ACI, except that Janssen will wind down any on-going Clinical Trial consistent with applicable law;</w:t>
      </w:r>
    </w:p>
    <w:p>
      <w:pPr>
        <w:spacing w:after="0" w:line="87" w:lineRule="exact"/>
        <w:rPr>
          <w:sz w:val="20"/>
          <w:szCs w:val="20"/>
          <w:color w:val="auto"/>
        </w:rPr>
      </w:pPr>
    </w:p>
    <w:p>
      <w:pPr>
        <w:ind w:left="1380" w:right="220" w:hanging="796"/>
        <w:spacing w:after="0" w:line="279" w:lineRule="auto"/>
        <w:tabs>
          <w:tab w:leader="none" w:pos="1360" w:val="left"/>
        </w:tabs>
        <w:rPr>
          <w:sz w:val="20"/>
          <w:szCs w:val="20"/>
          <w:color w:val="auto"/>
        </w:rPr>
      </w:pPr>
      <w:r>
        <w:rPr>
          <w:rFonts w:ascii="Arial" w:cs="Arial" w:eastAsia="Arial" w:hAnsi="Arial"/>
          <w:sz w:val="18"/>
          <w:szCs w:val="18"/>
          <w:b w:val="1"/>
          <w:bCs w:val="1"/>
          <w:color w:val="auto"/>
        </w:rPr>
        <w:t>12.2.2</w:t>
      </w:r>
      <w:r>
        <w:rPr>
          <w:sz w:val="20"/>
          <w:szCs w:val="20"/>
          <w:color w:val="auto"/>
        </w:rPr>
        <w:tab/>
      </w:r>
      <w:r>
        <w:rPr>
          <w:rFonts w:ascii="Arial" w:cs="Arial" w:eastAsia="Arial" w:hAnsi="Arial"/>
          <w:sz w:val="17"/>
          <w:szCs w:val="17"/>
          <w:color w:val="auto"/>
        </w:rPr>
        <w:t>Janssen has the right to terminate this Agreement immediately in its sole discretion upon written notice to ACI if a Valid Safety Issue exists. The notice will provide sufficient information for ACI to confirm the existence of the Valid Safety Issue. A “</w:t>
      </w:r>
      <w:r>
        <w:rPr>
          <w:rFonts w:ascii="Arial" w:cs="Arial" w:eastAsia="Arial" w:hAnsi="Arial"/>
          <w:sz w:val="17"/>
          <w:szCs w:val="17"/>
          <w:b w:val="1"/>
          <w:bCs w:val="1"/>
          <w:color w:val="auto"/>
        </w:rPr>
        <w:t>Valid Safety Issue</w:t>
      </w:r>
      <w:r>
        <w:rPr>
          <w:rFonts w:ascii="Arial" w:cs="Arial" w:eastAsia="Arial" w:hAnsi="Arial"/>
          <w:sz w:val="17"/>
          <w:szCs w:val="17"/>
          <w:color w:val="auto"/>
        </w:rPr>
        <w:t>” means the ceasing of Development activities or withdrawal from any market as a result of reasonable concerns that the Product is unsafe for administration to humans. During the period of notice until the effective date of termination,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Termination for Cause</w:t>
      </w:r>
      <w:r>
        <w:rPr>
          <w:rFonts w:ascii="Arial" w:cs="Arial" w:eastAsia="Arial" w:hAnsi="Arial"/>
          <w:sz w:val="18"/>
          <w:szCs w:val="18"/>
          <w:color w:val="auto"/>
        </w:rPr>
        <w:t>. This Agreement may be terminated at any time during the term of this Agreement:</w:t>
      </w:r>
    </w:p>
    <w:p>
      <w:pPr>
        <w:spacing w:after="0" w:line="131" w:lineRule="exact"/>
        <w:rPr>
          <w:sz w:val="20"/>
          <w:szCs w:val="20"/>
          <w:color w:val="auto"/>
        </w:rPr>
      </w:pPr>
    </w:p>
    <w:p>
      <w:pPr>
        <w:jc w:val="both"/>
        <w:ind w:left="1380" w:right="120" w:hanging="796"/>
        <w:spacing w:after="0" w:line="289" w:lineRule="auto"/>
        <w:tabs>
          <w:tab w:leader="none" w:pos="1360" w:val="left"/>
        </w:tabs>
        <w:rPr>
          <w:sz w:val="20"/>
          <w:szCs w:val="20"/>
          <w:color w:val="auto"/>
        </w:rPr>
      </w:pPr>
      <w:r>
        <w:rPr>
          <w:rFonts w:ascii="Arial" w:cs="Arial" w:eastAsia="Arial" w:hAnsi="Arial"/>
          <w:sz w:val="18"/>
          <w:szCs w:val="18"/>
          <w:b w:val="1"/>
          <w:bCs w:val="1"/>
          <w:color w:val="auto"/>
        </w:rPr>
        <w:t>12.3.1</w:t>
      </w:r>
      <w:r>
        <w:rPr>
          <w:sz w:val="20"/>
          <w:szCs w:val="20"/>
          <w:color w:val="auto"/>
        </w:rPr>
        <w:tab/>
      </w:r>
      <w:r>
        <w:rPr>
          <w:rFonts w:ascii="Arial" w:cs="Arial" w:eastAsia="Arial" w:hAnsi="Arial"/>
          <w:sz w:val="16"/>
          <w:szCs w:val="16"/>
          <w:color w:val="auto"/>
        </w:rPr>
        <w:t xml:space="preserve">upon written notice by either Party if the other Party is in material breach of its obligations hereunder and has not cured such breach after notice from the terminating Party requesting cure of the breach as specified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event of a good faith dispute with respect to the existence of a material breach, the cure period is tolled until such time as the dispute is resolved pursuant to section</w:t>
      </w:r>
    </w:p>
    <w:p>
      <w:pPr>
        <w:spacing w:after="0" w:line="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13.7;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terminating Party has given the defaulting Party the following opportunities to remedy any breach:</w:t>
      </w:r>
    </w:p>
    <w:p>
      <w:pPr>
        <w:spacing w:after="0" w:line="116" w:lineRule="exact"/>
        <w:rPr>
          <w:sz w:val="20"/>
          <w:szCs w:val="20"/>
          <w:color w:val="auto"/>
        </w:rPr>
      </w:pPr>
    </w:p>
    <w:p>
      <w:pPr>
        <w:ind w:left="1940" w:right="500" w:hanging="568"/>
        <w:spacing w:after="0" w:line="342" w:lineRule="auto"/>
        <w:tabs>
          <w:tab w:leader="none" w:pos="1940" w:val="left"/>
        </w:tabs>
        <w:numPr>
          <w:ilvl w:val="0"/>
          <w:numId w:val="396"/>
        </w:numPr>
        <w:rPr>
          <w:rFonts w:ascii="Arial" w:cs="Arial" w:eastAsia="Arial" w:hAnsi="Arial"/>
          <w:sz w:val="16"/>
          <w:szCs w:val="16"/>
          <w:b w:val="1"/>
          <w:bCs w:val="1"/>
          <w:color w:val="auto"/>
        </w:rPr>
      </w:pPr>
      <w:r>
        <w:rPr>
          <w:rFonts w:ascii="Arial" w:cs="Arial" w:eastAsia="Arial" w:hAnsi="Arial"/>
          <w:sz w:val="16"/>
          <w:szCs w:val="16"/>
          <w:color w:val="auto"/>
        </w:rPr>
        <w:t>the written notice of breach referenced will detail the specific obligation under this Agreement which is alleged to have been breached; the manner of such alleged breach; and the steps which must be taken in order to remedy such breach; and</w:t>
      </w:r>
    </w:p>
    <w:p>
      <w:pPr>
        <w:spacing w:after="0" w:line="29" w:lineRule="exact"/>
        <w:rPr>
          <w:rFonts w:ascii="Arial" w:cs="Arial" w:eastAsia="Arial" w:hAnsi="Arial"/>
          <w:sz w:val="16"/>
          <w:szCs w:val="16"/>
          <w:b w:val="1"/>
          <w:bCs w:val="1"/>
          <w:color w:val="auto"/>
        </w:rPr>
      </w:pPr>
    </w:p>
    <w:p>
      <w:pPr>
        <w:ind w:left="1940" w:hanging="568"/>
        <w:spacing w:after="0" w:line="257" w:lineRule="auto"/>
        <w:tabs>
          <w:tab w:leader="none" w:pos="1940"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the terminating Party has provided the defaulting Party with a reasonable amount of time (but no more than [*****]) in which (i) to complete any steps which might be taken to remedy the breach, as stated in the notification of breach, or (ii) if completion of those steps is not possible within a [*****] period, to commence those steps required as stated in the ·notification of breach, on the condition that the defaulting Party continues to perform those steps with due diligence and the breach can be cured within a mutually agreeable period of time.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531" w:name="page532"/>
    <w:bookmarkEnd w:id="5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12.4 Effect on License of Termination by Janssen for Breach by ACI</w:t>
      </w:r>
      <w:r>
        <w:rPr>
          <w:rFonts w:ascii="Arial" w:cs="Arial" w:eastAsia="Arial" w:hAnsi="Arial"/>
          <w:sz w:val="17"/>
          <w:szCs w:val="17"/>
          <w:color w:val="auto"/>
        </w:rPr>
        <w:t>. If Janssen terminates this agreement under section 12.3.1, then Janssen’s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Article 7 become perpetual, exclusive licenses subject to the financial provisions of Article 9 and obligations under Article 11. In addition, Janssen’s obligation to use Diligent Efforts under Section 2.1 shall remain in effect until expiration of Janssen’s obligation to pay royalties under section 9.3. Janssen will retain any rights to seek remedies for damages it may have under the laws of Switzerland.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12.5 Effect of Termination by ACI For Breach by Janssen or by Janssen Without Cause</w:t>
      </w:r>
      <w:r>
        <w:rPr>
          <w:rFonts w:ascii="Arial" w:cs="Arial" w:eastAsia="Arial" w:hAnsi="Arial"/>
          <w:sz w:val="17"/>
          <w:szCs w:val="17"/>
          <w:color w:val="auto"/>
        </w:rPr>
        <w:t>. If ACI terminates this Agreement under section 12.3.1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Janssen terminates this Agreement under section 12.2.1:</w:t>
      </w:r>
    </w:p>
    <w:p>
      <w:pPr>
        <w:spacing w:after="0" w:line="112" w:lineRule="exact"/>
        <w:rPr>
          <w:sz w:val="20"/>
          <w:szCs w:val="20"/>
          <w:color w:val="auto"/>
        </w:rPr>
      </w:pPr>
    </w:p>
    <w:p>
      <w:pPr>
        <w:ind w:left="1380" w:right="60" w:hanging="796"/>
        <w:spacing w:after="0" w:line="292" w:lineRule="auto"/>
        <w:tabs>
          <w:tab w:leader="none" w:pos="1360" w:val="left"/>
        </w:tabs>
        <w:rPr>
          <w:sz w:val="20"/>
          <w:szCs w:val="20"/>
          <w:color w:val="auto"/>
        </w:rPr>
      </w:pPr>
      <w:r>
        <w:rPr>
          <w:rFonts w:ascii="Arial" w:cs="Arial" w:eastAsia="Arial" w:hAnsi="Arial"/>
          <w:sz w:val="18"/>
          <w:szCs w:val="18"/>
          <w:b w:val="1"/>
          <w:bCs w:val="1"/>
          <w:color w:val="auto"/>
        </w:rPr>
        <w:t>12.5.1</w:t>
      </w:r>
      <w:r>
        <w:rPr>
          <w:sz w:val="20"/>
          <w:szCs w:val="20"/>
          <w:color w:val="auto"/>
        </w:rPr>
        <w:tab/>
      </w:r>
      <w:r>
        <w:rPr>
          <w:rFonts w:ascii="Arial" w:cs="Arial" w:eastAsia="Arial" w:hAnsi="Arial"/>
          <w:sz w:val="16"/>
          <w:szCs w:val="16"/>
          <w:b w:val="1"/>
          <w:bCs w:val="1"/>
          <w:color w:val="auto"/>
        </w:rPr>
        <w:t>Termination of License to Janssen</w:t>
      </w:r>
      <w:r>
        <w:rPr>
          <w:rFonts w:ascii="Arial" w:cs="Arial" w:eastAsia="Arial" w:hAnsi="Arial"/>
          <w:sz w:val="16"/>
          <w:szCs w:val="16"/>
          <w:color w:val="auto"/>
        </w:rPr>
        <w:t>. The licenses granted to Janssen terminate as of the Agreement termination date in their entirety or on</w:t>
      </w:r>
      <w:r>
        <w:rPr>
          <w:rFonts w:ascii="Arial" w:cs="Arial" w:eastAsia="Arial" w:hAnsi="Arial"/>
          <w:sz w:val="16"/>
          <w:szCs w:val="16"/>
          <w:b w:val="1"/>
          <w:bCs w:val="1"/>
          <w:color w:val="auto"/>
        </w:rPr>
        <w:t xml:space="preserve"> </w:t>
      </w:r>
      <w:r>
        <w:rPr>
          <w:rFonts w:ascii="Arial" w:cs="Arial" w:eastAsia="Arial" w:hAnsi="Arial"/>
          <w:sz w:val="16"/>
          <w:szCs w:val="16"/>
          <w:color w:val="auto"/>
        </w:rPr>
        <w:t>a country-by-country and Product-by-Product basis. If Janssen terminates this Agreement in one or more countries, but does not terminate the Agreement in its entirety, then at ACI’s request, the Parties will consider other reasonable means to bring the Product to market in such country but in any case, without negatively affecting the economic, technical, and clinical value of the Product in the other countries in which rights have not been terminated. ACI will retain any rights to seek remedies for damages it may have under the laws of Switzerland. In the case of a termination in its entirety, Janssen shall, within [*****] after such termination, return or cause to be returned to ACI all ACI Confidential Information in tangible form except that Janssen may retain one copy in its confidential files solely for records purposes.</w:t>
      </w:r>
    </w:p>
    <w:p>
      <w:pPr>
        <w:spacing w:after="0" w:line="67" w:lineRule="exact"/>
        <w:rPr>
          <w:sz w:val="20"/>
          <w:szCs w:val="20"/>
          <w:color w:val="auto"/>
        </w:rPr>
      </w:pPr>
    </w:p>
    <w:p>
      <w:pPr>
        <w:ind w:left="1380" w:right="20" w:hanging="796"/>
        <w:spacing w:after="0" w:line="285" w:lineRule="auto"/>
        <w:tabs>
          <w:tab w:leader="none" w:pos="1360" w:val="left"/>
        </w:tabs>
        <w:rPr>
          <w:sz w:val="20"/>
          <w:szCs w:val="20"/>
          <w:color w:val="auto"/>
        </w:rPr>
      </w:pPr>
      <w:r>
        <w:rPr>
          <w:rFonts w:ascii="Arial" w:cs="Arial" w:eastAsia="Arial" w:hAnsi="Arial"/>
          <w:sz w:val="18"/>
          <w:szCs w:val="18"/>
          <w:b w:val="1"/>
          <w:bCs w:val="1"/>
          <w:color w:val="auto"/>
        </w:rPr>
        <w:t>12.5.2</w:t>
      </w:r>
      <w:r>
        <w:rPr>
          <w:sz w:val="20"/>
          <w:szCs w:val="20"/>
          <w:color w:val="auto"/>
        </w:rPr>
        <w:tab/>
      </w:r>
      <w:r>
        <w:rPr>
          <w:rFonts w:ascii="Arial" w:cs="Arial" w:eastAsia="Arial" w:hAnsi="Arial"/>
          <w:sz w:val="16"/>
          <w:szCs w:val="16"/>
          <w:b w:val="1"/>
          <w:bCs w:val="1"/>
          <w:color w:val="auto"/>
        </w:rPr>
        <w:t>Regulatory</w:t>
      </w:r>
      <w:r>
        <w:rPr>
          <w:rFonts w:ascii="Arial" w:cs="Arial" w:eastAsia="Arial" w:hAnsi="Arial"/>
          <w:sz w:val="16"/>
          <w:szCs w:val="16"/>
          <w:color w:val="auto"/>
        </w:rPr>
        <w:t>. In the case of a termination in its entirety by ACI under Section 12.3.1 or Janssen under section 12.2.1, Janssen shall and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does assign and transfer to ACI all Regulatory Filings and Regulatory Approvals for the ACI or Joint Product together with all final pre-clinical and clinical study reports and clinical study protocols, and all data, including clinical data, materials and information in Janssen’s possession and control related to ACI or Joint Product(s) in the applicable country as necessary for ACI to continue to develop and commercialize the ACI or Joint Product(s) in such country, and (b) at ACI’s request, Janssen shall and hereby does assign to ACI all clinical trial agreements regarding the ACI or Joint Product in the applicable country to the extent such agreements have not been cancelled and to the extent Janssen is able to do so. ACI shall, upon transfer, have the right to disclose such filings, approvals and data to</w:t>
      </w:r>
    </w:p>
    <w:p>
      <w:pPr>
        <w:spacing w:after="0" w:line="2" w:lineRule="exact"/>
        <w:rPr>
          <w:sz w:val="20"/>
          <w:szCs w:val="20"/>
          <w:color w:val="auto"/>
        </w:rPr>
      </w:pPr>
    </w:p>
    <w:p>
      <w:pPr>
        <w:ind w:left="1380" w:hanging="8"/>
        <w:spacing w:after="0" w:line="253" w:lineRule="auto"/>
        <w:tabs>
          <w:tab w:leader="none" w:pos="159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governmental agencies of the country to the extent required or desirable to secure government approval for the development, manufacturing or sale of ACI or Joint Product(s) in the country, (ii) Third Parties acting on behalf of ACI, its Affiliates or licensees, to the extent reasonably necessary for the development, manufacture or sale of ACI or Joint Product(s) in the country and (iii) Third Parties to the extent reasonably necessary to market ACI or Joint Product(s) in the country. All documents shall be transferred in the form and format in which such materials are maintained by Janssen.</w:t>
      </w:r>
    </w:p>
    <w:p>
      <w:pPr>
        <w:spacing w:after="0" w:line="93" w:lineRule="exact"/>
        <w:rPr>
          <w:sz w:val="20"/>
          <w:szCs w:val="20"/>
          <w:color w:val="auto"/>
        </w:rPr>
      </w:pPr>
    </w:p>
    <w:p>
      <w:pPr>
        <w:ind w:left="1380" w:right="100" w:hanging="796"/>
        <w:spacing w:after="0" w:line="256" w:lineRule="auto"/>
        <w:tabs>
          <w:tab w:leader="none" w:pos="1360" w:val="left"/>
        </w:tabs>
        <w:rPr>
          <w:sz w:val="20"/>
          <w:szCs w:val="20"/>
          <w:color w:val="auto"/>
        </w:rPr>
      </w:pPr>
      <w:r>
        <w:rPr>
          <w:rFonts w:ascii="Arial" w:cs="Arial" w:eastAsia="Arial" w:hAnsi="Arial"/>
          <w:sz w:val="18"/>
          <w:szCs w:val="18"/>
          <w:b w:val="1"/>
          <w:bCs w:val="1"/>
          <w:color w:val="auto"/>
        </w:rPr>
        <w:t>12.5.3</w:t>
      </w:r>
      <w:r>
        <w:rPr>
          <w:sz w:val="20"/>
          <w:szCs w:val="20"/>
          <w:color w:val="auto"/>
        </w:rPr>
        <w:tab/>
      </w:r>
      <w:r>
        <w:rPr>
          <w:rFonts w:ascii="Arial" w:cs="Arial" w:eastAsia="Arial" w:hAnsi="Arial"/>
          <w:sz w:val="18"/>
          <w:szCs w:val="18"/>
          <w:b w:val="1"/>
          <w:bCs w:val="1"/>
          <w:color w:val="auto"/>
        </w:rPr>
        <w:t>Non-exclusive License to ACI</w:t>
      </w:r>
      <w:r>
        <w:rPr>
          <w:rFonts w:ascii="Arial" w:cs="Arial" w:eastAsia="Arial" w:hAnsi="Arial"/>
          <w:sz w:val="18"/>
          <w:szCs w:val="18"/>
          <w:color w:val="auto"/>
        </w:rPr>
        <w:t>. In the case of a termination in its entirety by ACI under Section 12.3.1 or Janssen under this section 12.5,</w:t>
      </w:r>
      <w:r>
        <w:rPr>
          <w:rFonts w:ascii="Arial" w:cs="Arial" w:eastAsia="Arial" w:hAnsi="Arial"/>
          <w:sz w:val="18"/>
          <w:szCs w:val="18"/>
          <w:b w:val="1"/>
          <w:bCs w:val="1"/>
          <w:color w:val="auto"/>
        </w:rPr>
        <w:t xml:space="preserve"> </w:t>
      </w:r>
      <w:r>
        <w:rPr>
          <w:rFonts w:ascii="Arial" w:cs="Arial" w:eastAsia="Arial" w:hAnsi="Arial"/>
          <w:sz w:val="18"/>
          <w:szCs w:val="18"/>
          <w:color w:val="auto"/>
        </w:rPr>
        <w:t>Janssen shall grant and hereby grants to ACI a non-exclusive, worldwide, fully-paid up, royalty-free, perpetual, irrevocable license under Janssen Patent Rights and Janssen Know-How, to the extent necessary to Develop, Manufacture and Commercialize ACI or Joint Product(s) as of the effective date of termination. Janssen shall provide ACI reasonable access to information, technical assistance and analytical know-how necessary for ACI to apply the licensed technology for a period of [*****] months following the effective date of termination.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0" w:right="239" w:bottom="1440" w:gutter="0" w:footer="0" w:header="0"/>
        </w:sectPr>
      </w:pPr>
    </w:p>
    <w:bookmarkStart w:id="532" w:name="page533"/>
    <w:bookmarkEnd w:id="5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1380" w:right="40" w:hanging="796"/>
        <w:spacing w:after="0" w:line="266" w:lineRule="auto"/>
        <w:tabs>
          <w:tab w:leader="none" w:pos="1360" w:val="left"/>
        </w:tabs>
        <w:rPr>
          <w:sz w:val="20"/>
          <w:szCs w:val="20"/>
          <w:color w:val="auto"/>
        </w:rPr>
      </w:pPr>
      <w:r>
        <w:rPr>
          <w:rFonts w:ascii="Arial" w:cs="Arial" w:eastAsia="Arial" w:hAnsi="Arial"/>
          <w:sz w:val="18"/>
          <w:szCs w:val="18"/>
          <w:b w:val="1"/>
          <w:bCs w:val="1"/>
          <w:color w:val="auto"/>
        </w:rPr>
        <w:t>12.5.5</w:t>
      </w:r>
      <w:r>
        <w:rPr>
          <w:sz w:val="20"/>
          <w:szCs w:val="20"/>
          <w:color w:val="auto"/>
        </w:rPr>
        <w:tab/>
      </w:r>
      <w:r>
        <w:rPr>
          <w:rFonts w:ascii="Arial" w:cs="Arial" w:eastAsia="Arial" w:hAnsi="Arial"/>
          <w:sz w:val="18"/>
          <w:szCs w:val="18"/>
          <w:b w:val="1"/>
          <w:bCs w:val="1"/>
          <w:color w:val="auto"/>
        </w:rPr>
        <w:t>Supply to ACI</w:t>
      </w:r>
      <w:r>
        <w:rPr>
          <w:rFonts w:ascii="Arial" w:cs="Arial" w:eastAsia="Arial" w:hAnsi="Arial"/>
          <w:sz w:val="18"/>
          <w:szCs w:val="18"/>
          <w:color w:val="auto"/>
        </w:rPr>
        <w:t>. ACI will be solely responsible for, and shall use commercially reasonable efforts to obtain an approved alternate source of</w:t>
      </w:r>
      <w:r>
        <w:rPr>
          <w:rFonts w:ascii="Arial" w:cs="Arial" w:eastAsia="Arial" w:hAnsi="Arial"/>
          <w:sz w:val="18"/>
          <w:szCs w:val="18"/>
          <w:b w:val="1"/>
          <w:bCs w:val="1"/>
          <w:color w:val="auto"/>
        </w:rPr>
        <w:t xml:space="preserve"> </w:t>
      </w:r>
      <w:r>
        <w:rPr>
          <w:rFonts w:ascii="Arial" w:cs="Arial" w:eastAsia="Arial" w:hAnsi="Arial"/>
          <w:sz w:val="18"/>
          <w:szCs w:val="18"/>
          <w:color w:val="auto"/>
        </w:rPr>
        <w:t>supply for clinical and commercial supplies, of ACI or Joint Products as soon as reasonably practicable as required by Regulatory Authorities.</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12.6 HSR Filing; Termination Upon HSR Denial</w:t>
      </w:r>
      <w:r>
        <w:rPr>
          <w:rFonts w:ascii="Arial" w:cs="Arial" w:eastAsia="Arial" w:hAnsi="Arial"/>
          <w:sz w:val="16"/>
          <w:szCs w:val="16"/>
          <w:color w:val="auto"/>
        </w:rPr>
        <w:t>. If Janssen and ACI determine that an HSR filing is necessary, each of ACI and Janssen shall, within</w:t>
      </w:r>
      <w:r>
        <w:rPr>
          <w:rFonts w:ascii="Arial" w:cs="Arial" w:eastAsia="Arial" w:hAnsi="Arial"/>
          <w:sz w:val="16"/>
          <w:szCs w:val="16"/>
          <w:b w:val="1"/>
          <w:bCs w:val="1"/>
          <w:color w:val="auto"/>
        </w:rPr>
        <w:t xml:space="preserve"> </w:t>
      </w:r>
      <w:r>
        <w:rPr>
          <w:rFonts w:ascii="Arial" w:cs="Arial" w:eastAsia="Arial" w:hAnsi="Arial"/>
          <w:sz w:val="16"/>
          <w:szCs w:val="16"/>
          <w:color w:val="auto"/>
        </w:rPr>
        <w:t>[*****] days of the Effective Date (or such later time as may be agreed to in writing by the Parties), file with the United States Federal Trade Commission and the Antitrust Division of the United States Department of Justice, or with equivalent foreign authorities, any HSR Filing required of it under the HSR Act in the reasonable opinion of either Party. Each of ACI and Janssen shall use Diligent Efforts to do, or cause to be done, all things necessary, proper and advisable to, as promptly as practicable, take all actions necessary to make the filings required of ACI and Janssen or their respective Affiliates under the HSR Act. The Parties shall cooperate with one another to the extent necessary in the preparation of any such HSR Filing. [*****]. If the Parties make an HSR Filing, then this Agreement shall terminate (a) at the election of either Party, immediately upon notice to the other Party, if the U.S. Federal Trade Commission or the U.S. Department of Justice, or an equivalent authority in the European Union, seeks a preliminary injunction under the Antitrust Laws against ACI and Janssen to enjoin the transactions contemplated by this Agreement; (b) at the election of either Party, immediately upon notice to the other Party, in the event that the United States Federal Trade Commission or the United States Department of Justice, or an equivalent authority in the European Union, obtains a preliminary injunction under the Antitrust Laws against ACI and Janssen to enjoin the transactions contemplated by this Agreement; or (c) at the election of either Party, immediately upon notice to the other Party, in the event that the HSR Clearance Date has not occurred on or prior to [*****] after the effective date of the HSR Filing. In the event that ACI exercises it right of termination under this section, then [*****].</w:t>
      </w:r>
    </w:p>
    <w:p>
      <w:pPr>
        <w:spacing w:after="0" w:line="16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12.7 Survival</w:t>
      </w:r>
      <w:r>
        <w:rPr>
          <w:rFonts w:ascii="Arial" w:cs="Arial" w:eastAsia="Arial" w:hAnsi="Arial"/>
          <w:sz w:val="18"/>
          <w:szCs w:val="18"/>
          <w:color w:val="auto"/>
        </w:rPr>
        <w:t>. The provisions of Sections 10.1.1, 10.1.2, 10.2.1, 13.1, 13.6, 13.7, and Article 8 indefinitely survive any expiration or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MISCELLANEOUS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131" w:lineRule="exact"/>
        <w:rPr>
          <w:sz w:val="20"/>
          <w:szCs w:val="20"/>
          <w:color w:val="auto"/>
        </w:rPr>
      </w:pPr>
    </w:p>
    <w:p>
      <w:pPr>
        <w:ind w:left="1380" w:hanging="796"/>
        <w:spacing w:after="0" w:line="276" w:lineRule="auto"/>
        <w:tabs>
          <w:tab w:leader="none" w:pos="1360" w:val="left"/>
        </w:tabs>
        <w:rPr>
          <w:sz w:val="20"/>
          <w:szCs w:val="20"/>
          <w:color w:val="auto"/>
        </w:rPr>
      </w:pPr>
      <w:r>
        <w:rPr>
          <w:rFonts w:ascii="Arial" w:cs="Arial" w:eastAsia="Arial" w:hAnsi="Arial"/>
          <w:sz w:val="18"/>
          <w:szCs w:val="18"/>
          <w:b w:val="1"/>
          <w:bCs w:val="1"/>
          <w:color w:val="auto"/>
        </w:rPr>
        <w:t>13.1.1</w:t>
      </w:r>
      <w:r>
        <w:rPr>
          <w:sz w:val="20"/>
          <w:szCs w:val="20"/>
          <w:color w:val="auto"/>
        </w:rPr>
        <w:tab/>
      </w:r>
      <w:r>
        <w:rPr>
          <w:rFonts w:ascii="Arial" w:cs="Arial" w:eastAsia="Arial" w:hAnsi="Arial"/>
          <w:sz w:val="17"/>
          <w:szCs w:val="17"/>
          <w:color w:val="auto"/>
        </w:rPr>
        <w:t>ACI shall indemnify Janssen and its Affiliates, and their respective directors, officers, employees and agents, against any claims of damages (except to the extent arising from any claims of intellectual property infringement), bodily injury, death, or property damage made by a Third Party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to the extent arising from: (a) the negligence or willful misconduct of ACI under this Agreement; or (b) the material breach by ACI of any warranty, representation or obligation of ACI under this Agreement. This indemnification does not apply to the extent an act or failure to act is due to the negligence or willful misconduct of Janssen.</w:t>
      </w:r>
    </w:p>
    <w:p>
      <w:pPr>
        <w:spacing w:after="0" w:line="78" w:lineRule="exact"/>
        <w:rPr>
          <w:sz w:val="20"/>
          <w:szCs w:val="20"/>
          <w:color w:val="auto"/>
        </w:rPr>
      </w:pPr>
    </w:p>
    <w:p>
      <w:pPr>
        <w:ind w:left="1380" w:right="180" w:hanging="796"/>
        <w:spacing w:after="0" w:line="259" w:lineRule="auto"/>
        <w:tabs>
          <w:tab w:leader="none" w:pos="1360" w:val="left"/>
        </w:tabs>
        <w:rPr>
          <w:sz w:val="20"/>
          <w:szCs w:val="20"/>
          <w:color w:val="auto"/>
        </w:rPr>
      </w:pPr>
      <w:r>
        <w:rPr>
          <w:rFonts w:ascii="Arial" w:cs="Arial" w:eastAsia="Arial" w:hAnsi="Arial"/>
          <w:sz w:val="18"/>
          <w:szCs w:val="18"/>
          <w:b w:val="1"/>
          <w:bCs w:val="1"/>
          <w:color w:val="auto"/>
        </w:rPr>
        <w:t>13.1.2</w:t>
      </w:r>
      <w:r>
        <w:rPr>
          <w:sz w:val="20"/>
          <w:szCs w:val="20"/>
          <w:color w:val="auto"/>
        </w:rPr>
        <w:tab/>
      </w:r>
      <w:r>
        <w:rPr>
          <w:rFonts w:ascii="Arial" w:cs="Arial" w:eastAsia="Arial" w:hAnsi="Arial"/>
          <w:sz w:val="18"/>
          <w:szCs w:val="18"/>
          <w:color w:val="auto"/>
        </w:rPr>
        <w:t>Janssen shall indemnify ACI and its Affiliates, and their respective directors, officers, employees and agents, against any Third Party Claim to the extent arising from (a) the negligence or willful misconduct of Janssen or its Related Parties under this Agreement; (b) the material breach by Janssen or its Related Parties of any warranty, representation or obligation of Janssen under this Agreement; or (c) the Development, Manufacture,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9" w:right="239" w:bottom="1440" w:gutter="0" w:footer="0" w:header="0"/>
        </w:sectPr>
      </w:pPr>
    </w:p>
    <w:bookmarkStart w:id="533" w:name="page534"/>
    <w:bookmarkEnd w:id="5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1380" w:right="20"/>
        <w:spacing w:after="0" w:line="277" w:lineRule="auto"/>
        <w:rPr>
          <w:sz w:val="20"/>
          <w:szCs w:val="20"/>
          <w:color w:val="auto"/>
        </w:rPr>
      </w:pPr>
      <w:r>
        <w:rPr>
          <w:rFonts w:ascii="Arial" w:cs="Arial" w:eastAsia="Arial" w:hAnsi="Arial"/>
          <w:sz w:val="18"/>
          <w:szCs w:val="18"/>
          <w:color w:val="auto"/>
        </w:rPr>
        <w:t>Commercialization or use by Janssen or its or its Related Parties under this Agreement of any Product. This indemnification does not apply to the extent an act or failure to act is due to the negligence or willful misconduct of ACI.</w:t>
      </w:r>
    </w:p>
    <w:p>
      <w:pPr>
        <w:spacing w:after="0" w:line="72" w:lineRule="exact"/>
        <w:rPr>
          <w:sz w:val="20"/>
          <w:szCs w:val="20"/>
          <w:color w:val="auto"/>
        </w:rPr>
      </w:pPr>
    </w:p>
    <w:p>
      <w:pPr>
        <w:ind w:left="1380" w:hanging="796"/>
        <w:spacing w:after="0" w:line="290" w:lineRule="auto"/>
        <w:tabs>
          <w:tab w:leader="none" w:pos="136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6"/>
          <w:szCs w:val="16"/>
          <w:color w:val="auto"/>
        </w:rPr>
        <w:t>If a Party (the “</w:t>
      </w:r>
      <w:r>
        <w:rPr>
          <w:rFonts w:ascii="Arial" w:cs="Arial" w:eastAsia="Arial" w:hAnsi="Arial"/>
          <w:sz w:val="16"/>
          <w:szCs w:val="16"/>
          <w:u w:val="single" w:color="auto"/>
          <w:color w:val="auto"/>
        </w:rPr>
        <w:t>Indemnitee</w:t>
      </w:r>
      <w:r>
        <w:rPr>
          <w:rFonts w:ascii="Arial" w:cs="Arial" w:eastAsia="Arial" w:hAnsi="Arial"/>
          <w:sz w:val="16"/>
          <w:szCs w:val="16"/>
          <w:color w:val="auto"/>
        </w:rPr>
        <w:t>”) intends to claim indemnification under this section, it shall promptly notify the other Party (the “</w:t>
      </w:r>
      <w:r>
        <w:rPr>
          <w:rFonts w:ascii="Arial" w:cs="Arial" w:eastAsia="Arial" w:hAnsi="Arial"/>
          <w:sz w:val="16"/>
          <w:szCs w:val="16"/>
          <w:u w:val="single" w:color="auto"/>
          <w:color w:val="auto"/>
        </w:rPr>
        <w:t>Indemnitor</w:t>
      </w:r>
      <w:r>
        <w:rPr>
          <w:rFonts w:ascii="Arial" w:cs="Arial" w:eastAsia="Arial" w:hAnsi="Arial"/>
          <w:sz w:val="16"/>
          <w:szCs w:val="16"/>
          <w:color w:val="auto"/>
        </w:rPr>
        <w:t xml:space="preserve">”) in writing of any Third Party Claim for which the Indemnitee intends to claim such indemnification. The failure of the Indemnitee to deliver written notice to the Indemnitor within a reasonable time after the commencement of any such action relieves the Indemnitor of any obligation to the Indemnitee under this section with respect to any such action, insofar as the failure prejudices the Indemnitor’s ability to defend a Third Party Claim. The Indemnitee shall permit the Indemnitor to control the litigation or settlement of such Third Party Claim, and cooperate fully with Indemnitor in all related matters,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agreed by Indemnitee (a) counsel appointed by Indemnitor to defend Indemnitee will not take any position which if sustained would cause Indemnitee not to be indemnified by Indemnitor and (b) no settlement will involve any terms binding on Indemnitee except payment of money to by paid by Indemnitor.</w:t>
      </w:r>
    </w:p>
    <w:p>
      <w:pPr>
        <w:spacing w:after="0" w:line="72"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b w:val="1"/>
          <w:bCs w:val="1"/>
          <w:color w:val="auto"/>
        </w:rPr>
        <w:t>13.1.4</w:t>
      </w:r>
      <w:r>
        <w:rPr>
          <w:sz w:val="20"/>
          <w:szCs w:val="20"/>
          <w:color w:val="auto"/>
        </w:rPr>
        <w:tab/>
      </w:r>
      <w:r>
        <w:rPr>
          <w:rFonts w:ascii="Arial" w:cs="Arial" w:eastAsia="Arial" w:hAnsi="Arial"/>
          <w:sz w:val="16"/>
          <w:szCs w:val="16"/>
          <w:color w:val="auto"/>
        </w:rPr>
        <w:t>Neither Party is liable to the other for indirect, consequential, special or punitive damages under this Agreement.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13.2 Force Majeure</w:t>
      </w:r>
      <w:r>
        <w:rPr>
          <w:rFonts w:ascii="Arial" w:cs="Arial" w:eastAsia="Arial" w:hAnsi="Arial"/>
          <w:sz w:val="18"/>
          <w:szCs w:val="18"/>
          <w:color w:val="auto"/>
        </w:rPr>
        <w:t>. Neither Party is liable to the other Party nor will it be deemed to breached this Agreement for failure or delay in performing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under this Agreement when such failure or delay is caused by or results from causes beyond the reasonable control of the affected Party including, but not limited to, embargoes, war, acts of war (whether war be declared or not), insurrections, riots, civil commotions, strikes, lockouts or other labor disturbances, fire, floods, or other acts of God, or acts, omissions or delays in acting by any governmental authority or the other Party. The affected Party shall notify the other Party of such force majeure circumstances as soon as reasonably practical, and shall promptly undertake reasonable efforts necessary to cure the force majeure circumstances.</w:t>
      </w:r>
    </w:p>
    <w:p>
      <w:pPr>
        <w:spacing w:after="0" w:line="18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color w:val="auto"/>
        </w:rPr>
        <w:t>13.3 Assignment</w:t>
      </w:r>
      <w:r>
        <w:rPr>
          <w:rFonts w:ascii="Arial" w:cs="Arial" w:eastAsia="Arial" w:hAnsi="Arial"/>
          <w:sz w:val="16"/>
          <w:szCs w:val="16"/>
          <w:color w:val="auto"/>
        </w:rPr>
        <w:t>. Except as provided in this section 12.3, this Agreement may not be assigned or otherwise transferred, nor may any right or obligation be</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or transferred, by either Party without the consent of the other Party. Either Party may, without the other Party’s consent, assign this Agreement and its rights and obligations, in whole or in part, to an Affiliate. Any permitted assignee assumes all obligations of its assignor under this Agreement and will be subject to all of the provisions of this Agreement. Any attempted assignment not in accordance with this section is void. In the event of a Change of Control, ACI or Janssen may, without the other’s consent, assign this Agreement and all rights and obligations to the Change of Control party.</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13.4 Severability</w:t>
      </w:r>
      <w:r>
        <w:rPr>
          <w:rFonts w:ascii="Arial" w:cs="Arial" w:eastAsia="Arial" w:hAnsi="Arial"/>
          <w:sz w:val="18"/>
          <w:szCs w:val="18"/>
          <w:color w:val="auto"/>
        </w:rPr>
        <w:t>. If any provision in this Agreement is held invalid, illegal or unenforceable, the validity, legality and enforceability of the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will not be affected unless the absence of the invalidated provision(s) adversely affects the substantive rights of the Parties. The Parties will then use reasonable efforts to replace the invalid, illegal or unenforceable provision(s) with valid, legal and enforceable provision(s) which implement the purposes of this Agreement.</w:t>
      </w:r>
    </w:p>
    <w:p>
      <w:pPr>
        <w:spacing w:after="0" w:line="180"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13.5 Notices</w:t>
      </w:r>
      <w:r>
        <w:rPr>
          <w:rFonts w:ascii="Arial" w:cs="Arial" w:eastAsia="Arial" w:hAnsi="Arial"/>
          <w:sz w:val="18"/>
          <w:szCs w:val="18"/>
          <w:color w:val="auto"/>
        </w:rPr>
        <w:t>. All notices that are required or permitted will be in writing and sufficient if delivered personally, sent by facsimile (and promptly confirmed by</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delivery, registered or certified mail or overnight courier), sent by internationally-recognized courier or sent by registered or certified mail, postage prepaid, addressed as follows:</w:t>
      </w:r>
    </w:p>
    <w:p>
      <w:pPr>
        <w:spacing w:after="0" w:line="207" w:lineRule="exact"/>
        <w:rPr>
          <w:sz w:val="20"/>
          <w:szCs w:val="20"/>
          <w:color w:val="auto"/>
        </w:rPr>
      </w:pPr>
    </w:p>
    <w:p>
      <w:pPr>
        <w:ind w:left="1840"/>
        <w:spacing w:after="0"/>
        <w:tabs>
          <w:tab w:leader="none" w:pos="6000" w:val="left"/>
        </w:tabs>
        <w:rPr>
          <w:sz w:val="20"/>
          <w:szCs w:val="20"/>
          <w:color w:val="auto"/>
        </w:rPr>
      </w:pPr>
      <w:r>
        <w:rPr>
          <w:rFonts w:ascii="Arial" w:cs="Arial" w:eastAsia="Arial" w:hAnsi="Arial"/>
          <w:sz w:val="18"/>
          <w:szCs w:val="18"/>
          <w:color w:val="auto"/>
        </w:rPr>
        <w:t>If to ACI, to:</w:t>
      </w:r>
      <w:r>
        <w:rPr>
          <w:sz w:val="20"/>
          <w:szCs w:val="20"/>
          <w:color w:val="auto"/>
        </w:rPr>
        <w:tab/>
      </w:r>
      <w:r>
        <w:rPr>
          <w:rFonts w:ascii="Arial" w:cs="Arial" w:eastAsia="Arial" w:hAnsi="Arial"/>
          <w:sz w:val="17"/>
          <w:szCs w:val="17"/>
          <w:color w:val="auto"/>
        </w:rPr>
        <w:t>AC Immune, SA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534" w:name="page535"/>
    <w:bookmarkEnd w:id="53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380" w:right="12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EPFL Innovation Park</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1015 Lausanne</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 xml:space="preserve">Attn: </w:t>
      </w:r>
      <w:r>
        <w:rPr>
          <w:rFonts w:ascii="Arial" w:cs="Arial" w:eastAsia="Arial" w:hAnsi="Arial"/>
          <w:sz w:val="18"/>
          <w:szCs w:val="18"/>
          <w:color w:val="auto"/>
        </w:rPr>
        <w:t>Office of Business Development</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 xml:space="preserve">Facsimile No.: </w:t>
      </w:r>
      <w:r>
        <w:rPr>
          <w:rFonts w:ascii="Arial" w:cs="Arial" w:eastAsia="Arial" w:hAnsi="Arial"/>
          <w:sz w:val="18"/>
          <w:szCs w:val="18"/>
          <w:color w:val="auto"/>
        </w:rPr>
        <w:t>[*****]</w:t>
      </w:r>
    </w:p>
    <w:p>
      <w:pPr>
        <w:sectPr>
          <w:pgSz w:w="11900" w:h="16838" w:orient="portrait"/>
          <w:cols w:equalWidth="0" w:num="1">
            <w:col w:w="11320"/>
          </w:cols>
          <w:pgMar w:left="240" w:top="269" w:right="339" w:bottom="1440" w:gutter="0" w:footer="0" w:header="0"/>
        </w:sectPr>
      </w:pPr>
    </w:p>
    <w:p>
      <w:pPr>
        <w:spacing w:after="0" w:line="22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VISCHER AG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Attn: </w:t>
      </w:r>
      <w:r>
        <w:rPr>
          <w:rFonts w:ascii="Arial" w:cs="Arial" w:eastAsia="Arial" w:hAnsi="Arial"/>
          <w:sz w:val="16"/>
          <w:szCs w:val="16"/>
          <w:color w:val="auto"/>
        </w:rPr>
        <w:t>Dr. Matthias Staehelin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 4010 Basel, Switzerland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Facsimile No.: </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00" w:space="720"/>
            <w:col w:w="5300"/>
          </w:cols>
          <w:pgMar w:left="240" w:top="269" w:right="339" w:bottom="1440" w:gutter="0" w:footer="0" w:header="0"/>
          <w:type w:val="continuous"/>
        </w:sectPr>
      </w:pPr>
    </w:p>
    <w:p>
      <w:pPr>
        <w:spacing w:after="0" w:line="2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If to Janssen,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Janssen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1125 Trenton-Harbourton Road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Titusville, NJ 08560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Attn: </w:t>
      </w: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Facsimile No.:</w:t>
      </w:r>
    </w:p>
    <w:p>
      <w:pPr>
        <w:spacing w:after="0" w:line="200" w:lineRule="exact"/>
        <w:rPr>
          <w:sz w:val="20"/>
          <w:szCs w:val="20"/>
          <w:color w:val="auto"/>
        </w:rPr>
      </w:pPr>
    </w:p>
    <w:p>
      <w:pPr>
        <w:sectPr>
          <w:pgSz w:w="11900" w:h="16838" w:orient="portrait"/>
          <w:cols w:equalWidth="0" w:num="2">
            <w:col w:w="5300" w:space="720"/>
            <w:col w:w="5300"/>
          </w:cols>
          <w:pgMar w:left="240" w:top="269" w:right="339" w:bottom="1440" w:gutter="0" w:footer="0" w:header="0"/>
          <w:type w:val="continuous"/>
        </w:sectPr>
      </w:pPr>
    </w:p>
    <w:p>
      <w:pPr>
        <w:spacing w:after="0" w:line="2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Johnson &amp; Johnson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Johnson &amp; Johnson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Brunswick, NJ 08933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Attn: </w:t>
      </w:r>
      <w:r>
        <w:rPr>
          <w:rFonts w:ascii="Arial" w:cs="Arial" w:eastAsia="Arial" w:hAnsi="Arial"/>
          <w:sz w:val="16"/>
          <w:szCs w:val="16"/>
          <w:color w:val="auto"/>
        </w:rPr>
        <w:t>Chief Intellectual Property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Facsimile No.: </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00" w:space="720"/>
            <w:col w:w="5300"/>
          </w:cols>
          <w:pgMar w:left="240" w:top="269" w:right="3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the Party to whom notice is to be given may have furnished to the other Party in writing. Any notice will have been given:</w:t>
      </w:r>
    </w:p>
    <w:p>
      <w:pPr>
        <w:spacing w:after="0" w:line="35" w:lineRule="exact"/>
        <w:rPr>
          <w:sz w:val="20"/>
          <w:szCs w:val="20"/>
          <w:color w:val="auto"/>
        </w:rPr>
      </w:pPr>
    </w:p>
    <w:p>
      <w:pPr>
        <w:ind w:right="280" w:firstLine="8"/>
        <w:spacing w:after="0" w:line="277" w:lineRule="auto"/>
        <w:tabs>
          <w:tab w:leader="none" w:pos="245" w:val="left"/>
        </w:tabs>
        <w:numPr>
          <w:ilvl w:val="0"/>
          <w:numId w:val="398"/>
        </w:numPr>
        <w:rPr>
          <w:rFonts w:ascii="Arial" w:cs="Arial" w:eastAsia="Arial" w:hAnsi="Arial"/>
          <w:sz w:val="17"/>
          <w:szCs w:val="17"/>
          <w:color w:val="auto"/>
        </w:rPr>
      </w:pPr>
      <w:r>
        <w:rPr>
          <w:rFonts w:ascii="Arial" w:cs="Arial" w:eastAsia="Arial" w:hAnsi="Arial"/>
          <w:sz w:val="17"/>
          <w:szCs w:val="17"/>
          <w:color w:val="auto"/>
        </w:rPr>
        <w:t>when delivered if personally delivered or sent by facsimile on a business day; (b) on the next business day after dispatch if sent by facsimile or by internationally-recognized overnight courier; and/or (c) on the [*****] business day following the date of mailing if sent by mail or other internationally-recognized courier. Notices are not sufficient if provided only between each Party’s representatives for the JRC Meetings.</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13.6 Applicable Law</w:t>
      </w:r>
      <w:r>
        <w:rPr>
          <w:rFonts w:ascii="Arial" w:cs="Arial" w:eastAsia="Arial" w:hAnsi="Arial"/>
          <w:sz w:val="18"/>
          <w:szCs w:val="18"/>
          <w:color w:val="auto"/>
        </w:rPr>
        <w:t>. This Agreement is governed by and construed in accordance with the laws of Switzerland without reference to any rules of conflict of</w:t>
      </w:r>
      <w:r>
        <w:rPr>
          <w:rFonts w:ascii="Arial" w:cs="Arial" w:eastAsia="Arial" w:hAnsi="Arial"/>
          <w:sz w:val="18"/>
          <w:szCs w:val="18"/>
          <w:b w:val="1"/>
          <w:bCs w:val="1"/>
          <w:color w:val="auto"/>
        </w:rPr>
        <w:t xml:space="preserve"> </w:t>
      </w:r>
      <w:r>
        <w:rPr>
          <w:rFonts w:ascii="Arial" w:cs="Arial" w:eastAsia="Arial" w:hAnsi="Arial"/>
          <w:sz w:val="18"/>
          <w:szCs w:val="18"/>
          <w:color w:val="auto"/>
        </w:rPr>
        <w:t>laws. The United Nations Convention on the Sale of Goods does not apply to this Agreement.</w:t>
      </w:r>
    </w:p>
    <w:p>
      <w:pPr>
        <w:spacing w:after="0" w:line="3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5"/>
          <w:szCs w:val="15"/>
          <w:b w:val="1"/>
          <w:bCs w:val="1"/>
          <w:color w:val="auto"/>
        </w:rPr>
        <w:t>Dispute Resolution.</w:t>
      </w:r>
    </w:p>
    <w:p>
      <w:pPr>
        <w:spacing w:after="0" w:line="117" w:lineRule="exact"/>
        <w:rPr>
          <w:sz w:val="20"/>
          <w:szCs w:val="20"/>
          <w:color w:val="auto"/>
        </w:rPr>
      </w:pPr>
    </w:p>
    <w:p>
      <w:pPr>
        <w:ind w:left="580" w:right="40"/>
        <w:spacing w:after="0" w:line="298" w:lineRule="auto"/>
        <w:rPr>
          <w:sz w:val="20"/>
          <w:szCs w:val="20"/>
          <w:color w:val="auto"/>
        </w:rPr>
      </w:pPr>
      <w:r>
        <w:rPr>
          <w:rFonts w:ascii="Arial" w:cs="Arial" w:eastAsia="Arial" w:hAnsi="Arial"/>
          <w:sz w:val="16"/>
          <w:szCs w:val="16"/>
          <w:b w:val="1"/>
          <w:bCs w:val="1"/>
          <w:color w:val="auto"/>
        </w:rPr>
        <w:t xml:space="preserve">13.7.1 </w:t>
      </w:r>
      <w:r>
        <w:rPr>
          <w:rFonts w:ascii="Arial" w:cs="Arial" w:eastAsia="Arial" w:hAnsi="Arial"/>
          <w:sz w:val="16"/>
          <w:szCs w:val="16"/>
          <w:color w:val="auto"/>
        </w:rPr>
        <w:t>The Parties shall negotiate in good faith and use reasonable efforts to settle any dispute, controversy or claim arising from or related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the breach thereof (a “</w:t>
      </w:r>
      <w:r>
        <w:rPr>
          <w:rFonts w:ascii="Arial" w:cs="Arial" w:eastAsia="Arial" w:hAnsi="Arial"/>
          <w:sz w:val="16"/>
          <w:szCs w:val="16"/>
          <w:b w:val="1"/>
          <w:bCs w:val="1"/>
          <w:color w:val="auto"/>
        </w:rPr>
        <w:t>Dispute</w:t>
      </w:r>
      <w:r>
        <w:rPr>
          <w:rFonts w:ascii="Arial" w:cs="Arial" w:eastAsia="Arial" w:hAnsi="Arial"/>
          <w:sz w:val="16"/>
          <w:szCs w:val="16"/>
          <w:color w:val="auto"/>
        </w:rPr>
        <w:t>”). If the Parties initially are unable to resolve a Dispute despite using reasonable efforts to do so, either Party may, by written notice to the other, have the Dispute referred to their respective senior management designated below or their respective successors, for attempted resolution by negotiation in good faith. The attempted resolution shall take place no later than [*****] following receipt of such notice unless otherwise agreed. The designated management (each designated representative, an “Executive Officer”) are as follows:</w:t>
      </w:r>
    </w:p>
    <w:p>
      <w:pPr>
        <w:spacing w:after="0" w:line="307" w:lineRule="exact"/>
        <w:rPr>
          <w:sz w:val="20"/>
          <w:szCs w:val="20"/>
          <w:color w:val="auto"/>
        </w:rPr>
      </w:pPr>
    </w:p>
    <w:p>
      <w:pPr>
        <w:ind w:left="580"/>
        <w:spacing w:after="0"/>
        <w:tabs>
          <w:tab w:leader="none" w:pos="2620" w:val="left"/>
        </w:tabs>
        <w:rPr>
          <w:sz w:val="20"/>
          <w:szCs w:val="20"/>
          <w:color w:val="auto"/>
        </w:rPr>
      </w:pPr>
      <w:r>
        <w:rPr>
          <w:rFonts w:ascii="Arial" w:cs="Arial" w:eastAsia="Arial" w:hAnsi="Arial"/>
          <w:sz w:val="18"/>
          <w:szCs w:val="18"/>
          <w:u w:val="single" w:color="auto"/>
          <w:color w:val="auto"/>
        </w:rPr>
        <w:t>For Janssen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Therapeutic Area Leader for Neuroscience or designee</w:t>
      </w:r>
    </w:p>
    <w:p>
      <w:pPr>
        <w:spacing w:after="0" w:line="117" w:lineRule="exact"/>
        <w:rPr>
          <w:sz w:val="20"/>
          <w:szCs w:val="20"/>
          <w:color w:val="auto"/>
        </w:rPr>
      </w:pPr>
    </w:p>
    <w:p>
      <w:pPr>
        <w:ind w:left="580"/>
        <w:spacing w:after="0"/>
        <w:tabs>
          <w:tab w:leader="none" w:pos="2620" w:val="left"/>
        </w:tabs>
        <w:rPr>
          <w:sz w:val="20"/>
          <w:szCs w:val="20"/>
          <w:color w:val="auto"/>
        </w:rPr>
      </w:pPr>
      <w:r>
        <w:rPr>
          <w:rFonts w:ascii="Arial" w:cs="Arial" w:eastAsia="Arial" w:hAnsi="Arial"/>
          <w:sz w:val="18"/>
          <w:szCs w:val="18"/>
          <w:u w:val="single" w:color="auto"/>
          <w:color w:val="auto"/>
        </w:rPr>
        <w:t>For ACI</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Chief Executive Officer or designee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269" w:right="339" w:bottom="1440" w:gutter="0" w:footer="0" w:header="0"/>
          <w:type w:val="continuous"/>
        </w:sectPr>
      </w:pPr>
    </w:p>
    <w:bookmarkStart w:id="535" w:name="page536"/>
    <w:bookmarkEnd w:id="535"/>
    <w:p>
      <w:pPr>
        <w:jc w:val="center"/>
        <w:ind w:righ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right="5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If the Parties are unable to resolve the Dispute, controversy or claim within [*****] (unless otherwise agreed) following the day on which one Party provides written notice of the Dispute to the other in accordance with section 12.7 .2, and a Party wishes to pursue the matter, each such Dispute, controversy or claim that is not an Excluded Claim will be finally resolved by mediation followed by binding arbitration as set forth below.</w:t>
      </w:r>
    </w:p>
    <w:p>
      <w:pPr>
        <w:spacing w:after="0" w:line="35"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b w:val="1"/>
          <w:bCs w:val="1"/>
          <w:color w:val="auto"/>
        </w:rPr>
        <w:t>13.7.2 Mediation</w:t>
      </w:r>
      <w:r>
        <w:rPr>
          <w:rFonts w:ascii="Arial" w:cs="Arial" w:eastAsia="Arial" w:hAnsi="Arial"/>
          <w:sz w:val="16"/>
          <w:szCs w:val="16"/>
          <w:color w:val="auto"/>
        </w:rPr>
        <w:t>. The Parties shall first attempt in good faith to resolve any Dispute by confidential mediation in accordance with the then current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Mediation Procedure </w:t>
      </w:r>
      <w:r>
        <w:rPr>
          <w:rFonts w:ascii="Arial" w:cs="Arial" w:eastAsia="Arial" w:hAnsi="Arial"/>
          <w:sz w:val="16"/>
          <w:szCs w:val="16"/>
          <w:color w:val="auto"/>
        </w:rPr>
        <w:t>of the International Institute for Conflict Prevention and Resolution (“</w:t>
      </w:r>
      <w:r>
        <w:rPr>
          <w:rFonts w:ascii="Arial" w:cs="Arial" w:eastAsia="Arial" w:hAnsi="Arial"/>
          <w:sz w:val="16"/>
          <w:szCs w:val="16"/>
          <w:b w:val="1"/>
          <w:bCs w:val="1"/>
          <w:color w:val="auto"/>
        </w:rPr>
        <w:t>CPR Mediation Procedure</w:t>
      </w:r>
      <w:r>
        <w:rPr>
          <w:rFonts w:ascii="Arial" w:cs="Arial" w:eastAsia="Arial" w:hAnsi="Arial"/>
          <w:sz w:val="16"/>
          <w:szCs w:val="16"/>
          <w:color w:val="auto"/>
        </w:rPr>
        <w:t>”) (www.cpradr.org) before</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initiating arbitration. The CPR Mediation Procedure controls, except where that Procedure conflicts with these provisions, in which case these provisions control. The mediator will be chosen pursuant to the CPR Mediation Procedure. The mediation will be held in Geneva, Switzerland.</w:t>
      </w:r>
    </w:p>
    <w:p>
      <w:pPr>
        <w:spacing w:after="0" w:line="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Either Party may initiate mediation by written notice to the other of the existence of a Dispute. The Parties will select the mediator within [*****] of the notice and the mediation will begin promptly after the selection. The mediation will continue until the mediator or either Party, declares in writing, no sooner than after the conclusion of one full day of a substantive mediation conference attended on behalf of each Party by a senior business person with authority to resolve the Dispute, that the Dispute cannot be resolved by mediation. In no event, will mediation continue more than [*****] from the initial notice by a Party to initiate meditation unless the Parties agree in writing to extend that period.</w:t>
      </w:r>
    </w:p>
    <w:p>
      <w:pPr>
        <w:spacing w:after="0" w:line="6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Any period of limitations that would otherwise expire between the initiation of mediation and its conclusion is extended until [*****] after the conclusion of the mediation.</w:t>
      </w:r>
    </w:p>
    <w:p>
      <w:pPr>
        <w:spacing w:after="0" w:line="5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13.7.3 Arbitration</w:t>
      </w:r>
      <w:r>
        <w:rPr>
          <w:rFonts w:ascii="Arial" w:cs="Arial" w:eastAsia="Arial" w:hAnsi="Arial"/>
          <w:sz w:val="18"/>
          <w:szCs w:val="18"/>
          <w:color w:val="auto"/>
        </w:rPr>
        <w:t>. If the Parties fail to resolve the Dispute in mediation, and a Party desires to pursue resolution of the Dispute, the Dispute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submitted by either Party for resolution in arbitration pursuant to the then current CPR </w:t>
      </w:r>
      <w:r>
        <w:rPr>
          <w:rFonts w:ascii="Arial" w:cs="Arial" w:eastAsia="Arial" w:hAnsi="Arial"/>
          <w:sz w:val="18"/>
          <w:szCs w:val="18"/>
          <w:i w:val="1"/>
          <w:iCs w:val="1"/>
          <w:color w:val="auto"/>
        </w:rPr>
        <w:t>Rules for Non-Administered Arbitration of International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Disputes </w:t>
      </w:r>
      <w:r>
        <w:rPr>
          <w:rFonts w:ascii="Arial" w:cs="Arial" w:eastAsia="Arial" w:hAnsi="Arial"/>
          <w:sz w:val="18"/>
          <w:szCs w:val="18"/>
          <w:color w:val="auto"/>
        </w:rPr>
        <w:t>(“CPR Rules”) (</w:t>
      </w:r>
      <w:r>
        <w:rPr>
          <w:rFonts w:ascii="Arial" w:cs="Arial" w:eastAsia="Arial" w:hAnsi="Arial"/>
          <w:sz w:val="18"/>
          <w:szCs w:val="18"/>
          <w:u w:val="single" w:color="auto"/>
          <w:color w:val="auto"/>
        </w:rPr>
        <w:t>www.cpradr.org</w:t>
      </w:r>
      <w:r>
        <w:rPr>
          <w:rFonts w:ascii="Arial" w:cs="Arial" w:eastAsia="Arial" w:hAnsi="Arial"/>
          <w:sz w:val="18"/>
          <w:szCs w:val="18"/>
          <w:color w:val="auto"/>
        </w:rPr>
        <w:t>), except where they conflict with these provisions, in which case these provisions control. CPR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as the Neutral Organization for all purposes. The arbitration will be conducted in English and held in Geneva, Switzerland. All aspects of the arbitration will be treated as confidential.</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arbitrators will be chosen from the CPR Panels of Distinguished Neutrals, unless a candidate not on the CPR Panel is approved by both Parties. Each arbitrator must be a lawyer with at least 15 years experience with a law firm or corporate law department of over 25 lawyers or who was a judge of a court of general jurisdiction. To the extent that the Dispute requires special expertise, the Parties will so inform CPR prior to the beginning of the selection process.</w:t>
      </w:r>
    </w:p>
    <w:p>
      <w:pPr>
        <w:spacing w:after="0" w:line="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arbitration tribunal will consist of three arbitrators, chosen in accordance with Rules 5.3 and 6 of the CPR Rules. If, however, the aggregate award sought by the Parties is less than $5 million and equitable relief is not sought, a single arbitrator will be chosen in accordance with Rules 5.3 and 6 of the CPR Rules.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Candidates for the arbitrator position(s) may be interviewed by representatives of the Parties in advance of their selection, provided that all Parties are represented.</w:t>
      </w:r>
    </w:p>
    <w:p>
      <w:pPr>
        <w:spacing w:after="0" w:line="6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Parties will select the arbitrator(s) within [*****] of initiation of the arbitration. The hearing will be concluded within [*****] months after selection of the arbitrator(s) and the award will be rendered within [*****] of the conclusion of the hearing, or of any post-hearing</w:t>
      </w:r>
    </w:p>
    <w:p>
      <w:pPr>
        <w:spacing w:after="0" w:line="7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20"/>
          </w:cols>
          <w:pgMar w:left="820" w:top="270" w:right="259" w:bottom="1440" w:gutter="0" w:footer="0" w:header="0"/>
        </w:sectPr>
      </w:pPr>
    </w:p>
    <w:bookmarkStart w:id="536" w:name="page537"/>
    <w:bookmarkEnd w:id="5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80" w:right="40"/>
        <w:spacing w:after="0" w:line="277" w:lineRule="auto"/>
        <w:rPr>
          <w:sz w:val="20"/>
          <w:szCs w:val="20"/>
          <w:color w:val="auto"/>
        </w:rPr>
      </w:pPr>
      <w:r>
        <w:rPr>
          <w:rFonts w:ascii="Arial" w:cs="Arial" w:eastAsia="Arial" w:hAnsi="Arial"/>
          <w:sz w:val="18"/>
          <w:szCs w:val="18"/>
          <w:color w:val="auto"/>
        </w:rPr>
        <w:t>briefing, which briefing will be completed by both sides within [*****] after the conclusion of the hearing. In the event the Parties cannot agree upon a schedule, then the arbitrator(s) shall set the schedule following the time limits set forth above as closely as practical.</w:t>
      </w:r>
    </w:p>
    <w:p>
      <w:pPr>
        <w:spacing w:after="0" w:line="62" w:lineRule="exact"/>
        <w:rPr>
          <w:sz w:val="20"/>
          <w:szCs w:val="20"/>
          <w:color w:val="auto"/>
        </w:rPr>
      </w:pPr>
    </w:p>
    <w:p>
      <w:pPr>
        <w:ind w:left="580" w:right="1300"/>
        <w:spacing w:after="0" w:line="277" w:lineRule="auto"/>
        <w:rPr>
          <w:sz w:val="20"/>
          <w:szCs w:val="20"/>
          <w:color w:val="auto"/>
        </w:rPr>
      </w:pPr>
      <w:r>
        <w:rPr>
          <w:rFonts w:ascii="Arial" w:cs="Arial" w:eastAsia="Arial" w:hAnsi="Arial"/>
          <w:sz w:val="18"/>
          <w:szCs w:val="18"/>
          <w:color w:val="auto"/>
        </w:rPr>
        <w:t xml:space="preserve">The arbitrator(s) will be guided, but not bound, by the </w:t>
      </w:r>
      <w:r>
        <w:rPr>
          <w:rFonts w:ascii="Arial" w:cs="Arial" w:eastAsia="Arial" w:hAnsi="Arial"/>
          <w:sz w:val="18"/>
          <w:szCs w:val="18"/>
          <w:i w:val="1"/>
          <w:iCs w:val="1"/>
          <w:color w:val="auto"/>
        </w:rPr>
        <w:t>IBA Rules on the Taking of Evidence in International Commercial Arbitration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www.ibanet.org</w:t>
      </w:r>
      <w:r>
        <w:rPr>
          <w:rFonts w:ascii="Arial" w:cs="Arial" w:eastAsia="Arial" w:hAnsi="Arial"/>
          <w:sz w:val="18"/>
          <w:szCs w:val="18"/>
          <w:color w:val="auto"/>
        </w:rPr>
        <w:t>).</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hearing will be concluded in [*****] hearing days or less. Multiple hearing days will be scheduled consecutively to the greatest extent possible.</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transcript of the testimony adduced at the hearing will be made available to either Party.</w:t>
      </w:r>
    </w:p>
    <w:p>
      <w:pPr>
        <w:spacing w:after="0" w:line="103" w:lineRule="exact"/>
        <w:rPr>
          <w:sz w:val="20"/>
          <w:szCs w:val="20"/>
          <w:color w:val="auto"/>
        </w:rPr>
      </w:pPr>
    </w:p>
    <w:p>
      <w:pPr>
        <w:jc w:val="both"/>
        <w:ind w:left="580" w:right="80"/>
        <w:spacing w:after="0" w:line="264" w:lineRule="auto"/>
        <w:rPr>
          <w:sz w:val="20"/>
          <w:szCs w:val="20"/>
          <w:color w:val="auto"/>
        </w:rPr>
      </w:pPr>
      <w:r>
        <w:rPr>
          <w:rFonts w:ascii="Arial" w:cs="Arial" w:eastAsia="Arial" w:hAnsi="Arial"/>
          <w:sz w:val="18"/>
          <w:szCs w:val="18"/>
          <w:color w:val="auto"/>
        </w:rPr>
        <w:t>The arbitrator(s) shall decide the merits of any Dispute in accordance with the law governing this Agreement, without application of any principle of conflict of laws that would result in reference to a different law. The arbitrator(s) may not apply principles such as “amiable compositeur” or “natural justice and equity.”</w:t>
      </w:r>
    </w:p>
    <w:p>
      <w:pPr>
        <w:spacing w:after="0" w:line="73"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color w:val="auto"/>
        </w:rPr>
        <w:t>The arbitrator(s) shall render a written opinion stating the reasons upon which the award is based. The arbitrator(s) may award the costs and expenses of the arbitration as provided in the CPR Rules, but each bears its own attorney fees</w:t>
      </w:r>
    </w:p>
    <w:p>
      <w:pPr>
        <w:spacing w:after="0" w:line="62" w:lineRule="exact"/>
        <w:rPr>
          <w:sz w:val="20"/>
          <w:szCs w:val="20"/>
          <w:color w:val="auto"/>
        </w:rPr>
      </w:pPr>
    </w:p>
    <w:p>
      <w:pPr>
        <w:ind w:left="580" w:right="40"/>
        <w:spacing w:after="0" w:line="264" w:lineRule="auto"/>
        <w:rPr>
          <w:sz w:val="20"/>
          <w:szCs w:val="20"/>
          <w:color w:val="auto"/>
        </w:rPr>
      </w:pPr>
      <w:r>
        <w:rPr>
          <w:rFonts w:ascii="Arial" w:cs="Arial" w:eastAsia="Arial" w:hAnsi="Arial"/>
          <w:sz w:val="18"/>
          <w:szCs w:val="18"/>
          <w:color w:val="auto"/>
        </w:rPr>
        <w:t>The award may be entered and enforced in any court of competent jurisdiction. If a court is called upon to enforce an award in a court proceeding, the Parties consent to the court’s requiring the Party resisting enforcement to pay the reasonable attorneys fees and costs incurred in that proceeding by the Party seeking enforcement.</w:t>
      </w:r>
    </w:p>
    <w:p>
      <w:pPr>
        <w:spacing w:after="0" w:line="73" w:lineRule="exact"/>
        <w:rPr>
          <w:sz w:val="20"/>
          <w:szCs w:val="20"/>
          <w:color w:val="auto"/>
        </w:rPr>
      </w:pPr>
    </w:p>
    <w:p>
      <w:pPr>
        <w:ind w:left="580" w:right="20"/>
        <w:spacing w:after="0" w:line="257" w:lineRule="auto"/>
        <w:rPr>
          <w:sz w:val="20"/>
          <w:szCs w:val="20"/>
          <w:color w:val="auto"/>
        </w:rPr>
      </w:pPr>
      <w:r>
        <w:rPr>
          <w:rFonts w:ascii="Arial" w:cs="Arial" w:eastAsia="Arial" w:hAnsi="Arial"/>
          <w:sz w:val="18"/>
          <w:szCs w:val="18"/>
          <w:color w:val="auto"/>
        </w:rPr>
        <w:t>Any Party may seek emergency, interim, or provisional relief prior to the appointment of the arbitrator(s) from any court of competent jurisdiction, without waiver of the agreements to mediate and arbitrate. After appointment of the arbitrator(s), any request for emergency, interim, or provisional relief shall either be addressed to the arbitrator(s), which will have the power to enter an interim award granting relief using the standards provided by applicable law, or to a court, but only with the permission of the arbitrator(s). Any interim award of the arbitrator(s) may be enforced in any court of competent jurisdiction.</w:t>
      </w:r>
    </w:p>
    <w:p>
      <w:pPr>
        <w:spacing w:after="0" w:line="80" w:lineRule="exact"/>
        <w:rPr>
          <w:sz w:val="20"/>
          <w:szCs w:val="20"/>
          <w:color w:val="auto"/>
        </w:rPr>
      </w:pPr>
    </w:p>
    <w:p>
      <w:pPr>
        <w:ind w:left="580" w:right="340"/>
        <w:spacing w:after="0" w:line="342" w:lineRule="auto"/>
        <w:rPr>
          <w:sz w:val="20"/>
          <w:szCs w:val="20"/>
          <w:color w:val="auto"/>
        </w:rPr>
      </w:pPr>
      <w:r>
        <w:rPr>
          <w:rFonts w:ascii="Arial" w:cs="Arial" w:eastAsia="Arial" w:hAnsi="Arial"/>
          <w:sz w:val="16"/>
          <w:szCs w:val="16"/>
          <w:color w:val="auto"/>
        </w:rPr>
        <w:t>Each Party waives: (1) its right to trial of any issue by jury, (2) with the exception of relief mandated by statute, any claim to punitive, exemplary, multiplied, indirect, consequential or lost profits/revenues damages, and (3) any claim for attorney fees, costs and prejudgment interest.</w:t>
      </w:r>
    </w:p>
    <w:p>
      <w:pPr>
        <w:spacing w:after="0" w:line="12" w:lineRule="exact"/>
        <w:rPr>
          <w:sz w:val="20"/>
          <w:szCs w:val="20"/>
          <w:color w:val="auto"/>
        </w:rPr>
      </w:pPr>
    </w:p>
    <w:p>
      <w:pPr>
        <w:jc w:val="both"/>
        <w:ind w:left="580" w:right="200"/>
        <w:spacing w:after="0" w:line="261" w:lineRule="auto"/>
        <w:rPr>
          <w:sz w:val="20"/>
          <w:szCs w:val="20"/>
          <w:color w:val="auto"/>
        </w:rPr>
      </w:pPr>
      <w:r>
        <w:rPr>
          <w:rFonts w:ascii="Arial" w:cs="Arial" w:eastAsia="Arial" w:hAnsi="Arial"/>
          <w:sz w:val="18"/>
          <w:szCs w:val="18"/>
          <w:b w:val="1"/>
          <w:bCs w:val="1"/>
          <w:color w:val="auto"/>
        </w:rPr>
        <w:t xml:space="preserve">13.7.4 </w:t>
      </w:r>
      <w:r>
        <w:rPr>
          <w:rFonts w:ascii="Arial" w:cs="Arial" w:eastAsia="Arial" w:hAnsi="Arial"/>
          <w:sz w:val="18"/>
          <w:szCs w:val="18"/>
          <w:color w:val="auto"/>
        </w:rPr>
        <w:t>The Parties agree that, in the event of a Dispute over the nature or quality of performance under this Agreement, neither Party may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until final resolution of the Dispute through arbitration or other judicial determination. The Parties further agree that any payments made pursuant to this Agreement pending resolution of the Dispute will be refunded if an arbitrator or court determines that such payments are not due.</w:t>
      </w:r>
    </w:p>
    <w:p>
      <w:pPr>
        <w:spacing w:after="0" w:line="72" w:lineRule="exact"/>
        <w:rPr>
          <w:sz w:val="20"/>
          <w:szCs w:val="20"/>
          <w:color w:val="auto"/>
        </w:rPr>
      </w:pPr>
    </w:p>
    <w:p>
      <w:pPr>
        <w:ind w:left="580"/>
        <w:spacing w:after="0" w:line="282" w:lineRule="auto"/>
        <w:rPr>
          <w:sz w:val="20"/>
          <w:szCs w:val="20"/>
          <w:color w:val="auto"/>
        </w:rPr>
      </w:pPr>
      <w:r>
        <w:rPr>
          <w:rFonts w:ascii="Arial" w:cs="Arial" w:eastAsia="Arial" w:hAnsi="Arial"/>
          <w:sz w:val="18"/>
          <w:szCs w:val="18"/>
          <w:b w:val="1"/>
          <w:bCs w:val="1"/>
          <w:color w:val="auto"/>
        </w:rPr>
        <w:t xml:space="preserve">13.7.5 </w:t>
      </w:r>
      <w:r>
        <w:rPr>
          <w:rFonts w:ascii="Arial" w:cs="Arial" w:eastAsia="Arial" w:hAnsi="Arial"/>
          <w:sz w:val="18"/>
          <w:szCs w:val="18"/>
          <w:color w:val="auto"/>
        </w:rPr>
        <w:t>As used in this section, the term “</w:t>
      </w:r>
      <w:r>
        <w:rPr>
          <w:rFonts w:ascii="Arial" w:cs="Arial" w:eastAsia="Arial" w:hAnsi="Arial"/>
          <w:sz w:val="18"/>
          <w:szCs w:val="18"/>
          <w:u w:val="single" w:color="auto"/>
          <w:color w:val="auto"/>
        </w:rPr>
        <w:t>Excluded Claim</w:t>
      </w:r>
      <w:r>
        <w:rPr>
          <w:rFonts w:ascii="Arial" w:cs="Arial" w:eastAsia="Arial" w:hAnsi="Arial"/>
          <w:sz w:val="18"/>
          <w:szCs w:val="18"/>
          <w:color w:val="auto"/>
        </w:rPr>
        <w:t>” means a dispute, controversy or claim that concerns the validity or infringement of a patent,</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or copyright.</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13.8 Compliance with Laws</w:t>
      </w:r>
      <w:r>
        <w:rPr>
          <w:rFonts w:ascii="Arial" w:cs="Arial" w:eastAsia="Arial" w:hAnsi="Arial"/>
          <w:sz w:val="18"/>
          <w:szCs w:val="18"/>
          <w:color w:val="auto"/>
        </w:rPr>
        <w:t>. Each Party will comply, and require its Affiliates and sublicensees to comply, with all applicable Laws and regulations relative</w:t>
      </w:r>
      <w:r>
        <w:rPr>
          <w:rFonts w:ascii="Arial" w:cs="Arial" w:eastAsia="Arial" w:hAnsi="Arial"/>
          <w:sz w:val="18"/>
          <w:szCs w:val="18"/>
          <w:b w:val="1"/>
          <w:bCs w:val="1"/>
          <w:color w:val="auto"/>
        </w:rPr>
        <w:t xml:space="preserve"> </w:t>
      </w:r>
      <w:r>
        <w:rPr>
          <w:rFonts w:ascii="Arial" w:cs="Arial" w:eastAsia="Arial" w:hAnsi="Arial"/>
          <w:sz w:val="18"/>
          <w:szCs w:val="18"/>
          <w:color w:val="auto"/>
        </w:rPr>
        <w:t>to its obligations under this Agreement.</w:t>
      </w:r>
    </w:p>
    <w:p>
      <w:pPr>
        <w:spacing w:after="0" w:line="54" w:lineRule="exact"/>
        <w:rPr>
          <w:sz w:val="20"/>
          <w:szCs w:val="20"/>
          <w:color w:val="auto"/>
        </w:rPr>
      </w:pPr>
    </w:p>
    <w:p>
      <w:pPr>
        <w:jc w:val="both"/>
        <w:ind w:right="440"/>
        <w:spacing w:after="0" w:line="347" w:lineRule="auto"/>
        <w:rPr>
          <w:sz w:val="20"/>
          <w:szCs w:val="20"/>
          <w:color w:val="auto"/>
        </w:rPr>
      </w:pPr>
      <w:r>
        <w:rPr>
          <w:rFonts w:ascii="Arial" w:cs="Arial" w:eastAsia="Arial" w:hAnsi="Arial"/>
          <w:sz w:val="16"/>
          <w:szCs w:val="16"/>
          <w:b w:val="1"/>
          <w:bCs w:val="1"/>
          <w:color w:val="auto"/>
        </w:rPr>
        <w:t>13.9 Entire agreement; Amendments</w:t>
      </w:r>
      <w:r>
        <w:rPr>
          <w:rFonts w:ascii="Arial" w:cs="Arial" w:eastAsia="Arial" w:hAnsi="Arial"/>
          <w:sz w:val="16"/>
          <w:szCs w:val="16"/>
          <w:color w:val="auto"/>
        </w:rPr>
        <w:t>. This Agreement, together with the Schedules and Exhibits, contains the entire understanding of the Parties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subject matter of this Agreement and supersedes and cancels all previous express or implied agreements and understandings, negotiations,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537" w:name="page538"/>
    <w:bookmarkEnd w:id="5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writings and commitments, either oral or written, in respect to the subject matter. This Agreement may be amended, or any term hereof modified, only by a written instrument duly executed by authorized representatives of both Parties.</w:t>
      </w:r>
    </w:p>
    <w:p>
      <w:pPr>
        <w:spacing w:after="0" w:line="16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13.10 Headings</w:t>
      </w:r>
      <w:r>
        <w:rPr>
          <w:rFonts w:ascii="Arial" w:cs="Arial" w:eastAsia="Arial" w:hAnsi="Arial"/>
          <w:sz w:val="18"/>
          <w:szCs w:val="18"/>
          <w:color w:val="auto"/>
        </w:rPr>
        <w:t>. The captions to the sections and subsections are not a part of this Agreement, but are merely for convenience to assist in locating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reading the sections and subsections.</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13.11 Independent Contractors</w:t>
      </w:r>
      <w:r>
        <w:rPr>
          <w:rFonts w:ascii="Arial" w:cs="Arial" w:eastAsia="Arial" w:hAnsi="Arial"/>
          <w:sz w:val="18"/>
          <w:szCs w:val="18"/>
          <w:color w:val="auto"/>
        </w:rPr>
        <w:t>. ACI and Janssen are independent contractors with respect to each other and the relationship between the two Parties is not a</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joint venture or agency. Neither ACI nor Janssen has the authority to make any statements, representations or commitments of any kind, or to take any action, binding on the other Party, without the prior written consent of the other Party.</w:t>
      </w:r>
    </w:p>
    <w:p>
      <w:pPr>
        <w:spacing w:after="0" w:line="1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13.12 Waiver</w:t>
      </w:r>
      <w:r>
        <w:rPr>
          <w:rFonts w:ascii="Arial" w:cs="Arial" w:eastAsia="Arial" w:hAnsi="Arial"/>
          <w:sz w:val="18"/>
          <w:szCs w:val="18"/>
          <w:color w:val="auto"/>
        </w:rPr>
        <w:t>. The waiver by either Party of any right, or the failure of the other Party to perform, or a breach by the other Party, is not a waiver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of any other breach or failure by such other Party.</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13.13 Cumulative Remedies</w:t>
      </w:r>
      <w:r>
        <w:rPr>
          <w:rFonts w:ascii="Arial" w:cs="Arial" w:eastAsia="Arial" w:hAnsi="Arial"/>
          <w:sz w:val="18"/>
          <w:szCs w:val="18"/>
          <w:color w:val="auto"/>
        </w:rPr>
        <w:t>. No remedy referred to in this Agreement is intended to be exclusive. Each is in addition to any other remedy referred to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otherwise available under law.</w:t>
      </w:r>
    </w:p>
    <w:p>
      <w:pPr>
        <w:spacing w:after="0" w:line="16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13.14 ACI Change of Control</w:t>
      </w:r>
      <w:r>
        <w:rPr>
          <w:rFonts w:ascii="Arial" w:cs="Arial" w:eastAsia="Arial" w:hAnsi="Arial"/>
          <w:sz w:val="18"/>
          <w:szCs w:val="18"/>
          <w:color w:val="auto"/>
        </w:rPr>
        <w:t>. In the event of the occurrence of a Change of Control of ACI during the Term and the successor in interest is a</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company or organization, Janssen may elect, by providing written notice within [*****] days after the date of the Change of Control, to take control of all Research and Development activities being conducted by ACI, and eliminate the JRC and ISC so that the provisions of Articles 3 and 5 no longer apply. The provisions of this section 13.13 will not apply in the case of an initial public offering by ACI, or a corporate restructuring (including the corporate domicile).</w:t>
      </w:r>
    </w:p>
    <w:p>
      <w:pPr>
        <w:spacing w:after="0" w:line="184"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13.15 Compliance with Anti-Corruption Laws</w:t>
      </w:r>
      <w:r>
        <w:rPr>
          <w:rFonts w:ascii="Arial" w:cs="Arial" w:eastAsia="Arial" w:hAnsi="Arial"/>
          <w:sz w:val="18"/>
          <w:szCs w:val="18"/>
          <w:color w:val="auto"/>
        </w:rPr>
        <w:t>. Neither Party shall perform any actions that are prohibited by local and other anti-corruption laws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U.S. Foreign Corrupt Practices Act, collectively “Anti-Corruption Laws”) that may be applicable to one or both Parties to the Agreement. Without limiting the foregoing, neither Party shall make any payments, or offer or transfer anything of value, to any government official or government employee, to any political party official or candidate for political office or to any other Third Party related to the transaction in a manner that would violate Anti-Corruption Laws.</w:t>
      </w:r>
    </w:p>
    <w:p>
      <w:pPr>
        <w:spacing w:after="0" w:line="18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13.16 Advice of Counsel</w:t>
      </w:r>
      <w:r>
        <w:rPr>
          <w:rFonts w:ascii="Arial" w:cs="Arial" w:eastAsia="Arial" w:hAnsi="Arial"/>
          <w:sz w:val="18"/>
          <w:szCs w:val="18"/>
          <w:color w:val="auto"/>
        </w:rPr>
        <w:t>. Each Party participated in the drafting of this Agreement. In interpreting and applying the terms and provisions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 presumption will exist or be implied against the Party that drafted the terms and provisions.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13.17 Counterparts</w:t>
      </w:r>
      <w:r>
        <w:rPr>
          <w:rFonts w:ascii="Arial" w:cs="Arial" w:eastAsia="Arial" w:hAnsi="Arial"/>
          <w:sz w:val="18"/>
          <w:szCs w:val="18"/>
          <w:color w:val="auto"/>
        </w:rPr>
        <w:t>. This Agreement may be executed in two or more counterparts, each of which is an original, but all of which together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instrument.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69" w:right="239" w:bottom="1440" w:gutter="0" w:footer="0" w:header="0"/>
        </w:sectPr>
      </w:pPr>
    </w:p>
    <w:bookmarkStart w:id="538" w:name="page539"/>
    <w:bookmarkEnd w:id="5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JANSSEN PHAMACUETICALS, INC.</w:t>
            </w:r>
          </w:p>
        </w:tc>
        <w:tc>
          <w:tcPr>
            <w:tcW w:w="6040" w:type="dxa"/>
            <w:vAlign w:val="bottom"/>
            <w:gridSpan w:val="3"/>
          </w:tcPr>
          <w:p>
            <w:pPr>
              <w:ind w:left="66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Bariahtaris</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Velasco</w:t>
            </w: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Steven Bariahtaris</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Martin Velasco</w:t>
            </w: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Treasurer</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Chairman</w:t>
            </w:r>
          </w:p>
        </w:tc>
      </w:tr>
      <w:tr>
        <w:trPr>
          <w:trHeight w:val="432"/>
        </w:trPr>
        <w:tc>
          <w:tcPr>
            <w:tcW w:w="5380" w:type="dxa"/>
            <w:vAlign w:val="bottom"/>
            <w:gridSpan w:val="3"/>
          </w:tcPr>
          <w:p>
            <w:pPr>
              <w:ind w:left="460"/>
              <w:spacing w:after="0"/>
              <w:rPr>
                <w:sz w:val="20"/>
                <w:szCs w:val="20"/>
                <w:color w:val="auto"/>
              </w:rPr>
            </w:pPr>
            <w:r>
              <w:rPr>
                <w:rFonts w:ascii="Arial" w:cs="Arial" w:eastAsia="Arial" w:hAnsi="Arial"/>
                <w:sz w:val="18"/>
                <w:szCs w:val="18"/>
                <w:color w:val="auto"/>
              </w:rPr>
              <w:t>12/24/14</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r>
      <w:tr>
        <w:trPr>
          <w:trHeight w:val="41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A. Pfeifer</w:t>
            </w: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Andrea Pfeifer</w:t>
            </w: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Dec. 24, 15.45, 2014</w:t>
            </w:r>
          </w:p>
        </w:tc>
      </w:tr>
    </w:tbl>
    <w:p>
      <w:pPr>
        <w:sectPr>
          <w:pgSz w:w="11900" w:h="16838" w:orient="portrait"/>
          <w:cols w:equalWidth="0" w:num="1">
            <w:col w:w="11420"/>
          </w:cols>
          <w:pgMar w:left="240" w:top="269" w:right="239" w:bottom="1440" w:gutter="0" w:footer="0" w:header="0"/>
        </w:sectPr>
      </w:pPr>
    </w:p>
    <w:bookmarkStart w:id="539" w:name="page540"/>
    <w:bookmarkEnd w:id="5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JANSSEN PHAMACUETICALS, INC.</w:t>
            </w:r>
          </w:p>
        </w:tc>
        <w:tc>
          <w:tcPr>
            <w:tcW w:w="6040" w:type="dxa"/>
            <w:vAlign w:val="bottom"/>
            <w:gridSpan w:val="3"/>
          </w:tcPr>
          <w:p>
            <w:pPr>
              <w:ind w:left="66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600" w:type="dxa"/>
            <w:vAlign w:val="bottom"/>
            <w:gridSpan w:val="2"/>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Steven Bariahtaris</w:t>
            </w: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By:</w:t>
            </w: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Bariahtaris</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18"/>
                <w:szCs w:val="18"/>
                <w:color w:val="auto"/>
              </w:rPr>
            </w:pP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Treasurer</w:t>
            </w: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Title:</w:t>
            </w:r>
          </w:p>
        </w:tc>
      </w:tr>
      <w:tr>
        <w:trPr>
          <w:trHeight w:val="432"/>
        </w:trPr>
        <w:tc>
          <w:tcPr>
            <w:tcW w:w="5380" w:type="dxa"/>
            <w:vAlign w:val="bottom"/>
            <w:gridSpan w:val="3"/>
          </w:tcPr>
          <w:p>
            <w:pPr>
              <w:ind w:left="460"/>
              <w:spacing w:after="0"/>
              <w:rPr>
                <w:sz w:val="20"/>
                <w:szCs w:val="20"/>
                <w:color w:val="auto"/>
              </w:rPr>
            </w:pPr>
            <w:r>
              <w:rPr>
                <w:rFonts w:ascii="Arial" w:cs="Arial" w:eastAsia="Arial" w:hAnsi="Arial"/>
                <w:sz w:val="18"/>
                <w:szCs w:val="18"/>
                <w:color w:val="auto"/>
              </w:rPr>
              <w:t>24-12-2014</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270" w:right="239" w:bottom="1440" w:gutter="0" w:footer="0" w:header="0"/>
        </w:sectPr>
      </w:pPr>
    </w:p>
    <w:bookmarkStart w:id="540" w:name="page541"/>
    <w:bookmarkEnd w:id="5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JANSSEN PHAMACUETICALS, INC.</w:t>
            </w:r>
          </w:p>
        </w:tc>
        <w:tc>
          <w:tcPr>
            <w:tcW w:w="6040" w:type="dxa"/>
            <w:vAlign w:val="bottom"/>
            <w:gridSpan w:val="3"/>
          </w:tcPr>
          <w:p>
            <w:pPr>
              <w:ind w:left="660"/>
              <w:spacing w:after="0"/>
              <w:rPr>
                <w:sz w:val="20"/>
                <w:szCs w:val="20"/>
                <w:color w:val="auto"/>
              </w:rPr>
            </w:pPr>
            <w:r>
              <w:rPr>
                <w:rFonts w:ascii="Arial" w:cs="Arial" w:eastAsia="Arial" w:hAnsi="Arial"/>
                <w:sz w:val="18"/>
                <w:szCs w:val="18"/>
                <w:b w:val="1"/>
                <w:bCs w:val="1"/>
                <w:color w:val="auto"/>
              </w:rPr>
              <w:t>AC IMMUNE SA</w:t>
            </w:r>
          </w:p>
        </w:tc>
      </w:tr>
      <w:tr>
        <w:trPr>
          <w:trHeight w:val="432"/>
        </w:trPr>
        <w:tc>
          <w:tcPr>
            <w:tcW w:w="5380" w:type="dxa"/>
            <w:vAlign w:val="bottom"/>
            <w:gridSpan w:val="3"/>
          </w:tcPr>
          <w:p>
            <w:pPr>
              <w:spacing w:after="0"/>
              <w:rPr>
                <w:sz w:val="20"/>
                <w:szCs w:val="20"/>
                <w:color w:val="auto"/>
              </w:rPr>
            </w:pPr>
            <w:r>
              <w:rPr>
                <w:rFonts w:ascii="Arial" w:cs="Arial" w:eastAsia="Arial" w:hAnsi="Arial"/>
                <w:sz w:val="18"/>
                <w:szCs w:val="18"/>
                <w:color w:val="auto"/>
              </w:rPr>
              <w:t>By:</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Martin Velasco</w:t>
            </w:r>
          </w:p>
        </w:tc>
      </w:tr>
      <w:tr>
        <w:trPr>
          <w:trHeight w:val="209"/>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18"/>
                <w:szCs w:val="18"/>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Velasco</w:t>
            </w:r>
          </w:p>
        </w:tc>
      </w:t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Title:</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Chairman</w:t>
            </w: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24-XII-2014</w:t>
            </w:r>
          </w:p>
        </w:tc>
      </w:tr>
      <w:tr>
        <w:trPr>
          <w:trHeight w:val="224"/>
        </w:trPr>
        <w:tc>
          <w:tcPr>
            <w:tcW w:w="20" w:type="dxa"/>
            <w:vAlign w:val="bottom"/>
          </w:tcPr>
          <w:p>
            <w:pPr>
              <w:spacing w:after="0"/>
              <w:rPr>
                <w:sz w:val="19"/>
                <w:szCs w:val="19"/>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Date</w:t>
            </w:r>
          </w:p>
        </w:tc>
        <w:tc>
          <w:tcPr>
            <w:tcW w:w="66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780" w:type="dxa"/>
            <w:vAlign w:val="bottom"/>
            <w:tcBorders>
              <w:top w:val="single" w:sz="8" w:color="auto"/>
            </w:tcBorders>
          </w:tcPr>
          <w:p>
            <w:pPr>
              <w:spacing w:after="0"/>
              <w:rPr>
                <w:sz w:val="19"/>
                <w:szCs w:val="19"/>
                <w:color w:val="auto"/>
              </w:rPr>
            </w:pPr>
          </w:p>
        </w:tc>
      </w:tr>
      <w:tr>
        <w:trPr>
          <w:trHeight w:val="41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A. Pfeifer</w:t>
            </w: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 Pfeifer</w:t>
            </w: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0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Dec. 24, 15.45,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541" w:name="page542"/>
    <w:bookmarkEnd w:id="54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1.7 J&amp;J Universal Calendar</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9019"/>
          </w:cols>
          <w:pgMar w:left="1440" w:top="270" w:right="1440" w:bottom="1440" w:gutter="0" w:footer="0" w:header="0"/>
        </w:sectPr>
      </w:pPr>
    </w:p>
    <w:bookmarkStart w:id="542" w:name="page543"/>
    <w:bookmarkEnd w:id="54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2015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172085</wp:posOffset>
            </wp:positionV>
            <wp:extent cx="2418080" cy="38677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418080" cy="3867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43" w:name="page544"/>
    <w:bookmarkEnd w:id="54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2016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172085</wp:posOffset>
            </wp:positionV>
            <wp:extent cx="2521585" cy="38677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521585" cy="3867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44" w:name="page545"/>
    <w:bookmarkEnd w:id="54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2017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171450</wp:posOffset>
            </wp:positionV>
            <wp:extent cx="2521585" cy="38677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52158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5" w:name="page546"/>
    <w:bookmarkEnd w:id="54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2018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172085</wp:posOffset>
            </wp:positionV>
            <wp:extent cx="2581275" cy="38677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581275" cy="3867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46" w:name="page547"/>
    <w:bookmarkEnd w:id="54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2019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172085</wp:posOffset>
            </wp:positionV>
            <wp:extent cx="2529840" cy="38677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52984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7" w:name="page548"/>
    <w:bookmarkEnd w:id="54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2020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172085</wp:posOffset>
            </wp:positionV>
            <wp:extent cx="2418080" cy="38677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418080" cy="3867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48" w:name="page549"/>
    <w:bookmarkEnd w:id="54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2021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1575435</wp:posOffset>
            </wp:positionH>
            <wp:positionV relativeFrom="paragraph">
              <wp:posOffset>171450</wp:posOffset>
            </wp:positionV>
            <wp:extent cx="2581275" cy="38677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581275" cy="3867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49" w:name="page550"/>
    <w:bookmarkEnd w:id="54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2022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1652905</wp:posOffset>
            </wp:positionH>
            <wp:positionV relativeFrom="paragraph">
              <wp:posOffset>172085</wp:posOffset>
            </wp:positionV>
            <wp:extent cx="2426970" cy="38677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42697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0" w:name="page551"/>
    <w:bookmarkEnd w:id="55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2023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172085</wp:posOffset>
            </wp:positionV>
            <wp:extent cx="2521585" cy="38677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521585"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1" w:name="page552"/>
    <w:bookmarkEnd w:id="55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2024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172085</wp:posOffset>
            </wp:positionV>
            <wp:extent cx="2538730" cy="38677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538730" cy="38677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2" w:name="page553"/>
    <w:bookmarkEnd w:id="55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2025 UNIVERSAL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172085</wp:posOffset>
            </wp:positionV>
            <wp:extent cx="2478405" cy="38677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478405" cy="386778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53" w:name="page554"/>
    <w:bookmarkEnd w:id="55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1.14 CMC Work Plan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9019"/>
          </w:cols>
          <w:pgMar w:left="1440" w:top="269" w:right="1440" w:bottom="1440" w:gutter="0" w:footer="0" w:header="0"/>
        </w:sectPr>
      </w:pPr>
    </w:p>
    <w:bookmarkStart w:id="554" w:name="page555"/>
    <w:bookmarkEnd w:id="55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1.20 Development Plan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019"/>
          </w:cols>
          <w:pgMar w:left="1440" w:top="270" w:right="1440" w:bottom="1440" w:gutter="0" w:footer="0" w:header="0"/>
        </w:sectPr>
      </w:pPr>
    </w:p>
    <w:bookmarkStart w:id="555" w:name="page556"/>
    <w:bookmarkEnd w:id="55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1.66 Research Plan</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Tau [*****]</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Tau [*****]</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9019"/>
          </w:cols>
          <w:pgMar w:left="1440" w:top="270" w:right="1440" w:bottom="1440" w:gutter="0" w:footer="0" w:header="0"/>
        </w:sectPr>
      </w:pPr>
    </w:p>
    <w:bookmarkStart w:id="556" w:name="page557"/>
    <w:bookmarkEnd w:id="556"/>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6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Tau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Tau [*****]</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269" w:right="1440" w:bottom="1440" w:gutter="0" w:footer="0" w:header="0"/>
        </w:sectPr>
      </w:pPr>
    </w:p>
    <w:bookmarkStart w:id="557" w:name="page558"/>
    <w:bookmarkEnd w:id="55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4.1 ACI Employees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019"/>
          </w:cols>
          <w:pgMar w:left="1440" w:top="269" w:right="1440" w:bottom="1440" w:gutter="0" w:footer="0" w:header="0"/>
        </w:sectPr>
      </w:pPr>
    </w:p>
    <w:bookmarkStart w:id="558" w:name="page559"/>
    <w:bookmarkEnd w:id="558"/>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500" w:right="112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ind w:left="4300"/>
        <w:spacing w:after="0"/>
        <w:rPr>
          <w:sz w:val="20"/>
          <w:szCs w:val="20"/>
          <w:color w:val="auto"/>
        </w:rPr>
      </w:pPr>
      <w:r>
        <w:rPr>
          <w:rFonts w:ascii="Arial" w:cs="Arial" w:eastAsia="Arial" w:hAnsi="Arial"/>
          <w:sz w:val="18"/>
          <w:szCs w:val="18"/>
          <w:b w:val="1"/>
          <w:bCs w:val="1"/>
          <w:u w:val="single" w:color="auto"/>
          <w:color w:val="auto"/>
        </w:rPr>
        <w:t>Schedule 9.2.2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ACI shall invoice Janssen for each Milestone Payment at the following address: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Janssen shall make all milestone and royalty payments to ACI by wire transfer of immediately available funds to the bank account identified below or such other bank account as ACI may designate in writing to Janssen: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Attention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240" w:top="270" w:right="479" w:bottom="1440" w:gutter="0" w:footer="0" w:header="0"/>
        </w:sectPr>
      </w:pPr>
    </w:p>
    <w:bookmarkStart w:id="559" w:name="page560"/>
    <w:bookmarkEnd w:id="5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10.1.5 ACI Patent Rights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Tau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Tau [*****]</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0" w:right="239" w:bottom="1440" w:gutter="0" w:footer="0" w:header="0"/>
        </w:sectPr>
      </w:pPr>
    </w:p>
    <w:bookmarkStart w:id="560" w:name="page561"/>
    <w:bookmarkEnd w:id="56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019"/>
          </w:cols>
          <w:pgMar w:left="1440" w:top="269" w:right="1440" w:bottom="1440" w:gutter="0" w:footer="0" w:header="0"/>
        </w:sectPr>
      </w:pPr>
    </w:p>
    <w:bookmarkStart w:id="561" w:name="page562"/>
    <w:bookmarkEnd w:id="5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Tau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Tau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562" w:name="page563"/>
    <w:bookmarkEnd w:id="56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10.1.6 ACI Agreements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9019"/>
          </w:cols>
          <w:pgMar w:left="1440" w:top="269" w:right="1440" w:bottom="1440" w:gutter="0" w:footer="0" w:header="0"/>
        </w:sectPr>
      </w:pPr>
    </w:p>
    <w:bookmarkStart w:id="563" w:name="page564"/>
    <w:bookmarkEnd w:id="56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019"/>
          </w:cols>
          <w:pgMar w:left="1440" w:top="270" w:right="1440" w:bottom="1440" w:gutter="0" w:footer="0" w:header="0"/>
        </w:sectPr>
      </w:pPr>
    </w:p>
    <w:bookmarkStart w:id="564" w:name="page565"/>
    <w:bookmarkEnd w:id="56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9019"/>
          </w:cols>
          <w:pgMar w:left="1440" w:top="270" w:right="1440" w:bottom="1440" w:gutter="0" w:footer="0" w:header="0"/>
        </w:sectPr>
      </w:pPr>
    </w:p>
    <w:bookmarkStart w:id="565" w:name="page566"/>
    <w:bookmarkEnd w:id="56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9019"/>
          </w:cols>
          <w:pgMar w:left="1440" w:top="269" w:right="1440" w:bottom="1440" w:gutter="0" w:footer="0" w:header="0"/>
        </w:sectPr>
      </w:pPr>
    </w:p>
    <w:bookmarkStart w:id="566" w:name="page567"/>
    <w:bookmarkEnd w:id="56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9019"/>
          </w:cols>
          <w:pgMar w:left="1440" w:top="270" w:right="1440" w:bottom="1440" w:gutter="0" w:footer="0" w:header="0"/>
        </w:sectPr>
      </w:pPr>
    </w:p>
    <w:bookmarkStart w:id="567" w:name="page568"/>
    <w:bookmarkEnd w:id="56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180" w:right="159"/>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A ACI Press Release</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9019"/>
          </w:cols>
          <w:pgMar w:left="1440" w:top="269" w:right="1440" w:bottom="1440" w:gutter="0" w:footer="0" w:header="0"/>
        </w:sectPr>
      </w:pPr>
    </w:p>
    <w:bookmarkStart w:id="568" w:name="page569"/>
    <w:bookmarkEnd w:id="5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1389380" cy="3003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893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980"/>
        <w:spacing w:after="0"/>
        <w:rPr>
          <w:sz w:val="20"/>
          <w:szCs w:val="20"/>
          <w:color w:val="auto"/>
        </w:rPr>
      </w:pPr>
      <w:r>
        <w:rPr>
          <w:rFonts w:ascii="Arial" w:cs="Arial" w:eastAsia="Arial" w:hAnsi="Arial"/>
          <w:sz w:val="17"/>
          <w:szCs w:val="17"/>
          <w:b w:val="1"/>
          <w:bCs w:val="1"/>
          <w:color w:val="auto"/>
        </w:rPr>
        <w:t>PRESS RELEASE</w:t>
      </w:r>
    </w:p>
    <w:p>
      <w:pPr>
        <w:spacing w:after="0" w:line="23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AC Immune Enters into a Worldwide License and Collaboration Agreement for Alzheimer’s Disease Therapeutic Tau-Vaccines with Janssen Pharmaceuticals, Inc.</w:t>
      </w:r>
    </w:p>
    <w:p>
      <w:pPr>
        <w:spacing w:after="0" w:line="67" w:lineRule="exact"/>
        <w:rPr>
          <w:sz w:val="20"/>
          <w:szCs w:val="20"/>
          <w:color w:val="auto"/>
        </w:rPr>
      </w:pPr>
    </w:p>
    <w:p>
      <w:pPr>
        <w:ind w:left="460" w:hanging="452"/>
        <w:spacing w:after="0"/>
        <w:tabs>
          <w:tab w:leader="none" w:pos="46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worldwide License agreement potentially worth up to USD 509 million (CHF 500 million*)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Three-year joint program to develop tauopathies therapeutic vaccines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Offers potential to treat Alzheimer’s patients earlier in the disease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b w:val="1"/>
          <w:bCs w:val="1"/>
          <w:color w:val="auto"/>
        </w:rPr>
        <w:t xml:space="preserve">Lausanne, Switzerland, - January 12, 2015 - </w:t>
      </w:r>
      <w:r>
        <w:rPr>
          <w:rFonts w:ascii="Arial" w:cs="Arial" w:eastAsia="Arial" w:hAnsi="Arial"/>
          <w:sz w:val="17"/>
          <w:szCs w:val="17"/>
          <w:color w:val="auto"/>
        </w:rPr>
        <w:t>AC Immune today announced it has entered into a worldwide exclusive license agreement and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collaboration with Janssen Pharmaceuticals, Inc., to develop and commercialize therapeutic anti-Tau vaccines for the treatment of Alzheimer’s disease and potentially other tauopathies**. Janssen Research &amp; Development, LLC, an affiliate of Janssen Pharmaceuticals, Inc., will further develop the lead therapeutic vaccine, ACI-35, that is currently in a phase Ib clinical trial in Alzheimer’s patients. ACI-35 is an active therapeutic vaccine stimulating the patient’s immune system to produce a polyclonal antibody response against phosphorylated Tau protein.</w:t>
      </w:r>
    </w:p>
    <w:p>
      <w:pPr>
        <w:spacing w:after="0" w:line="17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terms of the agreement, AC Immune will receive an upfront payment and is eligible to receive research, development and commercialization milestone payments potentially totaling up to USD 509 million (CHF 500 million*) for Alzheimer’s disease and for a potential second indication outside of Alzheimer’s disease. Additionally, the company is eligible to receive tiered royalties on net sales for any approved products resulting from the collaboration. AC Immune and Janssen will co-develop ACI-35 through phase Ib completion. As of phase II and onward, Janssen will assume responsibility for the clinical development, manufacturing and commercialization of ACI-35. Additionally, the two companies have entered a 3 year joint research collaboration to further characterize and develop novel vaccine therapies for the treatment of tauopathies.</w:t>
      </w:r>
    </w:p>
    <w:p>
      <w:pPr>
        <w:spacing w:after="0" w:line="174"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 xml:space="preserve">Prof. Andrea Pfeifer, CEO of AC Immune </w:t>
      </w:r>
      <w:r>
        <w:rPr>
          <w:rFonts w:ascii="Arial" w:cs="Arial" w:eastAsia="Arial" w:hAnsi="Arial"/>
          <w:sz w:val="16"/>
          <w:szCs w:val="16"/>
          <w:color w:val="auto"/>
        </w:rPr>
        <w:t>said: “We are very pleased to begin this exciting strategic partnership with Janssen in a groundbreaking deal</w:t>
      </w:r>
      <w:r>
        <w:rPr>
          <w:rFonts w:ascii="Arial" w:cs="Arial" w:eastAsia="Arial" w:hAnsi="Arial"/>
          <w:sz w:val="16"/>
          <w:szCs w:val="16"/>
          <w:b w:val="1"/>
          <w:bCs w:val="1"/>
          <w:color w:val="auto"/>
        </w:rPr>
        <w:t xml:space="preserve"> </w:t>
      </w:r>
      <w:r>
        <w:rPr>
          <w:rFonts w:ascii="Arial" w:cs="Arial" w:eastAsia="Arial" w:hAnsi="Arial"/>
          <w:sz w:val="16"/>
          <w:szCs w:val="16"/>
          <w:color w:val="auto"/>
        </w:rPr>
        <w:t>involving the first anti-pTau therapeutic vaccine. This is our third major collaboration with pharmaceutical partners involving the Tau protein and underscores the strength of our technology platforms for targeting proteinopathies and our success in bringing to the clinic Tau and Abeta therapies and diagnostics.”</w:t>
      </w:r>
    </w:p>
    <w:p>
      <w:pPr>
        <w:spacing w:after="0" w:line="173" w:lineRule="exact"/>
        <w:rPr>
          <w:sz w:val="20"/>
          <w:szCs w:val="20"/>
          <w:color w:val="auto"/>
        </w:rPr>
      </w:pPr>
    </w:p>
    <w:p>
      <w:pPr>
        <w:ind w:left="460" w:hanging="452"/>
        <w:spacing w:after="0"/>
        <w:tabs>
          <w:tab w:leader="none" w:pos="4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USD/CHF exchange rate from Bloomberg as of 19 December 2014</w:t>
      </w:r>
    </w:p>
    <w:p>
      <w:pPr>
        <w:spacing w:after="0" w:line="23" w:lineRule="exact"/>
        <w:rPr>
          <w:sz w:val="20"/>
          <w:szCs w:val="20"/>
          <w:color w:val="auto"/>
        </w:rPr>
      </w:pPr>
    </w:p>
    <w:p>
      <w:pPr>
        <w:ind w:left="460" w:right="240" w:hanging="452"/>
        <w:spacing w:after="0" w:line="261" w:lineRule="auto"/>
        <w:tabs>
          <w:tab w:leader="none" w:pos="4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Tauopathies are a family of diseases involving the misfolding and aggregating of Tau protein; i.e. frontotemporal dementia, progressive supranuclear palsy and amyotrophic lateral sclerosis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 3</w:t>
      </w:r>
    </w:p>
    <w:p>
      <w:pPr>
        <w:sectPr>
          <w:pgSz w:w="11900" w:h="16838" w:orient="portrait"/>
          <w:cols w:equalWidth="0" w:num="1">
            <w:col w:w="11420"/>
          </w:cols>
          <w:pgMar w:left="240" w:top="270" w:right="239" w:bottom="1440" w:gutter="0" w:footer="0" w:header="0"/>
        </w:sectPr>
      </w:pPr>
    </w:p>
    <w:bookmarkStart w:id="569" w:name="page570"/>
    <w:bookmarkEnd w:id="5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60" w:right="136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09"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Martin Velasco, Chairman of the Board </w:t>
      </w:r>
      <w:r>
        <w:rPr>
          <w:rFonts w:ascii="Arial" w:cs="Arial" w:eastAsia="Arial" w:hAnsi="Arial"/>
          <w:sz w:val="18"/>
          <w:szCs w:val="18"/>
          <w:color w:val="auto"/>
        </w:rPr>
        <w:t>added: “This agreement is another validation of our leadership in Alzheimer’s disease and of the growing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large pharmaceutical companies in this field. We are determined to remain at the forefront of the industry’s efforts to develop therapies to address this critical global health problem.”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ACI-35 vaccine</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“ACI-35 is the first therapeutic vaccine in clinical development that targets misfolded phospho-Tau protein that is associated with Alzheimer’s disease. It is important to note that this vaccine approach offers the potential to treat Alzheimer’s patients earlier and in broad populations and has an exciting future aptitude to treat other rarer tauopathy indications,” commented </w:t>
      </w:r>
      <w:r>
        <w:rPr>
          <w:rFonts w:ascii="Arial" w:cs="Arial" w:eastAsia="Arial" w:hAnsi="Arial"/>
          <w:sz w:val="17"/>
          <w:szCs w:val="17"/>
          <w:b w:val="1"/>
          <w:bCs w:val="1"/>
          <w:color w:val="auto"/>
        </w:rPr>
        <w:t>Dr. Andreas Muhs, Chief Scientific Officer of AC Immune</w:t>
      </w:r>
      <w:r>
        <w:rPr>
          <w:rFonts w:ascii="Arial" w:cs="Arial" w:eastAsia="Arial" w:hAnsi="Arial"/>
          <w:sz w:val="17"/>
          <w:szCs w:val="17"/>
          <w:color w:val="auto"/>
        </w:rPr>
        <w:t>.</w:t>
      </w:r>
    </w:p>
    <w:p>
      <w:pPr>
        <w:spacing w:after="0" w:line="16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ACI-35 is an active therapeutic vaccine, discovered by AC Immune, stimulating the patient’s immune system to produce conformation-specific antibodies against phosphorylated Tau protein. The phospho-Tau protein forms twisted fibers inside neuronal cells and builds tangles that are considered to be one of the two hallmarks of Alzheimer’s disease, besides Abeta-plaques. During pre-clinical development, ACI-35 showed reduction of phospho-Tau aggregates and total pathological Tau and improvement of clinical parameters. ACI-35 is also characterized by very specific antibody response against pathological Tau and its T-cell independent immune response, an important feature of AC Immune’s SupraAntigen technology platform, supporting the excellent safety profile.</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therapeutic vaccine is currently in a phase lb, randomized, double blind, placebo controlled clinical study in Alzheimer’s patients with the primary objective of evaluating the safety, tolerability and immunogenicity of ACI-35. Secondary objectives will assess relevant biomarkers and functional and clinical parameters. Two groups of patients with mild to moderate Alzheimer’s disease will receive a different dose of ACI-35. Patient safety in the study has been secured by careful planning and extensive preclinical tests.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Alzheimer’s disease</w:t>
      </w:r>
    </w:p>
    <w:p>
      <w:pPr>
        <w:spacing w:after="0" w:line="12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Scientists don’t yet fully understand what causes Alzheimer’s disease, but it has become increasingly clear that it develops because of a complex series of events that take place in the brain over a long period of time. Two proteins – Tau and Abeta – are perceived as the major hallmarks of neurodegeneration: tangles and other abnormal forms of Tau protein accumulate inside the brain cells, while plaques and oligomers formed by beta-amyloid occur outside the brain cells of people with Alzheimer’s disease.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Alzheimer’s disease will be one of the biggest burdens of the future society showing dramatic incidence rates: every 69 seconds someone in the US develops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Alzheimer’s disease, by mid-century someone will develop the disease every 33 seconds. 44 million people were affected with the disease worldwide in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US Alzheimer’s disease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 / 3</w:t>
      </w:r>
    </w:p>
    <w:p>
      <w:pPr>
        <w:sectPr>
          <w:pgSz w:w="11900" w:h="16838" w:orient="portrait"/>
          <w:cols w:equalWidth="0" w:num="1">
            <w:col w:w="11420"/>
          </w:cols>
          <w:pgMar w:left="240" w:top="270" w:right="239" w:bottom="1440" w:gutter="0" w:footer="0" w:header="0"/>
        </w:sectPr>
      </w:pPr>
    </w:p>
    <w:bookmarkStart w:id="570" w:name="page571"/>
    <w:bookmarkEnd w:id="5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UNDER RULE 406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7" w:lineRule="exact"/>
        <w:rPr>
          <w:sz w:val="20"/>
          <w:szCs w:val="20"/>
          <w:color w:val="auto"/>
        </w:rPr>
      </w:pPr>
    </w:p>
    <w:p>
      <w:pPr>
        <w:jc w:val="center"/>
        <w:ind w:left="280" w:right="1340"/>
        <w:spacing w:after="0" w:line="266" w:lineRule="auto"/>
        <w:rPr>
          <w:sz w:val="20"/>
          <w:szCs w:val="20"/>
          <w:color w:val="auto"/>
        </w:rPr>
      </w:pPr>
      <w:r>
        <w:rPr>
          <w:rFonts w:ascii="Arial" w:cs="Arial" w:eastAsia="Arial" w:hAnsi="Arial"/>
          <w:sz w:val="18"/>
          <w:szCs w:val="18"/>
          <w:b w:val="1"/>
          <w:bCs w:val="1"/>
          <w:color w:val="auto"/>
        </w:rPr>
        <w:t>[*****] INDICATES OMITTED MATERIAL THAT IS THE SUBJECT OF A CONFIDENTIAL TREATMENT REQUEST FILED SEPARATELY WITH THE COMMISSION. THE OMITTED MATERIAL HAS BEEN FILED SEPARATELY WITH THE COMMISSION.</w:t>
      </w:r>
    </w:p>
    <w:p>
      <w:pPr>
        <w:spacing w:after="0" w:line="11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is now the 6th leading cause of death across all ages. It was the fifth leading cause of death for those aged 65 and older. Since the incidence and prevalence of Alzheimer’s disease increase with age, the number of patients will grow dramatically with our society getting older. By 2050, we expect that patient numbers will triple to 135 million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 Immune is a leading Swiss-based biopharmaceutical company with three products in clinical trials. The Company designs, discovers and develops therapeutic and diagnostic products to prevent and modify diseases caused by misfolding proteins. AC Immune’s two proprietary technology platforms create antibodies, small molecules and vaccines to address large markets across a broad spectrum of central nervous system indications. Alzheimer’s disease is the largest indication addressed by its products but the company’s innovative, highly differentiated and disease-modifying therapies are capable of shifting the paradigm in the treatment of other neurodegenerative diseases such as Down syndrome, Parkinson’s, tauopathies and Glaucoma. The Company has a large, diversified and promising pipeline featuring seven therapeutic and two diagnostic products in Alzheimer’s disease. The most advanced of these is crenezumab, an anti-Abeta antibody that is licensed to Genentech and has completed phase II clinical trials. Crenezumab was chosen by the US National Institute of Health for use in the first-ever AD prevention trial. The company has partnered three programs targeting Tau: ACI-35 with Janssen (therapeutic vaccine, phase Ib), Tau PET tracers with Piramal (Alzheimer’s diagnostic agent, pre-clinical) and Tau-antibodies with Genentech (preclinical). The anti-Abeta vaccine ACI-24 phase I/IIa trial is run in house. Since its foundation in 2003, AC Immune has raised 84 million Swiss francs (USD 81 million) from private investors.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2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5"/>
        </w:trPr>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AC Immune</w:t>
            </w:r>
          </w:p>
        </w:tc>
        <w:tc>
          <w:tcPr>
            <w:tcW w:w="2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Prof. Andrea Pfeifer</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Eva Schier</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Corporate Communications Manager</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Phone: +41-21-693 91 21</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Phone: +41-21-693 91 34</w:t>
            </w:r>
          </w:p>
        </w:tc>
      </w:tr>
      <w:tr>
        <w:trPr>
          <w:trHeight w:val="190"/>
        </w:trPr>
        <w:tc>
          <w:tcPr>
            <w:tcW w:w="4320" w:type="dxa"/>
            <w:vAlign w:val="bottom"/>
            <w:gridSpan w:val="4"/>
          </w:tcPr>
          <w:p>
            <w:pPr>
              <w:spacing w:after="0" w:line="190" w:lineRule="exact"/>
              <w:rPr>
                <w:sz w:val="20"/>
                <w:szCs w:val="20"/>
                <w:color w:val="auto"/>
              </w:rPr>
            </w:pPr>
            <w:r>
              <w:rPr>
                <w:rFonts w:ascii="Arial" w:cs="Arial" w:eastAsia="Arial" w:hAnsi="Arial"/>
                <w:sz w:val="18"/>
                <w:szCs w:val="18"/>
                <w:color w:val="auto"/>
              </w:rPr>
              <w:t>E-mail: andrea.pfeifer@acimmune.com</w:t>
            </w:r>
          </w:p>
        </w:tc>
        <w:tc>
          <w:tcPr>
            <w:tcW w:w="4640" w:type="dxa"/>
            <w:vAlign w:val="bottom"/>
            <w:gridSpan w:val="4"/>
          </w:tcPr>
          <w:p>
            <w:pPr>
              <w:ind w:left="1640"/>
              <w:spacing w:after="0" w:line="190" w:lineRule="exact"/>
              <w:rPr>
                <w:sz w:val="20"/>
                <w:szCs w:val="20"/>
                <w:color w:val="auto"/>
              </w:rPr>
            </w:pPr>
            <w:r>
              <w:rPr>
                <w:rFonts w:ascii="Arial" w:cs="Arial" w:eastAsia="Arial" w:hAnsi="Arial"/>
                <w:sz w:val="18"/>
                <w:szCs w:val="18"/>
                <w:color w:val="auto"/>
              </w:rPr>
              <w:t>E-mail: eva.schier@acimmune.com</w:t>
            </w:r>
          </w:p>
        </w:tc>
      </w:tr>
      <w:tr>
        <w:trPr>
          <w:trHeight w:val="20"/>
        </w:trPr>
        <w:tc>
          <w:tcPr>
            <w:tcW w:w="6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2"/>
        </w:trPr>
        <w:tc>
          <w:tcPr>
            <w:tcW w:w="4320" w:type="dxa"/>
            <w:vAlign w:val="bottom"/>
            <w:gridSpan w:val="4"/>
          </w:tcPr>
          <w:p>
            <w:pPr>
              <w:spacing w:after="0"/>
              <w:rPr>
                <w:sz w:val="20"/>
                <w:szCs w:val="20"/>
                <w:color w:val="auto"/>
              </w:rPr>
            </w:pPr>
            <w:r>
              <w:rPr>
                <w:rFonts w:ascii="Arial" w:cs="Arial" w:eastAsia="Arial" w:hAnsi="Arial"/>
                <w:sz w:val="18"/>
                <w:szCs w:val="18"/>
                <w:color w:val="auto"/>
              </w:rPr>
              <w:t>Nick Miles</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In the US</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Senior Consultant</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Ted Agne</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Cabinet Privé de Conseils s.a.</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w w:val="90"/>
              </w:rPr>
              <w:t>The Communications Strategy Group lnc.</w:t>
            </w: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Mobile: +41 79 678 76 26</w:t>
            </w:r>
          </w:p>
        </w:tc>
        <w:tc>
          <w:tcPr>
            <w:tcW w:w="4640" w:type="dxa"/>
            <w:vAlign w:val="bottom"/>
            <w:gridSpan w:val="4"/>
          </w:tcPr>
          <w:p>
            <w:pPr>
              <w:ind w:left="1640"/>
              <w:spacing w:after="0"/>
              <w:rPr>
                <w:sz w:val="20"/>
                <w:szCs w:val="20"/>
                <w:color w:val="auto"/>
              </w:rPr>
            </w:pPr>
            <w:r>
              <w:rPr>
                <w:rFonts w:ascii="Arial" w:cs="Arial" w:eastAsia="Arial" w:hAnsi="Arial"/>
                <w:sz w:val="18"/>
                <w:szCs w:val="18"/>
                <w:color w:val="auto"/>
              </w:rPr>
              <w:t>Phone: +1 781 631 3117</w:t>
            </w:r>
          </w:p>
        </w:tc>
      </w:tr>
      <w:tr>
        <w:trPr>
          <w:trHeight w:val="190"/>
        </w:trPr>
        <w:tc>
          <w:tcPr>
            <w:tcW w:w="4320" w:type="dxa"/>
            <w:vAlign w:val="bottom"/>
            <w:gridSpan w:val="4"/>
          </w:tcPr>
          <w:p>
            <w:pPr>
              <w:spacing w:after="0" w:line="190" w:lineRule="exact"/>
              <w:rPr>
                <w:sz w:val="20"/>
                <w:szCs w:val="20"/>
                <w:color w:val="auto"/>
              </w:rPr>
            </w:pPr>
            <w:r>
              <w:rPr>
                <w:rFonts w:ascii="Arial" w:cs="Arial" w:eastAsia="Arial" w:hAnsi="Arial"/>
                <w:sz w:val="18"/>
                <w:szCs w:val="18"/>
                <w:color w:val="auto"/>
              </w:rPr>
              <w:t>E-mail: miles@cpc-pr.com</w:t>
            </w:r>
          </w:p>
        </w:tc>
        <w:tc>
          <w:tcPr>
            <w:tcW w:w="4640" w:type="dxa"/>
            <w:vAlign w:val="bottom"/>
            <w:gridSpan w:val="4"/>
          </w:tcPr>
          <w:p>
            <w:pPr>
              <w:ind w:left="1640"/>
              <w:spacing w:after="0" w:line="190" w:lineRule="exact"/>
              <w:rPr>
                <w:sz w:val="20"/>
                <w:szCs w:val="20"/>
                <w:color w:val="auto"/>
              </w:rPr>
            </w:pPr>
            <w:r>
              <w:rPr>
                <w:rFonts w:ascii="Arial" w:cs="Arial" w:eastAsia="Arial" w:hAnsi="Arial"/>
                <w:sz w:val="18"/>
                <w:szCs w:val="18"/>
                <w:color w:val="auto"/>
              </w:rPr>
              <w:t>E-mail: edagne@comstratgroup.com</w:t>
            </w:r>
          </w:p>
        </w:tc>
      </w:tr>
      <w:tr>
        <w:trPr>
          <w:trHeight w:val="399"/>
        </w:trPr>
        <w:tc>
          <w:tcPr>
            <w:tcW w:w="6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tcPr>
          <w:p>
            <w:pPr>
              <w:ind w:left="1240"/>
              <w:spacing w:after="0"/>
              <w:rPr>
                <w:sz w:val="20"/>
                <w:szCs w:val="20"/>
                <w:color w:val="auto"/>
              </w:rPr>
            </w:pPr>
            <w:r>
              <w:rPr>
                <w:rFonts w:ascii="Arial" w:cs="Arial" w:eastAsia="Arial" w:hAnsi="Arial"/>
                <w:sz w:val="18"/>
                <w:szCs w:val="18"/>
                <w:color w:val="auto"/>
              </w:rPr>
              <w:t>3 / 3</w:t>
            </w:r>
          </w:p>
        </w:tc>
        <w:tc>
          <w:tcPr>
            <w:tcW w:w="19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571" w:name="page572"/>
    <w:bookmarkEnd w:id="571"/>
    <w:p>
      <w:pPr>
        <w:ind w:left="10480"/>
        <w:spacing w:after="0"/>
        <w:rPr>
          <w:sz w:val="20"/>
          <w:szCs w:val="20"/>
          <w:color w:val="auto"/>
        </w:rPr>
      </w:pPr>
      <w:r>
        <w:rPr>
          <w:rFonts w:ascii="Arial" w:cs="Arial" w:eastAsia="Arial" w:hAnsi="Arial"/>
          <w:sz w:val="16"/>
          <w:szCs w:val="16"/>
          <w:b w:val="1"/>
          <w:bCs w:val="1"/>
          <w:color w:val="auto"/>
        </w:rPr>
        <w:t>Exhibit 10.6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INDEMNITY AGREEMENT</w:t>
      </w:r>
    </w:p>
    <w:p>
      <w:pPr>
        <w:spacing w:after="0" w:line="212" w:lineRule="exact"/>
        <w:rPr>
          <w:sz w:val="20"/>
          <w:szCs w:val="20"/>
          <w:color w:val="auto"/>
        </w:rPr>
      </w:pPr>
    </w:p>
    <w:tbl>
      <w:tblPr>
        <w:tblLayout w:type="fixed"/>
        <w:tblInd w:w="46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w w:val="86"/>
              </w:rPr>
              <w:t>made as of [</w:t>
            </w:r>
          </w:p>
        </w:tc>
        <w:tc>
          <w:tcPr>
            <w:tcW w:w="100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880" w:type="dxa"/>
            <w:vAlign w:val="bottom"/>
            <w:gridSpan w:val="2"/>
          </w:tcPr>
          <w:p>
            <w:pPr>
              <w:ind w:left="580"/>
              <w:spacing w:after="0"/>
              <w:rPr>
                <w:sz w:val="20"/>
                <w:szCs w:val="20"/>
                <w:color w:val="auto"/>
              </w:rPr>
            </w:pPr>
            <w:r>
              <w:rPr>
                <w:rFonts w:ascii="Arial" w:cs="Arial" w:eastAsia="Arial" w:hAnsi="Arial"/>
                <w:sz w:val="18"/>
                <w:szCs w:val="18"/>
                <w:color w:val="auto"/>
              </w:rPr>
              <w:t>by and among</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 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1015 Lausanne</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[COVERED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Covered Person</w:t>
            </w:r>
            <w:r>
              <w:rPr>
                <w:rFonts w:ascii="Arial" w:cs="Arial" w:eastAsia="Arial" w:hAnsi="Arial"/>
                <w:sz w:val="18"/>
                <w:szCs w:val="18"/>
                <w:color w:val="auto"/>
              </w:rPr>
              <w:t>”)</w:t>
            </w:r>
          </w:p>
        </w:tc>
      </w:tr>
      <w:tr>
        <w:trPr>
          <w:trHeight w:val="432"/>
        </w:trPr>
        <w:tc>
          <w:tcPr>
            <w:tcW w:w="3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tc>
      </w:tr>
      <w:tr>
        <w:trPr>
          <w:trHeight w:val="54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5020" w:type="dxa"/>
            <w:vAlign w:val="bottom"/>
          </w:tcPr>
          <w:p>
            <w:pPr>
              <w:spacing w:after="0"/>
              <w:rPr>
                <w:sz w:val="24"/>
                <w:szCs w:val="24"/>
                <w:color w:val="auto"/>
              </w:rPr>
            </w:pPr>
          </w:p>
        </w:tc>
      </w:tr>
      <w:tr>
        <w:trPr>
          <w:trHeight w:val="459"/>
        </w:trPr>
        <w:tc>
          <w:tcPr>
            <w:tcW w:w="6400" w:type="dxa"/>
            <w:vAlign w:val="bottom"/>
            <w:gridSpan w:val="2"/>
          </w:tcPr>
          <w:p>
            <w:pPr>
              <w:spacing w:after="0"/>
              <w:rPr>
                <w:sz w:val="20"/>
                <w:szCs w:val="20"/>
                <w:color w:val="auto"/>
              </w:rPr>
            </w:pPr>
            <w:r>
              <w:rPr>
                <w:rFonts w:ascii="Arial" w:cs="Arial" w:eastAsia="Arial" w:hAnsi="Arial"/>
                <w:sz w:val="18"/>
                <w:szCs w:val="18"/>
                <w:color w:val="auto"/>
              </w:rPr>
              <w:t>Preamble</w:t>
            </w:r>
          </w:p>
        </w:tc>
        <w:tc>
          <w:tcPr>
            <w:tcW w:w="5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6060" w:type="dxa"/>
            <w:vAlign w:val="bottom"/>
          </w:tcPr>
          <w:p>
            <w:pPr>
              <w:ind w:left="100"/>
              <w:spacing w:after="0"/>
              <w:rPr>
                <w:sz w:val="20"/>
                <w:szCs w:val="20"/>
                <w:color w:val="auto"/>
              </w:rPr>
            </w:pPr>
            <w:r>
              <w:rPr>
                <w:rFonts w:ascii="Arial" w:cs="Arial" w:eastAsia="Arial" w:hAnsi="Arial"/>
                <w:sz w:val="18"/>
                <w:szCs w:val="18"/>
                <w:color w:val="auto"/>
              </w:rPr>
              <w:t>Third Party Proceedings</w:t>
            </w:r>
          </w:p>
        </w:tc>
        <w:tc>
          <w:tcPr>
            <w:tcW w:w="5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6060" w:type="dxa"/>
            <w:vAlign w:val="bottom"/>
          </w:tcPr>
          <w:p>
            <w:pPr>
              <w:ind w:left="100"/>
              <w:spacing w:after="0"/>
              <w:rPr>
                <w:sz w:val="20"/>
                <w:szCs w:val="20"/>
                <w:color w:val="auto"/>
              </w:rPr>
            </w:pPr>
            <w:r>
              <w:rPr>
                <w:rFonts w:ascii="Arial" w:cs="Arial" w:eastAsia="Arial" w:hAnsi="Arial"/>
                <w:sz w:val="18"/>
                <w:szCs w:val="18"/>
                <w:color w:val="auto"/>
              </w:rPr>
              <w:t>Proceeding in the Right of the Company</w:t>
            </w:r>
          </w:p>
        </w:tc>
        <w:tc>
          <w:tcPr>
            <w:tcW w:w="5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6060" w:type="dxa"/>
            <w:vAlign w:val="bottom"/>
          </w:tcPr>
          <w:p>
            <w:pPr>
              <w:ind w:left="100"/>
              <w:spacing w:after="0"/>
              <w:rPr>
                <w:sz w:val="20"/>
                <w:szCs w:val="20"/>
                <w:color w:val="auto"/>
              </w:rPr>
            </w:pPr>
            <w:r>
              <w:rPr>
                <w:rFonts w:ascii="Arial" w:cs="Arial" w:eastAsia="Arial" w:hAnsi="Arial"/>
                <w:sz w:val="18"/>
                <w:szCs w:val="18"/>
                <w:color w:val="auto"/>
              </w:rPr>
              <w:t>No Indemnification</w:t>
            </w:r>
          </w:p>
        </w:tc>
        <w:tc>
          <w:tcPr>
            <w:tcW w:w="5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6060" w:type="dxa"/>
            <w:vAlign w:val="bottom"/>
          </w:tcPr>
          <w:p>
            <w:pPr>
              <w:ind w:left="100"/>
              <w:spacing w:after="0"/>
              <w:rPr>
                <w:sz w:val="20"/>
                <w:szCs w:val="20"/>
                <w:color w:val="auto"/>
              </w:rPr>
            </w:pPr>
            <w:r>
              <w:rPr>
                <w:rFonts w:ascii="Arial" w:cs="Arial" w:eastAsia="Arial" w:hAnsi="Arial"/>
                <w:sz w:val="18"/>
                <w:szCs w:val="18"/>
                <w:color w:val="auto"/>
              </w:rPr>
              <w:t>Non-exclusivity</w:t>
            </w:r>
          </w:p>
        </w:tc>
        <w:tc>
          <w:tcPr>
            <w:tcW w:w="5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6060" w:type="dxa"/>
            <w:vAlign w:val="bottom"/>
          </w:tcPr>
          <w:p>
            <w:pPr>
              <w:ind w:left="100"/>
              <w:spacing w:after="0"/>
              <w:rPr>
                <w:sz w:val="20"/>
                <w:szCs w:val="20"/>
                <w:color w:val="auto"/>
              </w:rPr>
            </w:pPr>
            <w:r>
              <w:rPr>
                <w:rFonts w:ascii="Arial" w:cs="Arial" w:eastAsia="Arial" w:hAnsi="Arial"/>
                <w:sz w:val="18"/>
                <w:szCs w:val="18"/>
                <w:color w:val="auto"/>
              </w:rPr>
              <w:t>Indemnification Procedure</w:t>
            </w:r>
          </w:p>
        </w:tc>
        <w:tc>
          <w:tcPr>
            <w:tcW w:w="5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6060" w:type="dxa"/>
            <w:vAlign w:val="bottom"/>
          </w:tcPr>
          <w:p>
            <w:pPr>
              <w:ind w:left="100"/>
              <w:spacing w:after="0"/>
              <w:rPr>
                <w:sz w:val="20"/>
                <w:szCs w:val="20"/>
                <w:color w:val="auto"/>
              </w:rPr>
            </w:pPr>
            <w:r>
              <w:rPr>
                <w:rFonts w:ascii="Arial" w:cs="Arial" w:eastAsia="Arial" w:hAnsi="Arial"/>
                <w:sz w:val="18"/>
                <w:szCs w:val="18"/>
                <w:color w:val="auto"/>
              </w:rPr>
              <w:t>Liability Insurance</w:t>
            </w:r>
          </w:p>
        </w:tc>
        <w:tc>
          <w:tcPr>
            <w:tcW w:w="5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6060" w:type="dxa"/>
            <w:vAlign w:val="bottom"/>
          </w:tcPr>
          <w:p>
            <w:pPr>
              <w:ind w:left="100"/>
              <w:spacing w:after="0"/>
              <w:rPr>
                <w:sz w:val="20"/>
                <w:szCs w:val="20"/>
                <w:color w:val="auto"/>
              </w:rPr>
            </w:pPr>
            <w:r>
              <w:rPr>
                <w:rFonts w:ascii="Arial" w:cs="Arial" w:eastAsia="Arial" w:hAnsi="Arial"/>
                <w:sz w:val="18"/>
                <w:szCs w:val="18"/>
                <w:color w:val="auto"/>
              </w:rPr>
              <w:t>Subrogation</w:t>
            </w:r>
          </w:p>
        </w:tc>
        <w:tc>
          <w:tcPr>
            <w:tcW w:w="5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6060" w:type="dxa"/>
            <w:vAlign w:val="bottom"/>
          </w:tcPr>
          <w:p>
            <w:pPr>
              <w:ind w:left="100"/>
              <w:spacing w:after="0"/>
              <w:rPr>
                <w:sz w:val="20"/>
                <w:szCs w:val="20"/>
                <w:color w:val="auto"/>
              </w:rPr>
            </w:pPr>
            <w:r>
              <w:rPr>
                <w:rFonts w:ascii="Arial" w:cs="Arial" w:eastAsia="Arial" w:hAnsi="Arial"/>
                <w:sz w:val="18"/>
                <w:szCs w:val="18"/>
                <w:color w:val="auto"/>
              </w:rPr>
              <w:t>No Duplication of Payments</w:t>
            </w:r>
          </w:p>
        </w:tc>
        <w:tc>
          <w:tcPr>
            <w:tcW w:w="5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6060" w:type="dxa"/>
            <w:vAlign w:val="bottom"/>
          </w:tcPr>
          <w:p>
            <w:pPr>
              <w:ind w:left="100"/>
              <w:spacing w:after="0"/>
              <w:rPr>
                <w:sz w:val="20"/>
                <w:szCs w:val="20"/>
                <w:color w:val="auto"/>
              </w:rPr>
            </w:pPr>
            <w:r>
              <w:rPr>
                <w:rFonts w:ascii="Arial" w:cs="Arial" w:eastAsia="Arial" w:hAnsi="Arial"/>
                <w:sz w:val="18"/>
                <w:szCs w:val="18"/>
                <w:color w:val="auto"/>
              </w:rPr>
              <w:t>Effect of Termination of Service</w:t>
            </w:r>
          </w:p>
        </w:tc>
        <w:tc>
          <w:tcPr>
            <w:tcW w:w="5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6060" w:type="dxa"/>
            <w:vAlign w:val="bottom"/>
          </w:tcPr>
          <w:p>
            <w:pPr>
              <w:ind w:left="100"/>
              <w:spacing w:after="0"/>
              <w:rPr>
                <w:sz w:val="20"/>
                <w:szCs w:val="20"/>
                <w:color w:val="auto"/>
              </w:rPr>
            </w:pPr>
            <w:r>
              <w:rPr>
                <w:rFonts w:ascii="Arial" w:cs="Arial" w:eastAsia="Arial" w:hAnsi="Arial"/>
                <w:sz w:val="18"/>
                <w:szCs w:val="18"/>
                <w:color w:val="auto"/>
              </w:rPr>
              <w:t>Binding Effect</w:t>
            </w:r>
          </w:p>
        </w:tc>
        <w:tc>
          <w:tcPr>
            <w:tcW w:w="5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6060" w:type="dxa"/>
            <w:vAlign w:val="bottom"/>
          </w:tcPr>
          <w:p>
            <w:pPr>
              <w:ind w:left="100"/>
              <w:spacing w:after="0"/>
              <w:rPr>
                <w:sz w:val="20"/>
                <w:szCs w:val="20"/>
                <w:color w:val="auto"/>
              </w:rPr>
            </w:pPr>
            <w:r>
              <w:rPr>
                <w:rFonts w:ascii="Arial" w:cs="Arial" w:eastAsia="Arial" w:hAnsi="Arial"/>
                <w:sz w:val="18"/>
                <w:szCs w:val="18"/>
                <w:color w:val="auto"/>
              </w:rPr>
              <w:t>Amendments</w:t>
            </w:r>
          </w:p>
        </w:tc>
        <w:tc>
          <w:tcPr>
            <w:tcW w:w="5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606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5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6060" w:type="dxa"/>
            <w:vAlign w:val="bottom"/>
          </w:tcPr>
          <w:p>
            <w:pPr>
              <w:ind w:left="100"/>
              <w:spacing w:after="0"/>
              <w:rPr>
                <w:sz w:val="20"/>
                <w:szCs w:val="20"/>
                <w:color w:val="auto"/>
              </w:rPr>
            </w:pPr>
            <w:r>
              <w:rPr>
                <w:rFonts w:ascii="Arial" w:cs="Arial" w:eastAsia="Arial" w:hAnsi="Arial"/>
                <w:sz w:val="18"/>
                <w:szCs w:val="18"/>
                <w:color w:val="auto"/>
              </w:rPr>
              <w:t>Applicable Law and Jurisdiction</w:t>
            </w:r>
          </w:p>
        </w:tc>
        <w:tc>
          <w:tcPr>
            <w:tcW w:w="502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120" w:right="239" w:bottom="1440" w:gutter="0" w:footer="0" w:header="0"/>
        </w:sectPr>
      </w:pPr>
    </w:p>
    <w:bookmarkStart w:id="572" w:name="page573"/>
    <w:bookmarkEnd w:id="572"/>
    <w:p>
      <w:pPr>
        <w:spacing w:after="0"/>
        <w:tabs>
          <w:tab w:leader="none" w:pos="3320" w:val="left"/>
          <w:tab w:leader="none" w:pos="1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Indemnity Agreement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-10160</wp:posOffset>
            </wp:positionV>
            <wp:extent cx="8001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PREAMBLE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113" w:lineRule="exact"/>
        <w:rPr>
          <w:sz w:val="20"/>
          <w:szCs w:val="20"/>
          <w:color w:val="auto"/>
        </w:rPr>
      </w:pPr>
    </w:p>
    <w:p>
      <w:pPr>
        <w:ind w:right="760"/>
        <w:spacing w:after="0" w:line="313" w:lineRule="auto"/>
        <w:rPr>
          <w:sz w:val="20"/>
          <w:szCs w:val="20"/>
          <w:color w:val="auto"/>
        </w:rPr>
      </w:pPr>
      <w:r>
        <w:rPr>
          <w:rFonts w:ascii="Arial" w:cs="Arial" w:eastAsia="Arial" w:hAnsi="Arial"/>
          <w:sz w:val="17"/>
          <w:szCs w:val="17"/>
          <w:color w:val="auto"/>
        </w:rPr>
        <w:t>The Covered Person has been elected as a member of the board of directors (a “</w:t>
      </w:r>
      <w:r>
        <w:rPr>
          <w:rFonts w:ascii="Arial" w:cs="Arial" w:eastAsia="Arial" w:hAnsi="Arial"/>
          <w:sz w:val="17"/>
          <w:szCs w:val="17"/>
          <w:b w:val="1"/>
          <w:bCs w:val="1"/>
          <w:color w:val="auto"/>
        </w:rPr>
        <w:t>Director</w:t>
      </w:r>
      <w:r>
        <w:rPr>
          <w:rFonts w:ascii="Arial" w:cs="Arial" w:eastAsia="Arial" w:hAnsi="Arial"/>
          <w:sz w:val="17"/>
          <w:szCs w:val="17"/>
          <w:color w:val="auto"/>
        </w:rPr>
        <w:t>”) or appointed as member of the Executive Committee (an “</w:t>
      </w:r>
      <w:r>
        <w:rPr>
          <w:rFonts w:ascii="Arial" w:cs="Arial" w:eastAsia="Arial" w:hAnsi="Arial"/>
          <w:sz w:val="17"/>
          <w:szCs w:val="17"/>
          <w:b w:val="1"/>
          <w:bCs w:val="1"/>
          <w:color w:val="auto"/>
        </w:rPr>
        <w:t>Officer</w:t>
      </w:r>
      <w:r>
        <w:rPr>
          <w:rFonts w:ascii="Arial" w:cs="Arial" w:eastAsia="Arial" w:hAnsi="Arial"/>
          <w:sz w:val="17"/>
          <w:szCs w:val="17"/>
          <w:color w:val="auto"/>
        </w:rPr>
        <w:t>”) of AC Immune SA, a company constituted under the laws of Switzerland, having its corporate seat in Ecublens/VD.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 Immune SA is a biopharmaceutical company, and its shares are listed on the Nasdaq Market in the USA.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Covered Person is exposed to litigation risks arising from claims that may be brought against him in connection with his function as a Director or 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11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The articles of association of the Company (“</w:t>
      </w:r>
      <w:r>
        <w:rPr>
          <w:rFonts w:ascii="Arial" w:cs="Arial" w:eastAsia="Arial" w:hAnsi="Arial"/>
          <w:sz w:val="18"/>
          <w:szCs w:val="18"/>
          <w:b w:val="1"/>
          <w:bCs w:val="1"/>
          <w:color w:val="auto"/>
        </w:rPr>
        <w:t>Articles of Association</w:t>
      </w:r>
      <w:r>
        <w:rPr>
          <w:rFonts w:ascii="Arial" w:cs="Arial" w:eastAsia="Arial" w:hAnsi="Arial"/>
          <w:sz w:val="18"/>
          <w:szCs w:val="18"/>
          <w:color w:val="auto"/>
        </w:rPr>
        <w:t>”) provide in Art. 29 that the Company shall indemnify and advance expenses to all Directors and Officers in the manner set forth therein and to the fullest extent permitted by applicable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It is reasonable, prudent and necessary for the Company, in due consideration of the risks related to its activity and its position as a US stock-exchange listed company, to enter into this indemnity agreement (the “</w:t>
      </w:r>
      <w:r>
        <w:rPr>
          <w:rFonts w:ascii="Arial" w:cs="Arial" w:eastAsia="Arial" w:hAnsi="Arial"/>
          <w:sz w:val="18"/>
          <w:szCs w:val="18"/>
          <w:b w:val="1"/>
          <w:bCs w:val="1"/>
          <w:color w:val="auto"/>
        </w:rPr>
        <w:t>Agreement</w:t>
      </w:r>
      <w:r>
        <w:rPr>
          <w:rFonts w:ascii="Arial" w:cs="Arial" w:eastAsia="Arial" w:hAnsi="Arial"/>
          <w:sz w:val="18"/>
          <w:szCs w:val="18"/>
          <w:color w:val="auto"/>
        </w:rPr>
        <w:t>”) to contractually indemnify persons serving as Directors or Officers to the fullest extent permitted by the Articles of Association of the Company and the applicable law so that they will serve, or continue to serve, in such capacity free from undue concern that they will not be so indemnified.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Company and the Covered Person hereby agree as follows:</w:t>
      </w:r>
    </w:p>
    <w:p>
      <w:pPr>
        <w:spacing w:after="0" w:line="370" w:lineRule="exact"/>
        <w:rPr>
          <w:sz w:val="20"/>
          <w:szCs w:val="20"/>
          <w:color w:val="auto"/>
        </w:rPr>
      </w:pPr>
    </w:p>
    <w:p>
      <w:pPr>
        <w:ind w:left="460" w:hanging="452"/>
        <w:spacing w:after="0"/>
        <w:tabs>
          <w:tab w:leader="none" w:pos="46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PROCEEDINGS</w:t>
      </w:r>
    </w:p>
    <w:p>
      <w:pPr>
        <w:spacing w:after="0" w:line="135" w:lineRule="exact"/>
        <w:rPr>
          <w:sz w:val="20"/>
          <w:szCs w:val="20"/>
          <w:color w:val="auto"/>
        </w:rPr>
      </w:pPr>
    </w:p>
    <w:p>
      <w:pPr>
        <w:ind w:left="460" w:right="160" w:hanging="445"/>
        <w:spacing w:after="0" w:line="302"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connection with any threatened, pending, or completed action, suit or proceeding, whether civil, criminal or administrative, to which he or she was, is, or is threatened to be made a party, or is otherwise involved , whether conducted by the Company or any other party, whether civil, criminal, administrative, investigative or other and whether formal or informal except for one initiated by the Covered Person to enforce the Covered Person’s rights under the Agreement (a “</w:t>
      </w:r>
      <w:r>
        <w:rPr>
          <w:rFonts w:ascii="Arial" w:cs="Arial" w:eastAsia="Arial" w:hAnsi="Arial"/>
          <w:sz w:val="16"/>
          <w:szCs w:val="16"/>
          <w:b w:val="1"/>
          <w:bCs w:val="1"/>
          <w:color w:val="auto"/>
        </w:rPr>
        <w:t>Proceeding</w:t>
      </w:r>
      <w:r>
        <w:rPr>
          <w:rFonts w:ascii="Arial" w:cs="Arial" w:eastAsia="Arial" w:hAnsi="Arial"/>
          <w:sz w:val="16"/>
          <w:szCs w:val="16"/>
          <w:color w:val="auto"/>
        </w:rPr>
        <w:t>”) involving the Covered Person, the Company shall indemnify the Covered Person if:</w:t>
      </w:r>
    </w:p>
    <w:p>
      <w:pPr>
        <w:spacing w:after="0" w:line="60" w:lineRule="exact"/>
        <w:rPr>
          <w:sz w:val="20"/>
          <w:szCs w:val="20"/>
          <w:color w:val="auto"/>
        </w:rPr>
      </w:pPr>
    </w:p>
    <w:p>
      <w:pPr>
        <w:ind w:left="900" w:right="460" w:hanging="446"/>
        <w:spacing w:after="0" w:line="342" w:lineRule="auto"/>
        <w:tabs>
          <w:tab w:leader="none" w:pos="90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he was or is a party or is threatened to be made a party to any Proceeding by reason of the fact that he is or was a Director or an Officer or a member of the board of directors or the executive management of a direct or indirect subsidiary of the Company (an “</w:t>
      </w:r>
      <w:r>
        <w:rPr>
          <w:rFonts w:ascii="Arial" w:cs="Arial" w:eastAsia="Arial" w:hAnsi="Arial"/>
          <w:sz w:val="16"/>
          <w:szCs w:val="16"/>
          <w:b w:val="1"/>
          <w:bCs w:val="1"/>
          <w:color w:val="auto"/>
        </w:rPr>
        <w:t>Affiliate</w:t>
      </w:r>
      <w:r>
        <w:rPr>
          <w:rFonts w:ascii="Arial" w:cs="Arial" w:eastAsia="Arial" w:hAnsi="Arial"/>
          <w:sz w:val="16"/>
          <w:szCs w:val="16"/>
          <w:color w:val="auto"/>
        </w:rPr>
        <w:t>”); and</w:t>
      </w:r>
    </w:p>
    <w:p>
      <w:pPr>
        <w:spacing w:after="0" w:line="29" w:lineRule="exact"/>
        <w:rPr>
          <w:rFonts w:ascii="Arial" w:cs="Arial" w:eastAsia="Arial" w:hAnsi="Arial"/>
          <w:sz w:val="16"/>
          <w:szCs w:val="16"/>
          <w:color w:val="auto"/>
        </w:rPr>
      </w:pPr>
    </w:p>
    <w:p>
      <w:pPr>
        <w:jc w:val="both"/>
        <w:ind w:left="900" w:right="100" w:hanging="446"/>
        <w:spacing w:after="0" w:line="264" w:lineRule="auto"/>
        <w:tabs>
          <w:tab w:leader="none" w:pos="9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he is a party or is threatened to be made a party to any Proceeding by reason of the fact that he is or was an employee, agent or consultant of the Company or an Affiliate, or is or was serving at the request of the Company as a member of the board of directors or the executive management, employee, consultant,</w:t>
      </w:r>
    </w:p>
    <w:p>
      <w:pPr>
        <w:sectPr>
          <w:pgSz w:w="11900" w:h="16838" w:orient="portrait"/>
          <w:cols w:equalWidth="0" w:num="1">
            <w:col w:w="11420"/>
          </w:cols>
          <w:pgMar w:left="240" w:top="274" w:right="239" w:bottom="1440" w:gutter="0" w:footer="0" w:header="0"/>
        </w:sectPr>
      </w:pPr>
    </w:p>
    <w:bookmarkStart w:id="573" w:name="page574"/>
    <w:bookmarkEnd w:id="573"/>
    <w:p>
      <w:pPr>
        <w:spacing w:after="0"/>
        <w:tabs>
          <w:tab w:leader="none" w:pos="3320" w:val="left"/>
          <w:tab w:leader="none" w:pos="1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 Agreement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-10160</wp:posOffset>
            </wp:positionV>
            <wp:extent cx="8001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8"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agent of, or participant in, another corporation, partnership, joint venture, trust or other enterprise, against any expenses, including attorneys’ fees, judgments, fines, and amounts paid in settlement ,related taxes and obligations of any nature whatsoever actually and reasonably incurred by him or her in any Proceeding including judgments, fines, and amounts paid in connection with a settlement incurred by the Covered Person in connection with such Proceeding (the “</w:t>
      </w:r>
      <w:r>
        <w:rPr>
          <w:rFonts w:ascii="Arial" w:cs="Arial" w:eastAsia="Arial" w:hAnsi="Arial"/>
          <w:sz w:val="18"/>
          <w:szCs w:val="18"/>
          <w:b w:val="1"/>
          <w:bCs w:val="1"/>
          <w:color w:val="auto"/>
        </w:rPr>
        <w:t>Expenses</w:t>
      </w:r>
      <w:r>
        <w:rPr>
          <w:rFonts w:ascii="Arial" w:cs="Arial" w:eastAsia="Arial" w:hAnsi="Arial"/>
          <w:sz w:val="18"/>
          <w:szCs w:val="18"/>
          <w:color w:val="auto"/>
        </w:rPr>
        <w:t>”).</w:t>
      </w:r>
    </w:p>
    <w:p>
      <w:pPr>
        <w:spacing w:after="0" w:line="92" w:lineRule="exact"/>
        <w:rPr>
          <w:sz w:val="20"/>
          <w:szCs w:val="20"/>
          <w:color w:val="auto"/>
        </w:rPr>
      </w:pPr>
    </w:p>
    <w:p>
      <w:pPr>
        <w:ind w:left="460" w:right="120" w:hanging="445"/>
        <w:spacing w:after="0" w:line="308" w:lineRule="auto"/>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Any indemnification under this Agreement other than advance payments (unless ordered by a court) shall be made by the Company only as authorized in the specific case upon a determination that indemnification of the Covered Person is not excluded pursuant to Section 3.</w:t>
      </w:r>
    </w:p>
    <w:p>
      <w:pPr>
        <w:spacing w:after="0" w:line="291" w:lineRule="exact"/>
        <w:rPr>
          <w:sz w:val="20"/>
          <w:szCs w:val="20"/>
          <w:color w:val="auto"/>
        </w:rPr>
      </w:pPr>
    </w:p>
    <w:p>
      <w:pPr>
        <w:ind w:left="460" w:hanging="452"/>
        <w:spacing w:after="0"/>
        <w:tabs>
          <w:tab w:leader="none" w:pos="46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 IN THE RIGHT OF THE COMPANY</w:t>
      </w:r>
    </w:p>
    <w:p>
      <w:pPr>
        <w:spacing w:after="0" w:line="135" w:lineRule="exact"/>
        <w:rPr>
          <w:sz w:val="20"/>
          <w:szCs w:val="20"/>
          <w:color w:val="auto"/>
        </w:rPr>
      </w:pPr>
    </w:p>
    <w:p>
      <w:pPr>
        <w:ind w:left="460" w:right="80" w:hanging="445"/>
        <w:spacing w:after="0" w:line="302" w:lineRule="auto"/>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Company shall indemnify the Covered Person against any Expenses if the Covered Person was or is a party or is threatened to be made a party to any Proceeding by or in the right of the Company to procure a judgment in favor of the Company by reason of the fact that the Covered Person is or was a Director, Officer, employee, consultant or agent of the Company or its Affiliates or is or was serving at the request of the Company as a Director, Officer, employee, consultant or agent of, or participant in, another corporation, partnership, joint venture, trust, or other enterprise.</w:t>
      </w:r>
    </w:p>
    <w:p>
      <w:pPr>
        <w:spacing w:after="0" w:line="60" w:lineRule="exact"/>
        <w:rPr>
          <w:sz w:val="20"/>
          <w:szCs w:val="20"/>
          <w:color w:val="auto"/>
        </w:rPr>
      </w:pPr>
    </w:p>
    <w:p>
      <w:pPr>
        <w:ind w:left="460" w:right="200" w:hanging="445"/>
        <w:spacing w:after="0" w:line="259" w:lineRule="auto"/>
        <w:tabs>
          <w:tab w:leader="none" w:pos="440" w:val="left"/>
        </w:tabs>
        <w:rPr>
          <w:sz w:val="20"/>
          <w:szCs w:val="20"/>
          <w:color w:val="auto"/>
        </w:rPr>
      </w:pPr>
      <w:r>
        <w:rPr>
          <w:rFonts w:ascii="Arial" w:cs="Arial" w:eastAsia="Arial" w:hAnsi="Arial"/>
          <w:sz w:val="18"/>
          <w:szCs w:val="18"/>
          <w:color w:val="auto"/>
        </w:rPr>
        <w:t>2.2</w:t>
        <w:tab/>
        <w:t>As far as is permissible under applicable law, Expenses, incurred in defending any Proceeding for which indemnification is permitted pursuant to this Agreement shall be paid by the Company in advance of the final disposition of such proceeding upon receipt by the Board of Directors of an undertaking by or on behalf of the Covered Person to repay such amount if it shall ultimately be determined that he or she is not entitled to be indemnified by the Company under this Agreement.</w:t>
      </w:r>
    </w:p>
    <w:p>
      <w:pPr>
        <w:spacing w:after="0" w:line="331" w:lineRule="exact"/>
        <w:rPr>
          <w:sz w:val="20"/>
          <w:szCs w:val="20"/>
          <w:color w:val="auto"/>
        </w:rPr>
      </w:pPr>
    </w:p>
    <w:p>
      <w:pPr>
        <w:ind w:left="460" w:hanging="452"/>
        <w:spacing w:after="0"/>
        <w:tabs>
          <w:tab w:leader="none" w:pos="460"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NO INDEMNIFICATION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Section 1 and 2 above shall not apply, and any advanced Expenses shall be reimbursed by the Covered Person to the Company if:</w:t>
      </w:r>
    </w:p>
    <w:p>
      <w:pPr>
        <w:spacing w:after="0" w:line="131" w:lineRule="exact"/>
        <w:rPr>
          <w:sz w:val="20"/>
          <w:szCs w:val="20"/>
          <w:color w:val="auto"/>
        </w:rPr>
      </w:pPr>
    </w:p>
    <w:p>
      <w:pPr>
        <w:ind w:left="900" w:right="120" w:hanging="446"/>
        <w:spacing w:after="0" w:line="259" w:lineRule="auto"/>
        <w:tabs>
          <w:tab w:leader="none" w:pos="9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 competent court holds the Covered Person to be liable and concludes that the relevant actions or omissions giving rise to the Proceeding constitute fraud, dishonesty or an intentional or grossly negligent breach of the duties of the Covered Person under applicable law or under his terms of office or agreements with the Company including the obligation to act honestly and in good faith with a view to the best interests of the Company; or</w:t>
      </w:r>
    </w:p>
    <w:p>
      <w:pPr>
        <w:spacing w:after="0" w:line="92"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absent a judgment by a competent court as set forth under Section 3.1(a) above, it is prima facie apparent that the relevant actions or omissions giving rise to the Proceeding constitute fraud, dishonesty or an intentional or grossly negligent breach of the duties of the Covered Person under applicable law or under his terms of office or agreements with the Company.</w:t>
      </w:r>
    </w:p>
    <w:p>
      <w:pPr>
        <w:sectPr>
          <w:pgSz w:w="11900" w:h="16838" w:orient="portrait"/>
          <w:cols w:equalWidth="0" w:num="1">
            <w:col w:w="11420"/>
          </w:cols>
          <w:pgMar w:left="240" w:top="274" w:right="239" w:bottom="1440" w:gutter="0" w:footer="0" w:header="0"/>
        </w:sectPr>
      </w:pPr>
    </w:p>
    <w:bookmarkStart w:id="574" w:name="page575"/>
    <w:bookmarkEnd w:id="574"/>
    <w:p>
      <w:pPr>
        <w:spacing w:after="0"/>
        <w:tabs>
          <w:tab w:leader="none" w:pos="3320" w:val="left"/>
          <w:tab w:leader="none" w:pos="1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 Agreement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-10160</wp:posOffset>
            </wp:positionV>
            <wp:extent cx="8001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8" w:lineRule="exact"/>
        <w:rPr>
          <w:sz w:val="20"/>
          <w:szCs w:val="20"/>
          <w:color w:val="auto"/>
        </w:rPr>
      </w:pPr>
    </w:p>
    <w:p>
      <w:pPr>
        <w:ind w:left="460" w:right="40" w:hanging="445"/>
        <w:spacing w:after="0" w:line="290" w:lineRule="auto"/>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Any determination shall be made, with respect to a Covered Person (a) by a majority vote of the members of the Board of Directors who are not parties to such proceeding, even though less than a quorum; (b) by a committee of such members of the Board of Directors designated by a majority vote of such the Board of Directors, even though less than a quorum; (c) if there are no such member of the Board of Directors, or if such member of the Board of Directors so direct, by independent legal counsel in a written opinion; or (d) by the General Meeting of Shareholders. Such determination shall be made, with respect to any other Covered Person, by any person or persons having the authority to act on the matter on behalf of the Company. To the extent, however, that any Covered Person has been successful on the merits or otherwise in defense of any proceeding, or in defense of any claim, issue or matter therein, such Covered Person shall be indemnified against expenses (including attorneys’ fees) actually and reasonably incurred by such person in connection therewith, without the necessity of authorization in the specific case.</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Notwithstanding the preceding sentence, this section shall not extend to any person holding the office of auditor or special auditor of the Company.</w:t>
      </w:r>
    </w:p>
    <w:p>
      <w:pPr>
        <w:spacing w:after="0" w:line="370" w:lineRule="exact"/>
        <w:rPr>
          <w:sz w:val="20"/>
          <w:szCs w:val="20"/>
          <w:color w:val="auto"/>
        </w:rPr>
      </w:pPr>
    </w:p>
    <w:p>
      <w:pPr>
        <w:ind w:left="460" w:hanging="452"/>
        <w:spacing w:after="0"/>
        <w:tabs>
          <w:tab w:leader="none" w:pos="46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w:t>
      </w:r>
    </w:p>
    <w:p>
      <w:pPr>
        <w:spacing w:after="0" w:line="135" w:lineRule="exact"/>
        <w:rPr>
          <w:sz w:val="20"/>
          <w:szCs w:val="20"/>
          <w:color w:val="auto"/>
        </w:rPr>
      </w:pPr>
    </w:p>
    <w:p>
      <w:pPr>
        <w:ind w:left="460" w:right="160" w:hanging="445"/>
        <w:spacing w:after="0" w:line="277" w:lineRule="auto"/>
        <w:tabs>
          <w:tab w:leader="none" w:pos="440" w:val="left"/>
        </w:tabs>
        <w:rPr>
          <w:sz w:val="20"/>
          <w:szCs w:val="20"/>
          <w:color w:val="auto"/>
        </w:rPr>
      </w:pPr>
      <w:r>
        <w:rPr>
          <w:rFonts w:ascii="Arial" w:cs="Arial" w:eastAsia="Arial" w:hAnsi="Arial"/>
          <w:sz w:val="18"/>
          <w:szCs w:val="18"/>
          <w:color w:val="auto"/>
        </w:rPr>
        <w:t>4.1</w:t>
        <w:tab/>
        <w:t>The Agreement shall supplement the Covered Person’s terms of office and/or employment agreement with the Company as separately agreed with the Company.</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Agreement shall not limit the Covered Person’s reimbursement rights provided under statutory law and the Articles of Association.</w:t>
      </w:r>
    </w:p>
    <w:p>
      <w:pPr>
        <w:spacing w:after="0" w:line="370" w:lineRule="exact"/>
        <w:rPr>
          <w:sz w:val="20"/>
          <w:szCs w:val="20"/>
          <w:color w:val="auto"/>
        </w:rPr>
      </w:pPr>
    </w:p>
    <w:p>
      <w:pPr>
        <w:ind w:left="460" w:hanging="452"/>
        <w:spacing w:after="0"/>
        <w:tabs>
          <w:tab w:leader="none" w:pos="46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PROCEDURE</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Should the Covered Person become aware of any Proceeding which could give rise to any entitlements under the Agreement, the Covered Person shall:</w:t>
      </w:r>
    </w:p>
    <w:p>
      <w:pPr>
        <w:spacing w:after="0" w:line="131" w:lineRule="exact"/>
        <w:rPr>
          <w:sz w:val="20"/>
          <w:szCs w:val="20"/>
          <w:color w:val="auto"/>
        </w:rPr>
      </w:pPr>
    </w:p>
    <w:p>
      <w:pPr>
        <w:ind w:left="900" w:right="300" w:hanging="446"/>
        <w:spacing w:after="0" w:line="259" w:lineRule="auto"/>
        <w:tabs>
          <w:tab w:leader="none" w:pos="9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as promptly as practicable (but in no event later than 20 days of becoming so aware), notify the Company in writing of the existence of such a Proceeding, giving reasonable details relating to the Proceeding, including the person(s) making (or threatening to make) the respective Proceeding, the circumstances leading to such a Proceeding, the cause of action for the Proceeding and the possible costs associated with the Proceeding;</w:t>
      </w:r>
    </w:p>
    <w:p>
      <w:pPr>
        <w:spacing w:after="0" w:line="92" w:lineRule="exact"/>
        <w:rPr>
          <w:rFonts w:ascii="Arial" w:cs="Arial" w:eastAsia="Arial" w:hAnsi="Arial"/>
          <w:sz w:val="18"/>
          <w:szCs w:val="18"/>
          <w:color w:val="auto"/>
        </w:rPr>
      </w:pPr>
    </w:p>
    <w:p>
      <w:pPr>
        <w:ind w:left="900" w:right="20" w:hanging="446"/>
        <w:spacing w:after="0" w:line="257" w:lineRule="auto"/>
        <w:tabs>
          <w:tab w:leader="none" w:pos="9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give to the Company and its professional advisers information and access to premises, documents and records as the Company may reasonably request, except where such access would result in a loss of privilege, or would be adverse to the Covered Person’s interests or where the Covered Person is prevented by law from providing such access. In this connection, the Company shall be entitled to require the Covered Person to take such actions and give such information and assistance in order to avoid, mitigate, settle or defend the Proceeding as the Company may reasonably request;</w:t>
      </w:r>
    </w:p>
    <w:p>
      <w:pPr>
        <w:spacing w:after="0" w:line="93"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allow the Company upon its request, and following consultation with the Covered Person, to conduct such actions as the Company may deem appropriate in connection with any such Proceeding (including assuming the defense of such Proceeding). In this connection, the Covered Person shall give to the Company all assistance it may reasonably require in the conduct of such actions (except in cases where taking such action is adverse to his legitimate interests);</w:t>
      </w:r>
    </w:p>
    <w:p>
      <w:pPr>
        <w:sectPr>
          <w:pgSz w:w="11900" w:h="16838" w:orient="portrait"/>
          <w:cols w:equalWidth="0" w:num="1">
            <w:col w:w="11420"/>
          </w:cols>
          <w:pgMar w:left="240" w:top="273" w:right="239" w:bottom="1440" w:gutter="0" w:footer="0" w:header="0"/>
        </w:sectPr>
      </w:pPr>
    </w:p>
    <w:bookmarkStart w:id="575" w:name="page576"/>
    <w:bookmarkEnd w:id="575"/>
    <w:p>
      <w:pPr>
        <w:spacing w:after="0"/>
        <w:tabs>
          <w:tab w:leader="none" w:pos="3320" w:val="left"/>
          <w:tab w:leader="none" w:pos="1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 Agreement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-10160</wp:posOffset>
            </wp:positionV>
            <wp:extent cx="8001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8" w:lineRule="exact"/>
        <w:rPr>
          <w:sz w:val="20"/>
          <w:szCs w:val="20"/>
          <w:color w:val="auto"/>
        </w:rPr>
      </w:pPr>
    </w:p>
    <w:p>
      <w:pPr>
        <w:ind w:left="900" w:right="40" w:hanging="446"/>
        <w:spacing w:after="0" w:line="277" w:lineRule="auto"/>
        <w:tabs>
          <w:tab w:leader="none" w:pos="9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make no admission of liability or enter into settlement discussions with any person in relation to any Proceeding without the prior written consent of the Company (which shall not be un-reasonably withheld);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take all reasonable actions to mitigate any potential loss which may incur as a result of a Proceeding.</w:t>
      </w:r>
    </w:p>
    <w:p>
      <w:pPr>
        <w:spacing w:after="0" w:line="131" w:lineRule="exact"/>
        <w:rPr>
          <w:sz w:val="20"/>
          <w:szCs w:val="20"/>
          <w:color w:val="auto"/>
        </w:rPr>
      </w:pPr>
    </w:p>
    <w:p>
      <w:pPr>
        <w:ind w:left="460" w:right="120" w:hanging="445"/>
        <w:spacing w:after="0" w:line="302"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Company shall be entitled to settle any Proceeding but shall not do so before notifying the Covered Person of its intention and consulting with the Covered Person as to the terms of the proposed settlement. The Company shall not settle any Proceeding where the terms of the settlement would impose any costs, expense, loss liability, damage, penalty or limitation on the Covered Person without the Covered Person’s prior written consent. The Covered Person and the Company shall take all actions as may be necessary or advisable to effect such a settlement.</w:t>
      </w:r>
    </w:p>
    <w:p>
      <w:pPr>
        <w:spacing w:after="0" w:line="60" w:lineRule="exact"/>
        <w:rPr>
          <w:sz w:val="20"/>
          <w:szCs w:val="20"/>
          <w:color w:val="auto"/>
        </w:rPr>
      </w:pPr>
    </w:p>
    <w:p>
      <w:pPr>
        <w:ind w:left="460" w:right="180" w:hanging="445"/>
        <w:spacing w:after="0" w:line="277" w:lineRule="auto"/>
        <w:tabs>
          <w:tab w:leader="none" w:pos="440" w:val="left"/>
        </w:tabs>
        <w:rPr>
          <w:sz w:val="20"/>
          <w:szCs w:val="20"/>
          <w:color w:val="auto"/>
        </w:rPr>
      </w:pPr>
      <w:r>
        <w:rPr>
          <w:rFonts w:ascii="Arial" w:cs="Arial" w:eastAsia="Arial" w:hAnsi="Arial"/>
          <w:sz w:val="18"/>
          <w:szCs w:val="18"/>
          <w:color w:val="auto"/>
        </w:rPr>
        <w:t>5.3</w:t>
        <w:tab/>
        <w:t>Notwithstanding the foregoing, the Covered Person and the Company shall take all actions as may be required to comply with the terms of any policy of a directors’ and officers’ liability insurance pursuant to Section 6.</w:t>
      </w:r>
    </w:p>
    <w:p>
      <w:pPr>
        <w:spacing w:after="0" w:line="76" w:lineRule="exact"/>
        <w:rPr>
          <w:sz w:val="20"/>
          <w:szCs w:val="20"/>
          <w:color w:val="auto"/>
        </w:rPr>
      </w:pPr>
    </w:p>
    <w:p>
      <w:pPr>
        <w:ind w:left="460" w:right="180" w:hanging="445"/>
        <w:spacing w:after="0" w:line="259" w:lineRule="auto"/>
        <w:tabs>
          <w:tab w:leader="none" w:pos="440" w:val="left"/>
        </w:tabs>
        <w:rPr>
          <w:sz w:val="20"/>
          <w:szCs w:val="20"/>
          <w:color w:val="auto"/>
        </w:rPr>
      </w:pPr>
      <w:r>
        <w:rPr>
          <w:rFonts w:ascii="Arial" w:cs="Arial" w:eastAsia="Arial" w:hAnsi="Arial"/>
          <w:sz w:val="18"/>
          <w:szCs w:val="18"/>
          <w:color w:val="auto"/>
        </w:rPr>
        <w:t>5.4</w:t>
        <w:tab/>
        <w:t>Notwithstanding any provision of the Agreement to the contrary, and subject to reimbursement pursuant to Section 3, the Company shall advance any Expenses actually and reasonably incurred by the Covered Person in connection with any Proceeding pursuant to Section 1 and 2 of the Agreement within 30 calendar days after the receipt by the Company of each statement requesting such advance from time to time, whether prior to or after final disposition of any Proceeding. Advances shall be unsecured and interest free.</w:t>
      </w:r>
    </w:p>
    <w:p>
      <w:pPr>
        <w:spacing w:after="0" w:line="331" w:lineRule="exact"/>
        <w:rPr>
          <w:sz w:val="20"/>
          <w:szCs w:val="20"/>
          <w:color w:val="auto"/>
        </w:rPr>
      </w:pPr>
    </w:p>
    <w:p>
      <w:pPr>
        <w:ind w:left="460" w:hanging="452"/>
        <w:spacing w:after="0"/>
        <w:tabs>
          <w:tab w:leader="none" w:pos="46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INSURANCE</w:t>
      </w:r>
    </w:p>
    <w:p>
      <w:pPr>
        <w:spacing w:after="0" w:line="135" w:lineRule="exact"/>
        <w:rPr>
          <w:sz w:val="20"/>
          <w:szCs w:val="20"/>
          <w:color w:val="auto"/>
        </w:rPr>
      </w:pPr>
    </w:p>
    <w:p>
      <w:pPr>
        <w:ind w:left="460" w:right="160" w:hanging="445"/>
        <w:spacing w:after="0" w:line="342"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To the extent the Company maintains an insurance policy or policies providing directors’ and officers’ liability insurance, the Covered Person shall be covered by such policy or policies in accordance with its or their terms to the maximum extent of the coverage in place for any Director or Officer.</w:t>
      </w:r>
    </w:p>
    <w:p>
      <w:pPr>
        <w:spacing w:after="0" w:line="29" w:lineRule="exact"/>
        <w:rPr>
          <w:sz w:val="20"/>
          <w:szCs w:val="20"/>
          <w:color w:val="auto"/>
        </w:rPr>
      </w:pPr>
    </w:p>
    <w:p>
      <w:pPr>
        <w:ind w:left="460" w:right="280" w:hanging="445"/>
        <w:spacing w:after="0" w:line="257" w:lineRule="auto"/>
        <w:tabs>
          <w:tab w:leader="none" w:pos="440" w:val="left"/>
        </w:tabs>
        <w:rPr>
          <w:sz w:val="20"/>
          <w:szCs w:val="20"/>
          <w:color w:val="auto"/>
        </w:rPr>
      </w:pPr>
      <w:r>
        <w:rPr>
          <w:rFonts w:ascii="Arial" w:cs="Arial" w:eastAsia="Arial" w:hAnsi="Arial"/>
          <w:sz w:val="18"/>
          <w:szCs w:val="18"/>
          <w:color w:val="auto"/>
        </w:rPr>
        <w:t>6.2</w:t>
        <w:tab/>
        <w:t>If, at the time the Company receives notice from any source of a Proceeding to which the Covered Person is a party or a participant (as a witness or otherwise) and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Covered Person, all amounts payable as a result of such Proceeding in accordance with the terms of such policies.</w:t>
      </w:r>
    </w:p>
    <w:p>
      <w:pPr>
        <w:spacing w:after="0" w:line="94" w:lineRule="exact"/>
        <w:rPr>
          <w:sz w:val="20"/>
          <w:szCs w:val="20"/>
          <w:color w:val="auto"/>
        </w:rPr>
      </w:pPr>
    </w:p>
    <w:p>
      <w:pPr>
        <w:ind w:left="460" w:right="280" w:hanging="445"/>
        <w:spacing w:after="0" w:line="264" w:lineRule="auto"/>
        <w:tabs>
          <w:tab w:leader="none" w:pos="440" w:val="left"/>
        </w:tabs>
        <w:rPr>
          <w:sz w:val="20"/>
          <w:szCs w:val="20"/>
          <w:color w:val="auto"/>
        </w:rPr>
      </w:pPr>
      <w:r>
        <w:rPr>
          <w:rFonts w:ascii="Arial" w:cs="Arial" w:eastAsia="Arial" w:hAnsi="Arial"/>
          <w:sz w:val="18"/>
          <w:szCs w:val="18"/>
          <w:color w:val="auto"/>
        </w:rPr>
        <w:t>6.3</w:t>
        <w:tab/>
        <w:t>The Company shall indemnify the Covered Person for Expenses incurred by Covered Person in connection with any successful action brought by Covered Person for recovery under any insurance policy referred to in this Section 6 and shall advance to the Covered Person any Expenses actually and reasonably incurred by the Covered Person in connection with such action.</w:t>
      </w:r>
    </w:p>
    <w:p>
      <w:pPr>
        <w:sectPr>
          <w:pgSz w:w="11900" w:h="16838" w:orient="portrait"/>
          <w:cols w:equalWidth="0" w:num="1">
            <w:col w:w="11420"/>
          </w:cols>
          <w:pgMar w:left="240" w:top="274" w:right="239" w:bottom="1440" w:gutter="0" w:footer="0" w:header="0"/>
        </w:sectPr>
      </w:pPr>
    </w:p>
    <w:bookmarkStart w:id="576" w:name="page577"/>
    <w:bookmarkEnd w:id="576"/>
    <w:p>
      <w:pPr>
        <w:spacing w:after="0"/>
        <w:tabs>
          <w:tab w:leader="none" w:pos="3320" w:val="left"/>
          <w:tab w:leader="none" w:pos="1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 Agreement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-10160</wp:posOffset>
            </wp:positionV>
            <wp:extent cx="8001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rFonts w:ascii="Arial" w:cs="Arial" w:eastAsia="Arial" w:hAnsi="Arial"/>
          <w:sz w:val="18"/>
          <w:szCs w:val="18"/>
          <w:b w:val="1"/>
          <w:bCs w:val="1"/>
          <w:color w:val="auto"/>
        </w:rPr>
      </w:pPr>
    </w:p>
    <w:p>
      <w:pPr>
        <w:ind w:left="4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event of payment under the Agreement, the Company shall be subrogated to the extent of such payment to all of the rights of recovery of the Covered Person, who shall execute all papers required and shall do everything that may be necessary to secure such rights, including the execution of such documents necessary to enable the Company effectively to bring suit to enforce such rights.</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NO DUPLICATION OF PAYMENTS</w:t>
      </w:r>
    </w:p>
    <w:p>
      <w:pPr>
        <w:spacing w:after="0" w:line="12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shall not be liable under the Agreement to make any payment in connection with any Proceeding made against the Covered Person to the extent the Covered Person has otherwise actually received payment (under an insurance policy or otherwise) of the amounts otherwise indemnifiable hereunder.</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SERVICE</w:t>
      </w:r>
    </w:p>
    <w:p>
      <w:pPr>
        <w:spacing w:after="0" w:line="121" w:lineRule="exact"/>
        <w:rPr>
          <w:rFonts w:ascii="Arial" w:cs="Arial" w:eastAsia="Arial" w:hAnsi="Arial"/>
          <w:sz w:val="18"/>
          <w:szCs w:val="18"/>
          <w:b w:val="1"/>
          <w:bCs w:val="1"/>
          <w:color w:val="auto"/>
        </w:rPr>
      </w:pPr>
    </w:p>
    <w:p>
      <w:pPr>
        <w:ind w:left="460"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indemnification provided by this Agreement shall continue for any person who has ceased to be a member of the Board of Directors or the Executive Committee.</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121" w:lineRule="exact"/>
        <w:rPr>
          <w:rFonts w:ascii="Arial" w:cs="Arial" w:eastAsia="Arial" w:hAnsi="Arial"/>
          <w:sz w:val="18"/>
          <w:szCs w:val="18"/>
          <w:b w:val="1"/>
          <w:bCs w:val="1"/>
          <w:color w:val="auto"/>
        </w:rPr>
      </w:pPr>
    </w:p>
    <w:p>
      <w:pPr>
        <w:ind w:left="460" w:right="2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Agreement shall be binding upon and inure to the benefit of and be enforceable by the Parties hereto and their respective successors, assigns, including any direct or indirect successor by purchase, merger, amalgamation, consolidation or otherwise to all or substantially all of the business or assets of the Company, spouse, heirs, and personal and legal representatives. The Agreement shall continue in effect regardless of whether Covered Person continues to serve as a Director or Officer of the Company or of any other legal entity at the board of directors’ request.</w:t>
      </w:r>
    </w:p>
    <w:p>
      <w:pPr>
        <w:spacing w:after="0" w:line="298" w:lineRule="exact"/>
        <w:rPr>
          <w:rFonts w:ascii="Arial" w:cs="Arial" w:eastAsia="Arial" w:hAnsi="Arial"/>
          <w:sz w:val="18"/>
          <w:szCs w:val="18"/>
          <w:b w:val="1"/>
          <w:bCs w:val="1"/>
          <w:color w:val="auto"/>
        </w:rPr>
      </w:pPr>
    </w:p>
    <w:p>
      <w:pPr>
        <w:ind w:left="460" w:hanging="452"/>
        <w:spacing w:after="0"/>
        <w:tabs>
          <w:tab w:leader="none" w:pos="46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121"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Agreement may only be modified or amended by a document signed by all Parties. Any provision contained in the Agreement may only be waived by a document signed by the party waiving such provision.</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rFonts w:ascii="Arial" w:cs="Arial" w:eastAsia="Arial" w:hAnsi="Arial"/>
          <w:sz w:val="18"/>
          <w:szCs w:val="18"/>
          <w:b w:val="1"/>
          <w:bCs w:val="1"/>
          <w:color w:val="auto"/>
        </w:rPr>
      </w:pPr>
    </w:p>
    <w:p>
      <w:pPr>
        <w:ind w:left="46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If any part or provision of the Agreement or the application of any such part or provision to any person or circumstance shall be held to be invalid, illegal or unenforceable on any respect by any competent arbitral tribunal, court, governmental or administrative authority, (a) such invalidity, illegality or unenforceability shall not affect any other part or provision of the Agreement or the application of such part or provision to any other person or circumstances, and (b) the Parties shall endeavor to negotiate a substitute provision that best reflects the economic intentions of the Parties without being invalid, illegal or unenforceable, and shall execute all agreements and documents required in this connection.</w:t>
      </w:r>
    </w:p>
    <w:p>
      <w:pPr>
        <w:sectPr>
          <w:pgSz w:w="11900" w:h="16838" w:orient="portrait"/>
          <w:cols w:equalWidth="0" w:num="1">
            <w:col w:w="11420"/>
          </w:cols>
          <w:pgMar w:left="240" w:top="273" w:right="239" w:bottom="1440" w:gutter="0" w:footer="0" w:header="0"/>
        </w:sectPr>
      </w:pPr>
    </w:p>
    <w:bookmarkStart w:id="577" w:name="page578"/>
    <w:bookmarkEnd w:id="577"/>
    <w:p>
      <w:pPr>
        <w:spacing w:after="0"/>
        <w:tabs>
          <w:tab w:leader="none" w:pos="3320" w:val="left"/>
          <w:tab w:leader="none" w:pos="1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 Agreement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-10160</wp:posOffset>
            </wp:positionV>
            <wp:extent cx="8001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JURISDICTION</w:t>
      </w:r>
    </w:p>
    <w:p>
      <w:pPr>
        <w:spacing w:after="0" w:line="135" w:lineRule="exact"/>
        <w:rPr>
          <w:sz w:val="20"/>
          <w:szCs w:val="20"/>
          <w:color w:val="auto"/>
        </w:rPr>
      </w:pPr>
    </w:p>
    <w:p>
      <w:pPr>
        <w:ind w:left="460" w:right="340" w:hanging="445"/>
        <w:spacing w:after="0" w:line="277" w:lineRule="auto"/>
        <w:rPr>
          <w:sz w:val="20"/>
          <w:szCs w:val="20"/>
          <w:color w:val="auto"/>
        </w:rPr>
      </w:pPr>
      <w:r>
        <w:rPr>
          <w:rFonts w:ascii="Arial" w:cs="Arial" w:eastAsia="Arial" w:hAnsi="Arial"/>
          <w:sz w:val="18"/>
          <w:szCs w:val="18"/>
          <w:color w:val="auto"/>
        </w:rPr>
        <w:t>13.1 The Agreement shall be governed by and construed in accordance with the substantive laws of Switzerland excluding the provisions on conflict-of-laws.</w:t>
      </w:r>
    </w:p>
    <w:p>
      <w:pPr>
        <w:spacing w:after="0" w:line="76" w:lineRule="exact"/>
        <w:rPr>
          <w:sz w:val="20"/>
          <w:szCs w:val="20"/>
          <w:color w:val="auto"/>
        </w:rPr>
      </w:pPr>
    </w:p>
    <w:p>
      <w:pPr>
        <w:ind w:left="460" w:right="100" w:hanging="445"/>
        <w:spacing w:after="0" w:line="277" w:lineRule="auto"/>
        <w:rPr>
          <w:sz w:val="20"/>
          <w:szCs w:val="20"/>
          <w:color w:val="auto"/>
        </w:rPr>
      </w:pPr>
      <w:r>
        <w:rPr>
          <w:rFonts w:ascii="Arial" w:cs="Arial" w:eastAsia="Arial" w:hAnsi="Arial"/>
          <w:sz w:val="18"/>
          <w:szCs w:val="18"/>
          <w:color w:val="auto"/>
        </w:rPr>
        <w:t>13.2 All disputes arising out of or in connection with the Agreement, including disputes on its conclusion, binding effect, amendment and termination, shall be resolved exclusively by the courts at the domicile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Place</w:t>
            </w:r>
          </w:p>
        </w:tc>
        <w:tc>
          <w:tcPr>
            <w:tcW w:w="4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tcPr>
          <w:p>
            <w:pPr>
              <w:spacing w:after="0"/>
              <w:rPr>
                <w:sz w:val="20"/>
                <w:szCs w:val="20"/>
                <w:color w:val="auto"/>
              </w:rPr>
            </w:pPr>
          </w:p>
        </w:tc>
      </w:tr>
      <w:tr>
        <w:trPr>
          <w:trHeight w:val="432"/>
        </w:trPr>
        <w:tc>
          <w:tcPr>
            <w:tcW w:w="5380" w:type="dxa"/>
            <w:vAlign w:val="bottom"/>
            <w:tcBorders>
              <w:bottom w:val="single" w:sz="8" w:color="auto"/>
            </w:tcBorders>
            <w:gridSpan w:val="2"/>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439"/>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70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2"/>
        </w:trPr>
        <w:tc>
          <w:tcPr>
            <w:tcW w:w="5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317"/>
        </w:trPr>
        <w:tc>
          <w:tcPr>
            <w:tcW w:w="52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9"/>
              </w:rPr>
              <w:t>Name</w:t>
            </w:r>
          </w:p>
        </w:tc>
        <w:tc>
          <w:tcPr>
            <w:tcW w:w="48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Place</w:t>
            </w:r>
          </w:p>
        </w:tc>
        <w:tc>
          <w:tcPr>
            <w:tcW w:w="4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41312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b w:val="1"/>
          <w:bCs w:val="1"/>
          <w:color w:val="auto"/>
        </w:rPr>
        <w:t>[COVERED PERSON]</w:t>
      </w:r>
    </w:p>
    <w:p>
      <w:pPr>
        <w:sectPr>
          <w:pgSz w:w="11900" w:h="16838" w:orient="portrait"/>
          <w:cols w:equalWidth="0" w:num="1">
            <w:col w:w="11420"/>
          </w:cols>
          <w:pgMar w:left="240" w:top="274" w:right="239" w:bottom="1440" w:gutter="0" w:footer="0" w:header="0"/>
        </w:sectPr>
      </w:pPr>
    </w:p>
    <w:bookmarkStart w:id="578" w:name="page579"/>
    <w:bookmarkEnd w:id="578"/>
    <w:p>
      <w:pPr>
        <w:jc w:val="right"/>
        <w:spacing w:after="0"/>
        <w:rPr>
          <w:sz w:val="20"/>
          <w:szCs w:val="20"/>
          <w:color w:val="auto"/>
        </w:rPr>
      </w:pPr>
      <w:r>
        <w:rPr>
          <w:rFonts w:ascii="Arial" w:cs="Arial" w:eastAsia="Arial" w:hAnsi="Arial"/>
          <w:sz w:val="18"/>
          <w:szCs w:val="18"/>
          <w:b w:val="1"/>
          <w:bCs w:val="1"/>
          <w:color w:val="auto"/>
        </w:rPr>
        <w:t>Exhibit 10.7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 I</w:t>
      </w:r>
      <w:r>
        <w:rPr>
          <w:rFonts w:ascii="Arial" w:cs="Arial" w:eastAsia="Arial" w:hAnsi="Arial"/>
          <w:sz w:val="18"/>
          <w:szCs w:val="18"/>
          <w:b w:val="1"/>
          <w:bCs w:val="1"/>
          <w:color w:val="auto"/>
        </w:rPr>
        <w:t>MMUNE</w:t>
      </w:r>
      <w:r>
        <w:rPr>
          <w:rFonts w:ascii="Arial" w:cs="Arial" w:eastAsia="Arial" w:hAnsi="Arial"/>
          <w:sz w:val="22"/>
          <w:szCs w:val="22"/>
          <w:b w:val="1"/>
          <w:bCs w:val="1"/>
          <w:color w:val="auto"/>
        </w:rPr>
        <w:t xml:space="preserve"> SA / AC I</w:t>
      </w:r>
      <w:r>
        <w:rPr>
          <w:rFonts w:ascii="Arial" w:cs="Arial" w:eastAsia="Arial" w:hAnsi="Arial"/>
          <w:sz w:val="18"/>
          <w:szCs w:val="18"/>
          <w:b w:val="1"/>
          <w:bCs w:val="1"/>
          <w:color w:val="auto"/>
        </w:rPr>
        <w:t>MMUNE</w:t>
      </w:r>
      <w:r>
        <w:rPr>
          <w:rFonts w:ascii="Arial" w:cs="Arial" w:eastAsia="Arial" w:hAnsi="Arial"/>
          <w:sz w:val="22"/>
          <w:szCs w:val="22"/>
          <w:b w:val="1"/>
          <w:bCs w:val="1"/>
          <w:color w:val="auto"/>
        </w:rPr>
        <w:t xml:space="preserve"> AG / AC I</w:t>
      </w:r>
      <w:r>
        <w:rPr>
          <w:rFonts w:ascii="Arial" w:cs="Arial" w:eastAsia="Arial" w:hAnsi="Arial"/>
          <w:sz w:val="18"/>
          <w:szCs w:val="18"/>
          <w:b w:val="1"/>
          <w:bCs w:val="1"/>
          <w:color w:val="auto"/>
        </w:rPr>
        <w:t>MMUNE</w:t>
      </w:r>
      <w:r>
        <w:rPr>
          <w:rFonts w:ascii="Arial" w:cs="Arial" w:eastAsia="Arial" w:hAnsi="Arial"/>
          <w:sz w:val="22"/>
          <w:szCs w:val="22"/>
          <w:b w:val="1"/>
          <w:bCs w:val="1"/>
          <w:color w:val="auto"/>
        </w:rPr>
        <w:t xml:space="preserve"> L</w:t>
      </w:r>
      <w:r>
        <w:rPr>
          <w:rFonts w:ascii="Arial" w:cs="Arial" w:eastAsia="Arial" w:hAnsi="Arial"/>
          <w:sz w:val="18"/>
          <w:szCs w:val="18"/>
          <w:b w:val="1"/>
          <w:bCs w:val="1"/>
          <w:color w:val="auto"/>
        </w:rPr>
        <w:t>TD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2013 E</w:t>
      </w:r>
      <w:r>
        <w:rPr>
          <w:rFonts w:ascii="Arial" w:cs="Arial" w:eastAsia="Arial" w:hAnsi="Arial"/>
          <w:sz w:val="18"/>
          <w:szCs w:val="18"/>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8"/>
          <w:szCs w:val="18"/>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8"/>
          <w:szCs w:val="18"/>
          <w:b w:val="1"/>
          <w:bCs w:val="1"/>
          <w:color w:val="auto"/>
        </w:rPr>
        <w:t>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IRECTORS</w:t>
      </w:r>
      <w:r>
        <w:rPr>
          <w:rFonts w:ascii="Arial" w:cs="Arial" w:eastAsia="Arial" w:hAnsi="Arial"/>
          <w:sz w:val="18"/>
          <w:szCs w:val="18"/>
          <w:b w:val="1"/>
          <w:bCs w:val="1"/>
          <w:color w:val="auto"/>
        </w:rPr>
        <w:t>: F</w:t>
      </w:r>
      <w:r>
        <w:rPr>
          <w:rFonts w:ascii="Arial" w:cs="Arial" w:eastAsia="Arial" w:hAnsi="Arial"/>
          <w:sz w:val="15"/>
          <w:szCs w:val="15"/>
          <w:b w:val="1"/>
          <w:bCs w:val="1"/>
          <w:color w:val="auto"/>
        </w:rPr>
        <w:t>EBRUARY</w:t>
      </w:r>
      <w:r>
        <w:rPr>
          <w:rFonts w:ascii="Arial" w:cs="Arial" w:eastAsia="Arial" w:hAnsi="Arial"/>
          <w:sz w:val="18"/>
          <w:szCs w:val="18"/>
          <w:b w:val="1"/>
          <w:bCs w:val="1"/>
          <w:color w:val="auto"/>
        </w:rPr>
        <w:t xml:space="preserve"> 13, 2013</w:t>
      </w:r>
    </w:p>
    <w:p>
      <w:pPr>
        <w:spacing w:after="0" w:line="252" w:lineRule="exact"/>
        <w:rPr>
          <w:sz w:val="20"/>
          <w:szCs w:val="20"/>
          <w:color w:val="auto"/>
        </w:rPr>
      </w:pPr>
    </w:p>
    <w:p>
      <w:pPr>
        <w:ind w:left="460" w:hanging="452"/>
        <w:spacing w:after="0"/>
        <w:tabs>
          <w:tab w:leader="none" w:pos="46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160" w:firstLine="464"/>
        <w:spacing w:after="0" w:line="314" w:lineRule="auto"/>
        <w:tabs>
          <w:tab w:leader="none" w:pos="711" w:val="left"/>
        </w:tabs>
        <w:numPr>
          <w:ilvl w:val="1"/>
          <w:numId w:val="4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Company, by means of the Plan, seeks to secure and retain the services of the group of persons eligible to receive Incentive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to provide incentives for such persons to exert maximum efforts for the success of the Company and any Affiliate, and to provide the means by which such eligible recipients may be given an opportunity to benefit from increases in value of the Shares through the granting of Incentive Awards.</w:t>
      </w:r>
    </w:p>
    <w:p>
      <w:pPr>
        <w:spacing w:after="0" w:line="142" w:lineRule="exact"/>
        <w:rPr>
          <w:rFonts w:ascii="Arial" w:cs="Arial" w:eastAsia="Arial" w:hAnsi="Arial"/>
          <w:sz w:val="16"/>
          <w:szCs w:val="16"/>
          <w:b w:val="1"/>
          <w:bCs w:val="1"/>
          <w:color w:val="auto"/>
        </w:rPr>
      </w:pPr>
    </w:p>
    <w:p>
      <w:pPr>
        <w:ind w:right="40" w:firstLine="464"/>
        <w:spacing w:after="0" w:line="282" w:lineRule="auto"/>
        <w:tabs>
          <w:tab w:leader="none" w:pos="721" w:val="left"/>
        </w:tabs>
        <w:numPr>
          <w:ilvl w:val="1"/>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Incentive Award Recipients. </w:t>
      </w:r>
      <w:r>
        <w:rPr>
          <w:rFonts w:ascii="Arial" w:cs="Arial" w:eastAsia="Arial" w:hAnsi="Arial"/>
          <w:sz w:val="18"/>
          <w:szCs w:val="18"/>
          <w:color w:val="auto"/>
        </w:rPr>
        <w:t>The persons eligible to receive Incentive Awards are Directors, Employees and persons in a similar situation</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article 3b par. 2 of the Articles of Incorporation.</w:t>
      </w:r>
    </w:p>
    <w:p>
      <w:pPr>
        <w:spacing w:after="0" w:line="161" w:lineRule="exact"/>
        <w:rPr>
          <w:rFonts w:ascii="Arial" w:cs="Arial" w:eastAsia="Arial" w:hAnsi="Arial"/>
          <w:sz w:val="18"/>
          <w:szCs w:val="18"/>
          <w:b w:val="1"/>
          <w:bCs w:val="1"/>
          <w:color w:val="auto"/>
        </w:rPr>
      </w:pPr>
    </w:p>
    <w:p>
      <w:pPr>
        <w:ind w:left="700" w:hanging="236"/>
        <w:spacing w:after="0"/>
        <w:tabs>
          <w:tab w:leader="none" w:pos="700" w:val="left"/>
        </w:tabs>
        <w:numPr>
          <w:ilvl w:val="1"/>
          <w:numId w:val="4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Available Incentive Awards. </w:t>
      </w:r>
      <w:r>
        <w:rPr>
          <w:rFonts w:ascii="Arial" w:cs="Arial" w:eastAsia="Arial" w:hAnsi="Arial"/>
          <w:sz w:val="17"/>
          <w:szCs w:val="17"/>
          <w:color w:val="auto"/>
        </w:rPr>
        <w:t>The Plan provides for the grant of the following Incentive Awards: (i) Option Awards and (ii) Share Awards.</w:t>
      </w:r>
    </w:p>
    <w:p>
      <w:pPr>
        <w:spacing w:after="0" w:line="236" w:lineRule="exact"/>
        <w:rPr>
          <w:rFonts w:ascii="Arial" w:cs="Arial" w:eastAsia="Arial" w:hAnsi="Arial"/>
          <w:sz w:val="17"/>
          <w:szCs w:val="17"/>
          <w:b w:val="1"/>
          <w:bCs w:val="1"/>
          <w:color w:val="auto"/>
        </w:rPr>
      </w:pPr>
    </w:p>
    <w:p>
      <w:pPr>
        <w:ind w:right="560" w:firstLine="464"/>
        <w:spacing w:after="0" w:line="347" w:lineRule="auto"/>
        <w:tabs>
          <w:tab w:leader="none" w:pos="721" w:val="left"/>
        </w:tabs>
        <w:numPr>
          <w:ilvl w:val="1"/>
          <w:numId w:val="414"/>
        </w:numPr>
        <w:rPr>
          <w:rFonts w:ascii="Arial" w:cs="Arial" w:eastAsia="Arial" w:hAnsi="Arial"/>
          <w:sz w:val="16"/>
          <w:szCs w:val="16"/>
          <w:b w:val="1"/>
          <w:bCs w:val="1"/>
          <w:color w:val="auto"/>
        </w:rPr>
      </w:pPr>
      <w:r>
        <w:rPr>
          <w:rFonts w:ascii="Arial" w:cs="Arial" w:eastAsia="Arial" w:hAnsi="Arial"/>
          <w:sz w:val="16"/>
          <w:szCs w:val="16"/>
          <w:b w:val="1"/>
          <w:bCs w:val="1"/>
          <w:color w:val="auto"/>
        </w:rPr>
        <w:t>Incentive Award Agreement</w:t>
      </w:r>
      <w:r>
        <w:rPr>
          <w:rFonts w:ascii="Arial" w:cs="Arial" w:eastAsia="Arial" w:hAnsi="Arial"/>
          <w:sz w:val="16"/>
          <w:szCs w:val="16"/>
          <w:color w:val="auto"/>
        </w:rPr>
        <w:t>. The grant of Incentive Award under the Plan and the terms and conditions thereof shall be formalized by an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Award Agreement that shall be duly signed by the Company and the Participant in such form as the Board shall from time to time determine.</w:t>
      </w:r>
    </w:p>
    <w:p>
      <w:pPr>
        <w:spacing w:after="0" w:line="116" w:lineRule="exact"/>
        <w:rPr>
          <w:rFonts w:ascii="Arial" w:cs="Arial" w:eastAsia="Arial" w:hAnsi="Arial"/>
          <w:sz w:val="16"/>
          <w:szCs w:val="16"/>
          <w:b w:val="1"/>
          <w:bCs w:val="1"/>
          <w:color w:val="auto"/>
        </w:rPr>
      </w:pPr>
    </w:p>
    <w:p>
      <w:pPr>
        <w:ind w:firstLine="464"/>
        <w:spacing w:after="0" w:line="261" w:lineRule="auto"/>
        <w:tabs>
          <w:tab w:leader="none" w:pos="701" w:val="left"/>
        </w:tabs>
        <w:numPr>
          <w:ilvl w:val="1"/>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Formal Requirements</w:t>
      </w:r>
      <w:r>
        <w:rPr>
          <w:rFonts w:ascii="Arial" w:cs="Arial" w:eastAsia="Arial" w:hAnsi="Arial"/>
          <w:sz w:val="18"/>
          <w:szCs w:val="18"/>
          <w:color w:val="auto"/>
        </w:rPr>
        <w:t>. A Participant who is granted an Incentive Award will have no rights with respect to such Incentive Award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accepts the grant by returning to the Company a signed copy of the Incentive Award Agreement. The promise to grant an Incentive Award, or the attribution of an Incentive Award in any document other than in an Incentive Award Agreement, shall not be considered as a valid grant of an Incentive Award until it is formalized in an Incentive Award Agreement.</w:t>
      </w:r>
    </w:p>
    <w:p>
      <w:pPr>
        <w:spacing w:after="0" w:line="180" w:lineRule="exact"/>
        <w:rPr>
          <w:rFonts w:ascii="Arial" w:cs="Arial" w:eastAsia="Arial" w:hAnsi="Arial"/>
          <w:sz w:val="18"/>
          <w:szCs w:val="18"/>
          <w:b w:val="1"/>
          <w:bCs w:val="1"/>
          <w:color w:val="auto"/>
        </w:rPr>
      </w:pPr>
    </w:p>
    <w:p>
      <w:pPr>
        <w:ind w:right="300" w:firstLine="464"/>
        <w:spacing w:after="0" w:line="347" w:lineRule="auto"/>
        <w:tabs>
          <w:tab w:leader="none" w:pos="681" w:val="left"/>
        </w:tabs>
        <w:numPr>
          <w:ilvl w:val="1"/>
          <w:numId w:val="414"/>
        </w:numPr>
        <w:rPr>
          <w:rFonts w:ascii="Arial" w:cs="Arial" w:eastAsia="Arial" w:hAnsi="Arial"/>
          <w:sz w:val="16"/>
          <w:szCs w:val="16"/>
          <w:b w:val="1"/>
          <w:bCs w:val="1"/>
          <w:color w:val="auto"/>
        </w:rPr>
      </w:pPr>
      <w:r>
        <w:rPr>
          <w:rFonts w:ascii="Arial" w:cs="Arial" w:eastAsia="Arial" w:hAnsi="Arial"/>
          <w:sz w:val="16"/>
          <w:szCs w:val="16"/>
          <w:b w:val="1"/>
          <w:bCs w:val="1"/>
          <w:color w:val="auto"/>
        </w:rPr>
        <w:t>Qualification of Incentive Award</w:t>
      </w:r>
      <w:r>
        <w:rPr>
          <w:rFonts w:ascii="Arial" w:cs="Arial" w:eastAsia="Arial" w:hAnsi="Arial"/>
          <w:sz w:val="16"/>
          <w:szCs w:val="16"/>
          <w:color w:val="auto"/>
        </w:rPr>
        <w:t>. Any options and/or shares granted under this Plan to Employees qualify as a voluntary benefit (gratification)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at the discretion of the Board as described under section 1(g) and shall under no circumstances be regarded as salary (salaire).</w:t>
      </w:r>
    </w:p>
    <w:p>
      <w:pPr>
        <w:spacing w:after="0" w:line="116" w:lineRule="exact"/>
        <w:rPr>
          <w:rFonts w:ascii="Arial" w:cs="Arial" w:eastAsia="Arial" w:hAnsi="Arial"/>
          <w:sz w:val="16"/>
          <w:szCs w:val="16"/>
          <w:b w:val="1"/>
          <w:bCs w:val="1"/>
          <w:color w:val="auto"/>
        </w:rPr>
      </w:pPr>
    </w:p>
    <w:p>
      <w:pPr>
        <w:ind w:right="40" w:firstLine="464"/>
        <w:spacing w:after="0" w:line="289" w:lineRule="auto"/>
        <w:tabs>
          <w:tab w:leader="none" w:pos="711" w:val="left"/>
        </w:tabs>
        <w:numPr>
          <w:ilvl w:val="1"/>
          <w:numId w:val="414"/>
        </w:numPr>
        <w:rPr>
          <w:rFonts w:ascii="Arial" w:cs="Arial" w:eastAsia="Arial" w:hAnsi="Arial"/>
          <w:sz w:val="17"/>
          <w:szCs w:val="17"/>
          <w:b w:val="1"/>
          <w:bCs w:val="1"/>
          <w:color w:val="auto"/>
        </w:rPr>
      </w:pPr>
      <w:r>
        <w:rPr>
          <w:rFonts w:ascii="Arial" w:cs="Arial" w:eastAsia="Arial" w:hAnsi="Arial"/>
          <w:sz w:val="17"/>
          <w:szCs w:val="17"/>
          <w:b w:val="1"/>
          <w:bCs w:val="1"/>
          <w:color w:val="auto"/>
        </w:rPr>
        <w:t>No right to be granted Incentive Awards</w:t>
      </w:r>
      <w:r>
        <w:rPr>
          <w:rFonts w:ascii="Arial" w:cs="Arial" w:eastAsia="Arial" w:hAnsi="Arial"/>
          <w:sz w:val="17"/>
          <w:szCs w:val="17"/>
          <w:color w:val="auto"/>
        </w:rPr>
        <w:t>. Neither the establishment of the Plan, nor the granting of Incentive Awards, nor the payments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nor any action of the Company or of the Board shall be held or construed to confer upon any Employee, Director or Participant any legal right to be granted Incentive Awards. The grant of Incentive Awards gives no rights to be granted further Incentive Awards.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0" w:right="239" w:bottom="1440" w:gutter="0" w:footer="0" w:header="0"/>
        </w:sectPr>
      </w:pPr>
    </w:p>
    <w:bookmarkStart w:id="579" w:name="page580"/>
    <w:bookmarkEnd w:id="579"/>
    <w:p>
      <w:pPr>
        <w:ind w:left="452" w:hanging="452"/>
        <w:spacing w:after="0"/>
        <w:tabs>
          <w:tab w:leader="none" w:pos="452"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 w:right="100" w:firstLine="464"/>
        <w:spacing w:after="0" w:line="266" w:lineRule="auto"/>
        <w:tabs>
          <w:tab w:leader="none" w:pos="703" w:val="left"/>
        </w:tabs>
        <w:numPr>
          <w:ilvl w:val="1"/>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the Board. </w:t>
      </w:r>
      <w:r>
        <w:rPr>
          <w:rFonts w:ascii="Arial" w:cs="Arial" w:eastAsia="Arial" w:hAnsi="Arial"/>
          <w:sz w:val="18"/>
          <w:szCs w:val="18"/>
          <w:color w:val="auto"/>
        </w:rPr>
        <w:t>The Board shall administer the Plan. The Board may delegate all or part of its responsibilities as administrator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to any other corporate body, committee or individual as it deems appropriate, within the limits set by Article 716a CO, the Articles of Incorporation and the Plan.</w:t>
      </w:r>
    </w:p>
    <w:p>
      <w:pPr>
        <w:spacing w:after="0" w:line="176" w:lineRule="exact"/>
        <w:rPr>
          <w:rFonts w:ascii="Arial" w:cs="Arial" w:eastAsia="Arial" w:hAnsi="Arial"/>
          <w:sz w:val="18"/>
          <w:szCs w:val="18"/>
          <w:b w:val="1"/>
          <w:bCs w:val="1"/>
          <w:color w:val="auto"/>
        </w:rPr>
      </w:pPr>
    </w:p>
    <w:p>
      <w:pPr>
        <w:ind w:left="712" w:hanging="256"/>
        <w:spacing w:after="0"/>
        <w:tabs>
          <w:tab w:leader="none" w:pos="712" w:val="left"/>
        </w:tabs>
        <w:numPr>
          <w:ilvl w:val="1"/>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the Board. </w:t>
      </w:r>
      <w:r>
        <w:rPr>
          <w:rFonts w:ascii="Arial" w:cs="Arial" w:eastAsia="Arial" w:hAnsi="Arial"/>
          <w:sz w:val="18"/>
          <w:szCs w:val="18"/>
          <w:color w:val="auto"/>
        </w:rPr>
        <w:t>The Board shall have the power, subject to, and within the limitations of, the express provisions of the Plan:</w:t>
      </w:r>
    </w:p>
    <w:p>
      <w:pPr>
        <w:spacing w:after="0" w:line="121" w:lineRule="exact"/>
        <w:rPr>
          <w:rFonts w:ascii="Arial" w:cs="Arial" w:eastAsia="Arial" w:hAnsi="Arial"/>
          <w:sz w:val="18"/>
          <w:szCs w:val="18"/>
          <w:b w:val="1"/>
          <w:bCs w:val="1"/>
          <w:color w:val="auto"/>
        </w:rPr>
      </w:pPr>
    </w:p>
    <w:p>
      <w:pPr>
        <w:ind w:left="1132" w:hanging="219"/>
        <w:spacing w:after="0"/>
        <w:tabs>
          <w:tab w:leader="none" w:pos="1132" w:val="left"/>
        </w:tabs>
        <w:numPr>
          <w:ilvl w:val="2"/>
          <w:numId w:val="415"/>
        </w:numPr>
        <w:rPr>
          <w:rFonts w:ascii="Arial" w:cs="Arial" w:eastAsia="Arial" w:hAnsi="Arial"/>
          <w:sz w:val="18"/>
          <w:szCs w:val="18"/>
          <w:b w:val="1"/>
          <w:bCs w:val="1"/>
          <w:color w:val="auto"/>
        </w:rPr>
      </w:pPr>
      <w:r>
        <w:rPr>
          <w:rFonts w:ascii="Arial" w:cs="Arial" w:eastAsia="Arial" w:hAnsi="Arial"/>
          <w:sz w:val="18"/>
          <w:szCs w:val="18"/>
          <w:color w:val="auto"/>
        </w:rPr>
        <w:t>To grant Incentive Awards and determine on that occasion in particular:</w:t>
      </w:r>
    </w:p>
    <w:p>
      <w:pPr>
        <w:spacing w:after="0" w:line="117" w:lineRule="exact"/>
        <w:rPr>
          <w:sz w:val="20"/>
          <w:szCs w:val="20"/>
          <w:color w:val="auto"/>
        </w:rPr>
      </w:pPr>
    </w:p>
    <w:p>
      <w:pPr>
        <w:ind w:left="1212" w:hanging="299"/>
        <w:spacing w:after="0"/>
        <w:tabs>
          <w:tab w:leader="none" w:pos="1212"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which of the persons eligible under the Plan shall be granted Incentive Awards;</w:t>
      </w:r>
    </w:p>
    <w:p>
      <w:pPr>
        <w:spacing w:after="0" w:line="117" w:lineRule="exact"/>
        <w:rPr>
          <w:rFonts w:ascii="Arial" w:cs="Arial" w:eastAsia="Arial" w:hAnsi="Arial"/>
          <w:sz w:val="18"/>
          <w:szCs w:val="18"/>
          <w:color w:val="auto"/>
        </w:rPr>
      </w:pPr>
    </w:p>
    <w:p>
      <w:pPr>
        <w:ind w:left="1192" w:hanging="279"/>
        <w:spacing w:after="0"/>
        <w:tabs>
          <w:tab w:leader="none" w:pos="1192"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when each Incentive Award shall be granted;</w:t>
      </w:r>
    </w:p>
    <w:p>
      <w:pPr>
        <w:spacing w:after="0" w:line="117" w:lineRule="exact"/>
        <w:rPr>
          <w:rFonts w:ascii="Arial" w:cs="Arial" w:eastAsia="Arial" w:hAnsi="Arial"/>
          <w:sz w:val="18"/>
          <w:szCs w:val="18"/>
          <w:color w:val="auto"/>
        </w:rPr>
      </w:pPr>
    </w:p>
    <w:p>
      <w:pPr>
        <w:ind w:left="1192" w:hanging="279"/>
        <w:spacing w:after="0"/>
        <w:tabs>
          <w:tab w:leader="none" w:pos="1192"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what type or combination of types of Incentive Award shall be granted;</w:t>
      </w:r>
    </w:p>
    <w:p>
      <w:pPr>
        <w:spacing w:after="0" w:line="117" w:lineRule="exact"/>
        <w:rPr>
          <w:rFonts w:ascii="Arial" w:cs="Arial" w:eastAsia="Arial" w:hAnsi="Arial"/>
          <w:sz w:val="18"/>
          <w:szCs w:val="18"/>
          <w:color w:val="auto"/>
        </w:rPr>
      </w:pPr>
    </w:p>
    <w:p>
      <w:pPr>
        <w:ind w:left="912" w:firstLine="1"/>
        <w:spacing w:after="0" w:line="264" w:lineRule="auto"/>
        <w:tabs>
          <w:tab w:leader="none" w:pos="1207"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provisions of each Incentive Award granted (which need not be identical), including but not limited to (i) regarding an Option Award, the Exercise Price, the terms and conditions of the Vesting and the right of repurchase and (ii) regarding a Share Award, the right of repurchase and the transferability restriction of the Shares;</w:t>
      </w:r>
    </w:p>
    <w:p>
      <w:pPr>
        <w:spacing w:after="0" w:line="73" w:lineRule="exact"/>
        <w:rPr>
          <w:rFonts w:ascii="Arial" w:cs="Arial" w:eastAsia="Arial" w:hAnsi="Arial"/>
          <w:sz w:val="18"/>
          <w:szCs w:val="18"/>
          <w:color w:val="auto"/>
        </w:rPr>
      </w:pPr>
    </w:p>
    <w:p>
      <w:pPr>
        <w:ind w:left="1192" w:hanging="279"/>
        <w:spacing w:after="0"/>
        <w:tabs>
          <w:tab w:leader="none" w:pos="1192"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number of Options and/or Shares to be granted to the persons eligible under the Plan.</w:t>
      </w:r>
    </w:p>
    <w:p>
      <w:pPr>
        <w:spacing w:after="0" w:line="117" w:lineRule="exact"/>
        <w:rPr>
          <w:sz w:val="20"/>
          <w:szCs w:val="20"/>
          <w:color w:val="auto"/>
        </w:rPr>
      </w:pPr>
    </w:p>
    <w:p>
      <w:pPr>
        <w:ind w:left="1172" w:hanging="259"/>
        <w:spacing w:after="0"/>
        <w:tabs>
          <w:tab w:leader="none" w:pos="1172" w:val="left"/>
        </w:tabs>
        <w:numPr>
          <w:ilvl w:val="1"/>
          <w:numId w:val="417"/>
        </w:numPr>
        <w:rPr>
          <w:rFonts w:ascii="Arial" w:cs="Arial" w:eastAsia="Arial" w:hAnsi="Arial"/>
          <w:sz w:val="18"/>
          <w:szCs w:val="18"/>
          <w:b w:val="1"/>
          <w:bCs w:val="1"/>
          <w:color w:val="auto"/>
        </w:rPr>
      </w:pPr>
      <w:r>
        <w:rPr>
          <w:rFonts w:ascii="Arial" w:cs="Arial" w:eastAsia="Arial" w:hAnsi="Arial"/>
          <w:sz w:val="18"/>
          <w:szCs w:val="18"/>
          <w:color w:val="auto"/>
        </w:rPr>
        <w:t>To approve the forms of Incentive Award Agreements for use under the Plan.</w:t>
      </w:r>
    </w:p>
    <w:p>
      <w:pPr>
        <w:spacing w:after="0" w:line="117" w:lineRule="exact"/>
        <w:rPr>
          <w:rFonts w:ascii="Arial" w:cs="Arial" w:eastAsia="Arial" w:hAnsi="Arial"/>
          <w:sz w:val="18"/>
          <w:szCs w:val="18"/>
          <w:b w:val="1"/>
          <w:bCs w:val="1"/>
          <w:color w:val="auto"/>
        </w:rPr>
      </w:pPr>
    </w:p>
    <w:p>
      <w:pPr>
        <w:ind w:left="1232" w:hanging="319"/>
        <w:spacing w:after="0"/>
        <w:tabs>
          <w:tab w:leader="none" w:pos="1232" w:val="left"/>
        </w:tabs>
        <w:numPr>
          <w:ilvl w:val="1"/>
          <w:numId w:val="417"/>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Incentive Award Agreements granted under it.</w:t>
      </w:r>
    </w:p>
    <w:p>
      <w:pPr>
        <w:spacing w:after="0" w:line="117" w:lineRule="exact"/>
        <w:rPr>
          <w:rFonts w:ascii="Arial" w:cs="Arial" w:eastAsia="Arial" w:hAnsi="Arial"/>
          <w:sz w:val="18"/>
          <w:szCs w:val="18"/>
          <w:b w:val="1"/>
          <w:bCs w:val="1"/>
          <w:color w:val="auto"/>
        </w:rPr>
      </w:pPr>
    </w:p>
    <w:p>
      <w:pPr>
        <w:ind w:left="-8" w:firstLine="921"/>
        <w:spacing w:after="0" w:line="288" w:lineRule="auto"/>
        <w:tabs>
          <w:tab w:leader="none" w:pos="1210" w:val="left"/>
        </w:tabs>
        <w:numPr>
          <w:ilvl w:val="1"/>
          <w:numId w:val="417"/>
        </w:numPr>
        <w:rPr>
          <w:rFonts w:ascii="Arial" w:cs="Arial" w:eastAsia="Arial" w:hAnsi="Arial"/>
          <w:sz w:val="16"/>
          <w:szCs w:val="16"/>
          <w:b w:val="1"/>
          <w:bCs w:val="1"/>
          <w:color w:val="auto"/>
        </w:rPr>
      </w:pPr>
      <w:r>
        <w:rPr>
          <w:rFonts w:ascii="Arial" w:cs="Arial" w:eastAsia="Arial" w:hAnsi="Arial"/>
          <w:sz w:val="16"/>
          <w:szCs w:val="16"/>
          <w:color w:val="auto"/>
        </w:rPr>
        <w:t>To amend the Plan and/or the terms of any one or more Incentive Award Agreements in any respect the Board deems necessary or advisable, provided however that rights under any Incentive Award Agreements granted before amendment of the Plan and/or of the Incentive Award Agreement shall not be impaired by any amendment of the Plan and/or of the Incentive Award Agreement unless (1) all adversely affected Participants consent in writing or</w:t>
      </w:r>
    </w:p>
    <w:p>
      <w:pPr>
        <w:ind w:left="-8" w:right="100" w:firstLine="8"/>
        <w:spacing w:after="0" w:line="261" w:lineRule="auto"/>
        <w:tabs>
          <w:tab w:leader="none" w:pos="247" w:val="left"/>
        </w:tabs>
        <w:numPr>
          <w:ilvl w:val="0"/>
          <w:numId w:val="418"/>
        </w:numPr>
        <w:rPr>
          <w:rFonts w:ascii="Arial" w:cs="Arial" w:eastAsia="Arial" w:hAnsi="Arial"/>
          <w:sz w:val="18"/>
          <w:szCs w:val="18"/>
          <w:color w:val="auto"/>
        </w:rPr>
      </w:pPr>
      <w:r>
        <w:rPr>
          <w:rFonts w:ascii="Arial" w:cs="Arial" w:eastAsia="Arial" w:hAnsi="Arial"/>
          <w:sz w:val="18"/>
          <w:szCs w:val="18"/>
          <w:color w:val="auto"/>
        </w:rPr>
        <w:t>the aggregate economic value of the Incentive Awards held by all Participants has not decreased as a result of such amendment. The amendments may in particular consist of:</w:t>
      </w:r>
    </w:p>
    <w:p>
      <w:pPr>
        <w:spacing w:after="0" w:line="76" w:lineRule="exact"/>
        <w:rPr>
          <w:sz w:val="20"/>
          <w:szCs w:val="20"/>
          <w:color w:val="auto"/>
        </w:rPr>
      </w:pPr>
    </w:p>
    <w:p>
      <w:pPr>
        <w:ind w:left="1012" w:hanging="99"/>
        <w:spacing w:after="0"/>
        <w:tabs>
          <w:tab w:leader="none" w:pos="1012"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reduction of the Exercise Price of any outstanding Option under the Plan;</w:t>
      </w:r>
    </w:p>
    <w:p>
      <w:pPr>
        <w:spacing w:after="0" w:line="117" w:lineRule="exact"/>
        <w:rPr>
          <w:rFonts w:ascii="Arial" w:cs="Arial" w:eastAsia="Arial" w:hAnsi="Arial"/>
          <w:sz w:val="18"/>
          <w:szCs w:val="18"/>
          <w:color w:val="auto"/>
        </w:rPr>
      </w:pPr>
    </w:p>
    <w:p>
      <w:pPr>
        <w:ind w:left="912" w:right="100" w:firstLine="1"/>
        <w:spacing w:after="0" w:line="342" w:lineRule="auto"/>
        <w:tabs>
          <w:tab w:leader="none" w:pos="1017"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cancellation of any outstanding Option under the Plan and the grant in substitution therefore of (1) a new Option under the Plan or another equity plan of the Company covering the same number of Shares, (2) a Share Award (as determined by the Board, in its sole discretion)</w:t>
      </w:r>
    </w:p>
    <w:p>
      <w:pPr>
        <w:spacing w:after="0" w:line="5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52"/>
          </w:cols>
          <w:pgMar w:left="248" w:top="270" w:right="299" w:bottom="1440" w:gutter="0" w:footer="0" w:header="0"/>
        </w:sectPr>
      </w:pPr>
    </w:p>
    <w:bookmarkStart w:id="580" w:name="page581"/>
    <w:bookmarkEnd w:id="580"/>
    <w:p>
      <w:pPr>
        <w:jc w:val="both"/>
        <w:ind w:left="912" w:right="20" w:firstLine="1"/>
        <w:spacing w:after="0" w:line="259" w:lineRule="auto"/>
        <w:tabs>
          <w:tab w:leader="none" w:pos="1017" w:val="left"/>
        </w:tabs>
        <w:numPr>
          <w:ilvl w:val="0"/>
          <w:numId w:val="4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acceleration of the time at which an Option Award may first be exercised or the time during which an Option Award or any part thereof will vest in accordance with the Plan, notwithstanding the provisions in the Option Award Agreement stating the time during which it will vest or the time at which it may first be exercised; for the sake of clarity, the Board may decide this acceleration in any circumstances including but not limited to any kind of Corporate Transaction or IPO.</w:t>
      </w:r>
    </w:p>
    <w:p>
      <w:pPr>
        <w:spacing w:after="0" w:line="78" w:lineRule="exact"/>
        <w:rPr>
          <w:rFonts w:ascii="Arial" w:cs="Arial" w:eastAsia="Arial" w:hAnsi="Arial"/>
          <w:sz w:val="18"/>
          <w:szCs w:val="18"/>
          <w:color w:val="auto"/>
        </w:rPr>
      </w:pPr>
    </w:p>
    <w:p>
      <w:pPr>
        <w:ind w:left="912" w:right="20" w:firstLine="1"/>
        <w:spacing w:after="0" w:line="277" w:lineRule="auto"/>
        <w:tabs>
          <w:tab w:leader="none" w:pos="1017"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termination or the reduction of the scope of any provisions regarding a transferability restriction and/or a right of repurchase provided for in an Incentive Award Agreement.</w:t>
      </w:r>
    </w:p>
    <w:p>
      <w:pPr>
        <w:spacing w:after="0" w:line="62" w:lineRule="exact"/>
        <w:rPr>
          <w:sz w:val="20"/>
          <w:szCs w:val="20"/>
          <w:color w:val="auto"/>
        </w:rPr>
      </w:pPr>
    </w:p>
    <w:p>
      <w:pPr>
        <w:ind w:left="1172" w:hanging="259"/>
        <w:spacing w:after="0"/>
        <w:tabs>
          <w:tab w:leader="none" w:pos="1172" w:val="left"/>
        </w:tabs>
        <w:numPr>
          <w:ilvl w:val="2"/>
          <w:numId w:val="421"/>
        </w:numPr>
        <w:rPr>
          <w:rFonts w:ascii="Arial" w:cs="Arial" w:eastAsia="Arial" w:hAnsi="Arial"/>
          <w:sz w:val="18"/>
          <w:szCs w:val="18"/>
          <w:b w:val="1"/>
          <w:bCs w:val="1"/>
          <w:color w:val="auto"/>
        </w:rPr>
      </w:pPr>
      <w:r>
        <w:rPr>
          <w:rFonts w:ascii="Arial" w:cs="Arial" w:eastAsia="Arial" w:hAnsi="Arial"/>
          <w:sz w:val="18"/>
          <w:szCs w:val="18"/>
          <w:color w:val="auto"/>
        </w:rPr>
        <w:t>To establish, amend and revoke rules and regulations for the administration of the Plan.</w:t>
      </w:r>
    </w:p>
    <w:p>
      <w:pPr>
        <w:spacing w:after="0" w:line="117" w:lineRule="exact"/>
        <w:rPr>
          <w:rFonts w:ascii="Arial" w:cs="Arial" w:eastAsia="Arial" w:hAnsi="Arial"/>
          <w:sz w:val="18"/>
          <w:szCs w:val="18"/>
          <w:b w:val="1"/>
          <w:bCs w:val="1"/>
          <w:color w:val="auto"/>
        </w:rPr>
      </w:pPr>
    </w:p>
    <w:p>
      <w:pPr>
        <w:ind w:left="1212" w:hanging="299"/>
        <w:spacing w:after="0"/>
        <w:tabs>
          <w:tab w:leader="none" w:pos="1212" w:val="left"/>
        </w:tabs>
        <w:numPr>
          <w:ilvl w:val="2"/>
          <w:numId w:val="421"/>
        </w:numPr>
        <w:rPr>
          <w:rFonts w:ascii="Arial" w:cs="Arial" w:eastAsia="Arial" w:hAnsi="Arial"/>
          <w:sz w:val="18"/>
          <w:szCs w:val="18"/>
          <w:b w:val="1"/>
          <w:bCs w:val="1"/>
          <w:color w:val="auto"/>
        </w:rPr>
      </w:pPr>
      <w:r>
        <w:rPr>
          <w:rFonts w:ascii="Arial" w:cs="Arial" w:eastAsia="Arial" w:hAnsi="Arial"/>
          <w:sz w:val="18"/>
          <w:szCs w:val="18"/>
          <w:color w:val="auto"/>
        </w:rPr>
        <w:t>To determine the Fair Market Value applicable to Shares, if necessary.</w:t>
      </w:r>
    </w:p>
    <w:p>
      <w:pPr>
        <w:spacing w:after="0" w:line="117" w:lineRule="exact"/>
        <w:rPr>
          <w:rFonts w:ascii="Arial" w:cs="Arial" w:eastAsia="Arial" w:hAnsi="Arial"/>
          <w:sz w:val="18"/>
          <w:szCs w:val="18"/>
          <w:b w:val="1"/>
          <w:bCs w:val="1"/>
          <w:color w:val="auto"/>
        </w:rPr>
      </w:pPr>
    </w:p>
    <w:p>
      <w:pPr>
        <w:ind w:left="-8" w:right="140" w:firstLine="921"/>
        <w:spacing w:after="0" w:line="277" w:lineRule="auto"/>
        <w:tabs>
          <w:tab w:leader="none" w:pos="1260" w:val="left"/>
        </w:tabs>
        <w:numPr>
          <w:ilvl w:val="2"/>
          <w:numId w:val="421"/>
        </w:numPr>
        <w:rPr>
          <w:rFonts w:ascii="Arial" w:cs="Arial" w:eastAsia="Arial" w:hAnsi="Arial"/>
          <w:sz w:val="18"/>
          <w:szCs w:val="18"/>
          <w:b w:val="1"/>
          <w:bCs w:val="1"/>
          <w:color w:val="auto"/>
        </w:rPr>
      </w:pPr>
      <w:r>
        <w:rPr>
          <w:rFonts w:ascii="Arial" w:cs="Arial" w:eastAsia="Arial" w:hAnsi="Arial"/>
          <w:sz w:val="18"/>
          <w:szCs w:val="18"/>
          <w:color w:val="auto"/>
        </w:rPr>
        <w:t>To settle all controversies and disputes that may arise in connection with the Plan and/or any Incentive Award Agreement granted under it, within the limits provided by applicable law.</w:t>
      </w:r>
    </w:p>
    <w:p>
      <w:pPr>
        <w:spacing w:after="0" w:line="62" w:lineRule="exact"/>
        <w:rPr>
          <w:rFonts w:ascii="Arial" w:cs="Arial" w:eastAsia="Arial" w:hAnsi="Arial"/>
          <w:sz w:val="18"/>
          <w:szCs w:val="18"/>
          <w:b w:val="1"/>
          <w:bCs w:val="1"/>
          <w:color w:val="auto"/>
        </w:rPr>
      </w:pPr>
    </w:p>
    <w:p>
      <w:pPr>
        <w:ind w:left="-8" w:right="100" w:firstLine="921"/>
        <w:spacing w:after="0" w:line="277" w:lineRule="auto"/>
        <w:tabs>
          <w:tab w:leader="none" w:pos="1310" w:val="left"/>
        </w:tabs>
        <w:numPr>
          <w:ilvl w:val="2"/>
          <w:numId w:val="421"/>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or Directors who are foreign nationals, employed outside Switzerland or otherwise subject to foreign taxation.</w:t>
      </w:r>
    </w:p>
    <w:p>
      <w:pPr>
        <w:spacing w:after="0" w:line="62" w:lineRule="exact"/>
        <w:rPr>
          <w:rFonts w:ascii="Arial" w:cs="Arial" w:eastAsia="Arial" w:hAnsi="Arial"/>
          <w:sz w:val="18"/>
          <w:szCs w:val="18"/>
          <w:b w:val="1"/>
          <w:bCs w:val="1"/>
          <w:color w:val="auto"/>
        </w:rPr>
      </w:pPr>
    </w:p>
    <w:p>
      <w:pPr>
        <w:ind w:left="1212" w:hanging="299"/>
        <w:spacing w:after="0"/>
        <w:tabs>
          <w:tab w:leader="none" w:pos="1212" w:val="left"/>
        </w:tabs>
        <w:numPr>
          <w:ilvl w:val="2"/>
          <w:numId w:val="421"/>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w:t>
      </w:r>
    </w:p>
    <w:p>
      <w:pPr>
        <w:spacing w:after="0" w:line="117" w:lineRule="exact"/>
        <w:rPr>
          <w:rFonts w:ascii="Arial" w:cs="Arial" w:eastAsia="Arial" w:hAnsi="Arial"/>
          <w:sz w:val="18"/>
          <w:szCs w:val="18"/>
          <w:b w:val="1"/>
          <w:bCs w:val="1"/>
          <w:color w:val="auto"/>
        </w:rPr>
      </w:pPr>
    </w:p>
    <w:p>
      <w:pPr>
        <w:ind w:left="-8" w:right="220" w:firstLine="921"/>
        <w:spacing w:after="0" w:line="277" w:lineRule="auto"/>
        <w:tabs>
          <w:tab w:leader="none" w:pos="1160" w:val="left"/>
        </w:tabs>
        <w:numPr>
          <w:ilvl w:val="2"/>
          <w:numId w:val="421"/>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Incentive Award Agreements.</w:t>
      </w:r>
    </w:p>
    <w:p>
      <w:pPr>
        <w:spacing w:after="0" w:line="166" w:lineRule="exact"/>
        <w:rPr>
          <w:rFonts w:ascii="Arial" w:cs="Arial" w:eastAsia="Arial" w:hAnsi="Arial"/>
          <w:sz w:val="18"/>
          <w:szCs w:val="18"/>
          <w:b w:val="1"/>
          <w:bCs w:val="1"/>
          <w:color w:val="auto"/>
        </w:rPr>
      </w:pPr>
    </w:p>
    <w:p>
      <w:pPr>
        <w:ind w:left="-8" w:right="480" w:firstLine="464"/>
        <w:spacing w:after="0" w:line="282" w:lineRule="auto"/>
        <w:tabs>
          <w:tab w:leader="none" w:pos="693" w:val="left"/>
        </w:tabs>
        <w:numPr>
          <w:ilvl w:val="1"/>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the Board’s Decision. </w:t>
      </w:r>
      <w:r>
        <w:rPr>
          <w:rFonts w:ascii="Arial" w:cs="Arial" w:eastAsia="Arial" w:hAnsi="Arial"/>
          <w:sz w:val="18"/>
          <w:szCs w:val="18"/>
          <w:color w:val="auto"/>
        </w:rPr>
        <w:t>The determinations, interpretations and constructions made by the Board in good faith shall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shall be final, binding and conclusive on all persons.</w:t>
      </w:r>
    </w:p>
    <w:p>
      <w:pPr>
        <w:spacing w:after="0" w:line="310" w:lineRule="exact"/>
        <w:rPr>
          <w:rFonts w:ascii="Arial" w:cs="Arial" w:eastAsia="Arial" w:hAnsi="Arial"/>
          <w:sz w:val="18"/>
          <w:szCs w:val="18"/>
          <w:b w:val="1"/>
          <w:bCs w:val="1"/>
          <w:color w:val="auto"/>
        </w:rPr>
      </w:pPr>
    </w:p>
    <w:p>
      <w:pPr>
        <w:ind w:left="452" w:hanging="452"/>
        <w:spacing w:after="0"/>
        <w:tabs>
          <w:tab w:leader="none" w:pos="452"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 w:firstLine="464"/>
        <w:spacing w:after="0" w:line="261" w:lineRule="auto"/>
        <w:tabs>
          <w:tab w:leader="none" w:pos="703" w:val="left"/>
        </w:tabs>
        <w:numPr>
          <w:ilvl w:val="1"/>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The Plan is based on the provision of the Articles of Incorporation regarding the conditional increase of the share capital.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may also be made available to Participants from Shares otherwise owned by or made available to the Company, such as Shares reacquired by the Company as per the terms and conditions of applicable law. The Board shall determine in its sole discretion whether the Participant shall receive a newly issued Share or an existing Share owned by or made available to the Company.</w:t>
      </w:r>
    </w:p>
    <w:p>
      <w:pPr>
        <w:spacing w:after="0" w:line="11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73" w:right="279" w:bottom="1440" w:gutter="0" w:footer="0" w:header="0"/>
        </w:sectPr>
      </w:pPr>
    </w:p>
    <w:bookmarkStart w:id="581" w:name="page582"/>
    <w:bookmarkEnd w:id="581"/>
    <w:p>
      <w:pPr>
        <w:ind w:firstLine="464"/>
        <w:spacing w:after="0" w:line="287" w:lineRule="auto"/>
        <w:tabs>
          <w:tab w:leader="none" w:pos="721" w:val="left"/>
        </w:tabs>
        <w:numPr>
          <w:ilvl w:val="0"/>
          <w:numId w:val="42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 Award and conditional capital. </w:t>
      </w:r>
      <w:r>
        <w:rPr>
          <w:rFonts w:ascii="Arial" w:cs="Arial" w:eastAsia="Arial" w:hAnsi="Arial"/>
          <w:sz w:val="16"/>
          <w:szCs w:val="16"/>
          <w:color w:val="auto"/>
        </w:rPr>
        <w:t>Even if the Company owns part of its Shares, the Board may decide at its sole discretion that the grant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will occur by means of the grant of Options exercisable in connection with the conditional capital increase mentioned in Section 3(a) above. Such grant of Options under the Plan and the terms and conditions thereof shall be formalized in the Share Award Agreement. Unless otherwise decided by the Board: the Option shall be exercised immediately; the Exercise Price shall be determined by the Board and shall not be lower than the par value of the Shares; the quantity of Options shall be determined by the Board and each Option shall entitle to subscribe or purchase one Share. The exercise of the Options shall be contingent upon (i) the signature by the Company and the Participant of the Share Award Agreement, (ii) the signature by the Participant of a written notice of exercise that shall be established by the Board, (iii) the payment of the Exercise Price, (iv) the unconditional adhesion to the Shareholders’ Agreement and (v) the signature and/or execution of any other agreement requested by the Board providing for certain protections for the Company and its other shareholders. At the Board’s discretion, the Share Award Agreement and the notice of exercise may be brought together in one sole document. If the Exercise Price is not paid at least 5 business days after the signature of the abovementioned documents, the options shall lapse and the Participant will no longer have any rights according to this Plan and to the Share Award Agreement and the other documents signed in connection with the Share Award. For the sake of clarity, the Participant shall acquire all shareholders’ rights when the abovementioned documents are signed and the Exercise Price is paid.</w:t>
      </w:r>
    </w:p>
    <w:p>
      <w:pPr>
        <w:spacing w:after="0" w:line="168" w:lineRule="exact"/>
        <w:rPr>
          <w:rFonts w:ascii="Arial" w:cs="Arial" w:eastAsia="Arial" w:hAnsi="Arial"/>
          <w:sz w:val="16"/>
          <w:szCs w:val="16"/>
          <w:b w:val="1"/>
          <w:bCs w:val="1"/>
          <w:color w:val="auto"/>
        </w:rPr>
      </w:pPr>
    </w:p>
    <w:p>
      <w:pPr>
        <w:ind w:right="20" w:firstLine="464"/>
        <w:spacing w:after="0" w:line="303" w:lineRule="auto"/>
        <w:tabs>
          <w:tab w:leader="none" w:pos="701" w:val="left"/>
        </w:tabs>
        <w:numPr>
          <w:ilvl w:val="0"/>
          <w:numId w:val="4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Shares or Options to the Share Reserve. </w:t>
      </w:r>
      <w:r>
        <w:rPr>
          <w:rFonts w:ascii="Arial" w:cs="Arial" w:eastAsia="Arial" w:hAnsi="Arial"/>
          <w:sz w:val="16"/>
          <w:szCs w:val="16"/>
          <w:color w:val="auto"/>
        </w:rPr>
        <w:t>If any Shares issued pursuant to an Incentive Award are repurchased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Sections 4(j) and 7(b) then the repurchased Shares shall again become available for issuance under the Plan. If any Options granted pursuant to an Option Award Agreement are forfeited because of the failure to meet a contingency or condition required to vest such Options in the Participant, then the shares of conditional capital underlying such forfeited Options shall again become available for the grant of Options and/or Shares under the Plan.</w:t>
      </w:r>
    </w:p>
    <w:p>
      <w:pPr>
        <w:spacing w:after="0" w:line="151" w:lineRule="exact"/>
        <w:rPr>
          <w:rFonts w:ascii="Arial" w:cs="Arial" w:eastAsia="Arial" w:hAnsi="Arial"/>
          <w:sz w:val="16"/>
          <w:szCs w:val="16"/>
          <w:b w:val="1"/>
          <w:bCs w:val="1"/>
          <w:color w:val="auto"/>
        </w:rPr>
      </w:pPr>
    </w:p>
    <w:p>
      <w:pPr>
        <w:ind w:left="720" w:hanging="256"/>
        <w:spacing w:after="0"/>
        <w:tabs>
          <w:tab w:leader="none" w:pos="72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Shares. </w:t>
      </w:r>
      <w:r>
        <w:rPr>
          <w:rFonts w:ascii="Arial" w:cs="Arial" w:eastAsia="Arial" w:hAnsi="Arial"/>
          <w:sz w:val="18"/>
          <w:szCs w:val="18"/>
          <w:color w:val="auto"/>
        </w:rPr>
        <w:t>The Shares issuable under the Plan shall be ordinary registered Shares of the Company.</w:t>
      </w:r>
    </w:p>
    <w:p>
      <w:pPr>
        <w:spacing w:after="0" w:line="374" w:lineRule="exact"/>
        <w:rPr>
          <w:sz w:val="20"/>
          <w:szCs w:val="20"/>
          <w:color w:val="auto"/>
        </w:rPr>
      </w:pPr>
    </w:p>
    <w:p>
      <w:pPr>
        <w:ind w:left="460" w:hanging="452"/>
        <w:spacing w:after="0"/>
        <w:tabs>
          <w:tab w:leader="none" w:pos="4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PTIONS</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Each Option Award Agreement shall be in such form and shall contain such terms and conditions as the Board shall deem appropriate. The provisions of separate Option Award Agreements need not be identical. In principle, each Option Award Agreement shall conform to (through incorporation of provisions hereof by reference in the applicable Option Award Agreement or otherwise) the substance of each of the following provisions:</w:t>
      </w:r>
    </w:p>
    <w:p>
      <w:pPr>
        <w:spacing w:after="0" w:line="143" w:lineRule="exact"/>
        <w:rPr>
          <w:sz w:val="20"/>
          <w:szCs w:val="20"/>
          <w:color w:val="auto"/>
        </w:rPr>
      </w:pPr>
    </w:p>
    <w:p>
      <w:pPr>
        <w:ind w:right="180" w:firstLine="464"/>
        <w:spacing w:after="0" w:line="282" w:lineRule="auto"/>
        <w:tabs>
          <w:tab w:leader="none" w:pos="711"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No Option shall be exercisable after the expiration of ten (10) years from the date of its grant or such shorter period specified in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w:t>
      </w:r>
    </w:p>
    <w:p>
      <w:pPr>
        <w:spacing w:after="0" w:line="161" w:lineRule="exact"/>
        <w:rPr>
          <w:rFonts w:ascii="Arial" w:cs="Arial" w:eastAsia="Arial" w:hAnsi="Arial"/>
          <w:sz w:val="18"/>
          <w:szCs w:val="18"/>
          <w:b w:val="1"/>
          <w:bCs w:val="1"/>
          <w:color w:val="auto"/>
        </w:rPr>
      </w:pPr>
    </w:p>
    <w:p>
      <w:pPr>
        <w:ind w:right="340" w:firstLine="464"/>
        <w:spacing w:after="0" w:line="282" w:lineRule="auto"/>
        <w:tabs>
          <w:tab w:leader="none" w:pos="721"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Exercise Price of the Share covered by each Option shall be determined at the sole discretion of the Board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lower than the par value of the Shares.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582" w:name="page583"/>
    <w:bookmarkEnd w:id="582"/>
    <w:p>
      <w:pPr>
        <w:ind w:firstLine="464"/>
        <w:spacing w:after="0" w:line="261" w:lineRule="auto"/>
        <w:tabs>
          <w:tab w:leader="none" w:pos="701"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Consideration for Options. </w:t>
      </w:r>
      <w:r>
        <w:rPr>
          <w:rFonts w:ascii="Arial" w:cs="Arial" w:eastAsia="Arial" w:hAnsi="Arial"/>
          <w:sz w:val="18"/>
          <w:szCs w:val="18"/>
          <w:color w:val="auto"/>
        </w:rPr>
        <w:t>The Exercise Price shall be paid, to the extent permitted by applicable law and as determined by the Board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by any combination of the methods of payment set forth below. The permitted methods of payment are as follows: (i) in Swiss Francs, by wire transfer on a bank account to be indicated by the Company, or (ii) in any other form of legal consideration that may be acceptable to the Board and complying with applicable law.</w:t>
      </w:r>
    </w:p>
    <w:p>
      <w:pPr>
        <w:spacing w:after="0" w:line="180" w:lineRule="exact"/>
        <w:rPr>
          <w:rFonts w:ascii="Arial" w:cs="Arial" w:eastAsia="Arial" w:hAnsi="Arial"/>
          <w:sz w:val="18"/>
          <w:szCs w:val="18"/>
          <w:b w:val="1"/>
          <w:bCs w:val="1"/>
          <w:color w:val="auto"/>
        </w:rPr>
      </w:pPr>
    </w:p>
    <w:p>
      <w:pPr>
        <w:ind w:right="160" w:firstLine="464"/>
        <w:spacing w:after="0" w:line="258" w:lineRule="auto"/>
        <w:tabs>
          <w:tab w:leader="none" w:pos="721"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of Options. </w:t>
      </w:r>
      <w:r>
        <w:rPr>
          <w:rFonts w:ascii="Arial" w:cs="Arial" w:eastAsia="Arial" w:hAnsi="Arial"/>
          <w:sz w:val="18"/>
          <w:szCs w:val="18"/>
          <w:color w:val="auto"/>
        </w:rPr>
        <w:t>An Option shall be exercised by giving written notice to the Company at its principal office address, or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designee (in particular to the bank in charge of the execution of the capital increase as per article 653e par. 2 CO), together with provision for payment of Exercise Price for the Share as to which such Option is being exercised, and upon compliance with any other condition(s) set forth in the Option Award Agreement. Such written notice shall be signed by the person exercising the Option and shall contain any representation required by the law, the Plan or the Option Award Agreement.</w:t>
      </w:r>
    </w:p>
    <w:p>
      <w:pPr>
        <w:spacing w:after="0" w:line="18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Before the exercise of the Options, the Participant shall sign and deliver to the Company the Shareholders Agreement. The Board may at its sole discretion impose to the Participant to sign any other agreement (as escrow agreement or any other similar agreement).</w:t>
      </w:r>
    </w:p>
    <w:p>
      <w:pPr>
        <w:spacing w:after="0" w:line="170"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If the Company has not received the payment of the Exercise Price and the executed Shareholders Agreement 30 days after the date of receipt of the abovementioned written notice, the Board shall have the right to declare such exercised Options as terminated and thereby forfeited.</w:t>
      </w:r>
    </w:p>
    <w:p>
      <w:pPr>
        <w:spacing w:after="0" w:line="14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Upon evidence by the person exercising the Option that the Exercise Price has been fully paid and that all other applicable terms and conditions are fulfilled, the Company or the Company’s designee shall then reasonably promptly (i) issue and deliver the Share as to which such Option was exercised and</w:t>
      </w:r>
    </w:p>
    <w:p>
      <w:pPr>
        <w:ind w:right="40" w:firstLine="8"/>
        <w:spacing w:after="0" w:line="252" w:lineRule="auto"/>
        <w:tabs>
          <w:tab w:leader="none" w:pos="265" w:val="left"/>
        </w:tabs>
        <w:numPr>
          <w:ilvl w:val="0"/>
          <w:numId w:val="428"/>
        </w:numPr>
        <w:rPr>
          <w:rFonts w:ascii="Arial" w:cs="Arial" w:eastAsia="Arial" w:hAnsi="Arial"/>
          <w:sz w:val="18"/>
          <w:szCs w:val="18"/>
          <w:color w:val="auto"/>
        </w:rPr>
      </w:pPr>
      <w:r>
        <w:rPr>
          <w:rFonts w:ascii="Arial" w:cs="Arial" w:eastAsia="Arial" w:hAnsi="Arial"/>
          <w:sz w:val="18"/>
          <w:szCs w:val="18"/>
          <w:color w:val="auto"/>
        </w:rPr>
        <w:t>register the Participant in the Company’s share register. The Participant may be required to endorse the Share in blank if such is required by the Shareholders’ Agreement, an escrow agreement or any similar agreement and to deposit it with an escrow agent. In determining what constitutes “reasonably promptly”, it is expressly understood that the delivery of the Shares may be delayed by the Company in order to take into account the circumstances and modalities of a Corporate Transaction or the Company’s IPO (if applicable) or to comply with any law or regulation which requires the Company to take any action with respect to the Shares prior to their issuance. The Shares shall, upon delivery, be evidenced by an appropriate certificate or certificates for fully paid Shares.</w:t>
      </w:r>
    </w:p>
    <w:p>
      <w:pPr>
        <w:spacing w:after="0" w:line="190" w:lineRule="exact"/>
        <w:rPr>
          <w:rFonts w:ascii="Arial" w:cs="Arial" w:eastAsia="Arial" w:hAnsi="Arial"/>
          <w:sz w:val="18"/>
          <w:szCs w:val="18"/>
          <w:color w:val="auto"/>
        </w:rPr>
      </w:pPr>
    </w:p>
    <w:p>
      <w:pPr>
        <w:ind w:right="440" w:firstLine="464"/>
        <w:spacing w:after="0" w:line="347" w:lineRule="auto"/>
        <w:tabs>
          <w:tab w:leader="none" w:pos="701" w:val="left"/>
        </w:tabs>
        <w:numPr>
          <w:ilvl w:val="1"/>
          <w:numId w:val="4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of Options. </w:t>
      </w:r>
      <w:r>
        <w:rPr>
          <w:rFonts w:ascii="Arial" w:cs="Arial" w:eastAsia="Arial" w:hAnsi="Arial"/>
          <w:sz w:val="16"/>
          <w:szCs w:val="16"/>
          <w:color w:val="auto"/>
        </w:rPr>
        <w:t>The Board may, in its sole discretion, impose such limitations on the transferability of Options as the Board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In the absence of such a determination by the Board to the contrary, the following restrictions on the transferability of Options shall apply:</w:t>
      </w:r>
    </w:p>
    <w:p>
      <w:pPr>
        <w:spacing w:after="0" w:line="8" w:lineRule="exact"/>
        <w:rPr>
          <w:rFonts w:ascii="Arial" w:cs="Arial" w:eastAsia="Arial" w:hAnsi="Arial"/>
          <w:sz w:val="16"/>
          <w:szCs w:val="16"/>
          <w:b w:val="1"/>
          <w:bCs w:val="1"/>
          <w:color w:val="auto"/>
        </w:rPr>
      </w:pPr>
    </w:p>
    <w:p>
      <w:pPr>
        <w:ind w:right="160" w:firstLine="921"/>
        <w:spacing w:after="0" w:line="282" w:lineRule="auto"/>
        <w:tabs>
          <w:tab w:leader="none" w:pos="1128" w:val="left"/>
        </w:tabs>
        <w:numPr>
          <w:ilvl w:val="2"/>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shall not be pledged, assigned or transferred except by will or the laws of descent and distribution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exercisable during the lifetime of the Participant only by the Participant.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583" w:name="page584"/>
    <w:bookmarkEnd w:id="583"/>
    <w:p>
      <w:pPr>
        <w:ind w:left="1180" w:hanging="259"/>
        <w:spacing w:after="0"/>
        <w:tabs>
          <w:tab w:leader="none" w:pos="1180" w:val="left"/>
        </w:tabs>
        <w:numPr>
          <w:ilvl w:val="1"/>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Divorce Settlements. </w:t>
      </w:r>
      <w:r>
        <w:rPr>
          <w:rFonts w:ascii="Arial" w:cs="Arial" w:eastAsia="Arial" w:hAnsi="Arial"/>
          <w:sz w:val="18"/>
          <w:szCs w:val="18"/>
          <w:color w:val="auto"/>
        </w:rPr>
        <w:t>Notwithstanding the foregoing, an Option may be transferred pursuant to a divorce settlement.</w:t>
      </w:r>
    </w:p>
    <w:p>
      <w:pPr>
        <w:spacing w:after="0" w:line="117" w:lineRule="exact"/>
        <w:rPr>
          <w:rFonts w:ascii="Arial" w:cs="Arial" w:eastAsia="Arial" w:hAnsi="Arial"/>
          <w:sz w:val="18"/>
          <w:szCs w:val="18"/>
          <w:b w:val="1"/>
          <w:bCs w:val="1"/>
          <w:color w:val="auto"/>
        </w:rPr>
      </w:pPr>
    </w:p>
    <w:p>
      <w:pPr>
        <w:ind w:right="140" w:firstLine="921"/>
        <w:spacing w:after="0" w:line="274" w:lineRule="auto"/>
        <w:tabs>
          <w:tab w:leader="none" w:pos="1228" w:val="left"/>
        </w:tabs>
        <w:numPr>
          <w:ilvl w:val="1"/>
          <w:numId w:val="4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Notwithstanding the foregoing and within the limits provided by applicable law in particular with regard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form of such beneficiary designation, the Participant may, by delivering written notice to the Company, in a form provided by or otherwise satisfactory to the Company and any broker designated by the Company to effect Option exercises, designate a third party who, in the event of the death of the Participant, shall thereafter be the beneficiary of an Option with the right to exercise the Options and receive the Shares or other consideration resulting from such exercise. In the absence of such a designation, the executor or administrator of the Participant’s estate shall be entitled to exercise the Options and receive the Shares or other consideration resulting from such exercise.</w:t>
      </w:r>
    </w:p>
    <w:p>
      <w:pPr>
        <w:spacing w:after="0" w:line="173" w:lineRule="exact"/>
        <w:rPr>
          <w:rFonts w:ascii="Arial" w:cs="Arial" w:eastAsia="Arial" w:hAnsi="Arial"/>
          <w:sz w:val="17"/>
          <w:szCs w:val="17"/>
          <w:b w:val="1"/>
          <w:bCs w:val="1"/>
          <w:color w:val="auto"/>
        </w:rPr>
      </w:pPr>
    </w:p>
    <w:p>
      <w:pPr>
        <w:ind w:firstLine="464"/>
        <w:spacing w:after="0" w:line="281" w:lineRule="auto"/>
        <w:tabs>
          <w:tab w:leader="none" w:pos="681" w:val="left"/>
        </w:tabs>
        <w:numPr>
          <w:ilvl w:val="0"/>
          <w:numId w:val="4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Generally. </w:t>
      </w:r>
      <w:r>
        <w:rPr>
          <w:rFonts w:ascii="Arial" w:cs="Arial" w:eastAsia="Arial" w:hAnsi="Arial"/>
          <w:sz w:val="17"/>
          <w:szCs w:val="17"/>
          <w:color w:val="auto"/>
        </w:rPr>
        <w:t>An Option may vest and therefore become exercisable in periodic installments that may or may not be equal or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occurrence of certain conditions or the attainment of stated goals or events. The Option may be subject to such other terms and conditions on the time or times when it may or may not be exercised (which may be based on the satisfaction of performance goals or other criteria) as the Board may deem appropriate. The vesting provisions of individual Options may vary and shall be determined in the Option Award Agreement.</w:t>
      </w:r>
    </w:p>
    <w:p>
      <w:pPr>
        <w:spacing w:after="0" w:line="164" w:lineRule="exact"/>
        <w:rPr>
          <w:rFonts w:ascii="Arial" w:cs="Arial" w:eastAsia="Arial" w:hAnsi="Arial"/>
          <w:sz w:val="17"/>
          <w:szCs w:val="17"/>
          <w:b w:val="1"/>
          <w:bCs w:val="1"/>
          <w:color w:val="auto"/>
        </w:rPr>
      </w:pPr>
    </w:p>
    <w:p>
      <w:pPr>
        <w:ind w:right="300" w:firstLine="464"/>
        <w:spacing w:after="0" w:line="282" w:lineRule="auto"/>
        <w:tabs>
          <w:tab w:leader="none" w:pos="711"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with or without Cause. </w:t>
      </w:r>
      <w:r>
        <w:rPr>
          <w:rFonts w:ascii="Arial" w:cs="Arial" w:eastAsia="Arial" w:hAnsi="Arial"/>
          <w:sz w:val="18"/>
          <w:szCs w:val="18"/>
          <w:color w:val="auto"/>
        </w:rPr>
        <w:t>Except as otherwise provided in the applicable Option Award Agreement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Participant and the Company:</w:t>
      </w:r>
    </w:p>
    <w:p>
      <w:pPr>
        <w:spacing w:after="0" w:line="53" w:lineRule="exact"/>
        <w:rPr>
          <w:rFonts w:ascii="Arial" w:cs="Arial" w:eastAsia="Arial" w:hAnsi="Arial"/>
          <w:sz w:val="18"/>
          <w:szCs w:val="18"/>
          <w:b w:val="1"/>
          <w:bCs w:val="1"/>
          <w:color w:val="auto"/>
        </w:rPr>
      </w:pPr>
    </w:p>
    <w:p>
      <w:pPr>
        <w:ind w:right="20" w:firstLine="921"/>
        <w:spacing w:after="0" w:line="258" w:lineRule="auto"/>
        <w:tabs>
          <w:tab w:leader="none" w:pos="1128" w:val="left"/>
        </w:tabs>
        <w:numPr>
          <w:ilvl w:val="1"/>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Resignation or termination before the end of the first year of services. </w:t>
      </w:r>
      <w:r>
        <w:rPr>
          <w:rFonts w:ascii="Arial" w:cs="Arial" w:eastAsia="Arial" w:hAnsi="Arial"/>
          <w:sz w:val="18"/>
          <w:szCs w:val="18"/>
          <w:color w:val="auto"/>
        </w:rPr>
        <w:t>If a Participant resigns or the Company terminates before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Participant’s first year of services, all Options granted to such Participant shall be forfeited and the Company shall have no further obligation under the Plan or the Option Award Agreement in connection with these Options, as of the date of receipt by the Company of the resignation from the Participant or the date of notification of the termination by the Company to the Participant. Such forfeiture of the Options shall occur even if the notice period of the Participant ends after the Participant’s first year of services.</w:t>
      </w:r>
    </w:p>
    <w:p>
      <w:pPr>
        <w:spacing w:after="0" w:line="75" w:lineRule="exact"/>
        <w:rPr>
          <w:rFonts w:ascii="Arial" w:cs="Arial" w:eastAsia="Arial" w:hAnsi="Arial"/>
          <w:sz w:val="18"/>
          <w:szCs w:val="18"/>
          <w:b w:val="1"/>
          <w:bCs w:val="1"/>
          <w:color w:val="auto"/>
        </w:rPr>
      </w:pPr>
    </w:p>
    <w:p>
      <w:pPr>
        <w:ind w:right="20" w:firstLine="921"/>
        <w:spacing w:after="0" w:line="289" w:lineRule="auto"/>
        <w:tabs>
          <w:tab w:leader="none" w:pos="1178" w:val="left"/>
        </w:tabs>
        <w:numPr>
          <w:ilvl w:val="1"/>
          <w:numId w:val="4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Resignation or termination after the first year of services. </w:t>
      </w:r>
      <w:r>
        <w:rPr>
          <w:rFonts w:ascii="Arial" w:cs="Arial" w:eastAsia="Arial" w:hAnsi="Arial"/>
          <w:sz w:val="16"/>
          <w:szCs w:val="16"/>
          <w:color w:val="auto"/>
        </w:rPr>
        <w:t>In any other cases in which a Participant’s Continuous Service terminates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upon the Participant’s death or Disability), the Participant may exercise his or her vested Options (to the extent that the Participant was entitled to exercise such Options as of the date of termination of Continuous Service) but only within such period of time ending on the earlier of (i) the date</w:t>
      </w:r>
    </w:p>
    <w:p>
      <w:pPr>
        <w:spacing w:after="0" w:line="1" w:lineRule="exact"/>
        <w:rPr>
          <w:rFonts w:ascii="Arial" w:cs="Arial" w:eastAsia="Arial" w:hAnsi="Arial"/>
          <w:sz w:val="16"/>
          <w:szCs w:val="16"/>
          <w:b w:val="1"/>
          <w:bCs w:val="1"/>
          <w:color w:val="auto"/>
        </w:rPr>
      </w:pPr>
    </w:p>
    <w:p>
      <w:pPr>
        <w:ind w:right="14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three (3) months following the termination of the Participant’s Continuous Service (or such longer or shorter period specified in the Option Award Agreement) or (ii) the expiration of the term of the Options as set forth in the Option Award Agreement. If, after termination of Continuous Service, the Participant does not exercise his or her Option within the time specified herein or in the Option Award Agreement (as applicable), the Option shall terminate and the Company shall have no further obligation under the Plan or the Option Award Agreement. All Options that are not yet vested as of the date of termination of Continuous Service shall be forfeited, and the Company shall have no further obligation under the Plan or the Option Award Agreement. For the sake of clarity, the date of termination of service shall be the actual date of the end of the contractual relationship and not the date of the notice of termination.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584" w:name="page585"/>
    <w:bookmarkEnd w:id="584"/>
    <w:p>
      <w:pPr>
        <w:ind w:left="-60" w:firstLine="464"/>
        <w:spacing w:after="0" w:line="254" w:lineRule="auto"/>
        <w:tabs>
          <w:tab w:leader="none" w:pos="661"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Disability of Participant. </w:t>
      </w:r>
      <w:r>
        <w:rPr>
          <w:rFonts w:ascii="Arial" w:cs="Arial" w:eastAsia="Arial" w:hAnsi="Arial"/>
          <w:sz w:val="18"/>
          <w:szCs w:val="18"/>
          <w:color w:val="auto"/>
        </w:rPr>
        <w:t>Except as otherwise provided in the applicable Option Award Agreement or other agreement between the Participant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 the event that a Participant’s Continuous Service terminates as a result of the Participant’s Disability, the Participant may exercise his or her vested Options (to the extent that the Participant was entitled to exercise such Options as of the date of termination of Continuous Service), but only within such period of time ending on the earlier of (i) the date twelve (12) months following such termination of Continuous Service (or such longer or shorter period specified in the Option Award Agreement), or (ii) the expiration of the term of the Options as set forth in the Option Award Agreement. If, after termination of Continuous Service, the Participant does not exercise his or her Option within the time specified herein or in the Option Award Agreement (as applicable), the Option shall terminate and the Company shall have no further obligation under the Plan or the Option Award Agreement. All Options that are not yet vested as of the date of termination of Continuous Service shall be forfeited, and the Company shall have no further obligation under the Plan or the Option Award Agreement.</w:t>
      </w:r>
    </w:p>
    <w:p>
      <w:pPr>
        <w:spacing w:after="0" w:line="189" w:lineRule="exact"/>
        <w:rPr>
          <w:rFonts w:ascii="Arial" w:cs="Arial" w:eastAsia="Arial" w:hAnsi="Arial"/>
          <w:sz w:val="18"/>
          <w:szCs w:val="18"/>
          <w:b w:val="1"/>
          <w:bCs w:val="1"/>
          <w:color w:val="auto"/>
        </w:rPr>
      </w:pPr>
    </w:p>
    <w:p>
      <w:pPr>
        <w:ind w:left="-60" w:right="20" w:firstLine="464"/>
        <w:spacing w:after="0" w:line="270" w:lineRule="auto"/>
        <w:tabs>
          <w:tab w:leader="none" w:pos="611" w:val="left"/>
        </w:tabs>
        <w:numPr>
          <w:ilvl w:val="0"/>
          <w:numId w:val="4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Death of Participant. </w:t>
      </w:r>
      <w:r>
        <w:rPr>
          <w:rFonts w:ascii="Arial" w:cs="Arial" w:eastAsia="Arial" w:hAnsi="Arial"/>
          <w:sz w:val="17"/>
          <w:szCs w:val="17"/>
          <w:color w:val="auto"/>
        </w:rPr>
        <w:t>Except as otherwise provided in the applicable Option Award Agreement or other agreement between the Participant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 the event that (i) a Participant’s Continuous Service terminates as a result of the Participant’s death, or (ii) the Participant dies within the period (if any) specified in the Option Award Agreement after the termination of the Participant’s Continuous Service for a reason other than death, then the vested Options may be exercised (to the extent the Participant was entitled to exercise such Options as of the date of death) by the Participant’s heirs and successors, but only within the period ending on the earlier of (i) the date eighteen (18) months following the date of death (or such longer or shorter period specified in the Option Award Agreement), or (ii) the expiration of the term of such Option as set forth in the Option Award Agreement. If, after the Participant’s death, the Option is not exercised within the time specified herein or in the Option Award Agreement (as applicable), the Option shall terminate and the Company shall have no further obligation under the Plan or the Option Award Agreement. The heirs and successors of the deceased Participant shall designate a common representative as a general proxy, in order to represent them towards the Company for the exercise of the Options, the issuance of the underlying Shares and any operations related hereto.</w:t>
      </w:r>
    </w:p>
    <w:p>
      <w:pPr>
        <w:spacing w:after="0" w:line="177" w:lineRule="exact"/>
        <w:rPr>
          <w:rFonts w:ascii="Arial" w:cs="Arial" w:eastAsia="Arial" w:hAnsi="Arial"/>
          <w:sz w:val="17"/>
          <w:szCs w:val="17"/>
          <w:b w:val="1"/>
          <w:bCs w:val="1"/>
          <w:color w:val="auto"/>
        </w:rPr>
      </w:pPr>
    </w:p>
    <w:p>
      <w:pPr>
        <w:ind w:left="-60" w:right="60" w:firstLine="464"/>
        <w:spacing w:after="0" w:line="261" w:lineRule="auto"/>
        <w:tabs>
          <w:tab w:leader="none" w:pos="621"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Right of Repurchase</w:t>
      </w:r>
      <w:r>
        <w:rPr>
          <w:rFonts w:ascii="Arial" w:cs="Arial" w:eastAsia="Arial" w:hAnsi="Arial"/>
          <w:sz w:val="18"/>
          <w:szCs w:val="18"/>
          <w:color w:val="auto"/>
        </w:rPr>
        <w:t>. The Option Award Agreement may include a provision whereby the Company may elect to repurchase all or any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acquired by the Participant pursuant to the exercise of the Option. The repurchase price for Shares shall be the original purchase price paid by the Participant plus 5% p.a. The Company shall be entitled to transfer any repurchase right to a nominee of its choice. The terms of any repurchase right shall be specified in the Option Award Agreement.</w:t>
      </w:r>
    </w:p>
    <w:p>
      <w:pPr>
        <w:spacing w:after="0" w:line="180" w:lineRule="exact"/>
        <w:rPr>
          <w:rFonts w:ascii="Arial" w:cs="Arial" w:eastAsia="Arial" w:hAnsi="Arial"/>
          <w:sz w:val="18"/>
          <w:szCs w:val="18"/>
          <w:b w:val="1"/>
          <w:bCs w:val="1"/>
          <w:color w:val="auto"/>
        </w:rPr>
      </w:pPr>
    </w:p>
    <w:p>
      <w:pPr>
        <w:ind w:left="-60" w:right="300" w:firstLine="464"/>
        <w:spacing w:after="0" w:line="282" w:lineRule="auto"/>
        <w:tabs>
          <w:tab w:leader="none" w:pos="661"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Other Obligations of the Participant</w:t>
      </w:r>
      <w:r>
        <w:rPr>
          <w:rFonts w:ascii="Arial" w:cs="Arial" w:eastAsia="Arial" w:hAnsi="Arial"/>
          <w:sz w:val="18"/>
          <w:szCs w:val="18"/>
          <w:color w:val="auto"/>
        </w:rPr>
        <w:t>. At the Board’s request, upon exercise of any Option, the Participant shall enter into and execute a share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agreement and/or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300" w:top="269" w:right="299" w:bottom="1440" w:gutter="0" w:footer="0" w:header="0"/>
        </w:sectPr>
      </w:pPr>
    </w:p>
    <w:bookmarkStart w:id="585" w:name="page586"/>
    <w:bookmarkEnd w:id="58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specific agreements such as a shareholders’ agreement or an escrow agreement, in a form satisfactory to the Board, providing for certain protections for the Company and its other Shareholders including, but not limited to, requirements that the Participant’s or the Participant’s estate’s right to sell, transfer or dispose of the Shares may be restricted. The Participant may be required to endorse in blank the certificate incorporating his/her Shares issued upon exercise of an Option if such is required by a Shareholders’ agreement, an escrow agreement or any similar agreement. In addition, the newly issued registered Shares may be subject to transfer restrictions that may be foreseen in the Articles of Incorporation or right of repurchase according to Section 4(j) above.</w:t>
      </w:r>
    </w:p>
    <w:p>
      <w:pPr>
        <w:spacing w:after="0" w:line="338" w:lineRule="exact"/>
        <w:rPr>
          <w:sz w:val="20"/>
          <w:szCs w:val="20"/>
          <w:color w:val="auto"/>
        </w:rPr>
      </w:pPr>
    </w:p>
    <w:p>
      <w:pPr>
        <w:ind w:left="460" w:hanging="452"/>
        <w:spacing w:after="0"/>
        <w:tabs>
          <w:tab w:leader="none" w:pos="46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w:t>
      </w:r>
      <w:r>
        <w:rPr>
          <w:rFonts w:ascii="Arial" w:cs="Arial" w:eastAsia="Arial" w:hAnsi="Arial"/>
          <w:sz w:val="18"/>
          <w:szCs w:val="18"/>
          <w:b w:val="1"/>
          <w:bCs w:val="1"/>
          <w:color w:val="auto"/>
        </w:rPr>
        <w:t>.</w:t>
      </w:r>
    </w:p>
    <w:p>
      <w:pPr>
        <w:spacing w:after="0" w:line="12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Each Share Award Agreement shall be in such form and shall contain such terms and conditions as the Board shall deem appropriate. The terms and conditions of Share Award Agreements may change from time to time, and the terms and conditions of separate Share Award Agreements need not be identical. In principle, each Share Award Agreement shall conform to (through incorporation of the provisions hereof by reference in the agreement or otherwise) the substance of each of the following provisions:</w:t>
      </w:r>
    </w:p>
    <w:p>
      <w:pPr>
        <w:spacing w:after="0" w:line="183" w:lineRule="exact"/>
        <w:rPr>
          <w:sz w:val="20"/>
          <w:szCs w:val="20"/>
          <w:color w:val="auto"/>
        </w:rPr>
      </w:pPr>
    </w:p>
    <w:p>
      <w:pPr>
        <w:jc w:val="both"/>
        <w:ind w:right="380" w:firstLine="464"/>
        <w:spacing w:after="0" w:line="281" w:lineRule="auto"/>
        <w:tabs>
          <w:tab w:leader="none" w:pos="711" w:val="left"/>
        </w:tabs>
        <w:numPr>
          <w:ilvl w:val="0"/>
          <w:numId w:val="4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Consideration. </w:t>
      </w:r>
      <w:r>
        <w:rPr>
          <w:rFonts w:ascii="Arial" w:cs="Arial" w:eastAsia="Arial" w:hAnsi="Arial"/>
          <w:sz w:val="17"/>
          <w:szCs w:val="17"/>
          <w:color w:val="auto"/>
        </w:rPr>
        <w:t>A Share Award may be awarded in consideration for (A) cash or cash equivalents, (B) past services actually rendered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 Affiliate, or (C) any other form of legal consideration that may be acceptable to the Board in its sole discretion and permissible under applicable law. Notwithstanding the foregoing, as a condition to the receipt of a Share Award, the Participant may be required, at Board’s discretion, to subscribe and pay in, in cash, the Shares at not less than the par value of the Shares [i.e. CHF 5.- per Share].</w:t>
      </w:r>
    </w:p>
    <w:p>
      <w:pPr>
        <w:spacing w:after="0" w:line="164" w:lineRule="exact"/>
        <w:rPr>
          <w:rFonts w:ascii="Arial" w:cs="Arial" w:eastAsia="Arial" w:hAnsi="Arial"/>
          <w:sz w:val="17"/>
          <w:szCs w:val="17"/>
          <w:b w:val="1"/>
          <w:bCs w:val="1"/>
          <w:color w:val="auto"/>
        </w:rPr>
      </w:pPr>
    </w:p>
    <w:p>
      <w:pPr>
        <w:ind w:left="720" w:hanging="256"/>
        <w:spacing w:after="0"/>
        <w:tabs>
          <w:tab w:leader="none" w:pos="72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w:t>
      </w:r>
      <w:r>
        <w:rPr>
          <w:rFonts w:ascii="Arial" w:cs="Arial" w:eastAsia="Arial" w:hAnsi="Arial"/>
          <w:sz w:val="18"/>
          <w:szCs w:val="18"/>
          <w:color w:val="auto"/>
        </w:rPr>
        <w:t>The Board may insert restrictions in the Share Award Agreement including but not limited to:</w:t>
      </w:r>
    </w:p>
    <w:p>
      <w:pPr>
        <w:spacing w:after="0" w:line="117" w:lineRule="exact"/>
        <w:rPr>
          <w:rFonts w:ascii="Arial" w:cs="Arial" w:eastAsia="Arial" w:hAnsi="Arial"/>
          <w:sz w:val="18"/>
          <w:szCs w:val="18"/>
          <w:b w:val="1"/>
          <w:bCs w:val="1"/>
          <w:color w:val="auto"/>
        </w:rPr>
      </w:pPr>
    </w:p>
    <w:p>
      <w:pPr>
        <w:ind w:right="120" w:firstLine="921"/>
        <w:spacing w:after="0" w:line="261" w:lineRule="auto"/>
        <w:tabs>
          <w:tab w:leader="none" w:pos="1128" w:val="left"/>
        </w:tabs>
        <w:numPr>
          <w:ilvl w:val="1"/>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Right of repurchase of the Company</w:t>
      </w:r>
      <w:r>
        <w:rPr>
          <w:rFonts w:ascii="Arial" w:cs="Arial" w:eastAsia="Arial" w:hAnsi="Arial"/>
          <w:sz w:val="18"/>
          <w:szCs w:val="18"/>
          <w:color w:val="auto"/>
        </w:rPr>
        <w:t>. The Share Award Agreement may provide for a repurchase right of the Shares in favor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that shall lapse after a maximum period of five years after the acquisition of the Shares by the Participant. The repurchase price shall be the original purchase price paid by the Participant plus 5 % p.a. The Company shall be entitled to transfer any repurchase right to a nominee of its choice. The Board decides on the principle and on the duration of the repurchase right.</w:t>
      </w:r>
    </w:p>
    <w:p>
      <w:pPr>
        <w:spacing w:after="0" w:line="71" w:lineRule="exact"/>
        <w:rPr>
          <w:rFonts w:ascii="Arial" w:cs="Arial" w:eastAsia="Arial" w:hAnsi="Arial"/>
          <w:sz w:val="18"/>
          <w:szCs w:val="18"/>
          <w:b w:val="1"/>
          <w:bCs w:val="1"/>
          <w:color w:val="auto"/>
        </w:rPr>
      </w:pPr>
    </w:p>
    <w:p>
      <w:pPr>
        <w:ind w:right="60" w:firstLine="921"/>
        <w:spacing w:after="0" w:line="282" w:lineRule="auto"/>
        <w:tabs>
          <w:tab w:leader="none" w:pos="1178" w:val="left"/>
        </w:tabs>
        <w:numPr>
          <w:ilvl w:val="1"/>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 restriction</w:t>
      </w:r>
      <w:r>
        <w:rPr>
          <w:rFonts w:ascii="Arial" w:cs="Arial" w:eastAsia="Arial" w:hAnsi="Arial"/>
          <w:sz w:val="18"/>
          <w:szCs w:val="18"/>
          <w:color w:val="auto"/>
        </w:rPr>
        <w:t>. The transferability of the Shares awarded under the Share Award Agreement may be limited or excluded for a</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period of five years. The Board decides on the principle and on the duration of the transferability restriction.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terms of any repurchase right and/or transferability restriction shall be specified in the Share Award Agreement.</w:t>
      </w:r>
    </w:p>
    <w:p>
      <w:pPr>
        <w:spacing w:after="0" w:line="221" w:lineRule="exact"/>
        <w:rPr>
          <w:sz w:val="20"/>
          <w:szCs w:val="20"/>
          <w:color w:val="auto"/>
        </w:rPr>
      </w:pPr>
    </w:p>
    <w:p>
      <w:pPr>
        <w:ind w:right="260" w:firstLine="464"/>
        <w:spacing w:after="0" w:line="282" w:lineRule="auto"/>
        <w:tabs>
          <w:tab w:leader="none" w:pos="701"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t>
      </w:r>
      <w:r>
        <w:rPr>
          <w:rFonts w:ascii="Arial" w:cs="Arial" w:eastAsia="Arial" w:hAnsi="Arial"/>
          <w:sz w:val="18"/>
          <w:szCs w:val="18"/>
          <w:color w:val="auto"/>
        </w:rPr>
        <w:t>Except as otherwise provided in the applicable Share Award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in the event that a Participant’s Continuous Service terminates (including, but not</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274" w:right="419" w:bottom="1440" w:gutter="0" w:footer="0" w:header="0"/>
        </w:sectPr>
      </w:pPr>
    </w:p>
    <w:bookmarkStart w:id="586" w:name="page587"/>
    <w:bookmarkEnd w:id="586"/>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limited to, upon the Participant’s death or Disability), the Shares acquired by the Participant as of the date of termination of Continuous Service shall remain the property of the Participant (or his or her heirs or successors in case of death). The repurchase right of the Company and the transferability restrictions set forth in Section 5(b) above, if any, shall continue to be applicable. For the sake of clarity, the date of termination of service shall be the actual date of the end of the contractual relationship and not the date of the notice of termination.</w:t>
      </w:r>
    </w:p>
    <w:p>
      <w:pPr>
        <w:spacing w:after="0" w:line="183" w:lineRule="exact"/>
        <w:rPr>
          <w:sz w:val="20"/>
          <w:szCs w:val="20"/>
          <w:color w:val="auto"/>
        </w:rPr>
      </w:pPr>
    </w:p>
    <w:p>
      <w:pPr>
        <w:ind w:right="240" w:firstLine="464"/>
        <w:spacing w:after="0" w:line="274" w:lineRule="auto"/>
        <w:tabs>
          <w:tab w:leader="none" w:pos="721" w:val="left"/>
        </w:tabs>
        <w:numPr>
          <w:ilvl w:val="1"/>
          <w:numId w:val="4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Other Obligations of the Participant. </w:t>
      </w:r>
      <w:r>
        <w:rPr>
          <w:rFonts w:ascii="Arial" w:cs="Arial" w:eastAsia="Arial" w:hAnsi="Arial"/>
          <w:sz w:val="17"/>
          <w:szCs w:val="17"/>
          <w:color w:val="auto"/>
        </w:rPr>
        <w:t>At the Board’s request, the Participant shall enter into and execute a share purchase/share subscription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and/or further specific agreements such as a shareholders’ agreement or an escrow agreement, in a form satisfactory to the Board, providing for certain protections for the Company and its other shareholders including, but not limited to, requirements that the Participant’s or the Participant’s estate’s right to sell, transfer or dispose of the Shares may be restricted. The Participant may be required to endorse in blank the certificate incorporating his/her Shares if such is required by a shareholders’ agreement, an escrow agreement or any similar agreement. In addition, the Shares may be subject to transfer restrictions that may be foreseen in the Articles of Incorporation.</w:t>
      </w:r>
    </w:p>
    <w:p>
      <w:pPr>
        <w:spacing w:after="0" w:line="173" w:lineRule="exact"/>
        <w:rPr>
          <w:rFonts w:ascii="Arial" w:cs="Arial" w:eastAsia="Arial" w:hAnsi="Arial"/>
          <w:sz w:val="17"/>
          <w:szCs w:val="17"/>
          <w:b w:val="1"/>
          <w:bCs w:val="1"/>
          <w:color w:val="auto"/>
        </w:rPr>
      </w:pPr>
    </w:p>
    <w:p>
      <w:pPr>
        <w:ind w:right="260" w:firstLine="464"/>
        <w:spacing w:after="0" w:line="282" w:lineRule="auto"/>
        <w:tabs>
          <w:tab w:leader="none" w:pos="701" w:val="left"/>
        </w:tabs>
        <w:numPr>
          <w:ilvl w:val="1"/>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Except as otherwise provided in the applicable Share Award Agreement, the Participant has the right to receive any dividend paid on</w:t>
      </w:r>
      <w:r>
        <w:rPr>
          <w:rFonts w:ascii="Arial" w:cs="Arial" w:eastAsia="Arial" w:hAnsi="Arial"/>
          <w:sz w:val="18"/>
          <w:szCs w:val="18"/>
          <w:b w:val="1"/>
          <w:bCs w:val="1"/>
          <w:color w:val="auto"/>
        </w:rPr>
        <w:t xml:space="preserve"> </w:t>
      </w:r>
      <w:r>
        <w:rPr>
          <w:rFonts w:ascii="Arial" w:cs="Arial" w:eastAsia="Arial" w:hAnsi="Arial"/>
          <w:sz w:val="18"/>
          <w:szCs w:val="18"/>
          <w:color w:val="auto"/>
        </w:rPr>
        <w:t>his/her Shares, whether or not a restriction to the transferability is provided for in the Share Award Agreement.</w:t>
      </w:r>
    </w:p>
    <w:p>
      <w:pPr>
        <w:spacing w:after="0" w:line="310" w:lineRule="exact"/>
        <w:rPr>
          <w:rFonts w:ascii="Arial" w:cs="Arial" w:eastAsia="Arial" w:hAnsi="Arial"/>
          <w:sz w:val="18"/>
          <w:szCs w:val="18"/>
          <w:b w:val="1"/>
          <w:bCs w:val="1"/>
          <w:color w:val="auto"/>
        </w:rPr>
      </w:pPr>
    </w:p>
    <w:p>
      <w:pPr>
        <w:ind w:left="460" w:hanging="452"/>
        <w:spacing w:after="0"/>
        <w:tabs>
          <w:tab w:leader="none" w:pos="460"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right="420" w:firstLine="464"/>
        <w:spacing w:after="0" w:line="266" w:lineRule="auto"/>
        <w:tabs>
          <w:tab w:leader="none" w:pos="711" w:val="left"/>
        </w:tabs>
        <w:numPr>
          <w:ilvl w:val="1"/>
          <w:numId w:val="4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During the terms of the Incentive Award Agreements, the Company shall at all times ensure that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satisfy such Incentive Awards will be available for transfer to or subscription by the beneficiaries of such Incentive Awards, by keeping such shares available, maintaining the required conditional capital or otherwise.</w:t>
      </w:r>
    </w:p>
    <w:p>
      <w:pPr>
        <w:spacing w:after="0" w:line="176" w:lineRule="exact"/>
        <w:rPr>
          <w:rFonts w:ascii="Arial" w:cs="Arial" w:eastAsia="Arial" w:hAnsi="Arial"/>
          <w:sz w:val="18"/>
          <w:szCs w:val="18"/>
          <w:b w:val="1"/>
          <w:bCs w:val="1"/>
          <w:color w:val="auto"/>
        </w:rPr>
      </w:pPr>
    </w:p>
    <w:p>
      <w:pPr>
        <w:ind w:firstLine="464"/>
        <w:spacing w:after="0" w:line="295" w:lineRule="auto"/>
        <w:tabs>
          <w:tab w:leader="none" w:pos="721" w:val="left"/>
        </w:tabs>
        <w:numPr>
          <w:ilvl w:val="1"/>
          <w:numId w:val="4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Law Compliance. </w:t>
      </w:r>
      <w:r>
        <w:rPr>
          <w:rFonts w:ascii="Arial" w:cs="Arial" w:eastAsia="Arial" w:hAnsi="Arial"/>
          <w:sz w:val="16"/>
          <w:szCs w:val="16"/>
          <w:color w:val="auto"/>
        </w:rPr>
        <w:t>The Company shall seek to obtain from each regulatory commission or agency having jurisdiction over the Plan (if</w:t>
      </w:r>
      <w:r>
        <w:rPr>
          <w:rFonts w:ascii="Arial" w:cs="Arial" w:eastAsia="Arial" w:hAnsi="Arial"/>
          <w:sz w:val="16"/>
          <w:szCs w:val="16"/>
          <w:b w:val="1"/>
          <w:bCs w:val="1"/>
          <w:color w:val="auto"/>
        </w:rPr>
        <w:t xml:space="preserve"> </w:t>
      </w:r>
      <w:r>
        <w:rPr>
          <w:rFonts w:ascii="Arial" w:cs="Arial" w:eastAsia="Arial" w:hAnsi="Arial"/>
          <w:sz w:val="16"/>
          <w:szCs w:val="16"/>
          <w:color w:val="auto"/>
        </w:rPr>
        <w:t>any) such authority as may be required to grant Incentive Awards and to issue and sell Shares upon exercise of the Incentive Awards. If, after reasonable efforts, the Company is unable to obtain from any such regulatory commission or agency the authority that counsel for the Company deems necessary for the lawful issuance and sale of Shares under the Plan, the Company shall be relieved from any liability for failure to issue and sell Shares upon exercise of such Incentive Awards unless and until such authority is obtained. A Participant shall not be eligible for the grant of an Incentive Award or the subsequent issuance of Shares pursuant to the Incentive Award Agreement if such grant or issuance would be in violation of any applicable securities law.</w:t>
      </w:r>
    </w:p>
    <w:p>
      <w:pPr>
        <w:spacing w:after="0" w:line="155" w:lineRule="exact"/>
        <w:rPr>
          <w:rFonts w:ascii="Arial" w:cs="Arial" w:eastAsia="Arial" w:hAnsi="Arial"/>
          <w:sz w:val="16"/>
          <w:szCs w:val="16"/>
          <w:b w:val="1"/>
          <w:bCs w:val="1"/>
          <w:color w:val="auto"/>
        </w:rPr>
      </w:pPr>
    </w:p>
    <w:p>
      <w:pPr>
        <w:ind w:right="40" w:firstLine="464"/>
        <w:spacing w:after="0" w:line="281" w:lineRule="auto"/>
        <w:tabs>
          <w:tab w:leader="none" w:pos="701" w:val="left"/>
        </w:tabs>
        <w:numPr>
          <w:ilvl w:val="1"/>
          <w:numId w:val="4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Obligation to Notify. </w:t>
      </w:r>
      <w:r>
        <w:rPr>
          <w:rFonts w:ascii="Arial" w:cs="Arial" w:eastAsia="Arial" w:hAnsi="Arial"/>
          <w:sz w:val="17"/>
          <w:szCs w:val="17"/>
          <w:color w:val="auto"/>
        </w:rPr>
        <w:t>Except as otherwise provided herein, the Company shall have no duty or obligation to any Participant to advise such</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as to the time or manner of exercising such Incentive Award. Furthermore, the Company shall have no duty or obligation to warn or otherwise advise such Participant of a pending termination or expiration of an Incentive Award or a possible period in which the Incentive Award may not be exercised. The Company has no duty or obligation to minimize the tax consequences of an Incentive Award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587" w:name="page588"/>
    <w:bookmarkEnd w:id="587"/>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holder of such Incentive Award. The Participant is exclusively responsible for obtaining any and all information in connection with the Plan and/or an Incentive Award and in particular about the tax consequences the Participant has to bear in connection with the Plan and/or the Incentive Award. The Company has no obligation nor any responsibility towards him in this respect.</w:t>
      </w:r>
    </w:p>
    <w:p>
      <w:pPr>
        <w:spacing w:after="0" w:line="326" w:lineRule="exact"/>
        <w:rPr>
          <w:sz w:val="20"/>
          <w:szCs w:val="20"/>
          <w:color w:val="auto"/>
        </w:rPr>
      </w:pPr>
    </w:p>
    <w:p>
      <w:pPr>
        <w:ind w:left="460" w:hanging="452"/>
        <w:spacing w:after="0"/>
        <w:tabs>
          <w:tab w:leader="none" w:pos="460"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60" w:firstLine="464"/>
        <w:spacing w:after="0" w:line="255" w:lineRule="auto"/>
        <w:tabs>
          <w:tab w:leader="none" w:pos="711" w:val="left"/>
        </w:tabs>
        <w:numPr>
          <w:ilvl w:val="1"/>
          <w:numId w:val="4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 Rights. </w:t>
      </w:r>
      <w:r>
        <w:rPr>
          <w:rFonts w:ascii="Arial" w:cs="Arial" w:eastAsia="Arial" w:hAnsi="Arial"/>
          <w:sz w:val="18"/>
          <w:szCs w:val="18"/>
          <w:color w:val="auto"/>
        </w:rPr>
        <w:t>No Participant shall be deemed to be the holder of, or to have any of the rights of a holder with respect to, any Shares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such Incentive Award unless and until (i) such Participant has satisfied all requirements for exercise of the Share Award, or the issuance of Shares thereunder, pursuant to its terms including adherence to a shareholders’ agreement or an escrow agreement, in a form satisfactory to the Board, and (ii) the Shares have been registered in the Company’s share register in the name of the Participant (or of the Participant’s survivors, as the case may be); (iii) prior to the time of exercise the Participant (a) has not induced, solicited, aided or encouraged any employee of the Company to join any other business; (b) has not directly or indirectly used, disclosed or disseminated to any other person or entity, or otherwise has employed any confidential information (including but not limited to know-how) in any medium or form.</w:t>
      </w:r>
    </w:p>
    <w:p>
      <w:pPr>
        <w:spacing w:after="0" w:line="189" w:lineRule="exact"/>
        <w:rPr>
          <w:rFonts w:ascii="Arial" w:cs="Arial" w:eastAsia="Arial" w:hAnsi="Arial"/>
          <w:sz w:val="18"/>
          <w:szCs w:val="18"/>
          <w:b w:val="1"/>
          <w:bCs w:val="1"/>
          <w:color w:val="auto"/>
        </w:rPr>
      </w:pPr>
    </w:p>
    <w:p>
      <w:pPr>
        <w:ind w:firstLine="464"/>
        <w:spacing w:after="0" w:line="287" w:lineRule="auto"/>
        <w:tabs>
          <w:tab w:leader="none" w:pos="721" w:val="left"/>
        </w:tabs>
        <w:numPr>
          <w:ilvl w:val="1"/>
          <w:numId w:val="4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Obligations. </w:t>
      </w:r>
      <w:r>
        <w:rPr>
          <w:rFonts w:ascii="Arial" w:cs="Arial" w:eastAsia="Arial" w:hAnsi="Arial"/>
          <w:sz w:val="16"/>
          <w:szCs w:val="16"/>
          <w:color w:val="auto"/>
        </w:rPr>
        <w:t>The Company may, without any liability, provide Participants with basic guidelines of the tax consequences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each Participant must consult his or her personal tax advisor regarding his or her specific circumstances which may vary depending, among other things, on his or her domicile and his or her position as Participant under the Plan. The Company has no obligation nor any responsibility towards him in this respect. The Participant shall be responsible and pay, and the Participant shall indemnify and hold the Company harmless in respect of all tax liabilities (including income taxes, capital or wealth taxes, stamp duties, both on the issuance and on the transfer of shares, withholding taxes, taxes withheld at source, value added taxes and all other taxes, duties, levies or imposts payable to any competent taxing authority in any jurisdiction, as well as any interest, penalties, costs and expenses reasonably related thereto) reasonably related to the Plan, in particular with the grant, holding, vesting and/or exercise of Incentive Awards and/or issuance and/or transfer of Shares. However, the stamp duty on issuance of the Shares shall be borne by the Company. Any social security contributions levied at the grant, at the vesting or at the exercise of any Incentive Awards and/or delivery and/or transfer of Shares shall be borne by the Company and the Participant as provided by law. The Company shall have the right, at its discretion, to deduct from any payment made to the Participant under any title, or to claim repayment from the Participant who hereby formally acknowledges his/her debt in this respect of, or to retain the delivery of any shares due upon exercise until payment or repayment by the Participant of, or to sell any shares due upon exercise and set off the gain resulting of the sale against, all amounts to be borne by the Participant such as employee social contributions or tax liabilities as hereabove defined.</w:t>
      </w:r>
    </w:p>
    <w:p>
      <w:pPr>
        <w:spacing w:after="0" w:line="164" w:lineRule="exact"/>
        <w:rPr>
          <w:rFonts w:ascii="Arial" w:cs="Arial" w:eastAsia="Arial" w:hAnsi="Arial"/>
          <w:sz w:val="16"/>
          <w:szCs w:val="16"/>
          <w:b w:val="1"/>
          <w:bCs w:val="1"/>
          <w:color w:val="auto"/>
        </w:rPr>
      </w:pPr>
    </w:p>
    <w:p>
      <w:pPr>
        <w:ind w:left="5620" w:right="60" w:hanging="5156"/>
        <w:spacing w:after="0" w:line="454" w:lineRule="auto"/>
        <w:tabs>
          <w:tab w:leader="none" w:pos="705" w:val="left"/>
        </w:tabs>
        <w:numPr>
          <w:ilvl w:val="1"/>
          <w:numId w:val="437"/>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shall include any agreement or document delivered electronically.</w:t>
      </w:r>
      <w:r>
        <w:rPr>
          <w:rFonts w:ascii="Arial" w:cs="Arial" w:eastAsia="Arial" w:hAnsi="Arial"/>
          <w:sz w:val="18"/>
          <w:szCs w:val="18"/>
          <w:b w:val="1"/>
          <w:bCs w:val="1"/>
          <w:color w:val="auto"/>
        </w:rPr>
        <w:t xml:space="preserve"> </w:t>
      </w:r>
      <w:r>
        <w:rPr>
          <w:rFonts w:ascii="Arial" w:cs="Arial" w:eastAsia="Arial" w:hAnsi="Arial"/>
          <w:sz w:val="18"/>
          <w:szCs w:val="18"/>
          <w:color w:val="auto"/>
        </w:rPr>
        <w:t>10</w:t>
      </w:r>
    </w:p>
    <w:p>
      <w:pPr>
        <w:sectPr>
          <w:pgSz w:w="11900" w:h="16838" w:orient="portrait"/>
          <w:cols w:equalWidth="0" w:num="1">
            <w:col w:w="11400"/>
          </w:cols>
          <w:pgMar w:left="240" w:top="273" w:right="259" w:bottom="1440" w:gutter="0" w:footer="0" w:header="0"/>
        </w:sectPr>
      </w:pPr>
    </w:p>
    <w:bookmarkStart w:id="588" w:name="page589"/>
    <w:bookmarkEnd w:id="588"/>
    <w:p>
      <w:pPr>
        <w:ind w:right="100" w:firstLine="464"/>
        <w:spacing w:after="0" w:line="266" w:lineRule="auto"/>
        <w:tabs>
          <w:tab w:leader="none" w:pos="721"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right of Continued Employment/Contractual Relationship. </w:t>
      </w:r>
      <w:r>
        <w:rPr>
          <w:rFonts w:ascii="Arial" w:cs="Arial" w:eastAsia="Arial" w:hAnsi="Arial"/>
          <w:sz w:val="18"/>
          <w:szCs w:val="18"/>
          <w:color w:val="auto"/>
        </w:rPr>
        <w:t>Neither the establishment of the Plan, nor any Incentive Award Agreement, nor</w:t>
      </w:r>
      <w:r>
        <w:rPr>
          <w:rFonts w:ascii="Arial" w:cs="Arial" w:eastAsia="Arial" w:hAnsi="Arial"/>
          <w:sz w:val="18"/>
          <w:szCs w:val="18"/>
          <w:b w:val="1"/>
          <w:bCs w:val="1"/>
          <w:color w:val="auto"/>
        </w:rPr>
        <w:t xml:space="preserve"> </w:t>
      </w:r>
      <w:r>
        <w:rPr>
          <w:rFonts w:ascii="Arial" w:cs="Arial" w:eastAsia="Arial" w:hAnsi="Arial"/>
          <w:sz w:val="18"/>
          <w:szCs w:val="18"/>
          <w:color w:val="auto"/>
        </w:rPr>
        <w:t>the payment of any dividends, nor any action of the Company shall be held or construed to confer upon any Participant any legal right to continue to be employed by the Company or to remain in a contractual relationship with the Company.</w:t>
      </w:r>
    </w:p>
    <w:p>
      <w:pPr>
        <w:spacing w:after="0" w:line="176" w:lineRule="exact"/>
        <w:rPr>
          <w:rFonts w:ascii="Arial" w:cs="Arial" w:eastAsia="Arial" w:hAnsi="Arial"/>
          <w:sz w:val="18"/>
          <w:szCs w:val="18"/>
          <w:b w:val="1"/>
          <w:bCs w:val="1"/>
          <w:color w:val="auto"/>
        </w:rPr>
      </w:pPr>
    </w:p>
    <w:p>
      <w:pPr>
        <w:ind w:right="20" w:firstLine="464"/>
        <w:spacing w:after="0" w:line="261" w:lineRule="auto"/>
        <w:tabs>
          <w:tab w:leader="none" w:pos="701"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Should any of the provisions of this Plan become, or be held to be, in whole or in part, invalid, ineffective or unenforceable,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shall remain in full force and effect. Any invalid, ineffective or unenforceable provision will be deemed to be automatically amended and replaced by valid, effective and enforceable provisions, which accomplish as far as possible the purpose and intent of this Plan with respect to the invalid, ineffective or unenforceable provision.</w:t>
      </w:r>
    </w:p>
    <w:p>
      <w:pPr>
        <w:spacing w:after="0" w:line="180" w:lineRule="exact"/>
        <w:rPr>
          <w:rFonts w:ascii="Arial" w:cs="Arial" w:eastAsia="Arial" w:hAnsi="Arial"/>
          <w:sz w:val="18"/>
          <w:szCs w:val="18"/>
          <w:b w:val="1"/>
          <w:bCs w:val="1"/>
          <w:color w:val="auto"/>
        </w:rPr>
      </w:pPr>
    </w:p>
    <w:p>
      <w:pPr>
        <w:ind w:right="60" w:firstLine="464"/>
        <w:spacing w:after="0" w:line="295" w:lineRule="auto"/>
        <w:tabs>
          <w:tab w:leader="none" w:pos="681" w:val="left"/>
        </w:tabs>
        <w:numPr>
          <w:ilvl w:val="0"/>
          <w:numId w:val="4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Participant’s personal data. </w:t>
      </w:r>
      <w:r>
        <w:rPr>
          <w:rFonts w:ascii="Arial" w:cs="Arial" w:eastAsia="Arial" w:hAnsi="Arial"/>
          <w:sz w:val="16"/>
          <w:szCs w:val="16"/>
          <w:color w:val="auto"/>
        </w:rPr>
        <w:t>By participating in this Plan, the Participant authorizes the Company and/or any person or entity authorized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connection with the implementation or administration of this Plan, as often as the Company or any such other person or entity may deem necessary for the purpose of implementing or administering the Plan, and to the full extent permitted by, and in full compliance with, applicable law, to access, store or process any personal data relevant to the Plan relating to the Participant. To the extent permitted by applicable law, neither the Company, nor any other person or entity authorized by the Company in connection with the implementation or administration of this Plan, will be liable for any loss or damage, whether direct, indirect or consequential, incurred by the Participant as a result of any use of the Participant’s personal data pursuant to this Section.</w:t>
      </w:r>
    </w:p>
    <w:p>
      <w:pPr>
        <w:spacing w:after="0" w:line="304" w:lineRule="exact"/>
        <w:rPr>
          <w:sz w:val="20"/>
          <w:szCs w:val="20"/>
          <w:color w:val="auto"/>
        </w:rPr>
      </w:pPr>
    </w:p>
    <w:p>
      <w:pPr>
        <w:ind w:left="460" w:hanging="452"/>
        <w:spacing w:after="0"/>
        <w:tabs>
          <w:tab w:leader="none" w:pos="460" w:val="left"/>
        </w:tabs>
        <w:numPr>
          <w:ilvl w:val="0"/>
          <w:numId w:val="43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HANGES IN</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APITAL</w:t>
      </w:r>
      <w:r>
        <w:rPr>
          <w:rFonts w:ascii="Arial" w:cs="Arial" w:eastAsia="Arial" w:hAnsi="Arial"/>
          <w:sz w:val="18"/>
          <w:szCs w:val="18"/>
          <w:b w:val="1"/>
          <w:bCs w:val="1"/>
          <w:color w:val="auto"/>
        </w:rPr>
        <w:t>; 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VENTS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sake of clarity, the following provisions are subject to the powers of the Board provided for in Section 2 and in particular Section 2(b).</w:t>
      </w:r>
    </w:p>
    <w:p>
      <w:pPr>
        <w:spacing w:after="0" w:line="221" w:lineRule="exact"/>
        <w:rPr>
          <w:sz w:val="20"/>
          <w:szCs w:val="20"/>
          <w:color w:val="auto"/>
        </w:rPr>
      </w:pPr>
    </w:p>
    <w:p>
      <w:pPr>
        <w:ind w:right="280" w:firstLine="464"/>
        <w:spacing w:after="0" w:line="274" w:lineRule="auto"/>
        <w:tabs>
          <w:tab w:leader="none" w:pos="711" w:val="left"/>
        </w:tabs>
        <w:numPr>
          <w:ilvl w:val="0"/>
          <w:numId w:val="440"/>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any share capital increase, issuance of new option rights, reduction of the share capital with</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reimbursement of capital contributions, share split, combination of shares or any other corporate transaction or event having similar effect, the number of Options granted to a Participant hereunder and not previously exercised may be appropriately increased or decreased proportionately, and appropriate adjustments shall be made in the Exercise Price, in the par value of the Shares and/or in the number of Shares covered by outstanding Options in order to prevent dilution or enlargement of the rights of the Participant that has been granted Options that he has not already exercised. The Board may make such adjustments, and its determination shall be final, binding and conclusive.</w:t>
      </w:r>
    </w:p>
    <w:p>
      <w:pPr>
        <w:spacing w:after="0" w:line="173" w:lineRule="exact"/>
        <w:rPr>
          <w:rFonts w:ascii="Arial" w:cs="Arial" w:eastAsia="Arial" w:hAnsi="Arial"/>
          <w:sz w:val="17"/>
          <w:szCs w:val="17"/>
          <w:b w:val="1"/>
          <w:bCs w:val="1"/>
          <w:color w:val="auto"/>
        </w:rPr>
      </w:pPr>
    </w:p>
    <w:p>
      <w:pPr>
        <w:ind w:firstLine="464"/>
        <w:spacing w:after="0" w:line="274" w:lineRule="auto"/>
        <w:tabs>
          <w:tab w:leader="none" w:pos="721" w:val="left"/>
        </w:tabs>
        <w:numPr>
          <w:ilvl w:val="0"/>
          <w:numId w:val="440"/>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 with Liquidation</w:t>
      </w:r>
      <w:r>
        <w:rPr>
          <w:rFonts w:ascii="Arial" w:cs="Arial" w:eastAsia="Arial" w:hAnsi="Arial"/>
          <w:sz w:val="17"/>
          <w:szCs w:val="17"/>
          <w:color w:val="auto"/>
        </w:rPr>
        <w:t>. Except as otherwise provided in the Option Award Agreement, in the event of a dissolution with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all outstanding Option Awards which as of such date shall not have been exercised shall terminate immediately prior to the completion of such dissolution with liquidation. The Board may, in its sole discretion, cause some or all Option Awards to become fully vested, exercisable and/or no longer subject to repurchase or forfeiture (to the extent such Option Awards have not previously expired or terminated) before the dissolution with liquidation is completed but contingent on its completion. The Shares subject to the Company’s repurchase rights or subject to a forfeiture condition may be repurchased or reacquired by the Company notwithstanding the fact that the holder of such Shares is providing Continuous Service.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69" w:right="299" w:bottom="1440" w:gutter="0" w:footer="0" w:header="0"/>
        </w:sectPr>
      </w:pPr>
    </w:p>
    <w:bookmarkStart w:id="589" w:name="page590"/>
    <w:bookmarkEnd w:id="589"/>
    <w:p>
      <w:pPr>
        <w:ind w:left="-20" w:right="320" w:firstLine="464"/>
        <w:spacing w:after="0" w:line="266" w:lineRule="auto"/>
        <w:tabs>
          <w:tab w:leader="none" w:pos="681"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Corporate Transaction. </w:t>
      </w:r>
      <w:r>
        <w:rPr>
          <w:rFonts w:ascii="Arial" w:cs="Arial" w:eastAsia="Arial" w:hAnsi="Arial"/>
          <w:sz w:val="18"/>
          <w:szCs w:val="18"/>
          <w:color w:val="auto"/>
        </w:rPr>
        <w:t>The following provisions shall in principle apply to Incentive Awards in the event of a Corporate Transaction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in the Incentive Award Agreement or any other written agreement between the Company or any Affiliate and the Participant or unless otherwise expressly provided by the Board at the time of grant of an Incentive Award.</w:t>
      </w:r>
    </w:p>
    <w:p>
      <w:pPr>
        <w:spacing w:after="0" w:line="68" w:lineRule="exact"/>
        <w:rPr>
          <w:rFonts w:ascii="Arial" w:cs="Arial" w:eastAsia="Arial" w:hAnsi="Arial"/>
          <w:sz w:val="18"/>
          <w:szCs w:val="18"/>
          <w:b w:val="1"/>
          <w:bCs w:val="1"/>
          <w:color w:val="auto"/>
        </w:rPr>
      </w:pPr>
    </w:p>
    <w:p>
      <w:pPr>
        <w:ind w:left="-20" w:right="120" w:firstLine="921"/>
        <w:spacing w:after="0" w:line="292" w:lineRule="auto"/>
        <w:tabs>
          <w:tab w:leader="none" w:pos="1108" w:val="left"/>
        </w:tabs>
        <w:numPr>
          <w:ilvl w:val="1"/>
          <w:numId w:val="4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Awards May Be Assumed. </w:t>
      </w:r>
      <w:r>
        <w:rPr>
          <w:rFonts w:ascii="Arial" w:cs="Arial" w:eastAsia="Arial" w:hAnsi="Arial"/>
          <w:sz w:val="16"/>
          <w:szCs w:val="16"/>
          <w:color w:val="auto"/>
        </w:rPr>
        <w:t>Except as otherwise stated in the Option Award Agreement, in the event of a Corporate Transaction, any</w:t>
      </w:r>
      <w:r>
        <w:rPr>
          <w:rFonts w:ascii="Arial" w:cs="Arial" w:eastAsia="Arial" w:hAnsi="Arial"/>
          <w:sz w:val="16"/>
          <w:szCs w:val="16"/>
          <w:b w:val="1"/>
          <w:bCs w:val="1"/>
          <w:color w:val="auto"/>
        </w:rPr>
        <w:t xml:space="preserve"> </w:t>
      </w:r>
      <w:r>
        <w:rPr>
          <w:rFonts w:ascii="Arial" w:cs="Arial" w:eastAsia="Arial" w:hAnsi="Arial"/>
          <w:sz w:val="16"/>
          <w:szCs w:val="16"/>
          <w:color w:val="auto"/>
        </w:rPr>
        <w:t>surviving corporation or acquiring corporation (or the surviving or acquiring corporation’s parent company) may assume or continue any or all Option Awards outstanding under the Plan or may substitute similar option awards and/or fair compensation for Option Awards outstanding under the Plan, and any reacquisition or repurchase rights held by the Company in respect of Shares issued pursuant to Incentive Awards may be assigned by the Company to the successor of the Company (or the successor’s parent company, if any), in connection with such Corporate Transaction. A surviving corporation or acquiring corporation (or its parent) may choose to assume or continue only a portion of an Option Award or substitute a similar option award for only a portion of an Option Award. The terms of any assumption, continuation or substitution shall be set by the Board in accordance with the provisions of Section 2.</w:t>
      </w:r>
    </w:p>
    <w:p>
      <w:pPr>
        <w:spacing w:after="0" w:line="53" w:lineRule="exact"/>
        <w:rPr>
          <w:rFonts w:ascii="Arial" w:cs="Arial" w:eastAsia="Arial" w:hAnsi="Arial"/>
          <w:sz w:val="16"/>
          <w:szCs w:val="16"/>
          <w:b w:val="1"/>
          <w:bCs w:val="1"/>
          <w:color w:val="auto"/>
        </w:rPr>
      </w:pPr>
    </w:p>
    <w:p>
      <w:pPr>
        <w:ind w:left="-20" w:firstLine="921"/>
        <w:spacing w:after="0" w:line="269" w:lineRule="auto"/>
        <w:tabs>
          <w:tab w:leader="none" w:pos="1158" w:val="left"/>
        </w:tabs>
        <w:numPr>
          <w:ilvl w:val="1"/>
          <w:numId w:val="4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Option Awards Held by Current Participants. </w:t>
      </w:r>
      <w:r>
        <w:rPr>
          <w:rFonts w:ascii="Arial" w:cs="Arial" w:eastAsia="Arial" w:hAnsi="Arial"/>
          <w:sz w:val="17"/>
          <w:szCs w:val="17"/>
          <w:color w:val="auto"/>
        </w:rPr>
        <w:t>Except as otherwise stated in the Option Award Agreement, in the event of a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in which the surviving corporation or acquiring corporation (or its parent company) does not assume or continue such outstanding Option Awards or substitute similar option awards for such outstanding Option Awards, then with respect to Option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7"/>
          <w:szCs w:val="17"/>
          <w:i w:val="1"/>
          <w:iCs w:val="1"/>
          <w:color w:val="auto"/>
        </w:rPr>
        <w:t>Current Participants</w:t>
      </w:r>
      <w:r>
        <w:rPr>
          <w:rFonts w:ascii="Arial" w:cs="Arial" w:eastAsia="Arial" w:hAnsi="Arial"/>
          <w:sz w:val="17"/>
          <w:szCs w:val="17"/>
          <w:color w:val="auto"/>
        </w:rPr>
        <w:t>”), the Vesting of such Option Awards shall (contingent upon the effectiveness of the Corporate Transaction) be accelerated in full to a date prior to the effective time of such Corporate Transaction as the Board shall determine (or, if the Board shall not determine such a date, to the date that is five (5) days prior to the effective time of the Corporate Transaction), and such Option Awards shall terminate if not exercised (if applicable) at or prior to the effective time of the Corporate Transaction, and any reacquisition or repurchase rights held by the Company with respect to such Option Awards shall lapse (contingent upon the effectiveness of the Corporate Transaction). In such case, no later than thirty (30) days before the expected closing of the Corporate Transaction, the Board shall deliver to all holders of Option Awards that could be exercised a notice advising such holders of the occurrence of the Corporate Transaction. Within ten (10) days from the date of such notice, the holders of Option Awards that could be exercised may exercise such Option Awards in accordance with the applicable procedure.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70" w:right="259" w:bottom="1440" w:gutter="0" w:footer="0" w:header="0"/>
        </w:sectPr>
      </w:pPr>
    </w:p>
    <w:bookmarkStart w:id="590" w:name="page591"/>
    <w:bookmarkEnd w:id="590"/>
    <w:p>
      <w:pPr>
        <w:ind w:left="-20" w:firstLine="921"/>
        <w:spacing w:after="0" w:line="272" w:lineRule="auto"/>
        <w:tabs>
          <w:tab w:leader="none" w:pos="1208" w:val="left"/>
        </w:tabs>
        <w:numPr>
          <w:ilvl w:val="1"/>
          <w:numId w:val="44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Option Awards Held by Persons other than Current Participants. </w:t>
      </w:r>
      <w:r>
        <w:rPr>
          <w:rFonts w:ascii="Arial" w:cs="Arial" w:eastAsia="Arial" w:hAnsi="Arial"/>
          <w:sz w:val="17"/>
          <w:szCs w:val="17"/>
          <w:color w:val="auto"/>
        </w:rPr>
        <w:t>Except as otherwise stated in the Option Award Agreement,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event of a Corporate Transaction in which the surviving corporation or acquiring corporation (or its parent company) does not assume or continue such outstanding Option Awards or substitute similar option awards for such outstanding Option Awards, then with respect to Option Awards that have not been assumed, continued or substituted and that are held by persons other than Current Participants, the vesting of such Option Awards (and, if applicable, the time at which such Share Award may be exercised) shall not be accelerated and such Option Awards (other than a Option Award consisting of vested and outstanding Shares not subject to the Company’s right of repurchase) shall terminate if not exercised (if applicable) prior to the effective time of the Corporate Transaction;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reacquisition or repurchase rights held by the Company with respect to such Option Awards shall not terminate and may continue to be exercised notwithstanding the Corporate Transaction.</w:t>
      </w:r>
    </w:p>
    <w:p>
      <w:pPr>
        <w:spacing w:after="0" w:line="64" w:lineRule="exact"/>
        <w:rPr>
          <w:rFonts w:ascii="Arial" w:cs="Arial" w:eastAsia="Arial" w:hAnsi="Arial"/>
          <w:sz w:val="17"/>
          <w:szCs w:val="17"/>
          <w:b w:val="1"/>
          <w:bCs w:val="1"/>
          <w:color w:val="auto"/>
        </w:rPr>
      </w:pPr>
    </w:p>
    <w:p>
      <w:pPr>
        <w:ind w:left="-20" w:right="20" w:firstLine="921"/>
        <w:spacing w:after="0" w:line="258" w:lineRule="auto"/>
        <w:tabs>
          <w:tab w:leader="none" w:pos="1198" w:val="left"/>
        </w:tabs>
        <w:numPr>
          <w:ilvl w:val="1"/>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for Option Awards in Lieu of Exercise. </w:t>
      </w:r>
      <w:r>
        <w:rPr>
          <w:rFonts w:ascii="Arial" w:cs="Arial" w:eastAsia="Arial" w:hAnsi="Arial"/>
          <w:sz w:val="18"/>
          <w:szCs w:val="18"/>
          <w:color w:val="auto"/>
        </w:rPr>
        <w:t>Notwithstanding the foregoing, in the event an Option Award will terminate if not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prior to the effective time of a Corporate Transaction, the Board may provide, in its sole discretion, that the holder of such Option Award may not exercise such Option Award but will receive a payment, in such form as may be determined by the Board, equal in value to the excess, if any, of (A) the Fair Market Value of the Shares the Participant would have received upon the exercise of the Option Award, over (B) any Exercise Price payable by such holder in connection with such exercise.</w:t>
      </w:r>
    </w:p>
    <w:p>
      <w:pPr>
        <w:spacing w:after="0" w:line="75" w:lineRule="exact"/>
        <w:rPr>
          <w:rFonts w:ascii="Arial" w:cs="Arial" w:eastAsia="Arial" w:hAnsi="Arial"/>
          <w:sz w:val="18"/>
          <w:szCs w:val="18"/>
          <w:b w:val="1"/>
          <w:bCs w:val="1"/>
          <w:color w:val="auto"/>
        </w:rPr>
      </w:pPr>
    </w:p>
    <w:p>
      <w:pPr>
        <w:ind w:left="-20" w:right="20" w:firstLine="921"/>
        <w:spacing w:after="0" w:line="261" w:lineRule="auto"/>
        <w:tabs>
          <w:tab w:leader="none" w:pos="1148" w:val="left"/>
        </w:tabs>
        <w:numPr>
          <w:ilvl w:val="1"/>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Awards. </w:t>
      </w:r>
      <w:r>
        <w:rPr>
          <w:rFonts w:ascii="Arial" w:cs="Arial" w:eastAsia="Arial" w:hAnsi="Arial"/>
          <w:sz w:val="18"/>
          <w:szCs w:val="18"/>
          <w:color w:val="auto"/>
        </w:rPr>
        <w:t>Except as otherwise stated in the Share Award Agreement, in the event of a Corporate Transaction, any repurchase rights held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in respect of Shares issued pursuant to Share Award Agreements may be assigned by the Company to the successor of the Company (or the successor’s parent company, if any), in connection with such Corporate Transaction. The Board may also decide to terminate any repurchase right and/or any transferability restrictions provided for in Share Award Agreements</w:t>
      </w:r>
    </w:p>
    <w:p>
      <w:pPr>
        <w:spacing w:after="0" w:line="180" w:lineRule="exact"/>
        <w:rPr>
          <w:rFonts w:ascii="Arial" w:cs="Arial" w:eastAsia="Arial" w:hAnsi="Arial"/>
          <w:sz w:val="18"/>
          <w:szCs w:val="18"/>
          <w:b w:val="1"/>
          <w:bCs w:val="1"/>
          <w:color w:val="auto"/>
        </w:rPr>
      </w:pPr>
    </w:p>
    <w:p>
      <w:pPr>
        <w:ind w:left="-20" w:right="40" w:firstLine="464"/>
        <w:spacing w:after="0" w:line="266" w:lineRule="auto"/>
        <w:tabs>
          <w:tab w:leader="none" w:pos="701"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IPO. </w:t>
      </w:r>
      <w:r>
        <w:rPr>
          <w:rFonts w:ascii="Arial" w:cs="Arial" w:eastAsia="Arial" w:hAnsi="Arial"/>
          <w:sz w:val="18"/>
          <w:szCs w:val="18"/>
          <w:color w:val="auto"/>
        </w:rPr>
        <w:t>The following provisions shall in principle apply to Incentive Awards in the event of an IPO unless otherwise provided in the Incentive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any other written agreement between the Company or any Affiliate and the holder of the Incentive Award or unless otherwise expressly provided by the Board at the time of grant of an Incentive Award.</w:t>
      </w:r>
    </w:p>
    <w:p>
      <w:pPr>
        <w:spacing w:after="0" w:line="68" w:lineRule="exact"/>
        <w:rPr>
          <w:rFonts w:ascii="Arial" w:cs="Arial" w:eastAsia="Arial" w:hAnsi="Arial"/>
          <w:sz w:val="18"/>
          <w:szCs w:val="18"/>
          <w:b w:val="1"/>
          <w:bCs w:val="1"/>
          <w:color w:val="auto"/>
        </w:rPr>
      </w:pPr>
    </w:p>
    <w:p>
      <w:pPr>
        <w:ind w:left="-20" w:right="240" w:firstLine="921"/>
        <w:spacing w:after="0" w:line="295" w:lineRule="auto"/>
        <w:tabs>
          <w:tab w:leader="none" w:pos="1108" w:val="left"/>
        </w:tabs>
        <w:numPr>
          <w:ilvl w:val="1"/>
          <w:numId w:val="4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Awards. </w:t>
      </w:r>
      <w:r>
        <w:rPr>
          <w:rFonts w:ascii="Arial" w:cs="Arial" w:eastAsia="Arial" w:hAnsi="Arial"/>
          <w:sz w:val="16"/>
          <w:szCs w:val="16"/>
          <w:color w:val="auto"/>
        </w:rPr>
        <w:t>On or before an IPO, the Board may determine that all vested Options and/or unvested Options shall become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fully vested and must be exercised. In such case, no later than thirty (30) days before the expected date of the IPO, the Board shall deliver to all holders of Options a notice advising such holders of the occurrence of the IPO (the “IPO Notice”). The IPO Notice shall be sent by e-mail and registered mail. Within ten (10) days from the date of the IPO Notice (the “IPO Exercise Deadline”), the holders of Options may exercise such Options in accordance with the procedure set forth in Section 4(d). Options that are not exercised within the IPO Exercise Deadline shall lapse and be automatically discontinued and forfeited and the Company shall have no further obligation with regard to such unexercised Options under the Plan or the Option Award Agreement.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60" w:top="269" w:right="239" w:bottom="1440" w:gutter="0" w:footer="0" w:header="0"/>
        </w:sectPr>
      </w:pPr>
    </w:p>
    <w:bookmarkStart w:id="591" w:name="page592"/>
    <w:bookmarkEnd w:id="591"/>
    <w:p>
      <w:pPr>
        <w:ind w:right="280" w:firstLine="921"/>
        <w:spacing w:after="0" w:line="282" w:lineRule="auto"/>
        <w:tabs>
          <w:tab w:leader="none" w:pos="1178" w:val="left"/>
        </w:tabs>
        <w:numPr>
          <w:ilvl w:val="2"/>
          <w:numId w:val="44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 Awards. </w:t>
      </w:r>
      <w:r>
        <w:rPr>
          <w:rFonts w:ascii="Arial" w:cs="Arial" w:eastAsia="Arial" w:hAnsi="Arial"/>
          <w:sz w:val="18"/>
          <w:szCs w:val="18"/>
          <w:color w:val="auto"/>
        </w:rPr>
        <w:t>Except as otherwise stated in the Share Award Agreement, in the event of an IPO, the Board may decide to terminate any</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right and/or any transferability restrictions provided for in Share Award Agreements.</w:t>
      </w:r>
    </w:p>
    <w:p>
      <w:pPr>
        <w:spacing w:after="0" w:line="310" w:lineRule="exact"/>
        <w:rPr>
          <w:rFonts w:ascii="Arial" w:cs="Arial" w:eastAsia="Arial" w:hAnsi="Arial"/>
          <w:sz w:val="18"/>
          <w:szCs w:val="18"/>
          <w:b w:val="1"/>
          <w:bCs w:val="1"/>
          <w:color w:val="auto"/>
        </w:rPr>
      </w:pPr>
    </w:p>
    <w:p>
      <w:pPr>
        <w:ind w:left="460" w:hanging="452"/>
        <w:spacing w:after="0"/>
        <w:tabs>
          <w:tab w:leader="none" w:pos="46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80" w:firstLine="464"/>
        <w:spacing w:after="0" w:line="266" w:lineRule="auto"/>
        <w:tabs>
          <w:tab w:leader="none" w:pos="711" w:val="left"/>
        </w:tabs>
        <w:numPr>
          <w:ilvl w:val="1"/>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Term. </w:t>
      </w:r>
      <w:r>
        <w:rPr>
          <w:rFonts w:ascii="Arial" w:cs="Arial" w:eastAsia="Arial" w:hAnsi="Arial"/>
          <w:sz w:val="18"/>
          <w:szCs w:val="18"/>
          <w:color w:val="auto"/>
        </w:rPr>
        <w:t>The Board may suspend or terminate the Plan at any time. Unless sooner terminated by the Board pursuant to Section 2, the Plan shall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terminate on the day before the tenth (10th) anniversary of the Effective Date. No Incentive Awards may be granted under the Plan while the Plan is suspended or after it is terminated.</w:t>
      </w:r>
    </w:p>
    <w:p>
      <w:pPr>
        <w:spacing w:after="0" w:line="176" w:lineRule="exact"/>
        <w:rPr>
          <w:rFonts w:ascii="Arial" w:cs="Arial" w:eastAsia="Arial" w:hAnsi="Arial"/>
          <w:sz w:val="18"/>
          <w:szCs w:val="18"/>
          <w:b w:val="1"/>
          <w:bCs w:val="1"/>
          <w:color w:val="auto"/>
        </w:rPr>
      </w:pPr>
    </w:p>
    <w:p>
      <w:pPr>
        <w:ind w:right="80" w:firstLine="464"/>
        <w:spacing w:after="0" w:line="266" w:lineRule="auto"/>
        <w:tabs>
          <w:tab w:leader="none" w:pos="721" w:val="left"/>
        </w:tabs>
        <w:numPr>
          <w:ilvl w:val="1"/>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Impairment of Rights. </w:t>
      </w:r>
      <w:r>
        <w:rPr>
          <w:rFonts w:ascii="Arial" w:cs="Arial" w:eastAsia="Arial" w:hAnsi="Arial"/>
          <w:sz w:val="18"/>
          <w:szCs w:val="18"/>
          <w:color w:val="auto"/>
        </w:rPr>
        <w:t>Suspension or termination of the Plan shall not impair rights and obligations under any Incentive Award granted while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 effect except (1) with the written consent of the affected Participant or (2) the aggregate economic value of the Incentive Awards held by the Participant has not decreased as a result of such suspension or termination.</w:t>
      </w:r>
    </w:p>
    <w:p>
      <w:pPr>
        <w:spacing w:after="0" w:line="324" w:lineRule="exact"/>
        <w:rPr>
          <w:rFonts w:ascii="Arial" w:cs="Arial" w:eastAsia="Arial" w:hAnsi="Arial"/>
          <w:sz w:val="18"/>
          <w:szCs w:val="18"/>
          <w:b w:val="1"/>
          <w:bCs w:val="1"/>
          <w:color w:val="auto"/>
        </w:rPr>
      </w:pPr>
    </w:p>
    <w:p>
      <w:pPr>
        <w:ind w:left="460" w:hanging="452"/>
        <w:spacing w:after="0"/>
        <w:tabs>
          <w:tab w:leader="none" w:pos="46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Plan shall become effective on the Effective Date.</w:t>
      </w:r>
    </w:p>
    <w:p>
      <w:pPr>
        <w:spacing w:after="0" w:line="370" w:lineRule="exact"/>
        <w:rPr>
          <w:sz w:val="20"/>
          <w:szCs w:val="20"/>
          <w:color w:val="auto"/>
        </w:rPr>
      </w:pPr>
    </w:p>
    <w:p>
      <w:pPr>
        <w:ind w:left="460" w:hanging="452"/>
        <w:spacing w:after="0"/>
        <w:tabs>
          <w:tab w:leader="none" w:pos="460"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 AND</w:t>
      </w:r>
      <w:r>
        <w:rPr>
          <w:rFonts w:ascii="Arial" w:cs="Arial" w:eastAsia="Arial" w:hAnsi="Arial"/>
          <w:sz w:val="18"/>
          <w:szCs w:val="18"/>
          <w:b w:val="1"/>
          <w:bCs w:val="1"/>
          <w:color w:val="auto"/>
        </w:rPr>
        <w:t xml:space="preserve"> J</w:t>
      </w:r>
      <w:r>
        <w:rPr>
          <w:rFonts w:ascii="Arial" w:cs="Arial" w:eastAsia="Arial" w:hAnsi="Arial"/>
          <w:sz w:val="15"/>
          <w:szCs w:val="15"/>
          <w:b w:val="1"/>
          <w:bCs w:val="1"/>
          <w:color w:val="auto"/>
        </w:rPr>
        <w:t>URISDICTION</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law of Switzerland shall govern all questions concerning the construction, validity and interpretation of this Plan, without regard to its conflict of laws rules.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dispute arising under or in connection with the Plan shall be of the competence of the ordinary courts of Lausanne (Switzerland).</w:t>
      </w:r>
    </w:p>
    <w:p>
      <w:pPr>
        <w:spacing w:after="0" w:line="370" w:lineRule="exact"/>
        <w:rPr>
          <w:sz w:val="20"/>
          <w:szCs w:val="20"/>
          <w:color w:val="auto"/>
        </w:rPr>
      </w:pPr>
    </w:p>
    <w:p>
      <w:pPr>
        <w:ind w:left="460" w:hanging="452"/>
        <w:spacing w:after="0"/>
        <w:tabs>
          <w:tab w:leader="none" w:pos="460"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shall apply to the capitalized terms indicated below:</w:t>
      </w:r>
    </w:p>
    <w:p>
      <w:pPr>
        <w:spacing w:after="0" w:line="121" w:lineRule="exact"/>
        <w:rPr>
          <w:rFonts w:ascii="Arial" w:cs="Arial" w:eastAsia="Arial" w:hAnsi="Arial"/>
          <w:sz w:val="18"/>
          <w:szCs w:val="18"/>
          <w:b w:val="1"/>
          <w:bCs w:val="1"/>
          <w:color w:val="auto"/>
        </w:rPr>
      </w:pPr>
    </w:p>
    <w:p>
      <w:pPr>
        <w:ind w:right="460" w:firstLine="464"/>
        <w:spacing w:after="0" w:line="277" w:lineRule="auto"/>
        <w:tabs>
          <w:tab w:leader="none" w:pos="711" w:val="left"/>
        </w:tabs>
        <w:numPr>
          <w:ilvl w:val="1"/>
          <w:numId w:val="4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at the time of determination, any entity that owns or controls, is owned or controlled by, or is under common ownership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with, the Company.</w:t>
      </w:r>
    </w:p>
    <w:p>
      <w:pPr>
        <w:spacing w:after="0" w:line="170" w:lineRule="exact"/>
        <w:rPr>
          <w:rFonts w:ascii="Arial" w:cs="Arial" w:eastAsia="Arial" w:hAnsi="Arial"/>
          <w:sz w:val="18"/>
          <w:szCs w:val="18"/>
          <w:b w:val="1"/>
          <w:bCs w:val="1"/>
          <w:color w:val="auto"/>
        </w:rPr>
      </w:pPr>
    </w:p>
    <w:p>
      <w:pPr>
        <w:ind w:left="720" w:hanging="256"/>
        <w:spacing w:after="0"/>
        <w:tabs>
          <w:tab w:leader="none" w:pos="720" w:val="left"/>
        </w:tabs>
        <w:numPr>
          <w:ilvl w:val="1"/>
          <w:numId w:val="4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“Articles of Incorporation” </w:t>
      </w:r>
      <w:r>
        <w:rPr>
          <w:rFonts w:ascii="Arial" w:cs="Arial" w:eastAsia="Arial" w:hAnsi="Arial"/>
          <w:sz w:val="18"/>
          <w:szCs w:val="18"/>
          <w:color w:val="auto"/>
        </w:rPr>
        <w:t>mean the articles of incorporation of the Company, as amended from time to time.</w:t>
      </w:r>
    </w:p>
    <w:p>
      <w:pPr>
        <w:spacing w:after="0" w:line="225" w:lineRule="exact"/>
        <w:rPr>
          <w:rFonts w:ascii="Arial" w:cs="Arial" w:eastAsia="Arial" w:hAnsi="Arial"/>
          <w:sz w:val="18"/>
          <w:szCs w:val="18"/>
          <w:b w:val="1"/>
          <w:bCs w:val="1"/>
          <w:color w:val="auto"/>
        </w:rPr>
      </w:pPr>
    </w:p>
    <w:p>
      <w:pPr>
        <w:ind w:firstLine="464"/>
        <w:spacing w:after="0" w:line="277" w:lineRule="auto"/>
        <w:tabs>
          <w:tab w:leader="none" w:pos="701" w:val="left"/>
        </w:tabs>
        <w:numPr>
          <w:ilvl w:val="1"/>
          <w:numId w:val="4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 or, if the Board has elected to delegate all or part of its powers under the Plan in accordance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Section 2 (a) hereof, the person to which such powers have been delegated.</w:t>
      </w:r>
    </w:p>
    <w:p>
      <w:pPr>
        <w:spacing w:after="0" w:line="170" w:lineRule="exact"/>
        <w:rPr>
          <w:rFonts w:ascii="Arial" w:cs="Arial" w:eastAsia="Arial" w:hAnsi="Arial"/>
          <w:sz w:val="18"/>
          <w:szCs w:val="18"/>
          <w:b w:val="1"/>
          <w:bCs w:val="1"/>
          <w:color w:val="auto"/>
        </w:rPr>
      </w:pPr>
    </w:p>
    <w:p>
      <w:pPr>
        <w:ind w:right="60" w:firstLine="464"/>
        <w:spacing w:after="0" w:line="276" w:lineRule="auto"/>
        <w:tabs>
          <w:tab w:leader="none" w:pos="721" w:val="left"/>
        </w:tabs>
        <w:numPr>
          <w:ilvl w:val="1"/>
          <w:numId w:val="44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“Capitalization Adjustment” </w:t>
      </w:r>
      <w:r>
        <w:rPr>
          <w:rFonts w:ascii="Arial" w:cs="Arial" w:eastAsia="Arial" w:hAnsi="Arial"/>
          <w:sz w:val="17"/>
          <w:szCs w:val="17"/>
          <w:color w:val="auto"/>
        </w:rPr>
        <w:t>means any change that is made in, or other events that occur with respect to, the Shares subject to the Plan or subject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any Option Award after the Effective Date without the receipt of consideration by the Company (through merger, consolidation, reorganization, recapitalization, reincorporation, share dividend, dividend in property other than cash, large nonrecurring cash dividend, share split, liquidating dividend, combination of shares, exchange of shares, change in corporate structure, or any similar equity restructuring transaction). Notwithstanding the foregoing, the conversion of any convertible securities of the Company shall not be treated as a Capitalization Adjustment.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69" w:right="299" w:bottom="1440" w:gutter="0" w:footer="0" w:header="0"/>
        </w:sectPr>
      </w:pPr>
    </w:p>
    <w:bookmarkStart w:id="592" w:name="page593"/>
    <w:bookmarkEnd w:id="592"/>
    <w:p>
      <w:pPr>
        <w:ind w:right="40" w:firstLine="464"/>
        <w:spacing w:after="0" w:line="270" w:lineRule="auto"/>
        <w:tabs>
          <w:tab w:leader="none" w:pos="701" w:val="left"/>
        </w:tabs>
        <w:numPr>
          <w:ilvl w:val="0"/>
          <w:numId w:val="44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“Cause” </w:t>
      </w:r>
      <w:r>
        <w:rPr>
          <w:rFonts w:ascii="Arial" w:cs="Arial" w:eastAsia="Arial" w:hAnsi="Arial"/>
          <w:sz w:val="17"/>
          <w:szCs w:val="17"/>
          <w:color w:val="auto"/>
        </w:rPr>
        <w:t>shall refer to the reason for termination and is met if (i) the Participant induces, solicits, aids or encourages any employee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join any other business; (ii) the Participant directly or indirectly uses, discloses or disseminates to any other person or entity, or otherwise employs any confidential information (including but not limited to know-how) in any medium or form; (iii) the Participants operates a business for his/her own account which competes the Company, or works for or participates in a direct competitor of the Company; or (iv) the Participants has been terminated for justified motives (“</w:t>
      </w:r>
      <w:r>
        <w:rPr>
          <w:rFonts w:ascii="Arial" w:cs="Arial" w:eastAsia="Arial" w:hAnsi="Arial"/>
          <w:sz w:val="17"/>
          <w:szCs w:val="17"/>
          <w:i w:val="1"/>
          <w:iCs w:val="1"/>
          <w:color w:val="auto"/>
        </w:rPr>
        <w:t>justes motifs</w:t>
      </w:r>
      <w:r>
        <w:rPr>
          <w:rFonts w:ascii="Arial" w:cs="Arial" w:eastAsia="Arial" w:hAnsi="Arial"/>
          <w:sz w:val="17"/>
          <w:szCs w:val="17"/>
          <w:color w:val="auto"/>
        </w:rPr>
        <w:t>”) as referred to by Article 337 CO (applied by analogy to the agreements with Directors as the case may be) as to justify immediate termination of service.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Incentive Awards held by such Participant shall have no effect upon any determination of the rights or obligations of the Company or such Participant for any other purpose.</w:t>
      </w:r>
    </w:p>
    <w:p>
      <w:pPr>
        <w:spacing w:after="0" w:line="181" w:lineRule="exact"/>
        <w:rPr>
          <w:rFonts w:ascii="Arial" w:cs="Arial" w:eastAsia="Arial" w:hAnsi="Arial"/>
          <w:sz w:val="17"/>
          <w:szCs w:val="17"/>
          <w:b w:val="1"/>
          <w:bCs w:val="1"/>
          <w:color w:val="auto"/>
        </w:rPr>
      </w:pPr>
    </w:p>
    <w:p>
      <w:pPr>
        <w:ind w:left="680" w:hanging="216"/>
        <w:spacing w:after="0"/>
        <w:tabs>
          <w:tab w:leader="none" w:pos="680"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 </w:t>
      </w:r>
      <w:r>
        <w:rPr>
          <w:rFonts w:ascii="Arial" w:cs="Arial" w:eastAsia="Arial" w:hAnsi="Arial"/>
          <w:sz w:val="18"/>
          <w:szCs w:val="18"/>
          <w:color w:val="auto"/>
        </w:rPr>
        <w:t>means the Swiss Code of Obligations.</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AC Immune SA (AC Immune AG) (AC Immune Ltd), in Ecublens, Switzerland.</w:t>
      </w:r>
    </w:p>
    <w:p>
      <w:pPr>
        <w:spacing w:after="0" w:line="225" w:lineRule="exact"/>
        <w:rPr>
          <w:rFonts w:ascii="Arial" w:cs="Arial" w:eastAsia="Arial" w:hAnsi="Arial"/>
          <w:sz w:val="18"/>
          <w:szCs w:val="18"/>
          <w:b w:val="1"/>
          <w:bCs w:val="1"/>
          <w:color w:val="auto"/>
        </w:rPr>
      </w:pPr>
    </w:p>
    <w:p>
      <w:pPr>
        <w:ind w:firstLine="464"/>
        <w:spacing w:after="0" w:line="288" w:lineRule="auto"/>
        <w:tabs>
          <w:tab w:leader="none" w:pos="721" w:val="left"/>
        </w:tabs>
        <w:numPr>
          <w:ilvl w:val="0"/>
          <w:numId w:val="4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“Continuous Service” </w:t>
      </w:r>
      <w:r>
        <w:rPr>
          <w:rFonts w:ascii="Arial" w:cs="Arial" w:eastAsia="Arial" w:hAnsi="Arial"/>
          <w:sz w:val="16"/>
          <w:szCs w:val="16"/>
          <w:color w:val="auto"/>
        </w:rPr>
        <w:t>means that the Participant’s service with the Company or an Affiliate, whether as an Employee or Director, is not interrupted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or terminated. A change in the capacity in which the Participant renders service to the Company or an Affiliate as an Employee or Director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if the Entity for which a Participant is rendering service ceases to qualify as an Affiliate, as determined by the Board in its sole discretion, such Participant’s Continuous Service shall be considered to have terminated on the date such Entity ceases to qualify as an Affiliate. For example, a change in status from an employee of the Company to a Director of an Affiliate shall not constitute an interruption of Continuous Service. To the extent permitted by law, the Board, in its sole discretion, may determine whether Continuous Service shall be considered interrupted in the case of any leave of absence approved by the Board or chief executive officer,. Notwithstanding the foregoing, a leave of absence shall be treated as Continuous Service for purposes of vesting in an Option Award only to such extent as may be provided in the Company’s leave of absence policy, in the written terms of any leave of absence agreement or policy applicable to the Participant, or as otherwise required by law.</w:t>
      </w:r>
    </w:p>
    <w:p>
      <w:pPr>
        <w:spacing w:after="0" w:line="169" w:lineRule="exact"/>
        <w:rPr>
          <w:rFonts w:ascii="Arial" w:cs="Arial" w:eastAsia="Arial" w:hAnsi="Arial"/>
          <w:sz w:val="16"/>
          <w:szCs w:val="16"/>
          <w:b w:val="1"/>
          <w:bCs w:val="1"/>
          <w:color w:val="auto"/>
        </w:rPr>
      </w:pPr>
    </w:p>
    <w:p>
      <w:pPr>
        <w:ind w:left="680" w:hanging="216"/>
        <w:spacing w:after="0"/>
        <w:tabs>
          <w:tab w:leader="none" w:pos="680" w:val="left"/>
        </w:tabs>
        <w:numPr>
          <w:ilvl w:val="0"/>
          <w:numId w:val="4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“Corporate Transaction” </w:t>
      </w:r>
      <w:r>
        <w:rPr>
          <w:rFonts w:ascii="Arial" w:cs="Arial" w:eastAsia="Arial" w:hAnsi="Arial"/>
          <w:sz w:val="16"/>
          <w:szCs w:val="16"/>
          <w:color w:val="auto"/>
        </w:rPr>
        <w:t>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593" w:name="page594"/>
    <w:bookmarkEnd w:id="593"/>
    <w:p>
      <w:pPr>
        <w:ind w:left="-20" w:right="320" w:firstLine="921"/>
        <w:spacing w:after="0" w:line="277" w:lineRule="auto"/>
        <w:tabs>
          <w:tab w:leader="none" w:pos="1108" w:val="left"/>
        </w:tabs>
        <w:numPr>
          <w:ilvl w:val="1"/>
          <w:numId w:val="44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completion of a sale or other disposition of all or substantially all, as determined by the Board in its sole discretion, of the assets of the Company and its subsidiaries;</w:t>
      </w:r>
    </w:p>
    <w:p>
      <w:pPr>
        <w:spacing w:after="0" w:line="62" w:lineRule="exact"/>
        <w:rPr>
          <w:rFonts w:ascii="Arial" w:cs="Arial" w:eastAsia="Arial" w:hAnsi="Arial"/>
          <w:sz w:val="18"/>
          <w:szCs w:val="18"/>
          <w:b w:val="1"/>
          <w:bCs w:val="1"/>
          <w:color w:val="auto"/>
        </w:rPr>
      </w:pPr>
    </w:p>
    <w:p>
      <w:pPr>
        <w:ind w:left="1160" w:hanging="259"/>
        <w:spacing w:after="0"/>
        <w:tabs>
          <w:tab w:leader="none" w:pos="1160" w:val="left"/>
        </w:tabs>
        <w:numPr>
          <w:ilvl w:val="1"/>
          <w:numId w:val="449"/>
        </w:numPr>
        <w:rPr>
          <w:rFonts w:ascii="Arial" w:cs="Arial" w:eastAsia="Arial" w:hAnsi="Arial"/>
          <w:sz w:val="18"/>
          <w:szCs w:val="18"/>
          <w:b w:val="1"/>
          <w:bCs w:val="1"/>
          <w:color w:val="auto"/>
        </w:rPr>
      </w:pPr>
      <w:r>
        <w:rPr>
          <w:rFonts w:ascii="Arial" w:cs="Arial" w:eastAsia="Arial" w:hAnsi="Arial"/>
          <w:sz w:val="18"/>
          <w:szCs w:val="18"/>
          <w:color w:val="auto"/>
        </w:rPr>
        <w:t>the completion of a sale or other disposition of at least ninety percent (90%) of the outstanding Shares of the Company;</w:t>
      </w:r>
    </w:p>
    <w:p>
      <w:pPr>
        <w:spacing w:after="0" w:line="117" w:lineRule="exact"/>
        <w:rPr>
          <w:rFonts w:ascii="Arial" w:cs="Arial" w:eastAsia="Arial" w:hAnsi="Arial"/>
          <w:sz w:val="18"/>
          <w:szCs w:val="18"/>
          <w:b w:val="1"/>
          <w:bCs w:val="1"/>
          <w:color w:val="auto"/>
        </w:rPr>
      </w:pPr>
    </w:p>
    <w:p>
      <w:pPr>
        <w:ind w:left="1220" w:hanging="319"/>
        <w:spacing w:after="0"/>
        <w:tabs>
          <w:tab w:leader="none" w:pos="1220" w:val="left"/>
        </w:tabs>
        <w:numPr>
          <w:ilvl w:val="1"/>
          <w:numId w:val="449"/>
        </w:numPr>
        <w:rPr>
          <w:rFonts w:ascii="Arial" w:cs="Arial" w:eastAsia="Arial" w:hAnsi="Arial"/>
          <w:sz w:val="18"/>
          <w:szCs w:val="18"/>
          <w:b w:val="1"/>
          <w:bCs w:val="1"/>
          <w:color w:val="auto"/>
        </w:rPr>
      </w:pPr>
      <w:r>
        <w:rPr>
          <w:rFonts w:ascii="Arial" w:cs="Arial" w:eastAsia="Arial" w:hAnsi="Arial"/>
          <w:sz w:val="18"/>
          <w:szCs w:val="18"/>
          <w:color w:val="auto"/>
        </w:rPr>
        <w:t>the completion of a merger or similar transaction following which the Company is not the surviving corporation; or</w:t>
      </w:r>
    </w:p>
    <w:p>
      <w:pPr>
        <w:spacing w:after="0" w:line="117" w:lineRule="exact"/>
        <w:rPr>
          <w:rFonts w:ascii="Arial" w:cs="Arial" w:eastAsia="Arial" w:hAnsi="Arial"/>
          <w:sz w:val="18"/>
          <w:szCs w:val="18"/>
          <w:b w:val="1"/>
          <w:bCs w:val="1"/>
          <w:color w:val="auto"/>
        </w:rPr>
      </w:pPr>
    </w:p>
    <w:p>
      <w:pPr>
        <w:ind w:left="-20" w:right="140" w:firstLine="921"/>
        <w:spacing w:after="0" w:line="264" w:lineRule="auto"/>
        <w:tabs>
          <w:tab w:leader="none" w:pos="1198" w:val="left"/>
        </w:tabs>
        <w:numPr>
          <w:ilvl w:val="1"/>
          <w:numId w:val="449"/>
        </w:numPr>
        <w:rPr>
          <w:rFonts w:ascii="Arial" w:cs="Arial" w:eastAsia="Arial" w:hAnsi="Arial"/>
          <w:sz w:val="18"/>
          <w:szCs w:val="18"/>
          <w:b w:val="1"/>
          <w:bCs w:val="1"/>
          <w:color w:val="auto"/>
        </w:rPr>
      </w:pPr>
      <w:r>
        <w:rPr>
          <w:rFonts w:ascii="Arial" w:cs="Arial" w:eastAsia="Arial" w:hAnsi="Arial"/>
          <w:sz w:val="18"/>
          <w:szCs w:val="18"/>
          <w:color w:val="auto"/>
        </w:rPr>
        <w:t>the completion of a merger or similar transaction following which the Company is the surviving corporation but the shares of the Company outstanding immediately preceding the merger or similar transaction are converted or exchanged by virtue of the merger or similar transaction into other property, whether in the form of securities, cash or otherwise.</w:t>
      </w:r>
    </w:p>
    <w:p>
      <w:pPr>
        <w:spacing w:after="0" w:line="181" w:lineRule="exact"/>
        <w:rPr>
          <w:rFonts w:ascii="Arial" w:cs="Arial" w:eastAsia="Arial" w:hAnsi="Arial"/>
          <w:sz w:val="18"/>
          <w:szCs w:val="18"/>
          <w:b w:val="1"/>
          <w:bCs w:val="1"/>
          <w:color w:val="auto"/>
        </w:rPr>
      </w:pPr>
    </w:p>
    <w:p>
      <w:pPr>
        <w:ind w:left="660" w:hanging="216"/>
        <w:spacing w:after="0"/>
        <w:tabs>
          <w:tab w:leader="none" w:pos="660"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“Director” </w:t>
      </w:r>
      <w:r>
        <w:rPr>
          <w:rFonts w:ascii="Arial" w:cs="Arial" w:eastAsia="Arial" w:hAnsi="Arial"/>
          <w:sz w:val="18"/>
          <w:szCs w:val="18"/>
          <w:color w:val="auto"/>
        </w:rPr>
        <w:t>means a member of the Board.</w:t>
      </w:r>
    </w:p>
    <w:p>
      <w:pPr>
        <w:spacing w:after="0" w:line="225" w:lineRule="exact"/>
        <w:rPr>
          <w:rFonts w:ascii="Arial" w:cs="Arial" w:eastAsia="Arial" w:hAnsi="Arial"/>
          <w:sz w:val="18"/>
          <w:szCs w:val="18"/>
          <w:b w:val="1"/>
          <w:bCs w:val="1"/>
          <w:color w:val="auto"/>
        </w:rPr>
      </w:pPr>
    </w:p>
    <w:p>
      <w:pPr>
        <w:ind w:left="-20" w:firstLine="464"/>
        <w:spacing w:after="0" w:line="286" w:lineRule="auto"/>
        <w:tabs>
          <w:tab w:leader="none" w:pos="701" w:val="left"/>
        </w:tabs>
        <w:numPr>
          <w:ilvl w:val="0"/>
          <w:numId w:val="45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“Disability” </w:t>
      </w:r>
      <w:r>
        <w:rPr>
          <w:rFonts w:ascii="Arial" w:cs="Arial" w:eastAsia="Arial" w:hAnsi="Arial"/>
          <w:sz w:val="17"/>
          <w:szCs w:val="17"/>
          <w:color w:val="auto"/>
        </w:rPr>
        <w:t>means permanent and total disability as defined under the Swiss federal law on invalidity insurance (LAI). The occurrence of disability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date hereof shall be determined by the Board on the basis of such medical evidence as the Board deems warranted under the circumstances. If requested, the Participant shall be examined by a physician selected or approved by the Company, at the Company’s costs.</w:t>
      </w:r>
    </w:p>
    <w:p>
      <w:pPr>
        <w:spacing w:after="0" w:line="165" w:lineRule="exact"/>
        <w:rPr>
          <w:rFonts w:ascii="Arial" w:cs="Arial" w:eastAsia="Arial" w:hAnsi="Arial"/>
          <w:sz w:val="17"/>
          <w:szCs w:val="17"/>
          <w:b w:val="1"/>
          <w:bCs w:val="1"/>
          <w:color w:val="auto"/>
        </w:rPr>
      </w:pPr>
    </w:p>
    <w:p>
      <w:pPr>
        <w:ind w:left="660" w:hanging="216"/>
        <w:spacing w:after="0"/>
        <w:tabs>
          <w:tab w:leader="none" w:pos="660"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means the effective date of this Plan, which is the date this Plan is adopted by the Board.</w:t>
      </w:r>
    </w:p>
    <w:p>
      <w:pPr>
        <w:spacing w:after="0" w:line="225" w:lineRule="exact"/>
        <w:rPr>
          <w:rFonts w:ascii="Arial" w:cs="Arial" w:eastAsia="Arial" w:hAnsi="Arial"/>
          <w:sz w:val="18"/>
          <w:szCs w:val="18"/>
          <w:b w:val="1"/>
          <w:bCs w:val="1"/>
          <w:color w:val="auto"/>
        </w:rPr>
      </w:pPr>
    </w:p>
    <w:p>
      <w:pPr>
        <w:ind w:left="-20" w:right="460" w:firstLine="464"/>
        <w:spacing w:after="0" w:line="277" w:lineRule="auto"/>
        <w:tabs>
          <w:tab w:leader="none" w:pos="751" w:val="left"/>
        </w:tabs>
        <w:numPr>
          <w:ilvl w:val="0"/>
          <w:numId w:val="4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170" w:lineRule="exact"/>
        <w:rPr>
          <w:rFonts w:ascii="Arial" w:cs="Arial" w:eastAsia="Arial" w:hAnsi="Arial"/>
          <w:sz w:val="18"/>
          <w:szCs w:val="18"/>
          <w:b w:val="1"/>
          <w:bCs w:val="1"/>
          <w:color w:val="auto"/>
        </w:rPr>
      </w:pPr>
    </w:p>
    <w:p>
      <w:pPr>
        <w:ind w:left="700" w:hanging="256"/>
        <w:spacing w:after="0"/>
        <w:tabs>
          <w:tab w:leader="none" w:pos="700"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“Entity” </w:t>
      </w:r>
      <w:r>
        <w:rPr>
          <w:rFonts w:ascii="Arial" w:cs="Arial" w:eastAsia="Arial" w:hAnsi="Arial"/>
          <w:sz w:val="18"/>
          <w:szCs w:val="18"/>
          <w:color w:val="auto"/>
        </w:rPr>
        <w:t>means a corporation, partnership, limited liability company or other entity.</w:t>
      </w:r>
    </w:p>
    <w:p>
      <w:pPr>
        <w:spacing w:after="0" w:line="225" w:lineRule="exact"/>
        <w:rPr>
          <w:rFonts w:ascii="Arial" w:cs="Arial" w:eastAsia="Arial" w:hAnsi="Arial"/>
          <w:sz w:val="18"/>
          <w:szCs w:val="18"/>
          <w:b w:val="1"/>
          <w:bCs w:val="1"/>
          <w:color w:val="auto"/>
        </w:rPr>
      </w:pPr>
    </w:p>
    <w:p>
      <w:pPr>
        <w:ind w:left="700" w:hanging="256"/>
        <w:spacing w:after="0"/>
        <w:tabs>
          <w:tab w:leader="none" w:pos="700"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“Exercise Price” </w:t>
      </w:r>
      <w:r>
        <w:rPr>
          <w:rFonts w:ascii="Arial" w:cs="Arial" w:eastAsia="Arial" w:hAnsi="Arial"/>
          <w:sz w:val="18"/>
          <w:szCs w:val="18"/>
          <w:color w:val="auto"/>
        </w:rPr>
        <w:t>means the price per share paid by the Optionholder to purchase the Share covered by the Option.</w:t>
      </w:r>
    </w:p>
    <w:p>
      <w:pPr>
        <w:spacing w:after="0" w:line="225" w:lineRule="exact"/>
        <w:rPr>
          <w:rFonts w:ascii="Arial" w:cs="Arial" w:eastAsia="Arial" w:hAnsi="Arial"/>
          <w:sz w:val="18"/>
          <w:szCs w:val="18"/>
          <w:b w:val="1"/>
          <w:bCs w:val="1"/>
          <w:color w:val="auto"/>
        </w:rPr>
      </w:pPr>
    </w:p>
    <w:p>
      <w:pPr>
        <w:ind w:left="700" w:hanging="256"/>
        <w:spacing w:after="0"/>
        <w:tabs>
          <w:tab w:leader="none" w:pos="700"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“Fair Market Value” </w:t>
      </w:r>
      <w:r>
        <w:rPr>
          <w:rFonts w:ascii="Arial" w:cs="Arial" w:eastAsia="Arial" w:hAnsi="Arial"/>
          <w:sz w:val="18"/>
          <w:szCs w:val="18"/>
          <w:color w:val="auto"/>
        </w:rPr>
        <w:t>means, as of any date either of the following:</w:t>
      </w:r>
    </w:p>
    <w:p>
      <w:pPr>
        <w:spacing w:after="0" w:line="117" w:lineRule="exact"/>
        <w:rPr>
          <w:rFonts w:ascii="Arial" w:cs="Arial" w:eastAsia="Arial" w:hAnsi="Arial"/>
          <w:sz w:val="18"/>
          <w:szCs w:val="18"/>
          <w:b w:val="1"/>
          <w:bCs w:val="1"/>
          <w:color w:val="auto"/>
        </w:rPr>
      </w:pPr>
    </w:p>
    <w:p>
      <w:pPr>
        <w:ind w:left="-20" w:right="120" w:firstLine="921"/>
        <w:spacing w:after="0" w:line="264" w:lineRule="auto"/>
        <w:tabs>
          <w:tab w:leader="none" w:pos="1108" w:val="left"/>
        </w:tabs>
        <w:numPr>
          <w:ilvl w:val="1"/>
          <w:numId w:val="450"/>
        </w:numPr>
        <w:rPr>
          <w:rFonts w:ascii="Arial" w:cs="Arial" w:eastAsia="Arial" w:hAnsi="Arial"/>
          <w:sz w:val="18"/>
          <w:szCs w:val="18"/>
          <w:b w:val="1"/>
          <w:bCs w:val="1"/>
          <w:color w:val="auto"/>
        </w:rPr>
      </w:pPr>
      <w:r>
        <w:rPr>
          <w:rFonts w:ascii="Arial" w:cs="Arial" w:eastAsia="Arial" w:hAnsi="Arial"/>
          <w:sz w:val="18"/>
          <w:szCs w:val="18"/>
          <w:color w:val="auto"/>
        </w:rPr>
        <w:t>If the Shares of the Company are listed on a stock exchange and sales prices of the Shares are regularly reported, either the average of the closing or last prices of the Share for the ten (10) consecutive trading days immediately preceding the applicable date or the closing or last price of the Share for the trading day immediately preceding the applicable date, as the Board shall determine.</w:t>
      </w:r>
    </w:p>
    <w:p>
      <w:pPr>
        <w:spacing w:after="0" w:line="73" w:lineRule="exact"/>
        <w:rPr>
          <w:rFonts w:ascii="Arial" w:cs="Arial" w:eastAsia="Arial" w:hAnsi="Arial"/>
          <w:sz w:val="18"/>
          <w:szCs w:val="18"/>
          <w:b w:val="1"/>
          <w:bCs w:val="1"/>
          <w:color w:val="auto"/>
        </w:rPr>
      </w:pPr>
    </w:p>
    <w:p>
      <w:pPr>
        <w:ind w:left="-20" w:right="80" w:firstLine="921"/>
        <w:spacing w:after="0" w:line="264" w:lineRule="auto"/>
        <w:tabs>
          <w:tab w:leader="none" w:pos="1158" w:val="left"/>
        </w:tabs>
        <w:numPr>
          <w:ilvl w:val="1"/>
          <w:numId w:val="450"/>
        </w:numPr>
        <w:rPr>
          <w:rFonts w:ascii="Arial" w:cs="Arial" w:eastAsia="Arial" w:hAnsi="Arial"/>
          <w:sz w:val="18"/>
          <w:szCs w:val="18"/>
          <w:b w:val="1"/>
          <w:bCs w:val="1"/>
          <w:color w:val="auto"/>
        </w:rPr>
      </w:pPr>
      <w:r>
        <w:rPr>
          <w:rFonts w:ascii="Arial" w:cs="Arial" w:eastAsia="Arial" w:hAnsi="Arial"/>
          <w:sz w:val="18"/>
          <w:szCs w:val="18"/>
          <w:color w:val="auto"/>
        </w:rPr>
        <w:t>If Shares of the Company are not listed on a stock exchange, but an increase of the share capital of the Company has taken place during the twelve months preceding the applicable date (last financing round), the highest price per Share paid by external investors to subscribe shares at such increase of the share capital.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73" w:right="259" w:bottom="1440" w:gutter="0" w:footer="0" w:header="0"/>
        </w:sectPr>
      </w:pPr>
    </w:p>
    <w:bookmarkStart w:id="594" w:name="page595"/>
    <w:bookmarkEnd w:id="594"/>
    <w:p>
      <w:pPr>
        <w:ind w:right="60" w:firstLine="921"/>
        <w:spacing w:after="0" w:line="277" w:lineRule="auto"/>
        <w:tabs>
          <w:tab w:leader="none" w:pos="1228" w:val="left"/>
        </w:tabs>
        <w:numPr>
          <w:ilvl w:val="1"/>
          <w:numId w:val="45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a Corporate Transaction being (i) a sale of a majority of the then outstanding shares in the Company: the highest price per Share paid by the acquirer as of the closing of the sale; (ii) a merger: the value per Share used to set the exchange ratio.</w:t>
      </w:r>
    </w:p>
    <w:p>
      <w:pPr>
        <w:spacing w:after="0" w:line="62" w:lineRule="exact"/>
        <w:rPr>
          <w:rFonts w:ascii="Arial" w:cs="Arial" w:eastAsia="Arial" w:hAnsi="Arial"/>
          <w:sz w:val="18"/>
          <w:szCs w:val="18"/>
          <w:b w:val="1"/>
          <w:bCs w:val="1"/>
          <w:color w:val="auto"/>
        </w:rPr>
      </w:pPr>
    </w:p>
    <w:p>
      <w:pPr>
        <w:ind w:left="1220" w:hanging="299"/>
        <w:spacing w:after="0"/>
        <w:tabs>
          <w:tab w:leader="none" w:pos="1220" w:val="left"/>
        </w:tabs>
        <w:numPr>
          <w:ilvl w:val="1"/>
          <w:numId w:val="451"/>
        </w:numPr>
        <w:rPr>
          <w:rFonts w:ascii="Arial" w:cs="Arial" w:eastAsia="Arial" w:hAnsi="Arial"/>
          <w:sz w:val="18"/>
          <w:szCs w:val="18"/>
          <w:b w:val="1"/>
          <w:bCs w:val="1"/>
          <w:color w:val="auto"/>
        </w:rPr>
      </w:pPr>
      <w:r>
        <w:rPr>
          <w:rFonts w:ascii="Arial" w:cs="Arial" w:eastAsia="Arial" w:hAnsi="Arial"/>
          <w:sz w:val="18"/>
          <w:szCs w:val="18"/>
          <w:color w:val="auto"/>
        </w:rPr>
        <w:t>In all other cases, such value as the Board, in good faith, shall determine.</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0"/>
          <w:numId w:val="4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“Incentive Award” </w:t>
      </w:r>
      <w:r>
        <w:rPr>
          <w:rFonts w:ascii="Arial" w:cs="Arial" w:eastAsia="Arial" w:hAnsi="Arial"/>
          <w:sz w:val="16"/>
          <w:szCs w:val="16"/>
          <w:color w:val="auto"/>
        </w:rPr>
        <w:t>means any right to receive Options and/or Shares granted under the Plan, including an Option Award and a Share Award.</w:t>
      </w:r>
    </w:p>
    <w:p>
      <w:pPr>
        <w:spacing w:after="0" w:line="248" w:lineRule="exact"/>
        <w:rPr>
          <w:rFonts w:ascii="Arial" w:cs="Arial" w:eastAsia="Arial" w:hAnsi="Arial"/>
          <w:sz w:val="16"/>
          <w:szCs w:val="16"/>
          <w:b w:val="1"/>
          <w:bCs w:val="1"/>
          <w:color w:val="auto"/>
        </w:rPr>
      </w:pPr>
    </w:p>
    <w:p>
      <w:pPr>
        <w:ind w:firstLine="464"/>
        <w:spacing w:after="0" w:line="264" w:lineRule="auto"/>
        <w:tabs>
          <w:tab w:leader="none" w:pos="701"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“Incentive Award Agreement” </w:t>
      </w:r>
      <w:r>
        <w:rPr>
          <w:rFonts w:ascii="Arial" w:cs="Arial" w:eastAsia="Arial" w:hAnsi="Arial"/>
          <w:sz w:val="18"/>
          <w:szCs w:val="18"/>
          <w:color w:val="auto"/>
        </w:rPr>
        <w:t>means a written agreement between the Company and a Participant evidencing the terms and conditions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Award grant, including an Option Award and a Share Award. Each Option Award Agreement and each Share Award Agreement shall be subject to the terms and conditions of the Plan.</w:t>
      </w:r>
    </w:p>
    <w:p>
      <w:pPr>
        <w:spacing w:after="0" w:line="181" w:lineRule="exact"/>
        <w:rPr>
          <w:rFonts w:ascii="Arial" w:cs="Arial" w:eastAsia="Arial" w:hAnsi="Arial"/>
          <w:sz w:val="18"/>
          <w:szCs w:val="18"/>
          <w:b w:val="1"/>
          <w:bCs w:val="1"/>
          <w:color w:val="auto"/>
        </w:rPr>
      </w:pPr>
    </w:p>
    <w:p>
      <w:pPr>
        <w:ind w:firstLine="464"/>
        <w:spacing w:after="0" w:line="342" w:lineRule="auto"/>
        <w:tabs>
          <w:tab w:leader="none" w:pos="691" w:val="left"/>
        </w:tabs>
        <w:numPr>
          <w:ilvl w:val="0"/>
          <w:numId w:val="4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“IPO” </w:t>
      </w:r>
      <w:r>
        <w:rPr>
          <w:rFonts w:ascii="Arial" w:cs="Arial" w:eastAsia="Arial" w:hAnsi="Arial"/>
          <w:sz w:val="16"/>
          <w:szCs w:val="16"/>
          <w:color w:val="auto"/>
        </w:rPr>
        <w:t>meaning the first public offering of shares of the Company on any European or U.S. stock exchange or automated quotation system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operated by the National Association of Securities Dealers in the U.S., by the Swiss Stock Exchange (SIX) or by any European equivalent.</w:t>
      </w:r>
    </w:p>
    <w:p>
      <w:pPr>
        <w:spacing w:after="0" w:line="123" w:lineRule="exact"/>
        <w:rPr>
          <w:rFonts w:ascii="Arial" w:cs="Arial" w:eastAsia="Arial" w:hAnsi="Arial"/>
          <w:sz w:val="16"/>
          <w:szCs w:val="16"/>
          <w:b w:val="1"/>
          <w:bCs w:val="1"/>
          <w:color w:val="auto"/>
        </w:rPr>
      </w:pPr>
    </w:p>
    <w:p>
      <w:pPr>
        <w:ind w:left="680" w:hanging="216"/>
        <w:spacing w:after="0"/>
        <w:tabs>
          <w:tab w:leader="none" w:pos="680"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“IPO Exercise Deadline” </w:t>
      </w:r>
      <w:r>
        <w:rPr>
          <w:rFonts w:ascii="Arial" w:cs="Arial" w:eastAsia="Arial" w:hAnsi="Arial"/>
          <w:sz w:val="18"/>
          <w:szCs w:val="18"/>
          <w:color w:val="auto"/>
        </w:rPr>
        <w:t>shall have the meaning set forth in Section 8(d).</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“IPO Notice” </w:t>
      </w:r>
      <w:r>
        <w:rPr>
          <w:rFonts w:ascii="Arial" w:cs="Arial" w:eastAsia="Arial" w:hAnsi="Arial"/>
          <w:sz w:val="18"/>
          <w:szCs w:val="18"/>
          <w:color w:val="auto"/>
        </w:rPr>
        <w:t>shall have the meaning set forth in Section 8(d).</w:t>
      </w:r>
    </w:p>
    <w:p>
      <w:pPr>
        <w:spacing w:after="0" w:line="225" w:lineRule="exact"/>
        <w:rPr>
          <w:rFonts w:ascii="Arial" w:cs="Arial" w:eastAsia="Arial" w:hAnsi="Arial"/>
          <w:sz w:val="18"/>
          <w:szCs w:val="18"/>
          <w:b w:val="1"/>
          <w:bCs w:val="1"/>
          <w:color w:val="auto"/>
        </w:rPr>
      </w:pPr>
    </w:p>
    <w:p>
      <w:pPr>
        <w:ind w:right="80" w:firstLine="464"/>
        <w:spacing w:after="0" w:line="264" w:lineRule="auto"/>
        <w:tabs>
          <w:tab w:leader="none" w:pos="711"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“Option” </w:t>
      </w:r>
      <w:r>
        <w:rPr>
          <w:rFonts w:ascii="Arial" w:cs="Arial" w:eastAsia="Arial" w:hAnsi="Arial"/>
          <w:sz w:val="18"/>
          <w:szCs w:val="18"/>
          <w:color w:val="auto"/>
        </w:rPr>
        <w:t>means the right of the recipient, on exercise thereof in accordance with the provisions of the Plan and the applicable Incentive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to subscribe or purchase one registered share of the Company with a par value of CHF 5.- at a specified Exercise Price. Each Option entitles to subscribe or purchase one Share.</w:t>
      </w:r>
    </w:p>
    <w:p>
      <w:pPr>
        <w:spacing w:after="0" w:line="181" w:lineRule="exact"/>
        <w:rPr>
          <w:rFonts w:ascii="Arial" w:cs="Arial" w:eastAsia="Arial" w:hAnsi="Arial"/>
          <w:sz w:val="18"/>
          <w:szCs w:val="18"/>
          <w:b w:val="1"/>
          <w:bCs w:val="1"/>
          <w:color w:val="auto"/>
        </w:rPr>
      </w:pPr>
    </w:p>
    <w:p>
      <w:pPr>
        <w:ind w:right="220" w:firstLine="464"/>
        <w:spacing w:after="0" w:line="277" w:lineRule="auto"/>
        <w:tabs>
          <w:tab w:leader="none" w:pos="751"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“Option Award Agreement” </w:t>
      </w:r>
      <w:r>
        <w:rPr>
          <w:rFonts w:ascii="Arial" w:cs="Arial" w:eastAsia="Arial" w:hAnsi="Arial"/>
          <w:sz w:val="18"/>
          <w:szCs w:val="18"/>
          <w:color w:val="auto"/>
        </w:rPr>
        <w:t>means a written agreement between the Company and an Optionholder evidencing the terms and conditions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Award grant. Each Option Agreement shall be subject to the terms and conditions of the Plan.</w:t>
      </w:r>
    </w:p>
    <w:p>
      <w:pPr>
        <w:spacing w:after="0" w:line="170" w:lineRule="exact"/>
        <w:rPr>
          <w:rFonts w:ascii="Arial" w:cs="Arial" w:eastAsia="Arial" w:hAnsi="Arial"/>
          <w:sz w:val="18"/>
          <w:szCs w:val="18"/>
          <w:b w:val="1"/>
          <w:bCs w:val="1"/>
          <w:color w:val="auto"/>
        </w:rPr>
      </w:pPr>
    </w:p>
    <w:p>
      <w:pPr>
        <w:ind w:left="720" w:hanging="256"/>
        <w:spacing w:after="0"/>
        <w:tabs>
          <w:tab w:leader="none" w:pos="720"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“Option Award” </w:t>
      </w:r>
      <w:r>
        <w:rPr>
          <w:rFonts w:ascii="Arial" w:cs="Arial" w:eastAsia="Arial" w:hAnsi="Arial"/>
          <w:sz w:val="18"/>
          <w:szCs w:val="18"/>
          <w:color w:val="auto"/>
        </w:rPr>
        <w:t>means an award of Options which is granted pursuant to the terms and conditions of Section 4.</w:t>
      </w:r>
    </w:p>
    <w:p>
      <w:pPr>
        <w:spacing w:after="0" w:line="225" w:lineRule="exact"/>
        <w:rPr>
          <w:rFonts w:ascii="Arial" w:cs="Arial" w:eastAsia="Arial" w:hAnsi="Arial"/>
          <w:sz w:val="18"/>
          <w:szCs w:val="18"/>
          <w:b w:val="1"/>
          <w:bCs w:val="1"/>
          <w:color w:val="auto"/>
        </w:rPr>
      </w:pPr>
    </w:p>
    <w:p>
      <w:pPr>
        <w:ind w:left="720" w:hanging="256"/>
        <w:spacing w:after="0"/>
        <w:tabs>
          <w:tab w:leader="none" w:pos="720" w:val="left"/>
        </w:tabs>
        <w:numPr>
          <w:ilvl w:val="0"/>
          <w:numId w:val="45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“Optionholder” </w:t>
      </w:r>
      <w:r>
        <w:rPr>
          <w:rFonts w:ascii="Arial" w:cs="Arial" w:eastAsia="Arial" w:hAnsi="Arial"/>
          <w:sz w:val="16"/>
          <w:szCs w:val="16"/>
          <w:color w:val="auto"/>
        </w:rPr>
        <w:t>means a person to whom an Option is granted pursuant to the Plan or, if applicable, such other person who holds an outstanding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210" w:lineRule="exact"/>
        <w:rPr>
          <w:rFonts w:ascii="Arial" w:cs="Arial" w:eastAsia="Arial" w:hAnsi="Arial"/>
          <w:sz w:val="16"/>
          <w:szCs w:val="16"/>
          <w:b w:val="1"/>
          <w:bCs w:val="1"/>
          <w:color w:val="auto"/>
        </w:rPr>
      </w:pPr>
    </w:p>
    <w:p>
      <w:pPr>
        <w:ind w:right="580" w:firstLine="464"/>
        <w:spacing w:after="0" w:line="277" w:lineRule="auto"/>
        <w:tabs>
          <w:tab w:leader="none" w:pos="701"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a person to whom a Incentive Award is granted pursuant to the Plan or, if applicable, such other person who holds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Incentive Award.</w:t>
      </w:r>
    </w:p>
    <w:p>
      <w:pPr>
        <w:spacing w:after="0" w:line="170" w:lineRule="exact"/>
        <w:rPr>
          <w:sz w:val="20"/>
          <w:szCs w:val="20"/>
          <w:color w:val="auto"/>
        </w:rPr>
      </w:pPr>
    </w:p>
    <w:p>
      <w:pPr>
        <w:ind w:left="800" w:hanging="336"/>
        <w:spacing w:after="0"/>
        <w:tabs>
          <w:tab w:leader="none" w:pos="800"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this AC Immune Ltd 2013 Equity Incentive Plan.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273" w:right="399" w:bottom="1440" w:gutter="0" w:footer="0" w:header="0"/>
        </w:sectPr>
      </w:pPr>
    </w:p>
    <w:bookmarkStart w:id="595" w:name="page596"/>
    <w:bookmarkEnd w:id="595"/>
    <w:p>
      <w:pPr>
        <w:ind w:left="820" w:hanging="356"/>
        <w:spacing w:after="0"/>
        <w:tabs>
          <w:tab w:leader="none" w:pos="82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 </w:t>
      </w:r>
      <w:r>
        <w:rPr>
          <w:rFonts w:ascii="Arial" w:cs="Arial" w:eastAsia="Arial" w:hAnsi="Arial"/>
          <w:sz w:val="18"/>
          <w:szCs w:val="18"/>
          <w:color w:val="auto"/>
        </w:rPr>
        <w:t>mean an ordinary registered share of the Company, with a nominal value of CHF 5.- each.</w:t>
      </w:r>
    </w:p>
    <w:p>
      <w:pPr>
        <w:spacing w:after="0" w:line="225" w:lineRule="exact"/>
        <w:rPr>
          <w:rFonts w:ascii="Arial" w:cs="Arial" w:eastAsia="Arial" w:hAnsi="Arial"/>
          <w:sz w:val="18"/>
          <w:szCs w:val="18"/>
          <w:b w:val="1"/>
          <w:bCs w:val="1"/>
          <w:color w:val="auto"/>
        </w:rPr>
      </w:pPr>
    </w:p>
    <w:p>
      <w:pPr>
        <w:ind w:left="780" w:hanging="316"/>
        <w:spacing w:after="0"/>
        <w:tabs>
          <w:tab w:leader="none" w:pos="780" w:val="left"/>
        </w:tabs>
        <w:numPr>
          <w:ilvl w:val="0"/>
          <w:numId w:val="45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“Share Award” </w:t>
      </w:r>
      <w:r>
        <w:rPr>
          <w:rFonts w:ascii="Arial" w:cs="Arial" w:eastAsia="Arial" w:hAnsi="Arial"/>
          <w:sz w:val="17"/>
          <w:szCs w:val="17"/>
          <w:color w:val="auto"/>
        </w:rPr>
        <w:t>means any right to receive Shares granted under the Plan.</w:t>
      </w:r>
    </w:p>
    <w:p>
      <w:pPr>
        <w:spacing w:after="0" w:line="236" w:lineRule="exact"/>
        <w:rPr>
          <w:rFonts w:ascii="Arial" w:cs="Arial" w:eastAsia="Arial" w:hAnsi="Arial"/>
          <w:sz w:val="17"/>
          <w:szCs w:val="17"/>
          <w:b w:val="1"/>
          <w:bCs w:val="1"/>
          <w:color w:val="auto"/>
        </w:rPr>
      </w:pPr>
    </w:p>
    <w:p>
      <w:pPr>
        <w:ind w:right="240" w:firstLine="464"/>
        <w:spacing w:after="0" w:line="277" w:lineRule="auto"/>
        <w:tabs>
          <w:tab w:leader="none" w:pos="821"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“Share Award Agreement” </w:t>
      </w:r>
      <w:r>
        <w:rPr>
          <w:rFonts w:ascii="Arial" w:cs="Arial" w:eastAsia="Arial" w:hAnsi="Arial"/>
          <w:sz w:val="18"/>
          <w:szCs w:val="18"/>
          <w:color w:val="auto"/>
        </w:rPr>
        <w:t>means a written agreement between the Company and a Participant evidencing the terms and conditions of a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grant. Each Share Award Agreement shall be subject to the terms and conditions of the Plan.</w:t>
      </w:r>
    </w:p>
    <w:p>
      <w:pPr>
        <w:spacing w:after="0" w:line="170" w:lineRule="exact"/>
        <w:rPr>
          <w:rFonts w:ascii="Arial" w:cs="Arial" w:eastAsia="Arial" w:hAnsi="Arial"/>
          <w:sz w:val="18"/>
          <w:szCs w:val="18"/>
          <w:b w:val="1"/>
          <w:bCs w:val="1"/>
          <w:color w:val="auto"/>
        </w:rPr>
      </w:pPr>
    </w:p>
    <w:p>
      <w:pPr>
        <w:ind w:left="780" w:hanging="316"/>
        <w:spacing w:after="0"/>
        <w:tabs>
          <w:tab w:leader="none" w:pos="780" w:val="left"/>
        </w:tabs>
        <w:numPr>
          <w:ilvl w:val="0"/>
          <w:numId w:val="45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“Shareholders’ Agreement” </w:t>
      </w:r>
      <w:r>
        <w:rPr>
          <w:rFonts w:ascii="Arial" w:cs="Arial" w:eastAsia="Arial" w:hAnsi="Arial"/>
          <w:sz w:val="17"/>
          <w:szCs w:val="17"/>
          <w:color w:val="auto"/>
        </w:rPr>
        <w:t>means the shareholder agreement signed by the company shareholders as amended from time to time.</w:t>
      </w:r>
    </w:p>
    <w:p>
      <w:pPr>
        <w:spacing w:after="0" w:line="232" w:lineRule="exact"/>
        <w:rPr>
          <w:rFonts w:ascii="Arial" w:cs="Arial" w:eastAsia="Arial" w:hAnsi="Arial"/>
          <w:sz w:val="17"/>
          <w:szCs w:val="17"/>
          <w:b w:val="1"/>
          <w:bCs w:val="1"/>
          <w:color w:val="auto"/>
        </w:rPr>
      </w:pPr>
    </w:p>
    <w:p>
      <w:pPr>
        <w:ind w:firstLine="464"/>
        <w:spacing w:after="0" w:line="282" w:lineRule="auto"/>
        <w:tabs>
          <w:tab w:leader="none" w:pos="741"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date on which an Option that has been granted to a Participant becomes fully exercisable (“vested”), the exercise hereof being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set forth in the Plan, in particular its Section 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AC Immune SA:</w:t>
            </w:r>
          </w:p>
        </w:tc>
        <w:tc>
          <w:tcPr>
            <w:tcW w:w="5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Pfeifer</w:t>
            </w:r>
          </w:p>
        </w:tc>
        <w:tc>
          <w:tcPr>
            <w:tcW w:w="50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Velasco</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Andrea Pfeifer, CEO</w:t>
            </w:r>
          </w:p>
        </w:tc>
        <w:tc>
          <w:tcPr>
            <w:tcW w:w="5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Martin Velasco, Chairman</w:t>
            </w:r>
          </w:p>
        </w:tc>
        <w:tc>
          <w:tcPr>
            <w:tcW w:w="0" w:type="dxa"/>
            <w:vAlign w:val="bottom"/>
          </w:tcPr>
          <w:p>
            <w:pPr>
              <w:spacing w:after="0"/>
              <w:rPr>
                <w:sz w:val="1"/>
                <w:szCs w:val="1"/>
                <w:color w:val="auto"/>
              </w:rPr>
            </w:pPr>
          </w:p>
        </w:tc>
      </w:tr>
      <w:tr>
        <w:trPr>
          <w:trHeight w:val="1080"/>
        </w:trPr>
        <w:tc>
          <w:tcPr>
            <w:tcW w:w="4040" w:type="dxa"/>
            <w:vAlign w:val="bottom"/>
          </w:tcPr>
          <w:p>
            <w:pPr>
              <w:spacing w:after="0"/>
              <w:rPr>
                <w:sz w:val="20"/>
                <w:szCs w:val="20"/>
                <w:color w:val="auto"/>
              </w:rPr>
            </w:pPr>
            <w:r>
              <w:rPr>
                <w:rFonts w:ascii="Arial" w:cs="Arial" w:eastAsia="Arial" w:hAnsi="Arial"/>
                <w:sz w:val="18"/>
                <w:szCs w:val="18"/>
                <w:color w:val="auto"/>
              </w:rPr>
              <w:t>The Participant:</w:t>
            </w:r>
          </w:p>
        </w:tc>
        <w:tc>
          <w:tcPr>
            <w:tcW w:w="5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040" w:type="dxa"/>
            <w:vAlign w:val="bottom"/>
            <w:tcBorders>
              <w:bottom w:val="single" w:sz="8" w:color="auto"/>
            </w:tcBorders>
          </w:tcPr>
          <w:p>
            <w:pPr>
              <w:spacing w:after="0"/>
              <w:rPr>
                <w:sz w:val="24"/>
                <w:szCs w:val="24"/>
                <w:color w:val="auto"/>
              </w:rPr>
            </w:pPr>
          </w:p>
        </w:tc>
        <w:tc>
          <w:tcPr>
            <w:tcW w:w="4520" w:type="dxa"/>
            <w:vAlign w:val="bottom"/>
            <w:gridSpan w:val="2"/>
            <w:vMerge w:val="restart"/>
          </w:tcPr>
          <w:p>
            <w:pPr>
              <w:jc w:val="right"/>
              <w:ind w:right="26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58"/>
        </w:trPr>
        <w:tc>
          <w:tcPr>
            <w:tcW w:w="4040" w:type="dxa"/>
            <w:vAlign w:val="bottom"/>
          </w:tcPr>
          <w:p>
            <w:pPr>
              <w:spacing w:after="0"/>
              <w:rPr>
                <w:sz w:val="24"/>
                <w:szCs w:val="24"/>
                <w:color w:val="auto"/>
              </w:rPr>
            </w:pPr>
          </w:p>
        </w:tc>
        <w:tc>
          <w:tcPr>
            <w:tcW w:w="45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596" w:name="page597"/>
    <w:bookmarkEnd w:id="596"/>
    <w:p>
      <w:pPr>
        <w:jc w:val="right"/>
        <w:spacing w:after="0"/>
        <w:rPr>
          <w:sz w:val="20"/>
          <w:szCs w:val="20"/>
          <w:color w:val="auto"/>
        </w:rPr>
      </w:pPr>
      <w:r>
        <w:rPr>
          <w:rFonts w:ascii="Arial" w:cs="Arial" w:eastAsia="Arial" w:hAnsi="Arial"/>
          <w:sz w:val="18"/>
          <w:szCs w:val="18"/>
          <w:b w:val="1"/>
          <w:bCs w:val="1"/>
          <w:color w:val="auto"/>
        </w:rPr>
        <w:t>Exhibit 10.8</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2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made as of 16 October 2015</w:t>
      </w:r>
    </w:p>
    <w:p>
      <w:pPr>
        <w:spacing w:after="0" w:line="22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by and among</w:t>
      </w:r>
    </w:p>
    <w:p>
      <w:pPr>
        <w:spacing w:after="0" w:line="131" w:lineRule="exact"/>
        <w:rPr>
          <w:sz w:val="20"/>
          <w:szCs w:val="20"/>
          <w:color w:val="auto"/>
        </w:rPr>
      </w:pPr>
    </w:p>
    <w:p>
      <w:pPr>
        <w:ind w:left="466" w:right="6880" w:hanging="466"/>
        <w:spacing w:after="0" w:line="258" w:lineRule="auto"/>
        <w:tabs>
          <w:tab w:leader="none" w:pos="445" w:val="left"/>
        </w:tabs>
        <w:numPr>
          <w:ilvl w:val="0"/>
          <w:numId w:val="455"/>
        </w:numPr>
        <w:rPr>
          <w:rFonts w:ascii="Arial" w:cs="Arial" w:eastAsia="Arial" w:hAnsi="Arial"/>
          <w:sz w:val="18"/>
          <w:szCs w:val="18"/>
          <w:color w:val="auto"/>
        </w:rPr>
      </w:pPr>
      <w:r>
        <w:rPr>
          <w:rFonts w:ascii="Arial" w:cs="Arial" w:eastAsia="Arial" w:hAnsi="Arial"/>
          <w:sz w:val="18"/>
          <w:szCs w:val="18"/>
          <w:color w:val="auto"/>
        </w:rPr>
        <w:t>Fidelity Select Portfolios: Biotechnology Portfolio c/o Brown Brothers Harriman &amp; Co.</w:t>
      </w:r>
    </w:p>
    <w:p>
      <w:pPr>
        <w:spacing w:after="0" w:line="1" w:lineRule="exact"/>
        <w:rPr>
          <w:rFonts w:ascii="Arial" w:cs="Arial" w:eastAsia="Arial" w:hAnsi="Arial"/>
          <w:sz w:val="18"/>
          <w:szCs w:val="18"/>
          <w:color w:val="auto"/>
        </w:rPr>
      </w:pPr>
    </w:p>
    <w:p>
      <w:pPr>
        <w:jc w:val="both"/>
        <w:ind w:left="466" w:right="8940"/>
        <w:spacing w:after="0" w:line="255" w:lineRule="auto"/>
        <w:rPr>
          <w:rFonts w:ascii="Arial" w:cs="Arial" w:eastAsia="Arial" w:hAnsi="Arial"/>
          <w:sz w:val="18"/>
          <w:szCs w:val="18"/>
          <w:color w:val="auto"/>
        </w:rPr>
      </w:pPr>
      <w:r>
        <w:rPr>
          <w:rFonts w:ascii="Arial" w:cs="Arial" w:eastAsia="Arial" w:hAnsi="Arial"/>
          <w:sz w:val="18"/>
          <w:szCs w:val="18"/>
          <w:color w:val="auto"/>
        </w:rPr>
        <w:t>525 Washington Blvd Jersey City NJ 07310 USA</w:t>
      </w:r>
    </w:p>
    <w:p>
      <w:pPr>
        <w:spacing w:after="0" w:line="95" w:lineRule="exact"/>
        <w:rPr>
          <w:rFonts w:ascii="Arial" w:cs="Arial" w:eastAsia="Arial" w:hAnsi="Arial"/>
          <w:sz w:val="18"/>
          <w:szCs w:val="18"/>
          <w:color w:val="auto"/>
        </w:rPr>
      </w:pPr>
    </w:p>
    <w:p>
      <w:pPr>
        <w:ind w:left="466" w:right="5760" w:hanging="466"/>
        <w:spacing w:after="0" w:line="258" w:lineRule="auto"/>
        <w:tabs>
          <w:tab w:leader="none" w:pos="445" w:val="left"/>
        </w:tabs>
        <w:numPr>
          <w:ilvl w:val="0"/>
          <w:numId w:val="455"/>
        </w:numPr>
        <w:rPr>
          <w:rFonts w:ascii="Arial" w:cs="Arial" w:eastAsia="Arial" w:hAnsi="Arial"/>
          <w:sz w:val="18"/>
          <w:szCs w:val="18"/>
          <w:color w:val="auto"/>
        </w:rPr>
      </w:pPr>
      <w:r>
        <w:rPr>
          <w:rFonts w:ascii="Arial" w:cs="Arial" w:eastAsia="Arial" w:hAnsi="Arial"/>
          <w:sz w:val="18"/>
          <w:szCs w:val="18"/>
          <w:color w:val="auto"/>
        </w:rPr>
        <w:t>Fidelity Advisor Series VII: Fidelity Advisor Biotechnology Fund c/o State Street Bank &amp; Trust</w:t>
      </w:r>
    </w:p>
    <w:p>
      <w:pPr>
        <w:spacing w:after="0" w:line="1"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PO Box 5756</w:t>
      </w:r>
    </w:p>
    <w:p>
      <w:pPr>
        <w:spacing w:after="0" w:line="9"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Boston, Massachusetts 02206</w:t>
      </w:r>
    </w:p>
    <w:p>
      <w:pPr>
        <w:spacing w:after="0" w:line="9"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116" w:lineRule="exact"/>
        <w:rPr>
          <w:rFonts w:ascii="Arial" w:cs="Arial" w:eastAsia="Arial" w:hAnsi="Arial"/>
          <w:sz w:val="18"/>
          <w:szCs w:val="18"/>
          <w:color w:val="auto"/>
        </w:rPr>
      </w:pPr>
    </w:p>
    <w:p>
      <w:pPr>
        <w:ind w:left="466" w:right="5860" w:hanging="466"/>
        <w:spacing w:after="0" w:line="258" w:lineRule="auto"/>
        <w:tabs>
          <w:tab w:leader="none" w:pos="445" w:val="left"/>
        </w:tabs>
        <w:numPr>
          <w:ilvl w:val="0"/>
          <w:numId w:val="455"/>
        </w:numPr>
        <w:rPr>
          <w:rFonts w:ascii="Arial" w:cs="Arial" w:eastAsia="Arial" w:hAnsi="Arial"/>
          <w:sz w:val="18"/>
          <w:szCs w:val="18"/>
          <w:color w:val="auto"/>
        </w:rPr>
      </w:pPr>
      <w:r>
        <w:rPr>
          <w:rFonts w:ascii="Arial" w:cs="Arial" w:eastAsia="Arial" w:hAnsi="Arial"/>
          <w:sz w:val="18"/>
          <w:szCs w:val="18"/>
          <w:color w:val="auto"/>
        </w:rPr>
        <w:t>Fidelity Securities Fund: Fidelity Series Blue Chip Growth Fund c/o State Street Bank &amp; Trust</w:t>
      </w:r>
    </w:p>
    <w:p>
      <w:pPr>
        <w:spacing w:after="0" w:line="1"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PO Box 5756</w:t>
      </w:r>
    </w:p>
    <w:p>
      <w:pPr>
        <w:spacing w:after="0" w:line="9"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Boston, Massachusetts 02206</w:t>
      </w:r>
    </w:p>
    <w:p>
      <w:pPr>
        <w:spacing w:after="0" w:line="9"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116" w:lineRule="exact"/>
        <w:rPr>
          <w:rFonts w:ascii="Arial" w:cs="Arial" w:eastAsia="Arial" w:hAnsi="Arial"/>
          <w:sz w:val="18"/>
          <w:szCs w:val="18"/>
          <w:color w:val="auto"/>
        </w:rPr>
      </w:pPr>
    </w:p>
    <w:p>
      <w:pPr>
        <w:ind w:left="446" w:hanging="446"/>
        <w:spacing w:after="0"/>
        <w:tabs>
          <w:tab w:leader="none" w:pos="446" w:val="left"/>
        </w:tabs>
        <w:numPr>
          <w:ilvl w:val="0"/>
          <w:numId w:val="455"/>
        </w:numPr>
        <w:rPr>
          <w:rFonts w:ascii="Arial" w:cs="Arial" w:eastAsia="Arial" w:hAnsi="Arial"/>
          <w:sz w:val="18"/>
          <w:szCs w:val="18"/>
          <w:color w:val="auto"/>
        </w:rPr>
      </w:pPr>
      <w:r>
        <w:rPr>
          <w:rFonts w:ascii="Arial" w:cs="Arial" w:eastAsia="Arial" w:hAnsi="Arial"/>
          <w:sz w:val="18"/>
          <w:szCs w:val="18"/>
          <w:color w:val="auto"/>
        </w:rPr>
        <w:t>Fidelity Blue Chip Growth Commingled Pool</w:t>
      </w:r>
    </w:p>
    <w:p>
      <w:pPr>
        <w:spacing w:after="0" w:line="23" w:lineRule="exact"/>
        <w:rPr>
          <w:sz w:val="20"/>
          <w:szCs w:val="20"/>
          <w:color w:val="auto"/>
        </w:rPr>
      </w:pPr>
    </w:p>
    <w:p>
      <w:pPr>
        <w:ind w:left="466"/>
        <w:spacing w:after="0"/>
        <w:rPr>
          <w:sz w:val="20"/>
          <w:szCs w:val="20"/>
          <w:color w:val="auto"/>
        </w:rPr>
      </w:pPr>
      <w:r>
        <w:rPr>
          <w:rFonts w:ascii="Arial" w:cs="Arial" w:eastAsia="Arial" w:hAnsi="Arial"/>
          <w:sz w:val="18"/>
          <w:szCs w:val="18"/>
          <w:color w:val="auto"/>
        </w:rPr>
        <w:t>by Fidelity Management &amp; Trust Co.</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c/o Brown Brothers Harriman &amp; Co.</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525 Washington Blvd</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Jersey City NJ 07310</w:t>
      </w:r>
    </w:p>
    <w:p>
      <w:pPr>
        <w:spacing w:after="0" w:line="9" w:lineRule="exact"/>
        <w:rPr>
          <w:sz w:val="20"/>
          <w:szCs w:val="20"/>
          <w:color w:val="auto"/>
        </w:rPr>
      </w:pPr>
    </w:p>
    <w:p>
      <w:pPr>
        <w:ind w:left="466"/>
        <w:spacing w:after="0"/>
        <w:rPr>
          <w:sz w:val="20"/>
          <w:szCs w:val="20"/>
          <w:color w:val="auto"/>
        </w:rPr>
      </w:pPr>
      <w:r>
        <w:rPr>
          <w:rFonts w:ascii="Arial" w:cs="Arial" w:eastAsia="Arial" w:hAnsi="Arial"/>
          <w:sz w:val="18"/>
          <w:szCs w:val="18"/>
          <w:color w:val="auto"/>
        </w:rPr>
        <w:t>USA</w:t>
      </w:r>
    </w:p>
    <w:p>
      <w:pPr>
        <w:spacing w:after="0" w:line="116" w:lineRule="exact"/>
        <w:rPr>
          <w:sz w:val="20"/>
          <w:szCs w:val="20"/>
          <w:color w:val="auto"/>
        </w:rPr>
      </w:pPr>
    </w:p>
    <w:p>
      <w:pPr>
        <w:jc w:val="both"/>
        <w:ind w:left="466" w:right="6480" w:hanging="466"/>
        <w:spacing w:after="0" w:line="256" w:lineRule="auto"/>
        <w:tabs>
          <w:tab w:leader="none" w:pos="445" w:val="left"/>
        </w:tabs>
        <w:numPr>
          <w:ilvl w:val="0"/>
          <w:numId w:val="456"/>
        </w:numPr>
        <w:rPr>
          <w:rFonts w:ascii="Arial" w:cs="Arial" w:eastAsia="Arial" w:hAnsi="Arial"/>
          <w:sz w:val="18"/>
          <w:szCs w:val="18"/>
          <w:color w:val="auto"/>
        </w:rPr>
      </w:pPr>
      <w:r>
        <w:rPr>
          <w:rFonts w:ascii="Arial" w:cs="Arial" w:eastAsia="Arial" w:hAnsi="Arial"/>
          <w:sz w:val="18"/>
          <w:szCs w:val="18"/>
          <w:color w:val="auto"/>
        </w:rPr>
        <w:t>Pyramis Lifecycle Blue Chip Growth Commingled Pool by Pyramis Global Advisors Trust Company, as Trustee c/o State Street Bank &amp; Trust</w:t>
      </w:r>
    </w:p>
    <w:p>
      <w:pPr>
        <w:ind w:left="466"/>
        <w:spacing w:after="0"/>
        <w:rPr>
          <w:rFonts w:ascii="Arial" w:cs="Arial" w:eastAsia="Arial" w:hAnsi="Arial"/>
          <w:sz w:val="18"/>
          <w:szCs w:val="18"/>
          <w:color w:val="auto"/>
        </w:rPr>
      </w:pPr>
      <w:r>
        <w:rPr>
          <w:rFonts w:ascii="Arial" w:cs="Arial" w:eastAsia="Arial" w:hAnsi="Arial"/>
          <w:sz w:val="18"/>
          <w:szCs w:val="18"/>
          <w:color w:val="auto"/>
        </w:rPr>
        <w:t>PO Box 5756</w:t>
      </w:r>
    </w:p>
    <w:p>
      <w:pPr>
        <w:spacing w:after="0" w:line="9"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Boston, Massachusetts 02206</w:t>
      </w:r>
    </w:p>
    <w:p>
      <w:pPr>
        <w:spacing w:after="0" w:line="9" w:lineRule="exact"/>
        <w:rPr>
          <w:rFonts w:ascii="Arial" w:cs="Arial" w:eastAsia="Arial" w:hAnsi="Arial"/>
          <w:sz w:val="18"/>
          <w:szCs w:val="18"/>
          <w:color w:val="auto"/>
        </w:rPr>
      </w:pPr>
    </w:p>
    <w:p>
      <w:pPr>
        <w:ind w:left="466"/>
        <w:spacing w:after="0"/>
        <w:rPr>
          <w:rFonts w:ascii="Arial" w:cs="Arial" w:eastAsia="Arial" w:hAnsi="Arial"/>
          <w:sz w:val="18"/>
          <w:szCs w:val="18"/>
          <w:color w:val="auto"/>
        </w:rPr>
      </w:pPr>
      <w:r>
        <w:rPr>
          <w:rFonts w:ascii="Arial" w:cs="Arial" w:eastAsia="Arial" w:hAnsi="Arial"/>
          <w:sz w:val="18"/>
          <w:szCs w:val="18"/>
          <w:color w:val="auto"/>
        </w:rPr>
        <w:t>USA</w:t>
      </w:r>
    </w:p>
    <w:p>
      <w:pPr>
        <w:sectPr>
          <w:pgSz w:w="11900" w:h="16838" w:orient="portrait"/>
          <w:cols w:equalWidth="0" w:num="1">
            <w:col w:w="10966"/>
          </w:cols>
          <w:pgMar w:left="694" w:top="121" w:right="239" w:bottom="1440" w:gutter="0" w:footer="0" w:header="0"/>
        </w:sectPr>
      </w:pPr>
    </w:p>
    <w:bookmarkStart w:id="597" w:name="page598"/>
    <w:bookmarkEnd w:id="597"/>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00" w:hanging="446"/>
        <w:spacing w:after="0"/>
        <w:tabs>
          <w:tab w:leader="none" w:pos="9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Fidelity Securities Fund: Fidelity Blue Chip Growth Fund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M.Gardiner &amp; Co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JPMorgan Chase Bank, N.A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 Box 35308</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Newark, NJ 07101-8006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USA</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to 6. above collectively “</w:t>
      </w:r>
      <w:r>
        <w:rPr>
          <w:rFonts w:ascii="Arial" w:cs="Arial" w:eastAsia="Arial" w:hAnsi="Arial"/>
          <w:sz w:val="18"/>
          <w:szCs w:val="18"/>
          <w:b w:val="1"/>
          <w:bCs w:val="1"/>
          <w:color w:val="auto"/>
        </w:rPr>
        <w:t>Fidelity</w:t>
      </w:r>
      <w:r>
        <w:rPr>
          <w:rFonts w:ascii="Arial" w:cs="Arial" w:eastAsia="Arial" w:hAnsi="Arial"/>
          <w:sz w:val="18"/>
          <w:szCs w:val="18"/>
          <w:color w:val="auto"/>
        </w:rPr>
        <w:t>”)</w:t>
      </w:r>
    </w:p>
    <w:p>
      <w:pPr>
        <w:spacing w:after="0" w:line="229" w:lineRule="exact"/>
        <w:rPr>
          <w:sz w:val="20"/>
          <w:szCs w:val="20"/>
          <w:color w:val="auto"/>
        </w:rPr>
      </w:pPr>
    </w:p>
    <w:p>
      <w:pPr>
        <w:ind w:right="4000"/>
        <w:spacing w:after="0" w:line="277" w:lineRule="auto"/>
        <w:rPr>
          <w:sz w:val="20"/>
          <w:szCs w:val="20"/>
          <w:color w:val="auto"/>
        </w:rPr>
      </w:pPr>
      <w:r>
        <w:rPr>
          <w:rFonts w:ascii="Arial" w:cs="Arial" w:eastAsia="Arial" w:hAnsi="Arial"/>
          <w:sz w:val="18"/>
          <w:szCs w:val="18"/>
          <w:color w:val="auto"/>
        </w:rPr>
        <w:t>Other investors adhering to this Subscription Agreement through signing of the Adherence Declaration and accepted by the Company</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(together with Fidelity the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each individually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 bâtiment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1015 Lausanne, Switzerland</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Party</w:t>
      </w:r>
      <w:r>
        <w:rPr>
          <w:rFonts w:ascii="Arial" w:cs="Arial" w:eastAsia="Arial" w:hAnsi="Arial"/>
          <w:sz w:val="18"/>
          <w:szCs w:val="18"/>
          <w:color w:val="auto"/>
        </w:rPr>
        <w:t>”, all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ectPr>
          <w:pgSz w:w="11900" w:h="16838" w:orient="portrait"/>
          <w:cols w:equalWidth="0" w:num="1">
            <w:col w:w="11420"/>
          </w:cols>
          <w:pgMar w:left="240" w:top="273" w:right="239" w:bottom="1440" w:gutter="0" w:footer="0" w:header="0"/>
        </w:sectPr>
      </w:pPr>
    </w:p>
    <w:bookmarkStart w:id="598" w:name="page599"/>
    <w:bookmarkEnd w:id="598"/>
    <w:tbl>
      <w:tblPr>
        <w:tblLayout w:type="fixed"/>
        <w:tblInd w:w="0" w:type="dxa"/>
        <w:tblCellMar>
          <w:top w:w="0" w:type="dxa"/>
          <w:left w:w="0" w:type="dxa"/>
          <w:bottom w:w="0" w:type="dxa"/>
          <w:right w:w="0" w:type="dxa"/>
        </w:tblCellMar>
      </w:tblP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2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65"/>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2780" w:type="dxa"/>
            <w:vAlign w:val="bottom"/>
          </w:tcPr>
          <w:p>
            <w:pPr>
              <w:spacing w:after="0"/>
              <w:rPr>
                <w:sz w:val="24"/>
                <w:szCs w:val="24"/>
                <w:color w:val="auto"/>
              </w:rPr>
            </w:pPr>
          </w:p>
        </w:tc>
      </w:tr>
      <w:tr>
        <w:trPr>
          <w:trHeight w:val="459"/>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Preamble</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DEFINITIONS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2.</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CURRENT EQUITY STRUCTURE OF THE COMPANY</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8160" w:type="dxa"/>
            <w:vAlign w:val="bottom"/>
          </w:tcPr>
          <w:p>
            <w:pPr>
              <w:ind w:left="60"/>
              <w:spacing w:after="0"/>
              <w:rPr>
                <w:sz w:val="20"/>
                <w:szCs w:val="20"/>
                <w:color w:val="auto"/>
              </w:rPr>
            </w:pPr>
            <w:r>
              <w:rPr>
                <w:rFonts w:ascii="Arial" w:cs="Arial" w:eastAsia="Arial" w:hAnsi="Arial"/>
                <w:sz w:val="18"/>
                <w:szCs w:val="18"/>
                <w:color w:val="auto"/>
              </w:rPr>
              <w:t>Share capital</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2.2</w:t>
            </w:r>
          </w:p>
        </w:tc>
        <w:tc>
          <w:tcPr>
            <w:tcW w:w="8160" w:type="dxa"/>
            <w:vAlign w:val="bottom"/>
          </w:tcPr>
          <w:p>
            <w:pPr>
              <w:ind w:left="60"/>
              <w:spacing w:after="0"/>
              <w:rPr>
                <w:sz w:val="20"/>
                <w:szCs w:val="20"/>
                <w:color w:val="auto"/>
              </w:rPr>
            </w:pPr>
            <w:r>
              <w:rPr>
                <w:rFonts w:ascii="Arial" w:cs="Arial" w:eastAsia="Arial" w:hAnsi="Arial"/>
                <w:sz w:val="18"/>
                <w:szCs w:val="18"/>
                <w:color w:val="auto"/>
              </w:rPr>
              <w:t>Articles of Association</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3.</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INCREASE OF SHARE CAPITAL (SERIES E FINANCING ROUND)</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8160" w:type="dxa"/>
            <w:vAlign w:val="bottom"/>
          </w:tcPr>
          <w:p>
            <w:pPr>
              <w:ind w:left="60"/>
              <w:spacing w:after="0"/>
              <w:rPr>
                <w:sz w:val="20"/>
                <w:szCs w:val="20"/>
                <w:color w:val="auto"/>
              </w:rPr>
            </w:pPr>
            <w:r>
              <w:rPr>
                <w:rFonts w:ascii="Arial" w:cs="Arial" w:eastAsia="Arial" w:hAnsi="Arial"/>
                <w:sz w:val="18"/>
                <w:szCs w:val="18"/>
                <w:color w:val="auto"/>
              </w:rPr>
              <w:t>Subscription Undertaking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8160" w:type="dxa"/>
            <w:vAlign w:val="bottom"/>
          </w:tcPr>
          <w:p>
            <w:pPr>
              <w:ind w:left="60"/>
              <w:spacing w:after="0"/>
              <w:rPr>
                <w:sz w:val="20"/>
                <w:szCs w:val="20"/>
                <w:color w:val="auto"/>
              </w:rPr>
            </w:pPr>
            <w:r>
              <w:rPr>
                <w:rFonts w:ascii="Arial" w:cs="Arial" w:eastAsia="Arial" w:hAnsi="Arial"/>
                <w:sz w:val="18"/>
                <w:szCs w:val="18"/>
                <w:color w:val="auto"/>
              </w:rPr>
              <w:t>Payment Undertaking at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3.3</w:t>
            </w:r>
          </w:p>
        </w:tc>
        <w:tc>
          <w:tcPr>
            <w:tcW w:w="8160" w:type="dxa"/>
            <w:vAlign w:val="bottom"/>
          </w:tcPr>
          <w:p>
            <w:pPr>
              <w:ind w:left="60"/>
              <w:spacing w:after="0"/>
              <w:rPr>
                <w:sz w:val="20"/>
                <w:szCs w:val="20"/>
                <w:color w:val="auto"/>
              </w:rPr>
            </w:pPr>
            <w:r>
              <w:rPr>
                <w:rFonts w:ascii="Arial" w:cs="Arial" w:eastAsia="Arial" w:hAnsi="Arial"/>
                <w:sz w:val="18"/>
                <w:szCs w:val="18"/>
                <w:color w:val="auto"/>
              </w:rPr>
              <w:t>Resolution passed by the Extraordinary General Meeting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3.4</w:t>
            </w:r>
          </w:p>
        </w:tc>
        <w:tc>
          <w:tcPr>
            <w:tcW w:w="8160" w:type="dxa"/>
            <w:vAlign w:val="bottom"/>
          </w:tcPr>
          <w:p>
            <w:pPr>
              <w:ind w:left="60"/>
              <w:spacing w:after="0"/>
              <w:rPr>
                <w:sz w:val="20"/>
                <w:szCs w:val="20"/>
                <w:color w:val="auto"/>
              </w:rPr>
            </w:pPr>
            <w:r>
              <w:rPr>
                <w:rFonts w:ascii="Arial" w:cs="Arial" w:eastAsia="Arial" w:hAnsi="Arial"/>
                <w:sz w:val="18"/>
                <w:szCs w:val="18"/>
                <w:color w:val="auto"/>
              </w:rPr>
              <w:t>Resolution of the Board</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4.</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OWNERSHIP STRUCTURE AFTER SERIES E FINANCING ROUND</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5.</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CLOSING</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5.1</w:t>
            </w:r>
          </w:p>
        </w:tc>
        <w:tc>
          <w:tcPr>
            <w:tcW w:w="8160" w:type="dxa"/>
            <w:vAlign w:val="bottom"/>
          </w:tcPr>
          <w:p>
            <w:pPr>
              <w:ind w:left="60"/>
              <w:spacing w:after="0"/>
              <w:rPr>
                <w:sz w:val="20"/>
                <w:szCs w:val="20"/>
                <w:color w:val="auto"/>
              </w:rPr>
            </w:pPr>
            <w:r>
              <w:rPr>
                <w:rFonts w:ascii="Arial" w:cs="Arial" w:eastAsia="Arial" w:hAnsi="Arial"/>
                <w:sz w:val="18"/>
                <w:szCs w:val="18"/>
                <w:color w:val="auto"/>
              </w:rPr>
              <w:t>Place and Date of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5.2</w:t>
            </w:r>
          </w:p>
        </w:tc>
        <w:tc>
          <w:tcPr>
            <w:tcW w:w="8160" w:type="dxa"/>
            <w:vAlign w:val="bottom"/>
          </w:tcPr>
          <w:p>
            <w:pPr>
              <w:ind w:left="60"/>
              <w:spacing w:after="0"/>
              <w:rPr>
                <w:sz w:val="20"/>
                <w:szCs w:val="20"/>
                <w:color w:val="auto"/>
              </w:rPr>
            </w:pPr>
            <w:r>
              <w:rPr>
                <w:rFonts w:ascii="Arial" w:cs="Arial" w:eastAsia="Arial" w:hAnsi="Arial"/>
                <w:sz w:val="18"/>
                <w:szCs w:val="18"/>
                <w:color w:val="auto"/>
              </w:rPr>
              <w:t>Conditions Precedent to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5.3</w:t>
            </w:r>
          </w:p>
        </w:tc>
        <w:tc>
          <w:tcPr>
            <w:tcW w:w="8160" w:type="dxa"/>
            <w:vAlign w:val="bottom"/>
          </w:tcPr>
          <w:p>
            <w:pPr>
              <w:ind w:left="60"/>
              <w:spacing w:after="0"/>
              <w:rPr>
                <w:sz w:val="20"/>
                <w:szCs w:val="20"/>
                <w:color w:val="auto"/>
              </w:rPr>
            </w:pPr>
            <w:r>
              <w:rPr>
                <w:rFonts w:ascii="Arial" w:cs="Arial" w:eastAsia="Arial" w:hAnsi="Arial"/>
                <w:sz w:val="18"/>
                <w:szCs w:val="18"/>
                <w:color w:val="auto"/>
              </w:rPr>
              <w:t>Closing Actions for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6.</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TERMINATION AND RECISSION</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7.</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REPRESENTATIONS AND WARRANTIES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7.1</w:t>
            </w:r>
          </w:p>
        </w:tc>
        <w:tc>
          <w:tcPr>
            <w:tcW w:w="8160" w:type="dxa"/>
            <w:vAlign w:val="bottom"/>
          </w:tcPr>
          <w:p>
            <w:pPr>
              <w:ind w:left="60"/>
              <w:spacing w:after="0"/>
              <w:rPr>
                <w:sz w:val="20"/>
                <w:szCs w:val="20"/>
                <w:color w:val="auto"/>
              </w:rPr>
            </w:pPr>
            <w:r>
              <w:rPr>
                <w:rFonts w:ascii="Arial" w:cs="Arial" w:eastAsia="Arial" w:hAnsi="Arial"/>
                <w:sz w:val="18"/>
                <w:szCs w:val="18"/>
                <w:color w:val="auto"/>
              </w:rPr>
              <w:t>Representation and Warranties by the Company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7.2</w:t>
            </w:r>
          </w:p>
        </w:tc>
        <w:tc>
          <w:tcPr>
            <w:tcW w:w="8160" w:type="dxa"/>
            <w:vAlign w:val="bottom"/>
          </w:tcPr>
          <w:p>
            <w:pPr>
              <w:ind w:left="60"/>
              <w:spacing w:after="0"/>
              <w:rPr>
                <w:sz w:val="20"/>
                <w:szCs w:val="20"/>
                <w:color w:val="auto"/>
              </w:rPr>
            </w:pPr>
            <w:r>
              <w:rPr>
                <w:rFonts w:ascii="Arial" w:cs="Arial" w:eastAsia="Arial" w:hAnsi="Arial"/>
                <w:sz w:val="18"/>
                <w:szCs w:val="18"/>
                <w:color w:val="auto"/>
              </w:rPr>
              <w:t>Representation and Warranties by each Investor</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7.3</w:t>
            </w:r>
          </w:p>
        </w:tc>
        <w:tc>
          <w:tcPr>
            <w:tcW w:w="8160" w:type="dxa"/>
            <w:vAlign w:val="bottom"/>
          </w:tcPr>
          <w:p>
            <w:pPr>
              <w:ind w:left="60"/>
              <w:spacing w:after="0"/>
              <w:rPr>
                <w:sz w:val="20"/>
                <w:szCs w:val="20"/>
                <w:color w:val="auto"/>
              </w:rPr>
            </w:pPr>
            <w:r>
              <w:rPr>
                <w:rFonts w:ascii="Arial" w:cs="Arial" w:eastAsia="Arial" w:hAnsi="Arial"/>
                <w:sz w:val="18"/>
                <w:szCs w:val="18"/>
                <w:color w:val="auto"/>
              </w:rPr>
              <w:t>Exclusive Representations and Warranties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8.</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INDEMNIFICATION AND REMEDIES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8.1</w:t>
            </w:r>
          </w:p>
        </w:tc>
        <w:tc>
          <w:tcPr>
            <w:tcW w:w="8160" w:type="dxa"/>
            <w:vAlign w:val="bottom"/>
          </w:tcPr>
          <w:p>
            <w:pPr>
              <w:ind w:left="60"/>
              <w:spacing w:after="0"/>
              <w:rPr>
                <w:sz w:val="20"/>
                <w:szCs w:val="20"/>
                <w:color w:val="auto"/>
              </w:rPr>
            </w:pPr>
            <w:r>
              <w:rPr>
                <w:rFonts w:ascii="Arial" w:cs="Arial" w:eastAsia="Arial" w:hAnsi="Arial"/>
                <w:sz w:val="18"/>
                <w:szCs w:val="18"/>
                <w:color w:val="auto"/>
              </w:rPr>
              <w:t>Notice of Breach (</w:t>
            </w:r>
            <w:r>
              <w:rPr>
                <w:rFonts w:ascii="Arial" w:cs="Arial" w:eastAsia="Arial" w:hAnsi="Arial"/>
                <w:sz w:val="18"/>
                <w:szCs w:val="18"/>
                <w:i w:val="1"/>
                <w:iCs w:val="1"/>
                <w:color w:val="auto"/>
              </w:rPr>
              <w:t>Rügefrist</w:t>
            </w:r>
            <w:r>
              <w:rPr>
                <w:rFonts w:ascii="Arial" w:cs="Arial" w:eastAsia="Arial" w:hAnsi="Arial"/>
                <w:sz w:val="18"/>
                <w:szCs w:val="18"/>
                <w:color w:val="auto"/>
              </w:rPr>
              <w: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8.2</w:t>
            </w:r>
          </w:p>
        </w:tc>
        <w:tc>
          <w:tcPr>
            <w:tcW w:w="8160" w:type="dxa"/>
            <w:vAlign w:val="bottom"/>
          </w:tcPr>
          <w:p>
            <w:pPr>
              <w:ind w:left="60"/>
              <w:spacing w:after="0"/>
              <w:rPr>
                <w:sz w:val="20"/>
                <w:szCs w:val="20"/>
                <w:color w:val="auto"/>
              </w:rPr>
            </w:pPr>
            <w:r>
              <w:rPr>
                <w:rFonts w:ascii="Arial" w:cs="Arial" w:eastAsia="Arial" w:hAnsi="Arial"/>
                <w:sz w:val="18"/>
                <w:szCs w:val="18"/>
                <w:color w:val="auto"/>
              </w:rPr>
              <w:t>Time Limitations on Claims (</w:t>
            </w:r>
            <w:r>
              <w:rPr>
                <w:rFonts w:ascii="Arial" w:cs="Arial" w:eastAsia="Arial" w:hAnsi="Arial"/>
                <w:sz w:val="18"/>
                <w:szCs w:val="18"/>
                <w:i w:val="1"/>
                <w:iCs w:val="1"/>
                <w:color w:val="auto"/>
              </w:rPr>
              <w:t>Verjährung / prescription</w:t>
            </w:r>
            <w:r>
              <w:rPr>
                <w:rFonts w:ascii="Arial" w:cs="Arial" w:eastAsia="Arial" w:hAnsi="Arial"/>
                <w:sz w:val="18"/>
                <w:szCs w:val="18"/>
                <w:color w:val="auto"/>
              </w:rPr>
              <w: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8.3</w:t>
            </w:r>
          </w:p>
        </w:tc>
        <w:tc>
          <w:tcPr>
            <w:tcW w:w="8160" w:type="dxa"/>
            <w:vAlign w:val="bottom"/>
          </w:tcPr>
          <w:p>
            <w:pPr>
              <w:ind w:left="60"/>
              <w:spacing w:after="0"/>
              <w:rPr>
                <w:sz w:val="20"/>
                <w:szCs w:val="20"/>
                <w:color w:val="auto"/>
              </w:rPr>
            </w:pPr>
            <w:r>
              <w:rPr>
                <w:rFonts w:ascii="Arial" w:cs="Arial" w:eastAsia="Arial" w:hAnsi="Arial"/>
                <w:sz w:val="18"/>
                <w:szCs w:val="18"/>
                <w:color w:val="auto"/>
              </w:rPr>
              <w:t>Remedies for the Investors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8.4</w:t>
            </w:r>
          </w:p>
        </w:tc>
        <w:tc>
          <w:tcPr>
            <w:tcW w:w="8160" w:type="dxa"/>
            <w:vAlign w:val="bottom"/>
          </w:tcPr>
          <w:p>
            <w:pPr>
              <w:ind w:left="60"/>
              <w:spacing w:after="0"/>
              <w:rPr>
                <w:sz w:val="20"/>
                <w:szCs w:val="20"/>
                <w:color w:val="auto"/>
              </w:rPr>
            </w:pPr>
            <w:r>
              <w:rPr>
                <w:rFonts w:ascii="Arial" w:cs="Arial" w:eastAsia="Arial" w:hAnsi="Arial"/>
                <w:sz w:val="18"/>
                <w:szCs w:val="18"/>
                <w:color w:val="auto"/>
              </w:rPr>
              <w:t>Limitations on Liability by the Company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9.</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COVENANTS OF THE COMPANY</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9.1</w:t>
            </w:r>
          </w:p>
        </w:tc>
        <w:tc>
          <w:tcPr>
            <w:tcW w:w="8160" w:type="dxa"/>
            <w:vAlign w:val="bottom"/>
          </w:tcPr>
          <w:p>
            <w:pPr>
              <w:ind w:left="60"/>
              <w:spacing w:after="0"/>
              <w:rPr>
                <w:sz w:val="20"/>
                <w:szCs w:val="20"/>
                <w:color w:val="auto"/>
              </w:rPr>
            </w:pPr>
            <w:r>
              <w:rPr>
                <w:rFonts w:ascii="Arial" w:cs="Arial" w:eastAsia="Arial" w:hAnsi="Arial"/>
                <w:sz w:val="18"/>
                <w:szCs w:val="18"/>
                <w:color w:val="auto"/>
              </w:rPr>
              <w:t>Issuance of New Shares and Registration in the Share Register</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9.2</w:t>
            </w:r>
          </w:p>
        </w:tc>
        <w:tc>
          <w:tcPr>
            <w:tcW w:w="8160" w:type="dxa"/>
            <w:vAlign w:val="bottom"/>
          </w:tcPr>
          <w:p>
            <w:pPr>
              <w:ind w:left="60"/>
              <w:spacing w:after="0"/>
              <w:rPr>
                <w:sz w:val="20"/>
                <w:szCs w:val="20"/>
                <w:color w:val="auto"/>
              </w:rPr>
            </w:pPr>
            <w:r>
              <w:rPr>
                <w:rFonts w:ascii="Arial" w:cs="Arial" w:eastAsia="Arial" w:hAnsi="Arial"/>
                <w:sz w:val="18"/>
                <w:szCs w:val="18"/>
                <w:color w:val="auto"/>
              </w:rPr>
              <w:t>Information Rights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NATURE OF PARTIES’ RIGHTS AND OBLIGATIONS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MISCELLANEOUS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w:t>
            </w:r>
          </w:p>
        </w:tc>
        <w:tc>
          <w:tcPr>
            <w:tcW w:w="816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11.2</w:t>
            </w:r>
          </w:p>
        </w:tc>
        <w:tc>
          <w:tcPr>
            <w:tcW w:w="8160" w:type="dxa"/>
            <w:vAlign w:val="bottom"/>
          </w:tcPr>
          <w:p>
            <w:pPr>
              <w:ind w:left="60"/>
              <w:spacing w:after="0"/>
              <w:rPr>
                <w:sz w:val="20"/>
                <w:szCs w:val="20"/>
                <w:color w:val="auto"/>
              </w:rPr>
            </w:pPr>
            <w:r>
              <w:rPr>
                <w:rFonts w:ascii="Arial" w:cs="Arial" w:eastAsia="Arial" w:hAnsi="Arial"/>
                <w:sz w:val="18"/>
                <w:szCs w:val="18"/>
                <w:color w:val="auto"/>
              </w:rPr>
              <w:t>Successors and Assignment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11.3</w:t>
            </w:r>
          </w:p>
        </w:tc>
        <w:tc>
          <w:tcPr>
            <w:tcW w:w="8160" w:type="dxa"/>
            <w:vAlign w:val="bottom"/>
          </w:tcPr>
          <w:p>
            <w:pPr>
              <w:ind w:left="60"/>
              <w:spacing w:after="0"/>
              <w:rPr>
                <w:sz w:val="20"/>
                <w:szCs w:val="20"/>
                <w:color w:val="auto"/>
              </w:rPr>
            </w:pPr>
            <w:r>
              <w:rPr>
                <w:rFonts w:ascii="Arial" w:cs="Arial" w:eastAsia="Arial" w:hAnsi="Arial"/>
                <w:sz w:val="18"/>
                <w:szCs w:val="18"/>
                <w:color w:val="auto"/>
              </w:rPr>
              <w:t>Costs and Expenses, Taxes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11.4</w:t>
            </w:r>
          </w:p>
        </w:tc>
        <w:tc>
          <w:tcPr>
            <w:tcW w:w="8160" w:type="dxa"/>
            <w:vAlign w:val="bottom"/>
          </w:tcPr>
          <w:p>
            <w:pPr>
              <w:ind w:left="60"/>
              <w:spacing w:after="0"/>
              <w:rPr>
                <w:sz w:val="20"/>
                <w:szCs w:val="20"/>
                <w:color w:val="auto"/>
              </w:rPr>
            </w:pPr>
            <w:r>
              <w:rPr>
                <w:rFonts w:ascii="Arial" w:cs="Arial" w:eastAsia="Arial" w:hAnsi="Arial"/>
                <w:sz w:val="18"/>
                <w:szCs w:val="18"/>
                <w:color w:val="auto"/>
              </w:rPr>
              <w:t>Notices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11.5</w:t>
            </w:r>
          </w:p>
        </w:tc>
        <w:tc>
          <w:tcPr>
            <w:tcW w:w="816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11.6</w:t>
            </w:r>
          </w:p>
        </w:tc>
        <w:tc>
          <w:tcPr>
            <w:tcW w:w="81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11.7</w:t>
            </w:r>
          </w:p>
        </w:tc>
        <w:tc>
          <w:tcPr>
            <w:tcW w:w="8160" w:type="dxa"/>
            <w:vAlign w:val="bottom"/>
          </w:tcPr>
          <w:p>
            <w:pPr>
              <w:ind w:left="60"/>
              <w:spacing w:after="0"/>
              <w:rPr>
                <w:sz w:val="20"/>
                <w:szCs w:val="20"/>
                <w:color w:val="auto"/>
              </w:rPr>
            </w:pPr>
            <w:r>
              <w:rPr>
                <w:rFonts w:ascii="Arial" w:cs="Arial" w:eastAsia="Arial" w:hAnsi="Arial"/>
                <w:sz w:val="18"/>
                <w:szCs w:val="18"/>
                <w:color w:val="auto"/>
              </w:rPr>
              <w:t>Termination at IPO and Survival</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11.8</w:t>
            </w:r>
          </w:p>
        </w:tc>
        <w:tc>
          <w:tcPr>
            <w:tcW w:w="816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11.9</w:t>
            </w:r>
          </w:p>
        </w:tc>
        <w:tc>
          <w:tcPr>
            <w:tcW w:w="8160" w:type="dxa"/>
            <w:vAlign w:val="bottom"/>
          </w:tcPr>
          <w:p>
            <w:pPr>
              <w:ind w:left="60"/>
              <w:spacing w:after="0"/>
              <w:rPr>
                <w:sz w:val="20"/>
                <w:szCs w:val="20"/>
                <w:color w:val="auto"/>
              </w:rPr>
            </w:pPr>
            <w:r>
              <w:rPr>
                <w:rFonts w:ascii="Arial" w:cs="Arial" w:eastAsia="Arial" w:hAnsi="Arial"/>
                <w:sz w:val="18"/>
                <w:szCs w:val="18"/>
                <w:color w:val="auto"/>
              </w:rPr>
              <w:t>Waiver of Rights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11.10</w:t>
            </w:r>
          </w:p>
        </w:tc>
        <w:tc>
          <w:tcPr>
            <w:tcW w:w="8160" w:type="dxa"/>
            <w:vAlign w:val="bottom"/>
          </w:tcPr>
          <w:p>
            <w:pPr>
              <w:ind w:left="60"/>
              <w:spacing w:after="0"/>
              <w:rPr>
                <w:sz w:val="20"/>
                <w:szCs w:val="20"/>
                <w:color w:val="auto"/>
              </w:rPr>
            </w:pPr>
            <w:r>
              <w:rPr>
                <w:rFonts w:ascii="Arial" w:cs="Arial" w:eastAsia="Arial" w:hAnsi="Arial"/>
                <w:sz w:val="18"/>
                <w:szCs w:val="18"/>
                <w:color w:val="auto"/>
              </w:rPr>
              <w:t>Announcement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11.11</w:t>
            </w:r>
          </w:p>
        </w:tc>
        <w:tc>
          <w:tcPr>
            <w:tcW w:w="81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11.12</w:t>
            </w:r>
          </w:p>
        </w:tc>
        <w:tc>
          <w:tcPr>
            <w:tcW w:w="8160" w:type="dxa"/>
            <w:vAlign w:val="bottom"/>
          </w:tcPr>
          <w:p>
            <w:pPr>
              <w:ind w:left="60"/>
              <w:spacing w:after="0"/>
              <w:rPr>
                <w:sz w:val="20"/>
                <w:szCs w:val="20"/>
                <w:color w:val="auto"/>
              </w:rPr>
            </w:pPr>
            <w:r>
              <w:rPr>
                <w:rFonts w:ascii="Arial" w:cs="Arial" w:eastAsia="Arial" w:hAnsi="Arial"/>
                <w:sz w:val="18"/>
                <w:szCs w:val="18"/>
                <w:color w:val="auto"/>
              </w:rPr>
              <w:t>Applicable Law</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11.13</w:t>
            </w:r>
          </w:p>
        </w:tc>
        <w:tc>
          <w:tcPr>
            <w:tcW w:w="8160" w:type="dxa"/>
            <w:vAlign w:val="bottom"/>
          </w:tcPr>
          <w:p>
            <w:pPr>
              <w:ind w:left="60"/>
              <w:spacing w:after="0"/>
              <w:rPr>
                <w:sz w:val="20"/>
                <w:szCs w:val="20"/>
                <w:color w:val="auto"/>
              </w:rPr>
            </w:pPr>
            <w:r>
              <w:rPr>
                <w:rFonts w:ascii="Arial" w:cs="Arial" w:eastAsia="Arial" w:hAnsi="Arial"/>
                <w:sz w:val="18"/>
                <w:szCs w:val="18"/>
                <w:color w:val="auto"/>
              </w:rPr>
              <w:t>Arbitration</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22</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Annexes 28</w:t>
      </w:r>
    </w:p>
    <w:p>
      <w:pPr>
        <w:sectPr>
          <w:pgSz w:w="11900" w:h="16838" w:orient="portrait"/>
          <w:cols w:equalWidth="0" w:num="1">
            <w:col w:w="11420"/>
          </w:cols>
          <w:pgMar w:left="240" w:top="273" w:right="239" w:bottom="1036" w:gutter="0" w:footer="0" w:header="0"/>
        </w:sectPr>
      </w:pPr>
    </w:p>
    <w:bookmarkStart w:id="599" w:name="page600"/>
    <w:bookmarkEnd w:id="599"/>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Preamble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11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The Company intends to increase its share capital in a fifth round of financing (the “</w:t>
      </w:r>
      <w:r>
        <w:rPr>
          <w:rFonts w:ascii="Arial" w:cs="Arial" w:eastAsia="Arial" w:hAnsi="Arial"/>
          <w:sz w:val="18"/>
          <w:szCs w:val="18"/>
          <w:b w:val="1"/>
          <w:bCs w:val="1"/>
          <w:color w:val="auto"/>
        </w:rPr>
        <w:t>Series E Financing Round</w:t>
      </w:r>
      <w:r>
        <w:rPr>
          <w:rFonts w:ascii="Arial" w:cs="Arial" w:eastAsia="Arial" w:hAnsi="Arial"/>
          <w:sz w:val="18"/>
          <w:szCs w:val="18"/>
          <w:color w:val="auto"/>
        </w:rPr>
        <w:t>”) by way of issuance of up to 20’536 Series E Preferred Shares in the Company with a nominal value of CHF 5.00 per Series E Preferred Share, each to be fully paid-in in cash, thereby increasing the issued share capital of the Company by a nominal amount of up to CHF 102’680.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Parties wish to determine their respective rights and obligations in relation to the Investors’ investment in the Company and the subscription and issuance of new Series E Preferred Shares in the Company in this Subscription Agreement and its Annexes and Appendices.</w:t>
      </w:r>
    </w:p>
    <w:p>
      <w:pPr>
        <w:spacing w:after="0" w:line="315" w:lineRule="exact"/>
        <w:rPr>
          <w:sz w:val="20"/>
          <w:szCs w:val="20"/>
          <w:color w:val="auto"/>
        </w:rPr>
      </w:pPr>
    </w:p>
    <w:p>
      <w:pPr>
        <w:ind w:left="680" w:hanging="672"/>
        <w:spacing w:after="0"/>
        <w:tabs>
          <w:tab w:leader="none" w:pos="680"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purposes of this Subscription Agreement (including the introductory paragraphs and the Appendices), capitalized terms shall have the meanings as follows or, if not defined herein, in the Shareholders’ Agreement):</w:t>
      </w:r>
    </w:p>
    <w:p>
      <w:pPr>
        <w:sectPr>
          <w:pgSz w:w="11900" w:h="16838" w:orient="portrait"/>
          <w:cols w:equalWidth="0" w:num="1">
            <w:col w:w="11420"/>
          </w:cols>
          <w:pgMar w:left="240" w:top="274"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Articles of Association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means the Articles of Association of the Company substantially in the form of </w:t>
      </w:r>
      <w:r>
        <w:rPr>
          <w:rFonts w:ascii="Arial" w:cs="Arial" w:eastAsia="Arial" w:hAnsi="Arial"/>
          <w:sz w:val="18"/>
          <w:szCs w:val="18"/>
          <w:b w:val="1"/>
          <w:bCs w:val="1"/>
          <w:color w:val="auto"/>
        </w:rPr>
        <w:t>Annex 2.2</w:t>
      </w:r>
      <w:r>
        <w:rPr>
          <w:rFonts w:ascii="Arial" w:cs="Arial" w:eastAsia="Arial" w:hAnsi="Arial"/>
          <w:sz w:val="18"/>
          <w:szCs w:val="18"/>
          <w:color w:val="auto"/>
        </w:rPr>
        <w:t>, as amended from time to time.</w:t>
      </w:r>
    </w:p>
    <w:p>
      <w:pPr>
        <w:spacing w:after="0" w:line="54"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Basket Losses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 defined in Section 8.4.</w:t>
      </w:r>
    </w:p>
    <w:p>
      <w:pPr>
        <w:spacing w:after="0" w:line="136"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Blocked Capital Account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 defined in Section 3.2.</w:t>
      </w:r>
    </w:p>
    <w:p>
      <w:pPr>
        <w:spacing w:after="0" w:line="136"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Company’s board of directors as the same shall be constituted from time to time.</w:t>
      </w:r>
    </w:p>
    <w:p>
      <w:pPr>
        <w:spacing w:after="0" w:line="136"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Swiss Code of Obligations dated 30 March 1911 as amended from time to time.</w:t>
      </w:r>
    </w:p>
    <w:p>
      <w:pPr>
        <w:spacing w:after="0" w:line="135"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Common Shares</w:t>
      </w:r>
    </w:p>
    <w:p>
      <w:pPr>
        <w:spacing w:after="0" w:line="20" w:lineRule="exact"/>
        <w:rPr>
          <w:sz w:val="20"/>
          <w:szCs w:val="20"/>
          <w:color w:val="auto"/>
        </w:rPr>
      </w:pPr>
      <w:r>
        <w:rPr>
          <w:sz w:val="20"/>
          <w:szCs w:val="20"/>
          <w:color w:val="auto"/>
        </w:rPr>
        <w:br w:type="column"/>
      </w:r>
    </w:p>
    <w:p>
      <w:pPr>
        <w:ind w:right="180"/>
        <w:spacing w:after="0" w:line="264" w:lineRule="auto"/>
        <w:rPr>
          <w:sz w:val="20"/>
          <w:szCs w:val="20"/>
          <w:color w:val="auto"/>
        </w:rPr>
      </w:pPr>
      <w:r>
        <w:rPr>
          <w:rFonts w:ascii="Arial" w:cs="Arial" w:eastAsia="Arial" w:hAnsi="Arial"/>
          <w:sz w:val="18"/>
          <w:szCs w:val="18"/>
          <w:color w:val="auto"/>
        </w:rPr>
        <w:t>shall mean the existing 35,034 restricted common shares (</w:t>
      </w:r>
      <w:r>
        <w:rPr>
          <w:rFonts w:ascii="Arial" w:cs="Arial" w:eastAsia="Arial" w:hAnsi="Arial"/>
          <w:sz w:val="18"/>
          <w:szCs w:val="18"/>
          <w:i w:val="1"/>
          <w:iCs w:val="1"/>
          <w:color w:val="auto"/>
        </w:rPr>
        <w:t>vinkulierte Namenaktien / actions nominatives avec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with a nominal value of CHF 5.00 each per Common Share, and having the transfer restrictions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Articles of Association.</w:t>
      </w:r>
    </w:p>
    <w:p>
      <w:pPr>
        <w:spacing w:after="0" w:line="69" w:lineRule="exact"/>
        <w:rPr>
          <w:sz w:val="20"/>
          <w:szCs w:val="20"/>
          <w:color w:val="auto"/>
        </w:rPr>
      </w:pPr>
    </w:p>
    <w:p>
      <w:pPr>
        <w:sectPr>
          <w:pgSz w:w="11900" w:h="16838" w:orient="portrait"/>
          <w:cols w:equalWidth="0" w:num="2">
            <w:col w:w="2480" w:space="720"/>
            <w:col w:w="82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 defined in the introduction of this Subscription Agreement.</w:t>
      </w:r>
    </w:p>
    <w:p>
      <w:pPr>
        <w:sectPr>
          <w:pgSz w:w="11900" w:h="16838" w:orient="portrait"/>
          <w:cols w:equalWidth="0" w:num="2">
            <w:col w:w="2480" w:space="720"/>
            <w:col w:w="8220"/>
          </w:cols>
          <w:pgMar w:left="240" w:top="274" w:right="239" w:bottom="1440" w:gutter="0" w:footer="0" w:header="0"/>
          <w:type w:val="continuous"/>
        </w:sectPr>
      </w:pPr>
    </w:p>
    <w:bookmarkStart w:id="600" w:name="page601"/>
    <w:bookmarkEnd w:id="600"/>
    <w:tbl>
      <w:tblPr>
        <w:tblLayout w:type="fixed"/>
        <w:tblInd w:w="0" w:type="dxa"/>
        <w:tblCellMar>
          <w:top w:w="0" w:type="dxa"/>
          <w:left w:w="0" w:type="dxa"/>
          <w:bottom w:w="0" w:type="dxa"/>
          <w:right w:w="0" w:type="dxa"/>
        </w:tblCellMar>
      </w:tblPr>
      <w:tr>
        <w:trPr>
          <w:trHeight w:val="230"/>
        </w:trPr>
        <w:tc>
          <w:tcPr>
            <w:tcW w:w="1130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5</w:t>
            </w:r>
          </w:p>
        </w:tc>
      </w:tr>
      <w:tr>
        <w:trPr>
          <w:trHeight w:val="365"/>
        </w:trPr>
        <w:tc>
          <w:tcPr>
            <w:tcW w:w="2940" w:type="dxa"/>
            <w:vAlign w:val="bottom"/>
          </w:tcPr>
          <w:p>
            <w:pPr>
              <w:spacing w:after="0"/>
              <w:rPr>
                <w:sz w:val="20"/>
                <w:szCs w:val="20"/>
                <w:color w:val="auto"/>
              </w:rPr>
            </w:pPr>
            <w:r>
              <w:rPr>
                <w:rFonts w:ascii="Arial" w:cs="Arial" w:eastAsia="Arial" w:hAnsi="Arial"/>
                <w:sz w:val="18"/>
                <w:szCs w:val="18"/>
                <w:b w:val="1"/>
                <w:bCs w:val="1"/>
                <w:color w:val="auto"/>
              </w:rPr>
              <w:t>Compensatory Capital Increase</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Section 8.3.</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Debt Repayment Triggering Event</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7.</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Defaulting Party</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Section 10.</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Environmental Laws</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21.</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Extraordinary General Meeting</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Section 3.3(a).</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FCPA</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22.</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FDA</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16.</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13.</w:t>
            </w:r>
          </w:p>
        </w:tc>
        <w:tc>
          <w:tcPr>
            <w:tcW w:w="120" w:type="dxa"/>
            <w:vAlign w:val="bottom"/>
          </w:tcPr>
          <w:p>
            <w:pPr>
              <w:spacing w:after="0"/>
              <w:rPr>
                <w:sz w:val="24"/>
                <w:szCs w:val="24"/>
                <w:color w:val="auto"/>
              </w:rPr>
            </w:pPr>
          </w:p>
        </w:tc>
      </w:tr>
      <w:tr>
        <w:trPr>
          <w:trHeight w:val="310"/>
        </w:trPr>
        <w:tc>
          <w:tcPr>
            <w:tcW w:w="2940" w:type="dxa"/>
            <w:vAlign w:val="bottom"/>
          </w:tcPr>
          <w:p>
            <w:pPr>
              <w:spacing w:after="0"/>
              <w:rPr>
                <w:sz w:val="20"/>
                <w:szCs w:val="20"/>
                <w:color w:val="auto"/>
              </w:rPr>
            </w:pPr>
            <w:r>
              <w:rPr>
                <w:rFonts w:ascii="Arial" w:cs="Arial" w:eastAsia="Arial" w:hAnsi="Arial"/>
                <w:sz w:val="18"/>
                <w:szCs w:val="18"/>
                <w:b w:val="1"/>
                <w:bCs w:val="1"/>
                <w:color w:val="auto"/>
              </w:rPr>
              <w:t>Full Consummation</w:t>
            </w:r>
          </w:p>
        </w:tc>
        <w:tc>
          <w:tcPr>
            <w:tcW w:w="8360" w:type="dxa"/>
            <w:vAlign w:val="bottom"/>
          </w:tcPr>
          <w:p>
            <w:pPr>
              <w:ind w:left="260"/>
              <w:spacing w:after="0"/>
              <w:rPr>
                <w:sz w:val="20"/>
                <w:szCs w:val="20"/>
                <w:color w:val="auto"/>
              </w:rPr>
            </w:pPr>
            <w:r>
              <w:rPr>
                <w:rFonts w:ascii="Arial" w:cs="Arial" w:eastAsia="Arial" w:hAnsi="Arial"/>
                <w:sz w:val="18"/>
                <w:szCs w:val="18"/>
                <w:color w:val="auto"/>
                <w:w w:val="89"/>
              </w:rPr>
              <w:t>shall mean that the Series E Preferred Shares issued in connection with the Series E Financing Round have been</w:t>
            </w:r>
          </w:p>
        </w:tc>
        <w:tc>
          <w:tcPr>
            <w:tcW w:w="120" w:type="dxa"/>
            <w:vAlign w:val="bottom"/>
          </w:tcPr>
          <w:p>
            <w:pPr>
              <w:spacing w:after="0"/>
              <w:rPr>
                <w:sz w:val="24"/>
                <w:szCs w:val="24"/>
                <w:color w:val="auto"/>
              </w:rPr>
            </w:pPr>
          </w:p>
        </w:tc>
      </w:tr>
      <w:tr>
        <w:trPr>
          <w:trHeight w:val="230"/>
        </w:trPr>
        <w:tc>
          <w:tcPr>
            <w:tcW w:w="2940" w:type="dxa"/>
            <w:vAlign w:val="bottom"/>
          </w:tcPr>
          <w:p>
            <w:pPr>
              <w:spacing w:after="0"/>
              <w:rPr>
                <w:sz w:val="20"/>
                <w:szCs w:val="20"/>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registered in the commercial register in accordance with Section 5.3 of this Subscription Agreement.</w:t>
            </w:r>
          </w:p>
        </w:tc>
        <w:tc>
          <w:tcPr>
            <w:tcW w:w="120" w:type="dxa"/>
            <w:vAlign w:val="bottom"/>
          </w:tcPr>
          <w:p>
            <w:pPr>
              <w:spacing w:after="0"/>
              <w:rPr>
                <w:sz w:val="20"/>
                <w:szCs w:val="20"/>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Governmental Authority</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22.</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Intellectual Property Rights</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9.</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the introduction of this Subscription Agreement.</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the introduction of this Subscription Agreement</w:t>
            </w:r>
          </w:p>
        </w:tc>
        <w:tc>
          <w:tcPr>
            <w:tcW w:w="120" w:type="dxa"/>
            <w:vAlign w:val="bottom"/>
          </w:tcPr>
          <w:p>
            <w:pPr>
              <w:spacing w:after="0"/>
              <w:rPr>
                <w:sz w:val="24"/>
                <w:szCs w:val="24"/>
                <w:color w:val="auto"/>
              </w:rPr>
            </w:pPr>
          </w:p>
        </w:tc>
      </w:tr>
      <w:tr>
        <w:trPr>
          <w:trHeight w:val="306"/>
        </w:trPr>
        <w:tc>
          <w:tcPr>
            <w:tcW w:w="2940" w:type="dxa"/>
            <w:vAlign w:val="bottom"/>
          </w:tcPr>
          <w:p>
            <w:pPr>
              <w:spacing w:after="0"/>
              <w:rPr>
                <w:sz w:val="20"/>
                <w:szCs w:val="20"/>
                <w:color w:val="auto"/>
              </w:rPr>
            </w:pPr>
            <w:r>
              <w:rPr>
                <w:rFonts w:ascii="Arial" w:cs="Arial" w:eastAsia="Arial" w:hAnsi="Arial"/>
                <w:sz w:val="18"/>
                <w:szCs w:val="18"/>
                <w:b w:val="1"/>
                <w:bCs w:val="1"/>
                <w:color w:val="auto"/>
              </w:rPr>
              <w:t xml:space="preserve">knowledge </w:t>
            </w:r>
            <w:r>
              <w:rPr>
                <w:rFonts w:ascii="Arial" w:cs="Arial" w:eastAsia="Arial" w:hAnsi="Arial"/>
                <w:sz w:val="18"/>
                <w:szCs w:val="18"/>
                <w:color w:val="auto"/>
              </w:rPr>
              <w:t>including the phrase “</w:t>
            </w:r>
            <w:r>
              <w:rPr>
                <w:rFonts w:ascii="Arial" w:cs="Arial" w:eastAsia="Arial" w:hAnsi="Arial"/>
                <w:sz w:val="18"/>
                <w:szCs w:val="18"/>
                <w:b w:val="1"/>
                <w:bCs w:val="1"/>
                <w:color w:val="auto"/>
              </w:rPr>
              <w:t>to</w:t>
            </w:r>
          </w:p>
        </w:tc>
        <w:tc>
          <w:tcPr>
            <w:tcW w:w="8360" w:type="dxa"/>
            <w:vAlign w:val="bottom"/>
          </w:tcPr>
          <w:p>
            <w:pPr>
              <w:ind w:left="260"/>
              <w:spacing w:after="0"/>
              <w:rPr>
                <w:sz w:val="20"/>
                <w:szCs w:val="20"/>
                <w:color w:val="auto"/>
              </w:rPr>
            </w:pPr>
            <w:r>
              <w:rPr>
                <w:rFonts w:ascii="Arial" w:cs="Arial" w:eastAsia="Arial" w:hAnsi="Arial"/>
                <w:sz w:val="18"/>
                <w:szCs w:val="18"/>
                <w:color w:val="auto"/>
                <w:w w:val="98"/>
              </w:rPr>
              <w:t>shall mean the actual knowledge after reasonable investigation of the Chief Executive Officer, the Chief</w:t>
            </w:r>
          </w:p>
        </w:tc>
        <w:tc>
          <w:tcPr>
            <w:tcW w:w="12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the Company’s knowledge</w:t>
            </w:r>
            <w:r>
              <w:rPr>
                <w:rFonts w:ascii="Arial" w:cs="Arial" w:eastAsia="Arial" w:hAnsi="Arial"/>
                <w:sz w:val="18"/>
                <w:szCs w:val="18"/>
                <w:color w:val="auto"/>
              </w:rPr>
              <w:t>”</w:t>
            </w:r>
          </w:p>
        </w:tc>
        <w:tc>
          <w:tcPr>
            <w:tcW w:w="8360" w:type="dxa"/>
            <w:vAlign w:val="bottom"/>
          </w:tcPr>
          <w:p>
            <w:pPr>
              <w:ind w:left="260"/>
              <w:spacing w:after="0"/>
              <w:rPr>
                <w:sz w:val="20"/>
                <w:szCs w:val="20"/>
                <w:color w:val="auto"/>
              </w:rPr>
            </w:pPr>
            <w:r>
              <w:rPr>
                <w:rFonts w:ascii="Arial" w:cs="Arial" w:eastAsia="Arial" w:hAnsi="Arial"/>
                <w:sz w:val="18"/>
                <w:szCs w:val="18"/>
                <w:color w:val="auto"/>
              </w:rPr>
              <w:t>Scientific Officer and Chief Financial Officer of the Company.</w:t>
            </w:r>
          </w:p>
        </w:tc>
        <w:tc>
          <w:tcPr>
            <w:tcW w:w="120" w:type="dxa"/>
            <w:vAlign w:val="bottom"/>
          </w:tcPr>
          <w:p>
            <w:pPr>
              <w:spacing w:after="0"/>
              <w:rPr>
                <w:sz w:val="20"/>
                <w:szCs w:val="20"/>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Loss</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Section 8.3.</w:t>
            </w:r>
          </w:p>
        </w:tc>
        <w:tc>
          <w:tcPr>
            <w:tcW w:w="120" w:type="dxa"/>
            <w:vAlign w:val="bottom"/>
          </w:tcPr>
          <w:p>
            <w:pPr>
              <w:spacing w:after="0"/>
              <w:rPr>
                <w:sz w:val="24"/>
                <w:szCs w:val="24"/>
                <w:color w:val="auto"/>
              </w:rPr>
            </w:pPr>
          </w:p>
        </w:tc>
      </w:tr>
      <w:tr>
        <w:trPr>
          <w:trHeight w:val="310"/>
        </w:trPr>
        <w:tc>
          <w:tcPr>
            <w:tcW w:w="2940" w:type="dxa"/>
            <w:vAlign w:val="bottom"/>
          </w:tcPr>
          <w:p>
            <w:pPr>
              <w:spacing w:after="0"/>
              <w:rPr>
                <w:sz w:val="20"/>
                <w:szCs w:val="20"/>
                <w:color w:val="auto"/>
              </w:rPr>
            </w:pPr>
            <w:r>
              <w:rPr>
                <w:rFonts w:ascii="Arial" w:cs="Arial" w:eastAsia="Arial" w:hAnsi="Arial"/>
                <w:sz w:val="18"/>
                <w:szCs w:val="18"/>
                <w:b w:val="1"/>
                <w:bCs w:val="1"/>
                <w:color w:val="auto"/>
              </w:rPr>
              <w:t>Material Adverse Effect</w:t>
            </w:r>
          </w:p>
        </w:tc>
        <w:tc>
          <w:tcPr>
            <w:tcW w:w="8360" w:type="dxa"/>
            <w:vAlign w:val="bottom"/>
          </w:tcPr>
          <w:p>
            <w:pPr>
              <w:ind w:left="260"/>
              <w:spacing w:after="0"/>
              <w:rPr>
                <w:sz w:val="20"/>
                <w:szCs w:val="20"/>
                <w:color w:val="auto"/>
              </w:rPr>
            </w:pPr>
            <w:r>
              <w:rPr>
                <w:rFonts w:ascii="Arial" w:cs="Arial" w:eastAsia="Arial" w:hAnsi="Arial"/>
                <w:sz w:val="18"/>
                <w:szCs w:val="18"/>
                <w:color w:val="auto"/>
                <w:w w:val="97"/>
              </w:rPr>
              <w:t>means a material adverse effect on the business, assets (including intangible assets), liabilities, financial</w:t>
            </w:r>
          </w:p>
        </w:tc>
        <w:tc>
          <w:tcPr>
            <w:tcW w:w="120" w:type="dxa"/>
            <w:vAlign w:val="bottom"/>
          </w:tcPr>
          <w:p>
            <w:pPr>
              <w:spacing w:after="0"/>
              <w:rPr>
                <w:sz w:val="24"/>
                <w:szCs w:val="24"/>
                <w:color w:val="auto"/>
              </w:rPr>
            </w:pPr>
          </w:p>
        </w:tc>
      </w:tr>
      <w:tr>
        <w:trPr>
          <w:trHeight w:val="230"/>
        </w:trPr>
        <w:tc>
          <w:tcPr>
            <w:tcW w:w="2940" w:type="dxa"/>
            <w:vAlign w:val="bottom"/>
          </w:tcPr>
          <w:p>
            <w:pPr>
              <w:spacing w:after="0"/>
              <w:rPr>
                <w:sz w:val="20"/>
                <w:szCs w:val="20"/>
                <w:color w:val="auto"/>
              </w:rPr>
            </w:pPr>
          </w:p>
        </w:tc>
        <w:tc>
          <w:tcPr>
            <w:tcW w:w="8360" w:type="dxa"/>
            <w:vAlign w:val="bottom"/>
          </w:tcPr>
          <w:p>
            <w:pPr>
              <w:ind w:left="260"/>
              <w:spacing w:after="0"/>
              <w:rPr>
                <w:sz w:val="20"/>
                <w:szCs w:val="20"/>
                <w:color w:val="auto"/>
              </w:rPr>
            </w:pPr>
            <w:r>
              <w:rPr>
                <w:rFonts w:ascii="Arial" w:cs="Arial" w:eastAsia="Arial" w:hAnsi="Arial"/>
                <w:sz w:val="18"/>
                <w:szCs w:val="18"/>
                <w:color w:val="auto"/>
              </w:rPr>
              <w:t>condition, property or results of operations of the Company.</w:t>
            </w:r>
          </w:p>
        </w:tc>
        <w:tc>
          <w:tcPr>
            <w:tcW w:w="120" w:type="dxa"/>
            <w:vAlign w:val="bottom"/>
          </w:tcPr>
          <w:p>
            <w:pPr>
              <w:spacing w:after="0"/>
              <w:rPr>
                <w:sz w:val="20"/>
                <w:szCs w:val="20"/>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OFAC</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23.</w:t>
            </w:r>
          </w:p>
        </w:tc>
        <w:tc>
          <w:tcPr>
            <w:tcW w:w="120" w:type="dxa"/>
            <w:vAlign w:val="bottom"/>
          </w:tcPr>
          <w:p>
            <w:pPr>
              <w:spacing w:after="0"/>
              <w:rPr>
                <w:sz w:val="24"/>
                <w:szCs w:val="24"/>
                <w:color w:val="auto"/>
              </w:rPr>
            </w:pP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Official</w:t>
            </w:r>
          </w:p>
        </w:tc>
        <w:tc>
          <w:tcPr>
            <w:tcW w:w="8360" w:type="dxa"/>
            <w:vAlign w:val="bottom"/>
          </w:tcPr>
          <w:p>
            <w:pPr>
              <w:ind w:left="260"/>
              <w:spacing w:after="0"/>
              <w:rPr>
                <w:sz w:val="20"/>
                <w:szCs w:val="20"/>
                <w:color w:val="auto"/>
              </w:rPr>
            </w:pPr>
            <w:r>
              <w:rPr>
                <w:rFonts w:ascii="Arial" w:cs="Arial" w:eastAsia="Arial" w:hAnsi="Arial"/>
                <w:sz w:val="18"/>
                <w:szCs w:val="18"/>
                <w:color w:val="auto"/>
              </w:rPr>
              <w:t>shall have the meaning as defined in Annex 7.1 Section 22.</w:t>
            </w:r>
          </w:p>
        </w:tc>
        <w:tc>
          <w:tcPr>
            <w:tcW w:w="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601" w:name="page602"/>
    <w:bookmarkEnd w:id="601"/>
    <w:tbl>
      <w:tblPr>
        <w:tblLayout w:type="fixed"/>
        <w:tblInd w:w="0" w:type="dxa"/>
        <w:tblCellMar>
          <w:top w:w="0" w:type="dxa"/>
          <w:left w:w="0" w:type="dxa"/>
          <w:bottom w:w="0" w:type="dxa"/>
          <w:right w:w="0" w:type="dxa"/>
        </w:tblCellMar>
      </w:tblPr>
      <w:tr>
        <w:trPr>
          <w:trHeight w:val="230"/>
        </w:trPr>
        <w:tc>
          <w:tcPr>
            <w:tcW w:w="1132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6</w:t>
            </w:r>
          </w:p>
        </w:tc>
      </w:tr>
      <w:tr>
        <w:trPr>
          <w:trHeight w:val="365"/>
        </w:trPr>
        <w:tc>
          <w:tcPr>
            <w:tcW w:w="2800" w:type="dxa"/>
            <w:vAlign w:val="bottom"/>
          </w:tcPr>
          <w:p>
            <w:pPr>
              <w:spacing w:after="0"/>
              <w:rPr>
                <w:sz w:val="20"/>
                <w:szCs w:val="20"/>
                <w:color w:val="auto"/>
              </w:rPr>
            </w:pPr>
            <w:r>
              <w:rPr>
                <w:rFonts w:ascii="Arial" w:cs="Arial" w:eastAsia="Arial" w:hAnsi="Arial"/>
                <w:sz w:val="18"/>
                <w:szCs w:val="18"/>
                <w:b w:val="1"/>
                <w:bCs w:val="1"/>
                <w:color w:val="auto"/>
              </w:rPr>
              <w:t>Party or Parties</w:t>
            </w:r>
          </w:p>
        </w:tc>
        <w:tc>
          <w:tcPr>
            <w:tcW w:w="8520" w:type="dxa"/>
            <w:vAlign w:val="bottom"/>
          </w:tcPr>
          <w:p>
            <w:pPr>
              <w:ind w:left="400"/>
              <w:spacing w:after="0"/>
              <w:rPr>
                <w:sz w:val="20"/>
                <w:szCs w:val="20"/>
                <w:color w:val="auto"/>
              </w:rPr>
            </w:pPr>
            <w:r>
              <w:rPr>
                <w:rFonts w:ascii="Arial" w:cs="Arial" w:eastAsia="Arial" w:hAnsi="Arial"/>
                <w:sz w:val="18"/>
                <w:szCs w:val="18"/>
                <w:color w:val="auto"/>
              </w:rPr>
              <w:t>shall have the meaning as defined in the introduction of this Subscription Agreement.</w:t>
            </w:r>
          </w:p>
        </w:tc>
        <w:tc>
          <w:tcPr>
            <w:tcW w:w="100" w:type="dxa"/>
            <w:vAlign w:val="bottom"/>
          </w:tcPr>
          <w:p>
            <w:pPr>
              <w:spacing w:after="0"/>
              <w:rPr>
                <w:sz w:val="24"/>
                <w:szCs w:val="24"/>
                <w:color w:val="auto"/>
              </w:rPr>
            </w:pP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Permits</w:t>
            </w:r>
          </w:p>
        </w:tc>
        <w:tc>
          <w:tcPr>
            <w:tcW w:w="8520" w:type="dxa"/>
            <w:vAlign w:val="bottom"/>
          </w:tcPr>
          <w:p>
            <w:pPr>
              <w:ind w:left="400"/>
              <w:spacing w:after="0"/>
              <w:rPr>
                <w:sz w:val="20"/>
                <w:szCs w:val="20"/>
                <w:color w:val="auto"/>
              </w:rPr>
            </w:pPr>
            <w:r>
              <w:rPr>
                <w:rFonts w:ascii="Arial" w:cs="Arial" w:eastAsia="Arial" w:hAnsi="Arial"/>
                <w:sz w:val="18"/>
                <w:szCs w:val="18"/>
                <w:color w:val="auto"/>
              </w:rPr>
              <w:t>shall have the meaning as defined in Annex 7.1 Section 20.</w:t>
            </w:r>
          </w:p>
        </w:tc>
        <w:tc>
          <w:tcPr>
            <w:tcW w:w="100" w:type="dxa"/>
            <w:vAlign w:val="bottom"/>
          </w:tcPr>
          <w:p>
            <w:pPr>
              <w:spacing w:after="0"/>
              <w:rPr>
                <w:sz w:val="24"/>
                <w:szCs w:val="24"/>
                <w:color w:val="auto"/>
              </w:rPr>
            </w:pPr>
          </w:p>
        </w:tc>
      </w:tr>
      <w:tr>
        <w:trPr>
          <w:trHeight w:val="306"/>
        </w:trPr>
        <w:tc>
          <w:tcPr>
            <w:tcW w:w="2800" w:type="dxa"/>
            <w:vAlign w:val="bottom"/>
          </w:tcPr>
          <w:p>
            <w:pPr>
              <w:spacing w:after="0"/>
              <w:rPr>
                <w:sz w:val="20"/>
                <w:szCs w:val="20"/>
                <w:color w:val="auto"/>
              </w:rPr>
            </w:pPr>
            <w:r>
              <w:rPr>
                <w:rFonts w:ascii="Arial" w:cs="Arial" w:eastAsia="Arial" w:hAnsi="Arial"/>
                <w:sz w:val="18"/>
                <w:szCs w:val="18"/>
                <w:b w:val="1"/>
                <w:bCs w:val="1"/>
                <w:color w:val="auto"/>
              </w:rPr>
              <w:t>Registration Rights Agreement</w:t>
            </w:r>
          </w:p>
        </w:tc>
        <w:tc>
          <w:tcPr>
            <w:tcW w:w="8520" w:type="dxa"/>
            <w:vAlign w:val="bottom"/>
          </w:tcPr>
          <w:p>
            <w:pPr>
              <w:ind w:left="400"/>
              <w:spacing w:after="0"/>
              <w:rPr>
                <w:sz w:val="20"/>
                <w:szCs w:val="20"/>
                <w:color w:val="auto"/>
              </w:rPr>
            </w:pPr>
            <w:r>
              <w:rPr>
                <w:rFonts w:ascii="Arial" w:cs="Arial" w:eastAsia="Arial" w:hAnsi="Arial"/>
                <w:sz w:val="18"/>
                <w:szCs w:val="18"/>
                <w:color w:val="auto"/>
                <w:w w:val="90"/>
              </w:rPr>
              <w:t>means the agreement among the Company and certain shareholders of the Company dated as of the date of the</w:t>
            </w:r>
          </w:p>
        </w:tc>
        <w:tc>
          <w:tcPr>
            <w:tcW w:w="10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 xml:space="preserve">Closing, in the form of </w:t>
            </w:r>
            <w:r>
              <w:rPr>
                <w:rFonts w:ascii="Arial" w:cs="Arial" w:eastAsia="Arial" w:hAnsi="Arial"/>
                <w:sz w:val="18"/>
                <w:szCs w:val="18"/>
                <w:b w:val="1"/>
                <w:bCs w:val="1"/>
                <w:color w:val="auto"/>
              </w:rPr>
              <w:t>Annex 5.2.1(e)</w:t>
            </w:r>
            <w:r>
              <w:rPr>
                <w:rFonts w:ascii="Arial" w:cs="Arial" w:eastAsia="Arial" w:hAnsi="Arial"/>
                <w:sz w:val="18"/>
                <w:szCs w:val="18"/>
                <w:color w:val="auto"/>
              </w:rPr>
              <w:t xml:space="preserve"> attached to this Subscription Agreement.</w:t>
            </w:r>
          </w:p>
        </w:tc>
        <w:tc>
          <w:tcPr>
            <w:tcW w:w="100" w:type="dxa"/>
            <w:vAlign w:val="bottom"/>
          </w:tcPr>
          <w:p>
            <w:pPr>
              <w:spacing w:after="0"/>
              <w:rPr>
                <w:sz w:val="20"/>
                <w:szCs w:val="20"/>
                <w:color w:val="auto"/>
              </w:rPr>
            </w:pP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Regulatory Agencies</w:t>
            </w:r>
          </w:p>
        </w:tc>
        <w:tc>
          <w:tcPr>
            <w:tcW w:w="8520" w:type="dxa"/>
            <w:vAlign w:val="bottom"/>
          </w:tcPr>
          <w:p>
            <w:pPr>
              <w:ind w:left="400"/>
              <w:spacing w:after="0"/>
              <w:rPr>
                <w:sz w:val="20"/>
                <w:szCs w:val="20"/>
                <w:color w:val="auto"/>
              </w:rPr>
            </w:pPr>
            <w:r>
              <w:rPr>
                <w:rFonts w:ascii="Arial" w:cs="Arial" w:eastAsia="Arial" w:hAnsi="Arial"/>
                <w:sz w:val="18"/>
                <w:szCs w:val="18"/>
                <w:color w:val="auto"/>
              </w:rPr>
              <w:t>shall have the meaning as defined in Annex 7.1 Section 16.</w:t>
            </w:r>
          </w:p>
        </w:tc>
        <w:tc>
          <w:tcPr>
            <w:tcW w:w="100" w:type="dxa"/>
            <w:vAlign w:val="bottom"/>
          </w:tcPr>
          <w:p>
            <w:pPr>
              <w:spacing w:after="0"/>
              <w:rPr>
                <w:sz w:val="24"/>
                <w:szCs w:val="24"/>
                <w:color w:val="auto"/>
              </w:rPr>
            </w:pPr>
          </w:p>
        </w:tc>
      </w:tr>
      <w:tr>
        <w:trPr>
          <w:trHeight w:val="306"/>
        </w:trPr>
        <w:tc>
          <w:tcPr>
            <w:tcW w:w="2800" w:type="dxa"/>
            <w:vAlign w:val="bottom"/>
          </w:tcPr>
          <w:p>
            <w:pPr>
              <w:spacing w:after="0"/>
              <w:rPr>
                <w:sz w:val="20"/>
                <w:szCs w:val="20"/>
                <w:color w:val="auto"/>
              </w:rPr>
            </w:pPr>
            <w:r>
              <w:rPr>
                <w:rFonts w:ascii="Arial" w:cs="Arial" w:eastAsia="Arial" w:hAnsi="Arial"/>
                <w:sz w:val="18"/>
                <w:szCs w:val="18"/>
                <w:b w:val="1"/>
                <w:bCs w:val="1"/>
                <w:color w:val="auto"/>
              </w:rPr>
              <w:t>Revised Articles of Association</w:t>
            </w:r>
          </w:p>
        </w:tc>
        <w:tc>
          <w:tcPr>
            <w:tcW w:w="8520" w:type="dxa"/>
            <w:vAlign w:val="bottom"/>
          </w:tcPr>
          <w:p>
            <w:pPr>
              <w:ind w:left="400"/>
              <w:spacing w:after="0"/>
              <w:rPr>
                <w:sz w:val="20"/>
                <w:szCs w:val="20"/>
                <w:color w:val="auto"/>
              </w:rPr>
            </w:pPr>
            <w:r>
              <w:rPr>
                <w:rFonts w:ascii="Arial" w:cs="Arial" w:eastAsia="Arial" w:hAnsi="Arial"/>
                <w:sz w:val="18"/>
                <w:szCs w:val="18"/>
                <w:color w:val="auto"/>
                <w:w w:val="92"/>
              </w:rPr>
              <w:t xml:space="preserve">means the Articles of Association of the Company to be adopted at Closing substantially in the form of </w:t>
            </w:r>
            <w:r>
              <w:rPr>
                <w:rFonts w:ascii="Arial" w:cs="Arial" w:eastAsia="Arial" w:hAnsi="Arial"/>
                <w:sz w:val="18"/>
                <w:szCs w:val="18"/>
                <w:b w:val="1"/>
                <w:bCs w:val="1"/>
                <w:color w:val="auto"/>
                <w:w w:val="92"/>
              </w:rPr>
              <w:t>Annex</w:t>
            </w:r>
          </w:p>
        </w:tc>
        <w:tc>
          <w:tcPr>
            <w:tcW w:w="10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0"/>
                <w:szCs w:val="20"/>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b w:val="1"/>
                <w:bCs w:val="1"/>
                <w:color w:val="auto"/>
              </w:rPr>
              <w:t>Securities Act</w:t>
            </w:r>
          </w:p>
        </w:tc>
        <w:tc>
          <w:tcPr>
            <w:tcW w:w="8520" w:type="dxa"/>
            <w:vAlign w:val="bottom"/>
          </w:tcPr>
          <w:p>
            <w:pPr>
              <w:ind w:left="400"/>
              <w:spacing w:after="0"/>
              <w:rPr>
                <w:sz w:val="20"/>
                <w:szCs w:val="20"/>
                <w:color w:val="auto"/>
              </w:rPr>
            </w:pPr>
            <w:r>
              <w:rPr>
                <w:rFonts w:ascii="Arial" w:cs="Arial" w:eastAsia="Arial" w:hAnsi="Arial"/>
                <w:sz w:val="18"/>
                <w:szCs w:val="18"/>
                <w:color w:val="auto"/>
                <w:w w:val="97"/>
              </w:rPr>
              <w:t>means the United States Securities Act of 1933, as amended, and the rules and regulations promulgated</w:t>
            </w:r>
          </w:p>
        </w:tc>
        <w:tc>
          <w:tcPr>
            <w:tcW w:w="10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thereunder.</w:t>
            </w:r>
          </w:p>
        </w:tc>
        <w:tc>
          <w:tcPr>
            <w:tcW w:w="100" w:type="dxa"/>
            <w:vAlign w:val="bottom"/>
          </w:tcPr>
          <w:p>
            <w:pPr>
              <w:spacing w:after="0"/>
              <w:rPr>
                <w:sz w:val="20"/>
                <w:szCs w:val="20"/>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A Preferred Shares</w:t>
            </w:r>
          </w:p>
        </w:tc>
        <w:tc>
          <w:tcPr>
            <w:tcW w:w="8620" w:type="dxa"/>
            <w:vAlign w:val="bottom"/>
            <w:gridSpan w:val="2"/>
          </w:tcPr>
          <w:p>
            <w:pPr>
              <w:ind w:left="400"/>
              <w:spacing w:after="0"/>
              <w:rPr>
                <w:sz w:val="20"/>
                <w:szCs w:val="20"/>
                <w:color w:val="auto"/>
              </w:rPr>
            </w:pPr>
            <w:r>
              <w:rPr>
                <w:rFonts w:ascii="Arial" w:cs="Arial" w:eastAsia="Arial" w:hAnsi="Arial"/>
                <w:sz w:val="18"/>
                <w:szCs w:val="18"/>
                <w:color w:val="auto"/>
                <w:w w:val="90"/>
              </w:rPr>
              <w:t>shall mean the existing 14’152 Series A preferred shares (</w:t>
            </w:r>
            <w:r>
              <w:rPr>
                <w:rFonts w:ascii="Arial" w:cs="Arial" w:eastAsia="Arial" w:hAnsi="Arial"/>
                <w:sz w:val="18"/>
                <w:szCs w:val="18"/>
                <w:i w:val="1"/>
                <w:iCs w:val="1"/>
                <w:color w:val="auto"/>
                <w:w w:val="90"/>
              </w:rPr>
              <w:t>Vorzugsaktien der Serie A / actions privilégiées série A)</w:t>
            </w:r>
          </w:p>
        </w:tc>
      </w:tr>
      <w:tr>
        <w:trPr>
          <w:trHeight w:val="216"/>
        </w:trPr>
        <w:tc>
          <w:tcPr>
            <w:tcW w:w="2800" w:type="dxa"/>
            <w:vAlign w:val="bottom"/>
          </w:tcPr>
          <w:p>
            <w:pPr>
              <w:spacing w:after="0"/>
              <w:rPr>
                <w:sz w:val="18"/>
                <w:szCs w:val="18"/>
                <w:color w:val="auto"/>
              </w:rPr>
            </w:pPr>
          </w:p>
        </w:tc>
        <w:tc>
          <w:tcPr>
            <w:tcW w:w="8620" w:type="dxa"/>
            <w:vAlign w:val="bottom"/>
            <w:gridSpan w:val="2"/>
          </w:tcPr>
          <w:p>
            <w:pPr>
              <w:ind w:left="400"/>
              <w:spacing w:after="0"/>
              <w:rPr>
                <w:sz w:val="20"/>
                <w:szCs w:val="20"/>
                <w:color w:val="auto"/>
              </w:rPr>
            </w:pPr>
            <w:r>
              <w:rPr>
                <w:rFonts w:ascii="Arial" w:cs="Arial" w:eastAsia="Arial" w:hAnsi="Arial"/>
                <w:sz w:val="18"/>
                <w:szCs w:val="18"/>
                <w:color w:val="auto"/>
                <w:w w:val="90"/>
              </w:rPr>
              <w:t>with a nominal value of CHF 5.00 each per Series A Preferred Share, and having the preference rights set forth in</w:t>
            </w:r>
          </w:p>
        </w:tc>
      </w:tr>
      <w:tr>
        <w:trPr>
          <w:trHeight w:val="230"/>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the Articles of Association.</w:t>
            </w:r>
          </w:p>
        </w:tc>
        <w:tc>
          <w:tcPr>
            <w:tcW w:w="100" w:type="dxa"/>
            <w:vAlign w:val="bottom"/>
          </w:tcPr>
          <w:p>
            <w:pPr>
              <w:spacing w:after="0"/>
              <w:rPr>
                <w:sz w:val="20"/>
                <w:szCs w:val="20"/>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B Preferred Shares</w:t>
            </w:r>
          </w:p>
        </w:tc>
        <w:tc>
          <w:tcPr>
            <w:tcW w:w="8520" w:type="dxa"/>
            <w:vAlign w:val="bottom"/>
          </w:tcPr>
          <w:p>
            <w:pPr>
              <w:ind w:left="400"/>
              <w:spacing w:after="0"/>
              <w:rPr>
                <w:sz w:val="20"/>
                <w:szCs w:val="20"/>
                <w:color w:val="auto"/>
              </w:rPr>
            </w:pPr>
            <w:r>
              <w:rPr>
                <w:rFonts w:ascii="Arial" w:cs="Arial" w:eastAsia="Arial" w:hAnsi="Arial"/>
                <w:sz w:val="18"/>
                <w:szCs w:val="18"/>
                <w:color w:val="auto"/>
                <w:w w:val="90"/>
              </w:rPr>
              <w:t>shall mean the 67’130 Series B preferred shares (</w:t>
            </w:r>
            <w:r>
              <w:rPr>
                <w:rFonts w:ascii="Arial" w:cs="Arial" w:eastAsia="Arial" w:hAnsi="Arial"/>
                <w:sz w:val="18"/>
                <w:szCs w:val="18"/>
                <w:i w:val="1"/>
                <w:iCs w:val="1"/>
                <w:color w:val="auto"/>
                <w:w w:val="90"/>
              </w:rPr>
              <w:t>Vorzugsaktien der Serie B / actions privilégiées série B)</w:t>
            </w:r>
            <w:r>
              <w:rPr>
                <w:rFonts w:ascii="Arial" w:cs="Arial" w:eastAsia="Arial" w:hAnsi="Arial"/>
                <w:sz w:val="18"/>
                <w:szCs w:val="18"/>
                <w:color w:val="auto"/>
                <w:w w:val="90"/>
              </w:rPr>
              <w:t xml:space="preserve"> with a</w:t>
            </w:r>
          </w:p>
        </w:tc>
        <w:tc>
          <w:tcPr>
            <w:tcW w:w="10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w w:val="91"/>
              </w:rPr>
              <w:t>nominal value of CHF 5.00 each per Series B Preferred Share, and having the preference rights set forth in the</w:t>
            </w:r>
          </w:p>
        </w:tc>
        <w:tc>
          <w:tcPr>
            <w:tcW w:w="1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Articles of Association.</w:t>
            </w:r>
          </w:p>
        </w:tc>
        <w:tc>
          <w:tcPr>
            <w:tcW w:w="100" w:type="dxa"/>
            <w:vAlign w:val="bottom"/>
          </w:tcPr>
          <w:p>
            <w:pPr>
              <w:spacing w:after="0"/>
              <w:rPr>
                <w:sz w:val="20"/>
                <w:szCs w:val="20"/>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C Preferred Shares</w:t>
            </w:r>
          </w:p>
        </w:tc>
        <w:tc>
          <w:tcPr>
            <w:tcW w:w="8520" w:type="dxa"/>
            <w:vAlign w:val="bottom"/>
          </w:tcPr>
          <w:p>
            <w:pPr>
              <w:ind w:left="400"/>
              <w:spacing w:after="0"/>
              <w:rPr>
                <w:sz w:val="20"/>
                <w:szCs w:val="20"/>
                <w:color w:val="auto"/>
              </w:rPr>
            </w:pPr>
            <w:r>
              <w:rPr>
                <w:rFonts w:ascii="Arial" w:cs="Arial" w:eastAsia="Arial" w:hAnsi="Arial"/>
                <w:sz w:val="18"/>
                <w:szCs w:val="18"/>
                <w:color w:val="auto"/>
                <w:w w:val="90"/>
              </w:rPr>
              <w:t>shall mean the 38’476 Series C preferred shares (</w:t>
            </w:r>
            <w:r>
              <w:rPr>
                <w:rFonts w:ascii="Arial" w:cs="Arial" w:eastAsia="Arial" w:hAnsi="Arial"/>
                <w:sz w:val="18"/>
                <w:szCs w:val="18"/>
                <w:i w:val="1"/>
                <w:iCs w:val="1"/>
                <w:color w:val="auto"/>
                <w:w w:val="90"/>
              </w:rPr>
              <w:t>Vorzugsaktien der Serie C / actions privilégiées série C)</w:t>
            </w:r>
            <w:r>
              <w:rPr>
                <w:rFonts w:ascii="Arial" w:cs="Arial" w:eastAsia="Arial" w:hAnsi="Arial"/>
                <w:sz w:val="18"/>
                <w:szCs w:val="18"/>
                <w:color w:val="auto"/>
                <w:w w:val="90"/>
              </w:rPr>
              <w:t xml:space="preserve"> with a</w:t>
            </w:r>
          </w:p>
        </w:tc>
        <w:tc>
          <w:tcPr>
            <w:tcW w:w="10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w w:val="91"/>
              </w:rPr>
              <w:t>nominal value of CHF 5.00 each per Series C Preferred Share, and having the preference rights set forth in the</w:t>
            </w:r>
          </w:p>
        </w:tc>
        <w:tc>
          <w:tcPr>
            <w:tcW w:w="1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Articles of Association.</w:t>
            </w:r>
          </w:p>
        </w:tc>
        <w:tc>
          <w:tcPr>
            <w:tcW w:w="100" w:type="dxa"/>
            <w:vAlign w:val="bottom"/>
          </w:tcPr>
          <w:p>
            <w:pPr>
              <w:spacing w:after="0"/>
              <w:rPr>
                <w:sz w:val="20"/>
                <w:szCs w:val="20"/>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D Preferred Shares</w:t>
            </w:r>
          </w:p>
        </w:tc>
        <w:tc>
          <w:tcPr>
            <w:tcW w:w="8520" w:type="dxa"/>
            <w:vAlign w:val="bottom"/>
          </w:tcPr>
          <w:p>
            <w:pPr>
              <w:ind w:left="400"/>
              <w:spacing w:after="0"/>
              <w:rPr>
                <w:sz w:val="20"/>
                <w:szCs w:val="20"/>
                <w:color w:val="auto"/>
              </w:rPr>
            </w:pPr>
            <w:r>
              <w:rPr>
                <w:rFonts w:ascii="Arial" w:cs="Arial" w:eastAsia="Arial" w:hAnsi="Arial"/>
                <w:sz w:val="18"/>
                <w:szCs w:val="18"/>
                <w:color w:val="auto"/>
                <w:w w:val="90"/>
              </w:rPr>
              <w:t>shall mean the 16’490 Series D preferred shares (</w:t>
            </w:r>
            <w:r>
              <w:rPr>
                <w:rFonts w:ascii="Arial" w:cs="Arial" w:eastAsia="Arial" w:hAnsi="Arial"/>
                <w:sz w:val="18"/>
                <w:szCs w:val="18"/>
                <w:i w:val="1"/>
                <w:iCs w:val="1"/>
                <w:color w:val="auto"/>
                <w:w w:val="90"/>
              </w:rPr>
              <w:t>Vorzugsaktien der Serie D / actions privilégiées série D)</w:t>
            </w:r>
            <w:r>
              <w:rPr>
                <w:rFonts w:ascii="Arial" w:cs="Arial" w:eastAsia="Arial" w:hAnsi="Arial"/>
                <w:sz w:val="18"/>
                <w:szCs w:val="18"/>
                <w:color w:val="auto"/>
                <w:w w:val="90"/>
              </w:rPr>
              <w:t xml:space="preserve"> with a</w:t>
            </w:r>
          </w:p>
        </w:tc>
        <w:tc>
          <w:tcPr>
            <w:tcW w:w="10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w w:val="91"/>
              </w:rPr>
              <w:t>nominal value of CHF 5.00 each per Series D Preferred Share, and having the preference rights set forth in the</w:t>
            </w:r>
          </w:p>
        </w:tc>
        <w:tc>
          <w:tcPr>
            <w:tcW w:w="1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Articles of Association.</w:t>
            </w:r>
          </w:p>
        </w:tc>
        <w:tc>
          <w:tcPr>
            <w:tcW w:w="100" w:type="dxa"/>
            <w:vAlign w:val="bottom"/>
          </w:tcPr>
          <w:p>
            <w:pPr>
              <w:spacing w:after="0"/>
              <w:rPr>
                <w:sz w:val="20"/>
                <w:szCs w:val="20"/>
                <w:color w:val="auto"/>
              </w:rPr>
            </w:pP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E Financing Round</w:t>
            </w:r>
          </w:p>
        </w:tc>
        <w:tc>
          <w:tcPr>
            <w:tcW w:w="8520" w:type="dxa"/>
            <w:vAlign w:val="bottom"/>
          </w:tcPr>
          <w:p>
            <w:pPr>
              <w:ind w:left="400"/>
              <w:spacing w:after="0"/>
              <w:rPr>
                <w:sz w:val="20"/>
                <w:szCs w:val="20"/>
                <w:color w:val="auto"/>
              </w:rPr>
            </w:pPr>
            <w:r>
              <w:rPr>
                <w:rFonts w:ascii="Arial" w:cs="Arial" w:eastAsia="Arial" w:hAnsi="Arial"/>
                <w:sz w:val="18"/>
                <w:szCs w:val="18"/>
                <w:color w:val="auto"/>
              </w:rPr>
              <w:t>shall have the meaning as defined in the Preamble.</w:t>
            </w:r>
          </w:p>
        </w:tc>
        <w:tc>
          <w:tcPr>
            <w:tcW w:w="100" w:type="dxa"/>
            <w:vAlign w:val="bottom"/>
          </w:tcPr>
          <w:p>
            <w:pPr>
              <w:spacing w:after="0"/>
              <w:rPr>
                <w:sz w:val="24"/>
                <w:szCs w:val="24"/>
                <w:color w:val="auto"/>
              </w:rPr>
            </w:pP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E Original Issue Price</w:t>
            </w:r>
          </w:p>
        </w:tc>
        <w:tc>
          <w:tcPr>
            <w:tcW w:w="8520" w:type="dxa"/>
            <w:vAlign w:val="bottom"/>
          </w:tcPr>
          <w:p>
            <w:pPr>
              <w:ind w:left="400"/>
              <w:spacing w:after="0"/>
              <w:rPr>
                <w:sz w:val="20"/>
                <w:szCs w:val="20"/>
                <w:color w:val="auto"/>
              </w:rPr>
            </w:pPr>
            <w:r>
              <w:rPr>
                <w:rFonts w:ascii="Arial" w:cs="Arial" w:eastAsia="Arial" w:hAnsi="Arial"/>
                <w:sz w:val="18"/>
                <w:szCs w:val="18"/>
                <w:color w:val="auto"/>
              </w:rPr>
              <w:t>shall have the meaning as defined in Section 3.1.</w:t>
            </w:r>
          </w:p>
        </w:tc>
        <w:tc>
          <w:tcPr>
            <w:tcW w:w="100" w:type="dxa"/>
            <w:vAlign w:val="bottom"/>
          </w:tcPr>
          <w:p>
            <w:pPr>
              <w:spacing w:after="0"/>
              <w:rPr>
                <w:sz w:val="24"/>
                <w:szCs w:val="24"/>
                <w:color w:val="auto"/>
              </w:rPr>
            </w:pPr>
          </w:p>
        </w:tc>
      </w:tr>
      <w:tr>
        <w:trPr>
          <w:trHeight w:val="310"/>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E Preferred Shares</w:t>
            </w:r>
          </w:p>
        </w:tc>
        <w:tc>
          <w:tcPr>
            <w:tcW w:w="8520" w:type="dxa"/>
            <w:vAlign w:val="bottom"/>
          </w:tcPr>
          <w:p>
            <w:pPr>
              <w:ind w:left="400"/>
              <w:spacing w:after="0"/>
              <w:rPr>
                <w:sz w:val="20"/>
                <w:szCs w:val="20"/>
                <w:color w:val="auto"/>
              </w:rPr>
            </w:pPr>
            <w:r>
              <w:rPr>
                <w:rFonts w:ascii="Arial" w:cs="Arial" w:eastAsia="Arial" w:hAnsi="Arial"/>
                <w:sz w:val="18"/>
                <w:szCs w:val="18"/>
                <w:color w:val="auto"/>
                <w:w w:val="90"/>
              </w:rPr>
              <w:t>shall mean the up to 12,453 Series E Preferred Shares (</w:t>
            </w:r>
            <w:r>
              <w:rPr>
                <w:rFonts w:ascii="Arial" w:cs="Arial" w:eastAsia="Arial" w:hAnsi="Arial"/>
                <w:sz w:val="18"/>
                <w:szCs w:val="18"/>
                <w:i w:val="1"/>
                <w:iCs w:val="1"/>
                <w:color w:val="auto"/>
                <w:w w:val="90"/>
              </w:rPr>
              <w:t>Vorzugsaktien der Serie E / actions privilégiées série E)</w:t>
            </w:r>
          </w:p>
        </w:tc>
        <w:tc>
          <w:tcPr>
            <w:tcW w:w="10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with a</w:t>
            </w:r>
          </w:p>
        </w:tc>
        <w:tc>
          <w:tcPr>
            <w:tcW w:w="10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602" w:name="page603"/>
    <w:bookmarkEnd w:id="602"/>
    <w:tbl>
      <w:tblPr>
        <w:tblLayout w:type="fixed"/>
        <w:tblInd w:w="0" w:type="dxa"/>
        <w:tblCellMar>
          <w:top w:w="0" w:type="dxa"/>
          <w:left w:w="0" w:type="dxa"/>
          <w:bottom w:w="0" w:type="dxa"/>
          <w:right w:w="0" w:type="dxa"/>
        </w:tblCellMar>
      </w:tblPr>
      <w:tr>
        <w:trPr>
          <w:trHeight w:val="230"/>
        </w:trPr>
        <w:tc>
          <w:tcPr>
            <w:tcW w:w="1132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7</w:t>
            </w:r>
          </w:p>
        </w:tc>
      </w:tr>
      <w:tr>
        <w:trPr>
          <w:trHeight w:val="350"/>
        </w:trPr>
        <w:tc>
          <w:tcPr>
            <w:tcW w:w="2600" w:type="dxa"/>
            <w:vAlign w:val="bottom"/>
          </w:tcPr>
          <w:p>
            <w:pPr>
              <w:spacing w:after="0"/>
              <w:rPr>
                <w:sz w:val="24"/>
                <w:szCs w:val="24"/>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w w:val="92"/>
              </w:rPr>
              <w:t>nominal value of CHF 5.00 each per Series E Preferred Share, each to be fully paid in pursuant the terms and</w:t>
            </w:r>
          </w:p>
        </w:tc>
        <w:tc>
          <w:tcPr>
            <w:tcW w:w="100" w:type="dxa"/>
            <w:vAlign w:val="bottom"/>
          </w:tcPr>
          <w:p>
            <w:pPr>
              <w:spacing w:after="0"/>
              <w:rPr>
                <w:sz w:val="24"/>
                <w:szCs w:val="24"/>
                <w:color w:val="auto"/>
              </w:rPr>
            </w:pPr>
          </w:p>
        </w:tc>
      </w:tr>
      <w:tr>
        <w:trPr>
          <w:trHeight w:val="212"/>
        </w:trPr>
        <w:tc>
          <w:tcPr>
            <w:tcW w:w="2600" w:type="dxa"/>
            <w:vAlign w:val="bottom"/>
          </w:tcPr>
          <w:p>
            <w:pPr>
              <w:spacing w:after="0"/>
              <w:rPr>
                <w:sz w:val="18"/>
                <w:szCs w:val="18"/>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w w:val="95"/>
              </w:rPr>
              <w:t>conditions set forth in the Subscription Agreement and having the preference rights set forth in the Revised</w:t>
            </w:r>
          </w:p>
        </w:tc>
        <w:tc>
          <w:tcPr>
            <w:tcW w:w="100" w:type="dxa"/>
            <w:vAlign w:val="bottom"/>
          </w:tcPr>
          <w:p>
            <w:pPr>
              <w:spacing w:after="0"/>
              <w:rPr>
                <w:sz w:val="18"/>
                <w:szCs w:val="18"/>
                <w:color w:val="auto"/>
              </w:rPr>
            </w:pPr>
          </w:p>
        </w:tc>
      </w:tr>
      <w:tr>
        <w:trPr>
          <w:trHeight w:val="220"/>
        </w:trPr>
        <w:tc>
          <w:tcPr>
            <w:tcW w:w="2600" w:type="dxa"/>
            <w:vAlign w:val="bottom"/>
          </w:tcPr>
          <w:p>
            <w:pPr>
              <w:spacing w:after="0"/>
              <w:rPr>
                <w:sz w:val="19"/>
                <w:szCs w:val="19"/>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w w:val="91"/>
              </w:rPr>
              <w:t xml:space="preserve">Articles of Association in </w:t>
            </w:r>
            <w:r>
              <w:rPr>
                <w:rFonts w:ascii="Arial" w:cs="Arial" w:eastAsia="Arial" w:hAnsi="Arial"/>
                <w:sz w:val="18"/>
                <w:szCs w:val="18"/>
                <w:b w:val="1"/>
                <w:bCs w:val="1"/>
                <w:color w:val="auto"/>
                <w:w w:val="91"/>
              </w:rPr>
              <w:t>Annex 3.3.</w:t>
            </w:r>
            <w:r>
              <w:rPr>
                <w:rFonts w:ascii="Arial" w:cs="Arial" w:eastAsia="Arial" w:hAnsi="Arial"/>
                <w:sz w:val="18"/>
                <w:szCs w:val="18"/>
                <w:color w:val="auto"/>
                <w:w w:val="91"/>
              </w:rPr>
              <w:t xml:space="preserve"> and any additional Series E Preferred Shares subscribed by any adhering</w:t>
            </w:r>
          </w:p>
        </w:tc>
        <w:tc>
          <w:tcPr>
            <w:tcW w:w="100" w:type="dxa"/>
            <w:vAlign w:val="bottom"/>
          </w:tcPr>
          <w:p>
            <w:pPr>
              <w:spacing w:after="0"/>
              <w:rPr>
                <w:sz w:val="19"/>
                <w:szCs w:val="19"/>
                <w:color w:val="auto"/>
              </w:rPr>
            </w:pPr>
          </w:p>
        </w:tc>
      </w:tr>
      <w:tr>
        <w:trPr>
          <w:trHeight w:val="230"/>
        </w:trPr>
        <w:tc>
          <w:tcPr>
            <w:tcW w:w="2600" w:type="dxa"/>
            <w:vAlign w:val="bottom"/>
          </w:tcPr>
          <w:p>
            <w:pPr>
              <w:spacing w:after="0"/>
              <w:rPr>
                <w:sz w:val="20"/>
                <w:szCs w:val="20"/>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Investor</w:t>
            </w:r>
          </w:p>
        </w:tc>
        <w:tc>
          <w:tcPr>
            <w:tcW w:w="100" w:type="dxa"/>
            <w:vAlign w:val="bottom"/>
          </w:tcPr>
          <w:p>
            <w:pPr>
              <w:spacing w:after="0"/>
              <w:rPr>
                <w:sz w:val="20"/>
                <w:szCs w:val="20"/>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b w:val="1"/>
                <w:bCs w:val="1"/>
                <w:color w:val="auto"/>
              </w:rPr>
              <w:t>Shareholder</w:t>
            </w:r>
          </w:p>
        </w:tc>
        <w:tc>
          <w:tcPr>
            <w:tcW w:w="8720" w:type="dxa"/>
            <w:vAlign w:val="bottom"/>
          </w:tcPr>
          <w:p>
            <w:pPr>
              <w:ind w:left="600"/>
              <w:spacing w:after="0"/>
              <w:rPr>
                <w:sz w:val="20"/>
                <w:szCs w:val="20"/>
                <w:color w:val="auto"/>
              </w:rPr>
            </w:pPr>
            <w:r>
              <w:rPr>
                <w:rFonts w:ascii="Arial" w:cs="Arial" w:eastAsia="Arial" w:hAnsi="Arial"/>
                <w:sz w:val="18"/>
                <w:szCs w:val="18"/>
                <w:color w:val="auto"/>
                <w:w w:val="94"/>
              </w:rPr>
              <w:t>means any shareholder of the Company which at any given time is a party to the Shareholders’ Agreement.</w:t>
            </w:r>
          </w:p>
        </w:tc>
        <w:tc>
          <w:tcPr>
            <w:tcW w:w="100" w:type="dxa"/>
            <w:vAlign w:val="bottom"/>
          </w:tcPr>
          <w:p>
            <w:pPr>
              <w:spacing w:after="0"/>
              <w:rPr>
                <w:sz w:val="24"/>
                <w:szCs w:val="24"/>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b w:val="1"/>
                <w:bCs w:val="1"/>
                <w:color w:val="auto"/>
              </w:rPr>
              <w:t>Shareholders’ Agreement</w:t>
            </w:r>
          </w:p>
        </w:tc>
        <w:tc>
          <w:tcPr>
            <w:tcW w:w="8720" w:type="dxa"/>
            <w:vAlign w:val="bottom"/>
          </w:tcPr>
          <w:p>
            <w:pPr>
              <w:ind w:left="600"/>
              <w:spacing w:after="0"/>
              <w:rPr>
                <w:sz w:val="20"/>
                <w:szCs w:val="20"/>
                <w:color w:val="auto"/>
              </w:rPr>
            </w:pPr>
            <w:r>
              <w:rPr>
                <w:rFonts w:ascii="Arial" w:cs="Arial" w:eastAsia="Arial" w:hAnsi="Arial"/>
                <w:sz w:val="18"/>
                <w:szCs w:val="18"/>
                <w:color w:val="auto"/>
              </w:rPr>
              <w:t xml:space="preserve">means the shareholders’ agreement regarding the Company dated 16 October 2015 in </w:t>
            </w:r>
            <w:r>
              <w:rPr>
                <w:rFonts w:ascii="Arial" w:cs="Arial" w:eastAsia="Arial" w:hAnsi="Arial"/>
                <w:sz w:val="18"/>
                <w:szCs w:val="18"/>
                <w:b w:val="1"/>
                <w:bCs w:val="1"/>
                <w:color w:val="auto"/>
              </w:rPr>
              <w:t>Annex 0</w:t>
            </w: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8720" w:type="dxa"/>
            <w:vAlign w:val="bottom"/>
          </w:tcPr>
          <w:p>
            <w:pPr>
              <w:ind w:left="600"/>
              <w:spacing w:after="0"/>
              <w:rPr>
                <w:sz w:val="20"/>
                <w:szCs w:val="20"/>
                <w:color w:val="auto"/>
              </w:rPr>
            </w:pPr>
            <w:r>
              <w:rPr>
                <w:rFonts w:ascii="Arial" w:cs="Arial" w:eastAsia="Arial" w:hAnsi="Arial"/>
                <w:sz w:val="18"/>
                <w:szCs w:val="18"/>
                <w:color w:val="auto"/>
              </w:rPr>
              <w:t>shall mean any share of the Company</w:t>
            </w:r>
            <w:r>
              <w:rPr>
                <w:rFonts w:ascii="Arial" w:cs="Arial" w:eastAsia="Arial" w:hAnsi="Arial"/>
                <w:sz w:val="18"/>
                <w:szCs w:val="18"/>
                <w:i w:val="1"/>
                <w:iCs w:val="1"/>
                <w:color w:val="auto"/>
              </w:rPr>
              <w:t>.</w:t>
            </w:r>
          </w:p>
        </w:tc>
        <w:tc>
          <w:tcPr>
            <w:tcW w:w="100" w:type="dxa"/>
            <w:vAlign w:val="bottom"/>
          </w:tcPr>
          <w:p>
            <w:pPr>
              <w:spacing w:after="0"/>
              <w:rPr>
                <w:sz w:val="24"/>
                <w:szCs w:val="24"/>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b w:val="1"/>
                <w:bCs w:val="1"/>
                <w:color w:val="auto"/>
              </w:rPr>
              <w:t>Subscription Agreement</w:t>
            </w:r>
          </w:p>
        </w:tc>
        <w:tc>
          <w:tcPr>
            <w:tcW w:w="8720" w:type="dxa"/>
            <w:vAlign w:val="bottom"/>
          </w:tcPr>
          <w:p>
            <w:pPr>
              <w:ind w:left="600"/>
              <w:spacing w:after="0"/>
              <w:rPr>
                <w:sz w:val="20"/>
                <w:szCs w:val="20"/>
                <w:color w:val="auto"/>
              </w:rPr>
            </w:pPr>
            <w:r>
              <w:rPr>
                <w:rFonts w:ascii="Arial" w:cs="Arial" w:eastAsia="Arial" w:hAnsi="Arial"/>
                <w:sz w:val="18"/>
                <w:szCs w:val="18"/>
                <w:color w:val="auto"/>
              </w:rPr>
              <w:t>means this Subscription Agreement.</w:t>
            </w:r>
          </w:p>
        </w:tc>
        <w:tc>
          <w:tcPr>
            <w:tcW w:w="100" w:type="dxa"/>
            <w:vAlign w:val="bottom"/>
          </w:tcPr>
          <w:p>
            <w:pPr>
              <w:spacing w:after="0"/>
              <w:rPr>
                <w:sz w:val="24"/>
                <w:szCs w:val="24"/>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b w:val="1"/>
                <w:bCs w:val="1"/>
                <w:color w:val="auto"/>
              </w:rPr>
              <w:t>Subscription Form</w:t>
            </w:r>
          </w:p>
        </w:tc>
        <w:tc>
          <w:tcPr>
            <w:tcW w:w="8720" w:type="dxa"/>
            <w:vAlign w:val="bottom"/>
          </w:tcPr>
          <w:p>
            <w:pPr>
              <w:ind w:left="600"/>
              <w:spacing w:after="0"/>
              <w:rPr>
                <w:sz w:val="20"/>
                <w:szCs w:val="20"/>
                <w:color w:val="auto"/>
              </w:rPr>
            </w:pPr>
            <w:r>
              <w:rPr>
                <w:rFonts w:ascii="Arial" w:cs="Arial" w:eastAsia="Arial" w:hAnsi="Arial"/>
                <w:sz w:val="18"/>
                <w:szCs w:val="18"/>
                <w:color w:val="auto"/>
              </w:rPr>
              <w:t>shall have the meaning as defined in Section 3.2</w:t>
            </w:r>
            <w:r>
              <w:rPr>
                <w:rFonts w:ascii="Arial" w:cs="Arial" w:eastAsia="Arial" w:hAnsi="Arial"/>
                <w:sz w:val="18"/>
                <w:szCs w:val="18"/>
                <w:i w:val="1"/>
                <w:iCs w:val="1"/>
                <w:color w:val="auto"/>
              </w:rPr>
              <w:t>.</w:t>
            </w:r>
          </w:p>
        </w:tc>
        <w:tc>
          <w:tcPr>
            <w:tcW w:w="100" w:type="dxa"/>
            <w:vAlign w:val="bottom"/>
          </w:tcPr>
          <w:p>
            <w:pPr>
              <w:spacing w:after="0"/>
              <w:rPr>
                <w:sz w:val="24"/>
                <w:szCs w:val="24"/>
                <w:color w:val="auto"/>
              </w:rPr>
            </w:pP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rPr>
              <w:t>Tax Authority</w:t>
            </w:r>
          </w:p>
        </w:tc>
        <w:tc>
          <w:tcPr>
            <w:tcW w:w="8720" w:type="dxa"/>
            <w:vAlign w:val="bottom"/>
          </w:tcPr>
          <w:p>
            <w:pPr>
              <w:ind w:left="600"/>
              <w:spacing w:after="0"/>
              <w:rPr>
                <w:sz w:val="20"/>
                <w:szCs w:val="20"/>
                <w:color w:val="auto"/>
              </w:rPr>
            </w:pPr>
            <w:r>
              <w:rPr>
                <w:rFonts w:ascii="Arial" w:cs="Arial" w:eastAsia="Arial" w:hAnsi="Arial"/>
                <w:sz w:val="18"/>
                <w:szCs w:val="18"/>
                <w:color w:val="auto"/>
                <w:w w:val="91"/>
              </w:rPr>
              <w:t>shall mean any governmental or other authority whatsoever competent to impose, collect or assess any Taxes,</w:t>
            </w:r>
          </w:p>
        </w:tc>
        <w:tc>
          <w:tcPr>
            <w:tcW w:w="100" w:type="dxa"/>
            <w:vAlign w:val="bottom"/>
          </w:tcPr>
          <w:p>
            <w:pPr>
              <w:spacing w:after="0"/>
              <w:rPr>
                <w:sz w:val="24"/>
                <w:szCs w:val="24"/>
                <w:color w:val="auto"/>
              </w:rPr>
            </w:pPr>
          </w:p>
        </w:tc>
      </w:tr>
      <w:tr>
        <w:trPr>
          <w:trHeight w:val="230"/>
        </w:trPr>
        <w:tc>
          <w:tcPr>
            <w:tcW w:w="2600" w:type="dxa"/>
            <w:vAlign w:val="bottom"/>
          </w:tcPr>
          <w:p>
            <w:pPr>
              <w:spacing w:after="0"/>
              <w:rPr>
                <w:sz w:val="20"/>
                <w:szCs w:val="20"/>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whether in Switzerland or elsewhere.</w:t>
            </w:r>
          </w:p>
        </w:tc>
        <w:tc>
          <w:tcPr>
            <w:tcW w:w="100" w:type="dxa"/>
            <w:vAlign w:val="bottom"/>
          </w:tcPr>
          <w:p>
            <w:pPr>
              <w:spacing w:after="0"/>
              <w:rPr>
                <w:sz w:val="20"/>
                <w:szCs w:val="20"/>
                <w:color w:val="auto"/>
              </w:rPr>
            </w:pP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rPr>
              <w:t>Taxes</w:t>
            </w:r>
          </w:p>
        </w:tc>
        <w:tc>
          <w:tcPr>
            <w:tcW w:w="8720" w:type="dxa"/>
            <w:vAlign w:val="bottom"/>
          </w:tcPr>
          <w:p>
            <w:pPr>
              <w:ind w:left="600"/>
              <w:spacing w:after="0"/>
              <w:rPr>
                <w:sz w:val="20"/>
                <w:szCs w:val="20"/>
                <w:color w:val="auto"/>
              </w:rPr>
            </w:pPr>
            <w:r>
              <w:rPr>
                <w:rFonts w:ascii="Arial" w:cs="Arial" w:eastAsia="Arial" w:hAnsi="Arial"/>
                <w:sz w:val="18"/>
                <w:szCs w:val="18"/>
                <w:color w:val="auto"/>
                <w:w w:val="95"/>
              </w:rPr>
              <w:t>shall mean all forms of taxation and statutory, governmental, state, federal, provincial, local, government or</w:t>
            </w:r>
          </w:p>
        </w:tc>
        <w:tc>
          <w:tcPr>
            <w:tcW w:w="100" w:type="dxa"/>
            <w:vAlign w:val="bottom"/>
          </w:tcPr>
          <w:p>
            <w:pPr>
              <w:spacing w:after="0"/>
              <w:rPr>
                <w:sz w:val="24"/>
                <w:szCs w:val="24"/>
                <w:color w:val="auto"/>
              </w:rPr>
            </w:pPr>
          </w:p>
        </w:tc>
      </w:tr>
      <w:tr>
        <w:trPr>
          <w:trHeight w:val="216"/>
        </w:trPr>
        <w:tc>
          <w:tcPr>
            <w:tcW w:w="2600" w:type="dxa"/>
            <w:vAlign w:val="bottom"/>
          </w:tcPr>
          <w:p>
            <w:pPr>
              <w:spacing w:after="0"/>
              <w:rPr>
                <w:sz w:val="18"/>
                <w:szCs w:val="18"/>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w w:val="94"/>
              </w:rPr>
              <w:t>municipal charges, duties, imposts, contributions, levies, withholdings or liabilities wherever chargeable and</w:t>
            </w: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w w:val="95"/>
              </w:rPr>
              <w:t>whether of Switzerland or any other jurisdiction, and any penalty, fine, surcharge, interest, charges or costs</w:t>
            </w:r>
          </w:p>
        </w:tc>
        <w:tc>
          <w:tcPr>
            <w:tcW w:w="1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w w:val="90"/>
              </w:rPr>
              <w:t>relating thereto or to any account, record, form, return or computation required to be kept, preserved, maintained</w:t>
            </w:r>
          </w:p>
        </w:tc>
        <w:tc>
          <w:tcPr>
            <w:tcW w:w="10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or submitted to any Tax Authority, and Taxation shall have the same meaning.</w:t>
            </w:r>
          </w:p>
        </w:tc>
        <w:tc>
          <w:tcPr>
            <w:tcW w:w="100" w:type="dxa"/>
            <w:vAlign w:val="bottom"/>
          </w:tcPr>
          <w:p>
            <w:pPr>
              <w:spacing w:after="0"/>
              <w:rPr>
                <w:sz w:val="20"/>
                <w:szCs w:val="20"/>
                <w:color w:val="auto"/>
              </w:rPr>
            </w:pP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rPr>
              <w:t>Transaction Documents</w:t>
            </w:r>
          </w:p>
        </w:tc>
        <w:tc>
          <w:tcPr>
            <w:tcW w:w="8720" w:type="dxa"/>
            <w:vAlign w:val="bottom"/>
          </w:tcPr>
          <w:p>
            <w:pPr>
              <w:ind w:left="600"/>
              <w:spacing w:after="0"/>
              <w:rPr>
                <w:sz w:val="20"/>
                <w:szCs w:val="20"/>
                <w:color w:val="auto"/>
              </w:rPr>
            </w:pPr>
            <w:r>
              <w:rPr>
                <w:rFonts w:ascii="Arial" w:cs="Arial" w:eastAsia="Arial" w:hAnsi="Arial"/>
                <w:sz w:val="18"/>
                <w:szCs w:val="18"/>
                <w:color w:val="auto"/>
                <w:w w:val="91"/>
              </w:rPr>
              <w:t>shall mean, collectively, the Subscription Agreement, the Registration Rights Agreement and the Shareholders’</w:t>
            </w:r>
          </w:p>
        </w:tc>
        <w:tc>
          <w:tcPr>
            <w:tcW w:w="100" w:type="dxa"/>
            <w:vAlign w:val="bottom"/>
          </w:tcPr>
          <w:p>
            <w:pPr>
              <w:spacing w:after="0"/>
              <w:rPr>
                <w:sz w:val="24"/>
                <w:szCs w:val="24"/>
                <w:color w:val="auto"/>
              </w:rPr>
            </w:pPr>
          </w:p>
        </w:tc>
      </w:tr>
      <w:tr>
        <w:trPr>
          <w:trHeight w:val="230"/>
        </w:trPr>
        <w:tc>
          <w:tcPr>
            <w:tcW w:w="2600" w:type="dxa"/>
            <w:vAlign w:val="bottom"/>
          </w:tcPr>
          <w:p>
            <w:pPr>
              <w:spacing w:after="0"/>
              <w:rPr>
                <w:sz w:val="20"/>
                <w:szCs w:val="20"/>
                <w:color w:val="auto"/>
              </w:rPr>
            </w:pPr>
          </w:p>
        </w:tc>
        <w:tc>
          <w:tcPr>
            <w:tcW w:w="8720" w:type="dxa"/>
            <w:vAlign w:val="bottom"/>
          </w:tcPr>
          <w:p>
            <w:pPr>
              <w:ind w:left="600"/>
              <w:spacing w:after="0"/>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20"/>
                <w:szCs w:val="20"/>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0" w:hanging="672"/>
        <w:spacing w:after="0"/>
        <w:tabs>
          <w:tab w:leader="none" w:pos="680"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t>CURRENT EQUITY STRUCTURE OF THE COMPANY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Share capital</w:t>
      </w:r>
    </w:p>
    <w:p>
      <w:pPr>
        <w:spacing w:after="0" w:line="117" w:lineRule="exact"/>
        <w:rPr>
          <w:sz w:val="20"/>
          <w:szCs w:val="20"/>
          <w:color w:val="auto"/>
        </w:rPr>
      </w:pPr>
    </w:p>
    <w:p>
      <w:pPr>
        <w:ind w:left="700" w:right="100"/>
        <w:spacing w:after="0" w:line="279" w:lineRule="auto"/>
        <w:rPr>
          <w:sz w:val="20"/>
          <w:szCs w:val="20"/>
          <w:color w:val="auto"/>
        </w:rPr>
      </w:pPr>
      <w:r>
        <w:rPr>
          <w:rFonts w:ascii="Arial" w:cs="Arial" w:eastAsia="Arial" w:hAnsi="Arial"/>
          <w:sz w:val="17"/>
          <w:szCs w:val="17"/>
          <w:color w:val="auto"/>
        </w:rPr>
        <w:t>As at the date of this Subscription Agreement the Company has an issued statutory share capital in the nominal amount of CHF 853’900.00 divided into 34’532 Common Shares with a nominal value of CHF 5.00 each, 14’152 registered Series A Preferred Shares, 67’130 registered Series B Preferred Shares, 38’476 Series C Preferred Shares and 16’490 registered Series D Preferred Shares. In addition, the Company has a conditional share capital of CHF 92’010.00 corresponding to up to 18’402 Common Shares. The Company has no treasury shares.</w:t>
      </w:r>
    </w:p>
    <w:p>
      <w:pPr>
        <w:sectPr>
          <w:pgSz w:w="11900" w:h="16838" w:orient="portrait"/>
          <w:cols w:equalWidth="0" w:num="1">
            <w:col w:w="11420"/>
          </w:cols>
          <w:pgMar w:left="240" w:top="274" w:right="239" w:bottom="1440" w:gutter="0" w:footer="0" w:header="0"/>
        </w:sectPr>
      </w:pPr>
    </w:p>
    <w:bookmarkStart w:id="603" w:name="page604"/>
    <w:bookmarkEnd w:id="603"/>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Articles of Association</w:t>
      </w:r>
    </w:p>
    <w:p>
      <w:pPr>
        <w:spacing w:after="0" w:line="117" w:lineRule="exact"/>
        <w:rPr>
          <w:sz w:val="20"/>
          <w:szCs w:val="20"/>
          <w:color w:val="auto"/>
        </w:rPr>
      </w:pPr>
    </w:p>
    <w:p>
      <w:pPr>
        <w:ind w:left="700" w:right="440"/>
        <w:spacing w:after="0" w:line="277" w:lineRule="auto"/>
        <w:rPr>
          <w:sz w:val="20"/>
          <w:szCs w:val="20"/>
          <w:color w:val="auto"/>
        </w:rPr>
      </w:pPr>
      <w:r>
        <w:rPr>
          <w:rFonts w:ascii="Arial" w:cs="Arial" w:eastAsia="Arial" w:hAnsi="Arial"/>
          <w:sz w:val="18"/>
          <w:szCs w:val="18"/>
          <w:color w:val="auto"/>
        </w:rPr>
        <w:t xml:space="preserve">The current Articles of Association (not yet reflecting the Series E Financing Round and not reflecting the exercise of 502 options in 2015) are enclosed as </w:t>
      </w:r>
      <w:r>
        <w:rPr>
          <w:rFonts w:ascii="Arial" w:cs="Arial" w:eastAsia="Arial" w:hAnsi="Arial"/>
          <w:sz w:val="18"/>
          <w:szCs w:val="18"/>
          <w:b w:val="1"/>
          <w:bCs w:val="1"/>
          <w:color w:val="auto"/>
        </w:rPr>
        <w:t>Annex 2.2</w:t>
      </w:r>
    </w:p>
    <w:p>
      <w:pPr>
        <w:spacing w:after="0" w:line="315" w:lineRule="exact"/>
        <w:rPr>
          <w:sz w:val="20"/>
          <w:szCs w:val="20"/>
          <w:color w:val="auto"/>
        </w:rPr>
      </w:pPr>
    </w:p>
    <w:p>
      <w:pPr>
        <w:ind w:left="680" w:hanging="672"/>
        <w:spacing w:after="0"/>
        <w:tabs>
          <w:tab w:leader="none" w:pos="680"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INCREASE OF SHARE CAPITAL (SERIES E FINANCING ROUND)</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Subscription Undertaking</w:t>
      </w:r>
    </w:p>
    <w:p>
      <w:pPr>
        <w:spacing w:after="0" w:line="117"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Subject to the terms and conditions of this Subscription Agreement, the Company shall issue at Closing to Fidelity a total of up to 12’453 Series E Preferred Shares with a nominal value of CHF 5.00 each.</w:t>
      </w:r>
    </w:p>
    <w:p>
      <w:pPr>
        <w:spacing w:after="0" w:line="62" w:lineRule="exact"/>
        <w:rPr>
          <w:sz w:val="20"/>
          <w:szCs w:val="20"/>
          <w:color w:val="auto"/>
        </w:rPr>
      </w:pPr>
    </w:p>
    <w:p>
      <w:pPr>
        <w:ind w:left="700" w:right="80"/>
        <w:spacing w:after="0" w:line="257" w:lineRule="auto"/>
        <w:rPr>
          <w:sz w:val="20"/>
          <w:szCs w:val="20"/>
          <w:color w:val="auto"/>
        </w:rPr>
      </w:pPr>
      <w:r>
        <w:rPr>
          <w:rFonts w:ascii="Arial" w:cs="Arial" w:eastAsia="Arial" w:hAnsi="Arial"/>
          <w:sz w:val="18"/>
          <w:szCs w:val="18"/>
          <w:color w:val="auto"/>
        </w:rPr>
        <w:t>Subject to the terms and conditions of this Subscription Agreement, each Investor agrees, severally and not jointly, to subscribe Series E Preferred Shares at the signing of this Subscription Agreement, for an amount of USD 2’409.06 (in words: two thousand four hundred and nine point zero six U.S. Dollars) for each Series E Preferred Share (“</w:t>
      </w:r>
      <w:r>
        <w:rPr>
          <w:rFonts w:ascii="Arial" w:cs="Arial" w:eastAsia="Arial" w:hAnsi="Arial"/>
          <w:sz w:val="18"/>
          <w:szCs w:val="18"/>
          <w:b w:val="1"/>
          <w:bCs w:val="1"/>
          <w:color w:val="auto"/>
        </w:rPr>
        <w:t>Series E Original Issue Price</w:t>
      </w:r>
      <w:r>
        <w:rPr>
          <w:rFonts w:ascii="Arial" w:cs="Arial" w:eastAsia="Arial" w:hAnsi="Arial"/>
          <w:sz w:val="18"/>
          <w:szCs w:val="18"/>
          <w:color w:val="auto"/>
        </w:rPr>
        <w:t>”). The amount of USD 2’409.06 per share shall be payable at Closing whereby the amount exceeding the nominal value of the new Series E shares shall be booked as reserves from capital paid in (</w:t>
      </w:r>
      <w:r>
        <w:rPr>
          <w:rFonts w:ascii="Arial" w:cs="Arial" w:eastAsia="Arial" w:hAnsi="Arial"/>
          <w:sz w:val="18"/>
          <w:szCs w:val="18"/>
          <w:i w:val="1"/>
          <w:iCs w:val="1"/>
          <w:color w:val="auto"/>
        </w:rPr>
        <w:t>Kapitaleinlagereserven</w:t>
      </w:r>
      <w:r>
        <w:rPr>
          <w:rFonts w:ascii="Arial" w:cs="Arial" w:eastAsia="Arial" w:hAnsi="Arial"/>
          <w:sz w:val="18"/>
          <w:szCs w:val="18"/>
          <w:color w:val="auto"/>
        </w:rPr>
        <w:t>). The commitment by each Investor shall be as follows:</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Party</w:t>
            </w:r>
          </w:p>
        </w:tc>
        <w:tc>
          <w:tcPr>
            <w:tcW w:w="19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Number of Series 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Subscription amount</w:t>
            </w:r>
          </w:p>
        </w:tc>
        <w:tc>
          <w:tcPr>
            <w:tcW w:w="0" w:type="dxa"/>
            <w:vAlign w:val="bottom"/>
          </w:tcPr>
          <w:p>
            <w:pPr>
              <w:spacing w:after="0"/>
              <w:rPr>
                <w:sz w:val="1"/>
                <w:szCs w:val="1"/>
                <w:color w:val="auto"/>
              </w:rPr>
            </w:pPr>
          </w:p>
        </w:tc>
      </w:tr>
      <w:tr>
        <w:trPr>
          <w:trHeight w:val="165"/>
        </w:trPr>
        <w:tc>
          <w:tcPr>
            <w:tcW w:w="50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Preferred Share</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Closing (in USD)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Select Portfolios: Biotechnology Portfolio</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1’639</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3’948’449.34</w:t>
            </w:r>
          </w:p>
        </w:tc>
        <w:tc>
          <w:tcPr>
            <w:tcW w:w="0" w:type="dxa"/>
            <w:vAlign w:val="bottom"/>
          </w:tcPr>
          <w:p>
            <w:pPr>
              <w:spacing w:after="0"/>
              <w:rPr>
                <w:sz w:val="1"/>
                <w:szCs w:val="1"/>
                <w:color w:val="auto"/>
              </w:rPr>
            </w:pPr>
          </w:p>
        </w:tc>
      </w:tr>
      <w:tr>
        <w:trPr>
          <w:trHeight w:val="324"/>
        </w:trPr>
        <w:tc>
          <w:tcPr>
            <w:tcW w:w="5020" w:type="dxa"/>
            <w:vAlign w:val="bottom"/>
            <w:gridSpan w:val="3"/>
          </w:tcPr>
          <w:p>
            <w:pPr>
              <w:spacing w:after="0"/>
              <w:rPr>
                <w:sz w:val="20"/>
                <w:szCs w:val="20"/>
                <w:color w:val="auto"/>
              </w:rPr>
            </w:pPr>
            <w:r>
              <w:rPr>
                <w:rFonts w:ascii="Arial" w:cs="Arial" w:eastAsia="Arial" w:hAnsi="Arial"/>
                <w:sz w:val="18"/>
                <w:szCs w:val="18"/>
                <w:color w:val="auto"/>
                <w:w w:val="99"/>
              </w:rPr>
              <w:t>Fidelity Advisor Series VII: Fidelity Advisor Biotechnology Fund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500" w:type="dxa"/>
            <w:vAlign w:val="bottom"/>
          </w:tcPr>
          <w:p>
            <w:pPr>
              <w:spacing w:after="0"/>
              <w:rPr>
                <w:sz w:val="24"/>
                <w:szCs w:val="2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975’669.30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Fidelity Securities Fund: Fidelity Series Blue Chip Growth Fund</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1’852’567.14</w:t>
            </w:r>
          </w:p>
        </w:tc>
        <w:tc>
          <w:tcPr>
            <w:tcW w:w="0" w:type="dxa"/>
            <w:vAlign w:val="bottom"/>
          </w:tcPr>
          <w:p>
            <w:pPr>
              <w:spacing w:after="0"/>
              <w:rPr>
                <w:sz w:val="1"/>
                <w:szCs w:val="1"/>
                <w:color w:val="auto"/>
              </w:rPr>
            </w:pPr>
          </w:p>
        </w:tc>
      </w:tr>
      <w:tr>
        <w:trPr>
          <w:trHeight w:val="324"/>
        </w:trPr>
        <w:tc>
          <w:tcPr>
            <w:tcW w:w="5020" w:type="dxa"/>
            <w:vAlign w:val="bottom"/>
            <w:gridSpan w:val="3"/>
          </w:tcPr>
          <w:p>
            <w:pPr>
              <w:spacing w:after="0"/>
              <w:rPr>
                <w:sz w:val="20"/>
                <w:szCs w:val="20"/>
                <w:color w:val="auto"/>
              </w:rPr>
            </w:pPr>
            <w:r>
              <w:rPr>
                <w:rFonts w:ascii="Arial" w:cs="Arial" w:eastAsia="Arial" w:hAnsi="Arial"/>
                <w:sz w:val="18"/>
                <w:szCs w:val="18"/>
                <w:color w:val="auto"/>
              </w:rPr>
              <w:t>Fidelity Blue Chip Growth Commingled Pool</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20" w:type="dxa"/>
            <w:vAlign w:val="bottom"/>
            <w:gridSpan w:val="3"/>
          </w:tcPr>
          <w:p>
            <w:pPr>
              <w:spacing w:after="0"/>
              <w:rPr>
                <w:sz w:val="20"/>
                <w:szCs w:val="20"/>
                <w:color w:val="auto"/>
              </w:rPr>
            </w:pPr>
            <w:r>
              <w:rPr>
                <w:rFonts w:ascii="Arial" w:cs="Arial" w:eastAsia="Arial" w:hAnsi="Arial"/>
                <w:sz w:val="18"/>
                <w:szCs w:val="18"/>
                <w:color w:val="auto"/>
              </w:rPr>
              <w:t>By: Fidelity Management &amp; Trust Co.</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24"/>
                <w:szCs w:val="2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36’135.90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Pyramis Lifecycle Blue Chip Growth Commingled Pool</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 Pyramis Global Advisors Trust Company, as Trustee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274’632.84</w:t>
            </w:r>
          </w:p>
        </w:tc>
        <w:tc>
          <w:tcPr>
            <w:tcW w:w="0" w:type="dxa"/>
            <w:vAlign w:val="bottom"/>
          </w:tcPr>
          <w:p>
            <w:pPr>
              <w:spacing w:after="0"/>
              <w:rPr>
                <w:sz w:val="1"/>
                <w:szCs w:val="1"/>
                <w:color w:val="auto"/>
              </w:rPr>
            </w:pPr>
          </w:p>
        </w:tc>
      </w:tr>
      <w:tr>
        <w:trPr>
          <w:trHeight w:val="324"/>
        </w:trPr>
        <w:tc>
          <w:tcPr>
            <w:tcW w:w="5020" w:type="dxa"/>
            <w:vAlign w:val="bottom"/>
            <w:gridSpan w:val="3"/>
          </w:tcPr>
          <w:p>
            <w:pPr>
              <w:spacing w:after="0"/>
              <w:rPr>
                <w:sz w:val="20"/>
                <w:szCs w:val="20"/>
                <w:color w:val="auto"/>
              </w:rPr>
            </w:pPr>
            <w:r>
              <w:rPr>
                <w:rFonts w:ascii="Arial" w:cs="Arial" w:eastAsia="Arial" w:hAnsi="Arial"/>
                <w:sz w:val="18"/>
                <w:szCs w:val="18"/>
                <w:color w:val="auto"/>
              </w:rPr>
              <w:t>Fidelity Securities Fund: Fidelity Blue Chip Growth Fund</w:t>
            </w:r>
          </w:p>
        </w:tc>
        <w:tc>
          <w:tcPr>
            <w:tcW w:w="260" w:type="dxa"/>
            <w:vAlign w:val="bottom"/>
          </w:tcPr>
          <w:p>
            <w:pPr>
              <w:spacing w:after="0"/>
              <w:rPr>
                <w:sz w:val="24"/>
                <w:szCs w:val="24"/>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2’412</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5’810’652.72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Fidelity</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5’354</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12’898’107.24</w:t>
            </w:r>
          </w:p>
        </w:tc>
        <w:tc>
          <w:tcPr>
            <w:tcW w:w="0" w:type="dxa"/>
            <w:vAlign w:val="bottom"/>
          </w:tcPr>
          <w:p>
            <w:pPr>
              <w:spacing w:after="0"/>
              <w:rPr>
                <w:sz w:val="1"/>
                <w:szCs w:val="1"/>
                <w:color w:val="auto"/>
              </w:rPr>
            </w:pPr>
          </w:p>
        </w:tc>
      </w:tr>
      <w:tr>
        <w:trPr>
          <w:trHeight w:val="324"/>
        </w:trPr>
        <w:tc>
          <w:tcPr>
            <w:tcW w:w="5020" w:type="dxa"/>
            <w:vAlign w:val="bottom"/>
            <w:gridSpan w:val="3"/>
          </w:tcPr>
          <w:p>
            <w:pPr>
              <w:spacing w:after="0"/>
              <w:rPr>
                <w:sz w:val="20"/>
                <w:szCs w:val="20"/>
                <w:color w:val="auto"/>
              </w:rPr>
            </w:pPr>
            <w:r>
              <w:rPr>
                <w:rFonts w:ascii="Arial" w:cs="Arial" w:eastAsia="Arial" w:hAnsi="Arial"/>
                <w:sz w:val="18"/>
                <w:szCs w:val="18"/>
                <w:color w:val="auto"/>
              </w:rPr>
              <w:t>Other investors adhering to this Subscription Agreement</w:t>
            </w:r>
          </w:p>
        </w:tc>
        <w:tc>
          <w:tcPr>
            <w:tcW w:w="260" w:type="dxa"/>
            <w:vAlign w:val="bottom"/>
          </w:tcPr>
          <w:p>
            <w:pPr>
              <w:spacing w:after="0"/>
              <w:rPr>
                <w:sz w:val="24"/>
                <w:szCs w:val="24"/>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Up to 15’182</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Up to 36’574’348.92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overall</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Up to 20’536</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Up to 49’472’456.16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Each Investor other than Fidelity shall indicate the commitment by such Investor in an adherence declaration substantially in the form of </w:t>
      </w:r>
      <w:r>
        <w:rPr>
          <w:rFonts w:ascii="Arial" w:cs="Arial" w:eastAsia="Arial" w:hAnsi="Arial"/>
          <w:sz w:val="16"/>
          <w:szCs w:val="16"/>
          <w:b w:val="1"/>
          <w:bCs w:val="1"/>
          <w:color w:val="auto"/>
        </w:rPr>
        <w:t>Annex 3.1</w:t>
      </w:r>
    </w:p>
    <w:p>
      <w:pPr>
        <w:sectPr>
          <w:pgSz w:w="11900" w:h="16838" w:orient="portrait"/>
          <w:cols w:equalWidth="0" w:num="1">
            <w:col w:w="11420"/>
          </w:cols>
          <w:pgMar w:left="240" w:top="274" w:right="239" w:bottom="1440" w:gutter="0" w:footer="0" w:header="0"/>
        </w:sectPr>
      </w:pPr>
    </w:p>
    <w:bookmarkStart w:id="604" w:name="page605"/>
    <w:bookmarkEnd w:id="604"/>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Payment Undertaking at Closing</w:t>
      </w:r>
    </w:p>
    <w:p>
      <w:pPr>
        <w:spacing w:after="0" w:line="117"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 xml:space="preserve">In implementation of the subscription in cash undertaking, each Investor hereby undertakes to execute and deliver to the Company on or prior to the Closing a subscription form as required by Swiss corporate law substantially in the form attached hereto as </w:t>
      </w:r>
      <w:r>
        <w:rPr>
          <w:rFonts w:ascii="Arial" w:cs="Arial" w:eastAsia="Arial" w:hAnsi="Arial"/>
          <w:sz w:val="18"/>
          <w:szCs w:val="18"/>
          <w:b w:val="1"/>
          <w:bCs w:val="1"/>
          <w:color w:val="auto"/>
        </w:rPr>
        <w:t>Annex 3.2 (</w:t>
      </w:r>
      <w:r>
        <w:rPr>
          <w:rFonts w:ascii="Arial" w:cs="Arial" w:eastAsia="Arial" w:hAnsi="Arial"/>
          <w:sz w:val="18"/>
          <w:szCs w:val="18"/>
          <w:color w:val="auto"/>
        </w:rPr>
        <w:t>“</w:t>
      </w:r>
      <w:r>
        <w:rPr>
          <w:rFonts w:ascii="Arial" w:cs="Arial" w:eastAsia="Arial" w:hAnsi="Arial"/>
          <w:sz w:val="18"/>
          <w:szCs w:val="18"/>
          <w:b w:val="1"/>
          <w:bCs w:val="1"/>
          <w:color w:val="auto"/>
        </w:rPr>
        <w:t>Subscription Form</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pay the corresponding subscription amount to the following blocked capital account in the name of the Company (“</w:t>
      </w:r>
      <w:r>
        <w:rPr>
          <w:rFonts w:ascii="Arial" w:cs="Arial" w:eastAsia="Arial" w:hAnsi="Arial"/>
          <w:sz w:val="18"/>
          <w:szCs w:val="18"/>
          <w:b w:val="1"/>
          <w:bCs w:val="1"/>
          <w:color w:val="auto"/>
        </w:rPr>
        <w:t>Blocked Capital Account</w:t>
      </w:r>
      <w:r>
        <w:rPr>
          <w:rFonts w:ascii="Arial" w:cs="Arial" w:eastAsia="Arial" w:hAnsi="Arial"/>
          <w:sz w:val="18"/>
          <w:szCs w:val="18"/>
          <w:color w:val="auto"/>
        </w:rPr>
        <w:t xml:space="preserve">”; </w:t>
      </w:r>
      <w:r>
        <w:rPr>
          <w:rFonts w:ascii="Arial" w:cs="Arial" w:eastAsia="Arial" w:hAnsi="Arial"/>
          <w:sz w:val="18"/>
          <w:szCs w:val="18"/>
          <w:i w:val="1"/>
          <w:iCs w:val="1"/>
          <w:color w:val="auto"/>
        </w:rPr>
        <w:t>Kapitaleinzahlungssperrkonto / compte de consignation</w:t>
      </w:r>
      <w:r>
        <w:rPr>
          <w:rFonts w:ascii="Arial" w:cs="Arial" w:eastAsia="Arial" w:hAnsi="Arial"/>
          <w:sz w:val="18"/>
          <w:szCs w:val="18"/>
          <w:color w:val="auto"/>
        </w:rPr>
        <w:t>):</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Please send cash (USD) to the following bank:</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Bank of New York Mellon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One Wall Street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US-New York</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ABA 021000018</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Swift-Code (BIC):</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IRVTUS3NXXX</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 further credit to (Field 57) :</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A/C-Nr : 8033342099</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Credit Suisse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CH-8070 Zurich</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 MT103 to :</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CRESCHZZ80A</w:t>
      </w:r>
    </w:p>
    <w:p>
      <w:pPr>
        <w:sectPr>
          <w:pgSz w:w="11900" w:h="16838" w:orient="portrait"/>
          <w:cols w:equalWidth="0" w:num="1">
            <w:col w:w="11420"/>
          </w:cols>
          <w:pgMar w:left="240" w:top="273" w:right="239" w:bottom="1440" w:gutter="0" w:footer="0" w:header="0"/>
        </w:sectPr>
      </w:pPr>
    </w:p>
    <w:bookmarkStart w:id="605" w:name="page606"/>
    <w:bookmarkEnd w:id="605"/>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b w:val="1"/>
          <w:bCs w:val="1"/>
          <w:color w:val="auto"/>
        </w:rPr>
        <w:t>Beneficiary’s name (Field 59):</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 Immune SA, Lausanne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Beneficiary’s IBAN (A/C No) (Field 59):</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CH72 0483 5173 7769 4200 7</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Reference: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Share Capital Increase of AC Immune SA</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Resolution passed by the Extraordinary General Meeting</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resolution shall be passed at the Extraordinary General Meeting on the Closing:</w:t>
      </w:r>
    </w:p>
    <w:p>
      <w:pPr>
        <w:spacing w:after="0" w:line="131" w:lineRule="exact"/>
        <w:rPr>
          <w:sz w:val="20"/>
          <w:szCs w:val="20"/>
          <w:color w:val="auto"/>
        </w:rPr>
      </w:pPr>
    </w:p>
    <w:p>
      <w:pPr>
        <w:ind w:left="1120" w:right="60" w:hanging="437"/>
        <w:spacing w:after="0" w:line="276" w:lineRule="auto"/>
        <w:tabs>
          <w:tab w:leader="none" w:pos="112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to increase the nominal statutory share capital of the Company by the total amount of the Series E Original Issue Price of all Series E Preferred Shares validly subscriped for pursuant to Section 3.2 of this Subscription Agreement through the issuance of the number of Series E Preferred Shares validly subscribed for pursuant to Section 3.2 of this Subscription Agreement but by the aggregate amount of a maximum of CHF 102’680 to up to CHF 956’580 through the issuance of a maximum of 20’536 new Series E Preferred Shares with a nominal value of CHF 5.00 each at the subscription amount to be determined by the Board; and</w:t>
      </w:r>
    </w:p>
    <w:p>
      <w:pPr>
        <w:spacing w:after="0" w:line="73" w:lineRule="exact"/>
        <w:rPr>
          <w:rFonts w:ascii="Arial" w:cs="Arial" w:eastAsia="Arial" w:hAnsi="Arial"/>
          <w:sz w:val="17"/>
          <w:szCs w:val="17"/>
          <w:color w:val="auto"/>
        </w:rPr>
      </w:pPr>
    </w:p>
    <w:p>
      <w:pPr>
        <w:ind w:left="1120" w:hanging="437"/>
        <w:spacing w:after="0"/>
        <w:tabs>
          <w:tab w:leader="none" w:pos="1120" w:val="left"/>
        </w:tabs>
        <w:numPr>
          <w:ilvl w:val="0"/>
          <w:numId w:val="461"/>
        </w:numPr>
        <w:rPr>
          <w:rFonts w:ascii="Arial" w:cs="Arial" w:eastAsia="Arial" w:hAnsi="Arial"/>
          <w:sz w:val="16"/>
          <w:szCs w:val="16"/>
          <w:color w:val="auto"/>
        </w:rPr>
      </w:pPr>
      <w:r>
        <w:rPr>
          <w:rFonts w:ascii="Arial" w:cs="Arial" w:eastAsia="Arial" w:hAnsi="Arial"/>
          <w:sz w:val="16"/>
          <w:szCs w:val="16"/>
          <w:color w:val="auto"/>
        </w:rPr>
        <w:t xml:space="preserve">to adopt the Revised Articles of Association in </w:t>
      </w:r>
      <w:r>
        <w:rPr>
          <w:rFonts w:ascii="Arial" w:cs="Arial" w:eastAsia="Arial" w:hAnsi="Arial"/>
          <w:sz w:val="16"/>
          <w:szCs w:val="16"/>
          <w:b w:val="1"/>
          <w:bCs w:val="1"/>
          <w:color w:val="auto"/>
        </w:rPr>
        <w:t>Annex 3.3</w:t>
      </w:r>
      <w:r>
        <w:rPr>
          <w:rFonts w:ascii="Arial" w:cs="Arial" w:eastAsia="Arial" w:hAnsi="Arial"/>
          <w:sz w:val="16"/>
          <w:szCs w:val="16"/>
          <w:color w:val="auto"/>
        </w:rPr>
        <w:t xml:space="preserve"> as to all items except the share capital and the numbers of Series E Preferred Shares</w:t>
      </w:r>
    </w:p>
    <w:p>
      <w:pPr>
        <w:spacing w:after="0" w:line="15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3.4</w:t>
      </w:r>
      <w:r>
        <w:rPr>
          <w:rFonts w:ascii="Arial" w:cs="Arial" w:eastAsia="Arial" w:hAnsi="Arial"/>
          <w:sz w:val="16"/>
          <w:szCs w:val="16"/>
          <w:color w:val="auto"/>
        </w:rPr>
        <w:t>Resolution of the Board</w:t>
      </w:r>
    </w:p>
    <w:p>
      <w:pPr>
        <w:spacing w:after="0" w:line="117"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 xml:space="preserve">The Company undertakes to procure that the Board of Directors of the Company will prior to Closing approve the issuance of the Series E Preferred Shares at the Series E Original Issue Price (execution resolution, </w:t>
      </w:r>
      <w:r>
        <w:rPr>
          <w:rFonts w:ascii="Arial" w:cs="Arial" w:eastAsia="Arial" w:hAnsi="Arial"/>
          <w:sz w:val="18"/>
          <w:szCs w:val="18"/>
          <w:i w:val="1"/>
          <w:iCs w:val="1"/>
          <w:color w:val="auto"/>
        </w:rPr>
        <w:t>Durchführungsbeschluss</w:t>
      </w:r>
      <w:r>
        <w:rPr>
          <w:rFonts w:ascii="Arial" w:cs="Arial" w:eastAsia="Arial" w:hAnsi="Arial"/>
          <w:sz w:val="18"/>
          <w:szCs w:val="18"/>
          <w:color w:val="auto"/>
        </w:rPr>
        <w:t>).</w:t>
      </w:r>
    </w:p>
    <w:p>
      <w:pPr>
        <w:spacing w:after="0" w:line="315" w:lineRule="exact"/>
        <w:rPr>
          <w:sz w:val="20"/>
          <w:szCs w:val="20"/>
          <w:color w:val="auto"/>
        </w:rPr>
      </w:pPr>
    </w:p>
    <w:p>
      <w:pPr>
        <w:ind w:left="680" w:hanging="672"/>
        <w:spacing w:after="0"/>
        <w:tabs>
          <w:tab w:leader="none" w:pos="680" w:val="left"/>
        </w:tabs>
        <w:numPr>
          <w:ilvl w:val="0"/>
          <w:numId w:val="462"/>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STRUCTURE AFTER SERIES E FINANCING ROUND</w:t>
      </w:r>
    </w:p>
    <w:p>
      <w:pPr>
        <w:spacing w:after="0" w:line="121" w:lineRule="exact"/>
        <w:rPr>
          <w:rFonts w:ascii="Arial" w:cs="Arial" w:eastAsia="Arial" w:hAnsi="Arial"/>
          <w:sz w:val="18"/>
          <w:szCs w:val="18"/>
          <w:b w:val="1"/>
          <w:bCs w:val="1"/>
          <w:color w:val="auto"/>
        </w:rPr>
      </w:pPr>
    </w:p>
    <w:p>
      <w:pPr>
        <w:ind w:left="7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Prior and after completion of the initial closing of the Series E Financing Round, the ownership structure of the Company shall be as specified in the capitalization table set forth in </w:t>
      </w:r>
      <w:r>
        <w:rPr>
          <w:rFonts w:ascii="Arial" w:cs="Arial" w:eastAsia="Arial" w:hAnsi="Arial"/>
          <w:sz w:val="18"/>
          <w:szCs w:val="18"/>
          <w:b w:val="1"/>
          <w:bCs w:val="1"/>
          <w:color w:val="auto"/>
        </w:rPr>
        <w:t>Annex 4</w:t>
      </w:r>
      <w:r>
        <w:rPr>
          <w:rFonts w:ascii="Arial" w:cs="Arial" w:eastAsia="Arial" w:hAnsi="Arial"/>
          <w:sz w:val="18"/>
          <w:szCs w:val="18"/>
          <w:color w:val="auto"/>
        </w:rPr>
        <w:t>.</w:t>
      </w:r>
    </w:p>
    <w:p>
      <w:pPr>
        <w:spacing w:after="0" w:line="315" w:lineRule="exact"/>
        <w:rPr>
          <w:rFonts w:ascii="Arial" w:cs="Arial" w:eastAsia="Arial" w:hAnsi="Arial"/>
          <w:sz w:val="18"/>
          <w:szCs w:val="18"/>
          <w:b w:val="1"/>
          <w:bCs w:val="1"/>
          <w:color w:val="auto"/>
        </w:rPr>
      </w:pPr>
    </w:p>
    <w:p>
      <w:pPr>
        <w:ind w:left="680" w:hanging="672"/>
        <w:spacing w:after="0"/>
        <w:tabs>
          <w:tab w:leader="none" w:pos="680" w:val="left"/>
        </w:tabs>
        <w:numPr>
          <w:ilvl w:val="0"/>
          <w:numId w:val="462"/>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Place and Date of Closing</w:t>
      </w:r>
    </w:p>
    <w:p>
      <w:pPr>
        <w:spacing w:after="0" w:line="113" w:lineRule="exact"/>
        <w:rPr>
          <w:sz w:val="20"/>
          <w:szCs w:val="20"/>
          <w:color w:val="auto"/>
        </w:rPr>
      </w:pPr>
    </w:p>
    <w:p>
      <w:pPr>
        <w:ind w:left="700" w:right="480"/>
        <w:spacing w:after="0" w:line="313" w:lineRule="auto"/>
        <w:rPr>
          <w:sz w:val="20"/>
          <w:szCs w:val="20"/>
          <w:color w:val="auto"/>
        </w:rPr>
      </w:pPr>
      <w:r>
        <w:rPr>
          <w:rFonts w:ascii="Arial" w:cs="Arial" w:eastAsia="Arial" w:hAnsi="Arial"/>
          <w:sz w:val="17"/>
          <w:szCs w:val="17"/>
          <w:color w:val="auto"/>
        </w:rPr>
        <w:t>The closing of the Series E Financing (“</w:t>
      </w:r>
      <w:r>
        <w:rPr>
          <w:rFonts w:ascii="Arial" w:cs="Arial" w:eastAsia="Arial" w:hAnsi="Arial"/>
          <w:sz w:val="17"/>
          <w:szCs w:val="17"/>
          <w:b w:val="1"/>
          <w:bCs w:val="1"/>
          <w:color w:val="auto"/>
        </w:rPr>
        <w:t>Closing</w:t>
      </w:r>
      <w:r>
        <w:rPr>
          <w:rFonts w:ascii="Arial" w:cs="Arial" w:eastAsia="Arial" w:hAnsi="Arial"/>
          <w:sz w:val="17"/>
          <w:szCs w:val="17"/>
          <w:color w:val="auto"/>
        </w:rPr>
        <w:t>”) shall take place on October 15, 2015, at 11.a.m. Swiss time at the offices of VISCHER AG, Aeschenvorstadt 4, 4010 Basel, Switzerland, or such other date or place as the Company and Fidelity mutually agree.</w:t>
      </w:r>
    </w:p>
    <w:p>
      <w:pPr>
        <w:spacing w:after="0" w:line="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Conditions Precedent to Closing</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7"/>
          <w:szCs w:val="17"/>
          <w:color w:val="auto"/>
        </w:rPr>
        <w:t>Conditions in favor of Fidelity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Closing shall be subject to the prior fulfillment of each of the following conditions precedent in favor of Fidelity unless otherwise waived:</w:t>
      </w:r>
    </w:p>
    <w:p>
      <w:pPr>
        <w:spacing w:after="0" w:line="142" w:lineRule="exact"/>
        <w:rPr>
          <w:sz w:val="20"/>
          <w:szCs w:val="20"/>
          <w:color w:val="auto"/>
        </w:rPr>
      </w:pPr>
    </w:p>
    <w:p>
      <w:pPr>
        <w:ind w:left="1120" w:right="80" w:hanging="437"/>
        <w:spacing w:after="0" w:line="342" w:lineRule="auto"/>
        <w:tabs>
          <w:tab w:leader="none" w:pos="112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contained in Section 7.1 shall be true and correct in all material respects as of the Closing (except that representations and warranties qualified by materiality or a Material Adverse Effect shall be true and correct in all respects).</w:t>
      </w:r>
    </w:p>
    <w:p>
      <w:pPr>
        <w:sectPr>
          <w:pgSz w:w="11900" w:h="16838" w:orient="portrait"/>
          <w:cols w:equalWidth="0" w:num="1">
            <w:col w:w="11420"/>
          </w:cols>
          <w:pgMar w:left="240" w:top="274" w:right="239" w:bottom="1440" w:gutter="0" w:footer="0" w:header="0"/>
        </w:sectPr>
      </w:pPr>
    </w:p>
    <w:bookmarkStart w:id="606" w:name="page607"/>
    <w:bookmarkEnd w:id="606"/>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120" w:right="240" w:hanging="437"/>
        <w:spacing w:after="0" w:line="277" w:lineRule="auto"/>
        <w:tabs>
          <w:tab w:leader="none" w:pos="11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Company shall have performed and complied with all covenants, agreements, obligations and conditions contained in this Subscription Agreement that are required to be performed or complied with by the Company on or before such Closing.</w:t>
      </w:r>
    </w:p>
    <w:p>
      <w:pPr>
        <w:spacing w:after="0" w:line="75" w:lineRule="exact"/>
        <w:rPr>
          <w:rFonts w:ascii="Arial" w:cs="Arial" w:eastAsia="Arial" w:hAnsi="Arial"/>
          <w:sz w:val="18"/>
          <w:szCs w:val="18"/>
          <w:color w:val="auto"/>
        </w:rPr>
      </w:pPr>
    </w:p>
    <w:p>
      <w:pPr>
        <w:ind w:left="1120" w:right="400" w:hanging="437"/>
        <w:spacing w:after="0" w:line="342" w:lineRule="auto"/>
        <w:tabs>
          <w:tab w:leader="none" w:pos="112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All authorizations, approvals or permits, if any, of any governmental authority or regulatory body that are required in connection with the lawful issuance and sale of the Shares pursuant to this Subscription Agreement shall be obtained and effective as of such Closing.</w:t>
      </w:r>
    </w:p>
    <w:p>
      <w:pPr>
        <w:spacing w:after="0" w:line="29" w:lineRule="exact"/>
        <w:rPr>
          <w:rFonts w:ascii="Arial" w:cs="Arial" w:eastAsia="Arial" w:hAnsi="Arial"/>
          <w:sz w:val="16"/>
          <w:szCs w:val="16"/>
          <w:color w:val="auto"/>
        </w:rPr>
      </w:pPr>
    </w:p>
    <w:p>
      <w:pPr>
        <w:jc w:val="both"/>
        <w:ind w:left="1120" w:right="120" w:hanging="437"/>
        <w:spacing w:after="0" w:line="264" w:lineRule="auto"/>
        <w:tabs>
          <w:tab w:leader="none" w:pos="11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xml:space="preserve">The Company, Fidelity, any other Investor and the other shareholders of the Company representing 85% of all outstanding Shares prior to the Closing of the Series E Financing Round shall have executed and delivered the Shareholders’ Agreement (or a joinder agreement thereto), in substantially the form of </w:t>
      </w:r>
      <w:r>
        <w:rPr>
          <w:rFonts w:ascii="Arial" w:cs="Arial" w:eastAsia="Arial" w:hAnsi="Arial"/>
          <w:sz w:val="18"/>
          <w:szCs w:val="18"/>
          <w:b w:val="1"/>
          <w:bCs w:val="1"/>
          <w:color w:val="auto"/>
        </w:rPr>
        <w:t>Annex 0</w:t>
      </w:r>
      <w:r>
        <w:rPr>
          <w:rFonts w:ascii="Arial" w:cs="Arial" w:eastAsia="Arial" w:hAnsi="Arial"/>
          <w:sz w:val="18"/>
          <w:szCs w:val="18"/>
          <w:color w:val="auto"/>
        </w:rPr>
        <w:t xml:space="preserve"> hereto.</w:t>
      </w:r>
    </w:p>
    <w:p>
      <w:pPr>
        <w:spacing w:after="0" w:line="86" w:lineRule="exact"/>
        <w:rPr>
          <w:rFonts w:ascii="Arial" w:cs="Arial" w:eastAsia="Arial" w:hAnsi="Arial"/>
          <w:sz w:val="18"/>
          <w:szCs w:val="18"/>
          <w:color w:val="auto"/>
        </w:rPr>
      </w:pPr>
    </w:p>
    <w:p>
      <w:pPr>
        <w:ind w:left="1120" w:right="20" w:hanging="437"/>
        <w:spacing w:after="0" w:line="342" w:lineRule="auto"/>
        <w:tabs>
          <w:tab w:leader="none" w:pos="112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 xml:space="preserve">The Company, Fidelity, any other Investor requesting so and the other shareholders of the Company named as parties thereto shall have executed and delivered the Registration Rights Agreement (or a joinder agreement thereto), in substantially the form of </w:t>
      </w:r>
      <w:r>
        <w:rPr>
          <w:rFonts w:ascii="Arial" w:cs="Arial" w:eastAsia="Arial" w:hAnsi="Arial"/>
          <w:sz w:val="16"/>
          <w:szCs w:val="16"/>
          <w:b w:val="1"/>
          <w:bCs w:val="1"/>
          <w:color w:val="auto"/>
        </w:rPr>
        <w:t>Annex 5.2.1(e)</w:t>
      </w:r>
      <w:r>
        <w:rPr>
          <w:rFonts w:ascii="Arial" w:cs="Arial" w:eastAsia="Arial" w:hAnsi="Arial"/>
          <w:sz w:val="16"/>
          <w:szCs w:val="16"/>
          <w:color w:val="auto"/>
        </w:rPr>
        <w:t xml:space="preserve"> hereto.</w:t>
      </w:r>
    </w:p>
    <w:p>
      <w:pPr>
        <w:spacing w:after="0" w:line="29" w:lineRule="exact"/>
        <w:rPr>
          <w:rFonts w:ascii="Arial" w:cs="Arial" w:eastAsia="Arial" w:hAnsi="Arial"/>
          <w:sz w:val="16"/>
          <w:szCs w:val="16"/>
          <w:color w:val="auto"/>
        </w:rPr>
      </w:pPr>
    </w:p>
    <w:p>
      <w:pPr>
        <w:ind w:left="1120" w:right="240" w:hanging="437"/>
        <w:spacing w:after="0" w:line="277" w:lineRule="auto"/>
        <w:tabs>
          <w:tab w:leader="none" w:pos="11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xml:space="preserve">Fidelity and any other Investor requesting so shall have received from VISCHER AG, counsel for the Company, an opinion, dated as of the date of such Closing, in substantially the form </w:t>
      </w:r>
      <w:r>
        <w:rPr>
          <w:rFonts w:ascii="Arial" w:cs="Arial" w:eastAsia="Arial" w:hAnsi="Arial"/>
          <w:sz w:val="18"/>
          <w:szCs w:val="18"/>
          <w:b w:val="1"/>
          <w:bCs w:val="1"/>
          <w:color w:val="auto"/>
        </w:rPr>
        <w:t>Annex 5.2.1(f)</w:t>
      </w:r>
      <w:r>
        <w:rPr>
          <w:rFonts w:ascii="Arial" w:cs="Arial" w:eastAsia="Arial" w:hAnsi="Arial"/>
          <w:sz w:val="18"/>
          <w:szCs w:val="18"/>
          <w:color w:val="auto"/>
        </w:rPr>
        <w:t xml:space="preserve"> attached to this Subscription Agreement.</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Legal counsel shall have delivered to Fidelity and any other Investor requesting so a certificate, dated as of the date of such Closing, certifying</w:t>
      </w:r>
    </w:p>
    <w:p>
      <w:pPr>
        <w:spacing w:after="0" w:line="46" w:lineRule="exact"/>
        <w:rPr>
          <w:rFonts w:ascii="Arial" w:cs="Arial" w:eastAsia="Arial" w:hAnsi="Arial"/>
          <w:sz w:val="16"/>
          <w:szCs w:val="16"/>
          <w:color w:val="auto"/>
        </w:rPr>
      </w:pPr>
    </w:p>
    <w:p>
      <w:pPr>
        <w:ind w:left="1120" w:right="8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(i) the resolutions of the Board of Directors of the Company approving the Subscription Agreement and the transactions contemplated under such Agreement, and (ii) resolutions of the shareholders of the Company approving the issuance of Series E Preferred Shares and the Revised Articles of Association in </w:t>
      </w:r>
      <w:r>
        <w:rPr>
          <w:rFonts w:ascii="Arial" w:cs="Arial" w:eastAsia="Arial" w:hAnsi="Arial"/>
          <w:sz w:val="18"/>
          <w:szCs w:val="18"/>
          <w:b w:val="1"/>
          <w:bCs w:val="1"/>
          <w:color w:val="auto"/>
        </w:rPr>
        <w:t>Annex 3.3</w:t>
      </w:r>
    </w:p>
    <w:p>
      <w:pPr>
        <w:spacing w:after="0" w:line="95" w:lineRule="exact"/>
        <w:rPr>
          <w:rFonts w:ascii="Arial" w:cs="Arial" w:eastAsia="Arial" w:hAnsi="Arial"/>
          <w:sz w:val="16"/>
          <w:szCs w:val="16"/>
          <w:color w:val="auto"/>
        </w:rPr>
      </w:pPr>
    </w:p>
    <w:p>
      <w:pPr>
        <w:jc w:val="both"/>
        <w:ind w:left="1120" w:right="60" w:hanging="437"/>
        <w:spacing w:after="0" w:line="264" w:lineRule="auto"/>
        <w:tabs>
          <w:tab w:leader="none" w:pos="11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All corporate and other proceedings in connection with the transactions contemplated at such Closing and all documents incident thereto shall be reasonably satisfactory in form and substance to Fidelity and the Investors shall have received all such counterpart original and certified or other copies of such documents as reasonably requested.</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Conditions in favor of Company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Closing shall be subject to the prior fulfillment of each of the following conditions precedent in favor of the Company, unless otherwise waived:</w:t>
      </w:r>
    </w:p>
    <w:p>
      <w:pPr>
        <w:spacing w:after="0" w:line="154" w:lineRule="exact"/>
        <w:rPr>
          <w:sz w:val="20"/>
          <w:szCs w:val="20"/>
          <w:color w:val="auto"/>
        </w:rPr>
      </w:pPr>
    </w:p>
    <w:p>
      <w:pPr>
        <w:ind w:left="1120" w:hanging="437"/>
        <w:spacing w:after="0"/>
        <w:tabs>
          <w:tab w:leader="none" w:pos="1120" w:val="left"/>
        </w:tabs>
        <w:numPr>
          <w:ilvl w:val="0"/>
          <w:numId w:val="465"/>
        </w:numPr>
        <w:rPr>
          <w:rFonts w:ascii="Arial" w:cs="Arial" w:eastAsia="Arial" w:hAnsi="Arial"/>
          <w:sz w:val="17"/>
          <w:szCs w:val="17"/>
          <w:color w:val="auto"/>
        </w:rPr>
      </w:pPr>
      <w:r>
        <w:rPr>
          <w:rFonts w:ascii="Arial" w:cs="Arial" w:eastAsia="Arial" w:hAnsi="Arial"/>
          <w:sz w:val="17"/>
          <w:szCs w:val="17"/>
          <w:color w:val="auto"/>
        </w:rPr>
        <w:t>The representations and warranties of each Investor contained in Section 7.2 shall be true and correct in all respects as of such Closing.</w:t>
      </w:r>
    </w:p>
    <w:p>
      <w:pPr>
        <w:spacing w:after="0" w:line="142" w:lineRule="exact"/>
        <w:rPr>
          <w:rFonts w:ascii="Arial" w:cs="Arial" w:eastAsia="Arial" w:hAnsi="Arial"/>
          <w:sz w:val="17"/>
          <w:szCs w:val="17"/>
          <w:color w:val="auto"/>
        </w:rPr>
      </w:pPr>
    </w:p>
    <w:p>
      <w:pPr>
        <w:ind w:left="1120" w:right="280" w:hanging="437"/>
        <w:spacing w:after="0" w:line="277" w:lineRule="auto"/>
        <w:tabs>
          <w:tab w:leader="none" w:pos="11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Investors shall have performed and complied with all covenants, agreements, obligations and conditions contained in this Subscription Agreement that are required to be performed or complied with by them on or before such Closing.</w:t>
      </w:r>
    </w:p>
    <w:p>
      <w:pPr>
        <w:sectPr>
          <w:pgSz w:w="11900" w:h="16838" w:orient="portrait"/>
          <w:cols w:equalWidth="0" w:num="1">
            <w:col w:w="11420"/>
          </w:cols>
          <w:pgMar w:left="240" w:top="274" w:right="239" w:bottom="1440" w:gutter="0" w:footer="0" w:header="0"/>
        </w:sectPr>
      </w:pPr>
    </w:p>
    <w:bookmarkStart w:id="607" w:name="page608"/>
    <w:bookmarkEnd w:id="607"/>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120" w:right="400" w:hanging="437"/>
        <w:spacing w:after="0" w:line="342" w:lineRule="auto"/>
        <w:tabs>
          <w:tab w:leader="none" w:pos="11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All authorizations, approvals or permits, if any, of any governmental authority or regulatory body that are required in connection with the lawful issuance and sale of the Shares pursuant to this Subscription Agreement shall be obtained and effective as of such Closing.</w:t>
      </w:r>
    </w:p>
    <w:p>
      <w:pPr>
        <w:spacing w:after="0" w:line="29" w:lineRule="exact"/>
        <w:rPr>
          <w:rFonts w:ascii="Arial" w:cs="Arial" w:eastAsia="Arial" w:hAnsi="Arial"/>
          <w:sz w:val="16"/>
          <w:szCs w:val="16"/>
          <w:color w:val="auto"/>
        </w:rPr>
      </w:pPr>
    </w:p>
    <w:p>
      <w:pPr>
        <w:jc w:val="both"/>
        <w:ind w:left="1120" w:right="120" w:hanging="437"/>
        <w:spacing w:after="0" w:line="264" w:lineRule="auto"/>
        <w:tabs>
          <w:tab w:leader="none" w:pos="112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xml:space="preserve">The Company, Fidelity, any other Investor and the other shareholders of the Company representing 85% of all outstanding Shares prior to the Closing of the Series E Financing Round shall have executed and delivered the Shareholders’ Agreement, in substantially the form of </w:t>
      </w:r>
      <w:r>
        <w:rPr>
          <w:rFonts w:ascii="Arial" w:cs="Arial" w:eastAsia="Arial" w:hAnsi="Arial"/>
          <w:sz w:val="18"/>
          <w:szCs w:val="18"/>
          <w:b w:val="1"/>
          <w:bCs w:val="1"/>
          <w:color w:val="auto"/>
        </w:rPr>
        <w:t>Annex</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0 </w:t>
      </w:r>
      <w:r>
        <w:rPr>
          <w:rFonts w:ascii="Arial" w:cs="Arial" w:eastAsia="Arial" w:hAnsi="Arial"/>
          <w:sz w:val="18"/>
          <w:szCs w:val="18"/>
          <w:color w:val="auto"/>
        </w:rPr>
        <w:t>hereto.</w:t>
      </w:r>
    </w:p>
    <w:p>
      <w:pPr>
        <w:spacing w:after="0" w:line="82" w:lineRule="exact"/>
        <w:rPr>
          <w:rFonts w:ascii="Arial" w:cs="Arial" w:eastAsia="Arial" w:hAnsi="Arial"/>
          <w:sz w:val="18"/>
          <w:szCs w:val="18"/>
          <w:color w:val="auto"/>
        </w:rPr>
      </w:pPr>
    </w:p>
    <w:p>
      <w:pPr>
        <w:ind w:left="1120" w:hanging="437"/>
        <w:spacing w:after="0"/>
        <w:tabs>
          <w:tab w:leader="none" w:pos="11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 xml:space="preserve">The Investors requesting so shall have executed and delivered the Registration Rights Agreement substantially in the form of </w:t>
      </w:r>
      <w:r>
        <w:rPr>
          <w:rFonts w:ascii="Arial" w:cs="Arial" w:eastAsia="Arial" w:hAnsi="Arial"/>
          <w:sz w:val="16"/>
          <w:szCs w:val="16"/>
          <w:b w:val="1"/>
          <w:bCs w:val="1"/>
          <w:color w:val="auto"/>
        </w:rPr>
        <w:t>Annex 5.2.1(f).</w:t>
      </w:r>
    </w:p>
    <w:p>
      <w:pPr>
        <w:spacing w:after="0" w:line="157" w:lineRule="exact"/>
        <w:rPr>
          <w:rFonts w:ascii="Arial" w:cs="Arial" w:eastAsia="Arial" w:hAnsi="Arial"/>
          <w:sz w:val="16"/>
          <w:szCs w:val="16"/>
          <w:color w:val="auto"/>
        </w:rPr>
      </w:pPr>
    </w:p>
    <w:p>
      <w:pPr>
        <w:ind w:left="1120" w:right="440" w:hanging="437"/>
        <w:spacing w:after="0" w:line="277" w:lineRule="auto"/>
        <w:tabs>
          <w:tab w:leader="none" w:pos="112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No action is pending or threatened which seeks to enjoin, restrain or prohibit the consummation of the subscriptions contemplated by the Subscription Agreement.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Closing Actions for Closing</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At Closing, the relevant Party shall deliver the following documents, duly executed and in form and substance satisfactory to the Company and</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Fidelity:</w:t>
      </w:r>
    </w:p>
    <w:p>
      <w:pPr>
        <w:spacing w:after="0" w:line="116" w:lineRule="exact"/>
        <w:rPr>
          <w:sz w:val="20"/>
          <w:szCs w:val="20"/>
          <w:color w:val="auto"/>
        </w:rPr>
      </w:pPr>
    </w:p>
    <w:p>
      <w:pPr>
        <w:ind w:left="1120" w:right="620" w:hanging="437"/>
        <w:spacing w:after="0" w:line="277" w:lineRule="auto"/>
        <w:tabs>
          <w:tab w:leader="none" w:pos="11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xml:space="preserve">a bring-down certificate of the Company confirming that the conditions precedent set out in Section 5.1 are satisfied as of the Closing, substantially in the form attached hereto in </w:t>
      </w:r>
      <w:r>
        <w:rPr>
          <w:rFonts w:ascii="Arial" w:cs="Arial" w:eastAsia="Arial" w:hAnsi="Arial"/>
          <w:sz w:val="18"/>
          <w:szCs w:val="18"/>
          <w:b w:val="1"/>
          <w:bCs w:val="1"/>
          <w:color w:val="auto"/>
        </w:rPr>
        <w:t>Annex 5.3(a)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a duly signed application to the Register of Commerce regarding the increase of the share capital to reflect the Series E Financing Round;</w:t>
      </w:r>
    </w:p>
    <w:p>
      <w:pPr>
        <w:spacing w:after="0" w:line="153" w:lineRule="exact"/>
        <w:rPr>
          <w:rFonts w:ascii="Arial" w:cs="Arial" w:eastAsia="Arial" w:hAnsi="Arial"/>
          <w:sz w:val="16"/>
          <w:szCs w:val="16"/>
          <w:color w:val="auto"/>
        </w:rPr>
      </w:pPr>
    </w:p>
    <w:p>
      <w:pPr>
        <w:ind w:left="1120" w:right="100" w:hanging="437"/>
        <w:spacing w:after="0" w:line="277" w:lineRule="auto"/>
        <w:tabs>
          <w:tab w:leader="none" w:pos="11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confirmation from Credit Suisse, in Basel, evidencing that the amount of at least USD 12’898’107.24 (plus any amount required to be paid in by the Investors other than Fidelity) has been paid in cash and fully credited to the Blocked Capital Account; and</w:t>
      </w:r>
    </w:p>
    <w:p>
      <w:pPr>
        <w:spacing w:after="0" w:line="75" w:lineRule="exact"/>
        <w:rPr>
          <w:rFonts w:ascii="Arial" w:cs="Arial" w:eastAsia="Arial" w:hAnsi="Arial"/>
          <w:sz w:val="18"/>
          <w:szCs w:val="18"/>
          <w:color w:val="auto"/>
        </w:rPr>
      </w:pPr>
    </w:p>
    <w:p>
      <w:pPr>
        <w:ind w:left="1120" w:right="440" w:hanging="437"/>
        <w:spacing w:after="0" w:line="342" w:lineRule="auto"/>
        <w:tabs>
          <w:tab w:leader="none" w:pos="112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circular resolutions or minutes evidencing the Board resolution regarding registration of the Investors as owners with voting rights of the relevant number of Series E Preferred Shares subscribed by the Investors in the Company’s share register upon Full Consummation.</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Upon the delivery of these documents, the following actions shall be performed:</w:t>
      </w:r>
    </w:p>
    <w:p>
      <w:pPr>
        <w:spacing w:after="0" w:line="127" w:lineRule="exact"/>
        <w:rPr>
          <w:sz w:val="20"/>
          <w:szCs w:val="20"/>
          <w:color w:val="auto"/>
        </w:rPr>
      </w:pPr>
    </w:p>
    <w:p>
      <w:pPr>
        <w:ind w:left="1120" w:hanging="437"/>
        <w:spacing w:after="0" w:line="282" w:lineRule="auto"/>
        <w:tabs>
          <w:tab w:leader="none" w:pos="11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 xml:space="preserve">Each Investor shall deliver its duly signed Subscription Form (as original or at least as PDF copy) substantially in the form as set out in </w:t>
      </w:r>
      <w:r>
        <w:rPr>
          <w:rFonts w:ascii="Arial" w:cs="Arial" w:eastAsia="Arial" w:hAnsi="Arial"/>
          <w:sz w:val="18"/>
          <w:szCs w:val="18"/>
          <w:b w:val="1"/>
          <w:bCs w:val="1"/>
          <w:color w:val="auto"/>
        </w:rPr>
        <w:t>Annex</w:t>
      </w:r>
      <w:r>
        <w:rPr>
          <w:rFonts w:ascii="Arial" w:cs="Arial" w:eastAsia="Arial" w:hAnsi="Arial"/>
          <w:sz w:val="18"/>
          <w:szCs w:val="18"/>
          <w:color w:val="auto"/>
        </w:rPr>
        <w:t xml:space="preserve"> </w:t>
      </w:r>
      <w:r>
        <w:rPr>
          <w:rFonts w:ascii="Arial" w:cs="Arial" w:eastAsia="Arial" w:hAnsi="Arial"/>
          <w:sz w:val="18"/>
          <w:szCs w:val="18"/>
          <w:b w:val="1"/>
          <w:bCs w:val="1"/>
          <w:color w:val="auto"/>
        </w:rPr>
        <w:t>3.2.</w:t>
      </w:r>
    </w:p>
    <w:p>
      <w:pPr>
        <w:spacing w:after="0" w:line="71" w:lineRule="exact"/>
        <w:rPr>
          <w:rFonts w:ascii="Arial" w:cs="Arial" w:eastAsia="Arial" w:hAnsi="Arial"/>
          <w:sz w:val="18"/>
          <w:szCs w:val="18"/>
          <w:color w:val="auto"/>
        </w:rPr>
      </w:pPr>
    </w:p>
    <w:p>
      <w:pPr>
        <w:ind w:left="1120" w:right="140" w:hanging="437"/>
        <w:spacing w:after="0" w:line="286" w:lineRule="auto"/>
        <w:tabs>
          <w:tab w:leader="none" w:pos="112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The Board shall issue its report on the capital increase (</w:t>
      </w:r>
      <w:r>
        <w:rPr>
          <w:rFonts w:ascii="Arial" w:cs="Arial" w:eastAsia="Arial" w:hAnsi="Arial"/>
          <w:sz w:val="17"/>
          <w:szCs w:val="17"/>
          <w:i w:val="1"/>
          <w:iCs w:val="1"/>
          <w:color w:val="auto"/>
        </w:rPr>
        <w:t>Kapitalerhöhungsbericht / rapport d’augmentation</w:t>
      </w:r>
      <w:r>
        <w:rPr>
          <w:rFonts w:ascii="Arial" w:cs="Arial" w:eastAsia="Arial" w:hAnsi="Arial"/>
          <w:sz w:val="17"/>
          <w:szCs w:val="17"/>
          <w:color w:val="auto"/>
        </w:rPr>
        <w:t>), take the resolutions on the implementation of the Series E Financing (</w:t>
      </w:r>
      <w:r>
        <w:rPr>
          <w:rFonts w:ascii="Arial" w:cs="Arial" w:eastAsia="Arial" w:hAnsi="Arial"/>
          <w:sz w:val="17"/>
          <w:szCs w:val="17"/>
          <w:i w:val="1"/>
          <w:iCs w:val="1"/>
          <w:color w:val="auto"/>
        </w:rPr>
        <w:t>Feststellungsbeschluss / decision de constatation</w:t>
      </w:r>
      <w:r>
        <w:rPr>
          <w:rFonts w:ascii="Arial" w:cs="Arial" w:eastAsia="Arial" w:hAnsi="Arial"/>
          <w:sz w:val="17"/>
          <w:szCs w:val="17"/>
          <w:color w:val="auto"/>
        </w:rPr>
        <w:t xml:space="preserve">) in the presence of a public notary and adopt the Revised Articles of Association in </w:t>
      </w:r>
      <w:r>
        <w:rPr>
          <w:rFonts w:ascii="Arial" w:cs="Arial" w:eastAsia="Arial" w:hAnsi="Arial"/>
          <w:sz w:val="17"/>
          <w:szCs w:val="17"/>
          <w:b w:val="1"/>
          <w:bCs w:val="1"/>
          <w:color w:val="auto"/>
        </w:rPr>
        <w:t>Annex 3.3</w:t>
      </w:r>
      <w:r>
        <w:rPr>
          <w:rFonts w:ascii="Arial" w:cs="Arial" w:eastAsia="Arial" w:hAnsi="Arial"/>
          <w:sz w:val="17"/>
          <w:szCs w:val="17"/>
          <w:color w:val="auto"/>
        </w:rPr>
        <w:t xml:space="preserve"> including the final share capital and the numbers of Series E Preferred Shares.</w:t>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shall file the application with the Register of Commerce immediately after receipt of the above executed documents.</w:t>
      </w:r>
    </w:p>
    <w:p>
      <w:pPr>
        <w:sectPr>
          <w:pgSz w:w="11900" w:h="16838" w:orient="portrait"/>
          <w:cols w:equalWidth="0" w:num="1">
            <w:col w:w="11420"/>
          </w:cols>
          <w:pgMar w:left="240" w:top="273" w:right="239" w:bottom="1440" w:gutter="0" w:footer="0" w:header="0"/>
        </w:sectPr>
      </w:pPr>
    </w:p>
    <w:bookmarkStart w:id="608" w:name="page609"/>
    <w:bookmarkEnd w:id="608"/>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0" w:hanging="672"/>
        <w:spacing w:after="0"/>
        <w:tabs>
          <w:tab w:leader="none" w:pos="680"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AND RECISSION</w:t>
      </w:r>
    </w:p>
    <w:p>
      <w:pPr>
        <w:spacing w:after="0" w:line="121" w:lineRule="exact"/>
        <w:rPr>
          <w:rFonts w:ascii="Arial" w:cs="Arial" w:eastAsia="Arial" w:hAnsi="Arial"/>
          <w:sz w:val="18"/>
          <w:szCs w:val="18"/>
          <w:b w:val="1"/>
          <w:bCs w:val="1"/>
          <w:color w:val="auto"/>
        </w:rPr>
      </w:pPr>
    </w:p>
    <w:p>
      <w:pPr>
        <w:ind w:left="700"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no Full Consummation of the Series E Financing occurs until the later of 20 calendar days after the Closing or 40 calendar days after the date of this Subscription Agreement, if the Investor did not cause such delay by a breach of any of its material obligations under this Subscription Agreement, the Investor shall have the right (but not the obligation) to terminate and rescind this Subscription Agreement and any documents, instruments or deeds executed by the Investor (including, but not limited to, the Subscription Forms) with immediate effect by written notice to all other Parties.</w:t>
      </w:r>
    </w:p>
    <w:p>
      <w:pPr>
        <w:spacing w:after="0" w:line="80"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If notice of termination and rescission is made in accordance with the terms of the preceding paragraph:</w:t>
      </w:r>
    </w:p>
    <w:p>
      <w:pPr>
        <w:spacing w:after="0" w:line="130" w:lineRule="exact"/>
        <w:rPr>
          <w:rFonts w:ascii="Arial" w:cs="Arial" w:eastAsia="Arial" w:hAnsi="Arial"/>
          <w:sz w:val="18"/>
          <w:szCs w:val="18"/>
          <w:b w:val="1"/>
          <w:bCs w:val="1"/>
          <w:color w:val="auto"/>
        </w:rPr>
      </w:pPr>
    </w:p>
    <w:p>
      <w:pPr>
        <w:ind w:left="1120" w:right="480" w:hanging="437"/>
        <w:spacing w:after="0" w:line="342" w:lineRule="auto"/>
        <w:tabs>
          <w:tab w:leader="none" w:pos="1120" w:val="left"/>
        </w:tabs>
        <w:numPr>
          <w:ilvl w:val="1"/>
          <w:numId w:val="469"/>
        </w:numPr>
        <w:rPr>
          <w:rFonts w:ascii="Arial" w:cs="Arial" w:eastAsia="Arial" w:hAnsi="Arial"/>
          <w:sz w:val="16"/>
          <w:szCs w:val="16"/>
          <w:color w:val="auto"/>
        </w:rPr>
      </w:pPr>
      <w:r>
        <w:rPr>
          <w:rFonts w:ascii="Arial" w:cs="Arial" w:eastAsia="Arial" w:hAnsi="Arial"/>
          <w:sz w:val="16"/>
          <w:szCs w:val="16"/>
          <w:color w:val="auto"/>
        </w:rPr>
        <w:t>each of the Parties acknowledges and agrees that this Subscription Agreement and any documents, instruments or deeds executed by the Investor (including, but not limited to, the Subscription Forms) shall be deemed terminated and shall be without any further effect;</w:t>
      </w:r>
    </w:p>
    <w:p>
      <w:pPr>
        <w:spacing w:after="0" w:line="29" w:lineRule="exact"/>
        <w:rPr>
          <w:rFonts w:ascii="Arial" w:cs="Arial" w:eastAsia="Arial" w:hAnsi="Arial"/>
          <w:sz w:val="16"/>
          <w:szCs w:val="16"/>
          <w:color w:val="auto"/>
        </w:rPr>
      </w:pPr>
    </w:p>
    <w:p>
      <w:pPr>
        <w:ind w:left="1120" w:right="40" w:hanging="437"/>
        <w:spacing w:after="0" w:line="259" w:lineRule="auto"/>
        <w:tabs>
          <w:tab w:leader="none" w:pos="112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The Company hereby undertakes to the Investors to procure that the application to the Register of Commerce of the Series E Financing Round (if already filed) shall be withdrawn and instruct VISCHER AG, Attorneys at Law (or any other public notary appointed by the Parties) and the Company to return the respective subscription amount paid by the Investors for new Series E Preferred Shares to the Investors in cash out of the Blocked Capital Account.</w:t>
      </w:r>
    </w:p>
    <w:p>
      <w:pPr>
        <w:spacing w:after="0" w:line="79" w:lineRule="exact"/>
        <w:rPr>
          <w:sz w:val="20"/>
          <w:szCs w:val="20"/>
          <w:color w:val="auto"/>
        </w:rPr>
      </w:pPr>
    </w:p>
    <w:p>
      <w:pPr>
        <w:ind w:left="700" w:right="20"/>
        <w:spacing w:after="0" w:line="257" w:lineRule="auto"/>
        <w:rPr>
          <w:sz w:val="20"/>
          <w:szCs w:val="20"/>
          <w:color w:val="auto"/>
        </w:rPr>
      </w:pPr>
      <w:r>
        <w:rPr>
          <w:rFonts w:ascii="Arial" w:cs="Arial" w:eastAsia="Arial" w:hAnsi="Arial"/>
          <w:sz w:val="18"/>
          <w:szCs w:val="18"/>
          <w:color w:val="auto"/>
        </w:rPr>
        <w:t>If this Subscription Agreement is terminated pursuant to this Section, such termination shall be without liability of the Investors to the Company and vice versa; provided, however, that if such termination is the result of the willful misconduct or gross negligence of a Party failing to satisfy its respective obligations under Sections 3, 5 and 6, such Party shall be liable to the other Parties for any damage, loss, costs or expenses incurred or sustained as a result of such misconduct or breach. It shall be agreed and understood that, in addition to such liability, such other Parties shall have the right to request specific performance.</w:t>
      </w:r>
    </w:p>
    <w:p>
      <w:pPr>
        <w:spacing w:after="0" w:line="80"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If this Subscription Agreement is terminated by a Party (which is not the result of the willful misconduct or gross negligence of such Party to satisfy its respective obligations under Sections 3, 5 and 6), all provisions of this Subscription Agreement shall cease to be effective for such Party except for the preceding paragraph and Section 11 (Miscellaneous).</w:t>
      </w:r>
    </w:p>
    <w:p>
      <w:pPr>
        <w:spacing w:after="0" w:line="326" w:lineRule="exact"/>
        <w:rPr>
          <w:sz w:val="20"/>
          <w:szCs w:val="20"/>
          <w:color w:val="auto"/>
        </w:rPr>
      </w:pPr>
    </w:p>
    <w:p>
      <w:pPr>
        <w:ind w:left="680" w:hanging="672"/>
        <w:spacing w:after="0"/>
        <w:tabs>
          <w:tab w:leader="none" w:pos="680"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Representation and Warranties by the Company</w:t>
      </w:r>
    </w:p>
    <w:p>
      <w:pPr>
        <w:spacing w:after="0" w:line="113" w:lineRule="exact"/>
        <w:rPr>
          <w:sz w:val="20"/>
          <w:szCs w:val="20"/>
          <w:color w:val="auto"/>
        </w:rPr>
      </w:pPr>
    </w:p>
    <w:p>
      <w:pPr>
        <w:ind w:left="700" w:right="100"/>
        <w:spacing w:after="0" w:line="298" w:lineRule="auto"/>
        <w:rPr>
          <w:sz w:val="20"/>
          <w:szCs w:val="20"/>
          <w:color w:val="auto"/>
        </w:rPr>
      </w:pPr>
      <w:r>
        <w:rPr>
          <w:rFonts w:ascii="Arial" w:cs="Arial" w:eastAsia="Arial" w:hAnsi="Arial"/>
          <w:sz w:val="16"/>
          <w:szCs w:val="16"/>
          <w:color w:val="auto"/>
        </w:rPr>
        <w:t xml:space="preserve">Subject to the limitations set forth in this Section 7 (including </w:t>
      </w:r>
      <w:r>
        <w:rPr>
          <w:rFonts w:ascii="Arial" w:cs="Arial" w:eastAsia="Arial" w:hAnsi="Arial"/>
          <w:sz w:val="16"/>
          <w:szCs w:val="16"/>
          <w:b w:val="1"/>
          <w:bCs w:val="1"/>
          <w:color w:val="auto"/>
        </w:rPr>
        <w:t>Annex 7.1</w:t>
      </w:r>
      <w:r>
        <w:rPr>
          <w:rFonts w:ascii="Arial" w:cs="Arial" w:eastAsia="Arial" w:hAnsi="Arial"/>
          <w:sz w:val="16"/>
          <w:szCs w:val="16"/>
          <w:color w:val="auto"/>
        </w:rPr>
        <w:t xml:space="preserve">) and Section 8, the Company hereby represents and warrants in the sense of an independent guarantee as of the time of signing of this Subscription Agreement to the Investors, that the representations and warranties set forth in </w:t>
      </w:r>
      <w:r>
        <w:rPr>
          <w:rFonts w:ascii="Arial" w:cs="Arial" w:eastAsia="Arial" w:hAnsi="Arial"/>
          <w:sz w:val="16"/>
          <w:szCs w:val="16"/>
          <w:b w:val="1"/>
          <w:bCs w:val="1"/>
          <w:color w:val="auto"/>
        </w:rPr>
        <w:t>Annex 7.1</w:t>
      </w:r>
      <w:r>
        <w:rPr>
          <w:rFonts w:ascii="Arial" w:cs="Arial" w:eastAsia="Arial" w:hAnsi="Arial"/>
          <w:sz w:val="16"/>
          <w:szCs w:val="16"/>
          <w:color w:val="auto"/>
        </w:rPr>
        <w:t xml:space="preserve"> are in all material respects true, complete, correct and not misleading (or in the case of representations and warranties qualified by materiality or a Material Adverse Effect, in all respects true, complete, correct and not misleading) as of the date of this Subscription Agreement and as of the date of the Closing, except for those representations and warranties which are explicitly made as of a specific date.</w:t>
      </w:r>
    </w:p>
    <w:p>
      <w:pPr>
        <w:sectPr>
          <w:pgSz w:w="11900" w:h="16838" w:orient="portrait"/>
          <w:cols w:equalWidth="0" w:num="1">
            <w:col w:w="11420"/>
          </w:cols>
          <w:pgMar w:left="240" w:top="273" w:right="239" w:bottom="1440" w:gutter="0" w:footer="0" w:header="0"/>
        </w:sectPr>
      </w:pPr>
    </w:p>
    <w:bookmarkStart w:id="609" w:name="page610"/>
    <w:bookmarkEnd w:id="609"/>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Representation and Warranties by each Investor</w:t>
      </w:r>
    </w:p>
    <w:p>
      <w:pPr>
        <w:spacing w:after="0" w:line="113" w:lineRule="exact"/>
        <w:rPr>
          <w:sz w:val="20"/>
          <w:szCs w:val="20"/>
          <w:color w:val="auto"/>
        </w:rPr>
      </w:pPr>
    </w:p>
    <w:p>
      <w:pPr>
        <w:ind w:left="700" w:right="100"/>
        <w:spacing w:after="0" w:line="277" w:lineRule="auto"/>
        <w:rPr>
          <w:sz w:val="20"/>
          <w:szCs w:val="20"/>
          <w:color w:val="auto"/>
        </w:rPr>
      </w:pPr>
      <w:r>
        <w:rPr>
          <w:rFonts w:ascii="Arial" w:cs="Arial" w:eastAsia="Arial" w:hAnsi="Arial"/>
          <w:sz w:val="17"/>
          <w:szCs w:val="17"/>
          <w:color w:val="auto"/>
        </w:rPr>
        <w:t xml:space="preserve">Subject to the limitations set forth in this Section 7 (including </w:t>
      </w:r>
      <w:r>
        <w:rPr>
          <w:rFonts w:ascii="Arial" w:cs="Arial" w:eastAsia="Arial" w:hAnsi="Arial"/>
          <w:sz w:val="17"/>
          <w:szCs w:val="17"/>
          <w:b w:val="1"/>
          <w:bCs w:val="1"/>
          <w:color w:val="auto"/>
        </w:rPr>
        <w:t>Annex 7.2</w:t>
      </w:r>
      <w:r>
        <w:rPr>
          <w:rFonts w:ascii="Arial" w:cs="Arial" w:eastAsia="Arial" w:hAnsi="Arial"/>
          <w:sz w:val="17"/>
          <w:szCs w:val="17"/>
          <w:color w:val="auto"/>
        </w:rPr>
        <w:t xml:space="preserve">) and Section 8, each Investor hereby represents and warrants in the sense of an independent guarantee as of the time of signing of this Subscription Agreement to the Company, that the representations and warranties set forth in </w:t>
      </w:r>
      <w:r>
        <w:rPr>
          <w:rFonts w:ascii="Arial" w:cs="Arial" w:eastAsia="Arial" w:hAnsi="Arial"/>
          <w:sz w:val="17"/>
          <w:szCs w:val="17"/>
          <w:b w:val="1"/>
          <w:bCs w:val="1"/>
          <w:color w:val="auto"/>
        </w:rPr>
        <w:t>Annex 7.2</w:t>
      </w:r>
      <w:r>
        <w:rPr>
          <w:rFonts w:ascii="Arial" w:cs="Arial" w:eastAsia="Arial" w:hAnsi="Arial"/>
          <w:sz w:val="17"/>
          <w:szCs w:val="17"/>
          <w:color w:val="auto"/>
        </w:rPr>
        <w:t xml:space="preserve"> are in all material respects true, complete, correct and not misleading as of the date of this Subscription Agreement and as of the date of the Closing, except for those representations and warranties which are explicitly made as of a specific date. Each Investor agrees that Credit Suisse Investment Banking may rely on the representations and warranties set forth in </w:t>
      </w:r>
      <w:r>
        <w:rPr>
          <w:rFonts w:ascii="Arial" w:cs="Arial" w:eastAsia="Arial" w:hAnsi="Arial"/>
          <w:sz w:val="17"/>
          <w:szCs w:val="17"/>
          <w:b w:val="1"/>
          <w:bCs w:val="1"/>
          <w:color w:val="auto"/>
        </w:rPr>
        <w:t>Annex 7.2.</w:t>
      </w:r>
    </w:p>
    <w:p>
      <w:pPr>
        <w:spacing w:after="0" w:line="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Exclusive Representations and Warranties</w:t>
      </w:r>
    </w:p>
    <w:p>
      <w:pPr>
        <w:spacing w:after="0" w:line="117" w:lineRule="exact"/>
        <w:rPr>
          <w:sz w:val="20"/>
          <w:szCs w:val="20"/>
          <w:color w:val="auto"/>
        </w:rPr>
      </w:pPr>
    </w:p>
    <w:p>
      <w:pPr>
        <w:ind w:left="700" w:right="100"/>
        <w:spacing w:after="0" w:line="290" w:lineRule="auto"/>
        <w:rPr>
          <w:sz w:val="20"/>
          <w:szCs w:val="20"/>
          <w:color w:val="auto"/>
        </w:rPr>
      </w:pPr>
      <w:r>
        <w:rPr>
          <w:rFonts w:ascii="Arial" w:cs="Arial" w:eastAsia="Arial" w:hAnsi="Arial"/>
          <w:sz w:val="16"/>
          <w:szCs w:val="16"/>
          <w:color w:val="auto"/>
        </w:rPr>
        <w:t xml:space="preserve">The Parties acknowledge that none of the Parties has made, and none of the Parties has relied upon, any representation or warranty, express or implied, pertaining to the subject matter of this Subscription Agreement other than as expressly provided in this Subscription Agreement. Without prejudice to the foregoing, the Company hereby acknowledges that each of the Investors has entered into this Subscription Agreement and is subscribing the Series E Preferred Shares in reliance on each of the representations and warranties set forth in this Section 7 (including </w:t>
      </w:r>
      <w:r>
        <w:rPr>
          <w:rFonts w:ascii="Arial" w:cs="Arial" w:eastAsia="Arial" w:hAnsi="Arial"/>
          <w:sz w:val="16"/>
          <w:szCs w:val="16"/>
          <w:b w:val="1"/>
          <w:bCs w:val="1"/>
          <w:color w:val="auto"/>
        </w:rPr>
        <w:t>Annex 7.1</w:t>
      </w:r>
      <w:r>
        <w:rPr>
          <w:rFonts w:ascii="Arial" w:cs="Arial" w:eastAsia="Arial" w:hAnsi="Arial"/>
          <w:sz w:val="16"/>
          <w:szCs w:val="16"/>
          <w:color w:val="auto"/>
        </w:rPr>
        <w:t>). Each Investor acknowledges that such Investor is not relying upon any person, other than the Company and its officers and directors, in making its investment or decision to invest in the Company. Each Investor agrees that neither any Investor nor its respective controlling persons, officers, directors, partners, agents, nor employees nor any partners or agents of such Investor shall be liable to any other Investor for any action taken or omitted to be taken by any of them in connection with this Subscription Agreement.</w:t>
      </w:r>
    </w:p>
    <w:p>
      <w:pPr>
        <w:spacing w:after="0" w:line="311" w:lineRule="exact"/>
        <w:rPr>
          <w:sz w:val="20"/>
          <w:szCs w:val="20"/>
          <w:color w:val="auto"/>
        </w:rPr>
      </w:pPr>
    </w:p>
    <w:p>
      <w:pPr>
        <w:ind w:left="680" w:hanging="672"/>
        <w:spacing w:after="0"/>
        <w:tabs>
          <w:tab w:leader="none" w:pos="680"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REMEDIES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Notice of Breach (</w:t>
      </w:r>
      <w:r>
        <w:rPr>
          <w:rFonts w:ascii="Arial" w:cs="Arial" w:eastAsia="Arial" w:hAnsi="Arial"/>
          <w:sz w:val="16"/>
          <w:szCs w:val="16"/>
          <w:i w:val="1"/>
          <w:iCs w:val="1"/>
          <w:color w:val="auto"/>
        </w:rPr>
        <w:t>Rügefrist</w:t>
      </w:r>
      <w:r>
        <w:rPr>
          <w:rFonts w:ascii="Arial" w:cs="Arial" w:eastAsia="Arial" w:hAnsi="Arial"/>
          <w:sz w:val="16"/>
          <w:szCs w:val="16"/>
          <w:color w:val="auto"/>
        </w:rPr>
        <w:t>)</w:t>
      </w:r>
    </w:p>
    <w:p>
      <w:pPr>
        <w:spacing w:after="0" w:line="117" w:lineRule="exact"/>
        <w:rPr>
          <w:sz w:val="20"/>
          <w:szCs w:val="20"/>
          <w:color w:val="auto"/>
        </w:rPr>
      </w:pPr>
    </w:p>
    <w:p>
      <w:pPr>
        <w:ind w:left="700" w:right="260"/>
        <w:spacing w:after="0" w:line="259" w:lineRule="auto"/>
        <w:rPr>
          <w:sz w:val="20"/>
          <w:szCs w:val="20"/>
          <w:color w:val="auto"/>
        </w:rPr>
      </w:pPr>
      <w:r>
        <w:rPr>
          <w:rFonts w:ascii="Arial" w:cs="Arial" w:eastAsia="Arial" w:hAnsi="Arial"/>
          <w:sz w:val="18"/>
          <w:szCs w:val="18"/>
          <w:color w:val="auto"/>
        </w:rPr>
        <w:t>An Investor claiming a breach shall deliver to the Company a notice in writing describing the underlying facts of a claim for misrepresentation or breach of warranty in reasonable detail to the extent then known within sixty (60) calendar days after such Investor has obtained reasonable knowledge of the circumstances which are likely to give rise to a claim for misrepresentation or breach of warranty under this Subscription Agreement.</w:t>
      </w:r>
    </w:p>
    <w:p>
      <w:pPr>
        <w:spacing w:after="0" w:line="79" w:lineRule="exact"/>
        <w:rPr>
          <w:sz w:val="20"/>
          <w:szCs w:val="20"/>
          <w:color w:val="auto"/>
        </w:rPr>
      </w:pPr>
    </w:p>
    <w:p>
      <w:pPr>
        <w:ind w:left="700" w:right="280"/>
        <w:spacing w:after="0" w:line="259" w:lineRule="auto"/>
        <w:rPr>
          <w:sz w:val="20"/>
          <w:szCs w:val="20"/>
          <w:color w:val="auto"/>
        </w:rPr>
      </w:pPr>
      <w:r>
        <w:rPr>
          <w:rFonts w:ascii="Arial" w:cs="Arial" w:eastAsia="Arial" w:hAnsi="Arial"/>
          <w:sz w:val="18"/>
          <w:szCs w:val="18"/>
          <w:color w:val="auto"/>
        </w:rPr>
        <w:t>Failure to provide notice of claim consistent with this Section 8.1 shall not relieve the Company of any liability it may have under Section 7; provided, however, that the Company shall not be liable for any damage, loss, expense, or cost to the extent that the same is attributable to, or caused or aggravated by, or could not be remedied due to, that Investor’s failure to timely provide notice in accordance with this Section 8.1. The Parties explicitly waive the application of Article 201 CO.</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The rules in this Section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case the Company makes a claim towards an Investor.</w:t>
      </w:r>
    </w:p>
    <w:p>
      <w:pPr>
        <w:sectPr>
          <w:pgSz w:w="11900" w:h="16838" w:orient="portrait"/>
          <w:cols w:equalWidth="0" w:num="1">
            <w:col w:w="11420"/>
          </w:cols>
          <w:pgMar w:left="240" w:top="275" w:right="239" w:bottom="1440" w:gutter="0" w:footer="0" w:header="0"/>
        </w:sectPr>
      </w:pPr>
    </w:p>
    <w:bookmarkStart w:id="610" w:name="page611"/>
    <w:bookmarkEnd w:id="610"/>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Time Limitations on Claims (</w:t>
      </w:r>
      <w:r>
        <w:rPr>
          <w:rFonts w:ascii="Arial" w:cs="Arial" w:eastAsia="Arial" w:hAnsi="Arial"/>
          <w:sz w:val="16"/>
          <w:szCs w:val="16"/>
          <w:i w:val="1"/>
          <w:iCs w:val="1"/>
          <w:color w:val="auto"/>
        </w:rPr>
        <w:t>Verjährung / prescription</w:t>
      </w:r>
      <w:r>
        <w:rPr>
          <w:rFonts w:ascii="Arial" w:cs="Arial" w:eastAsia="Arial" w:hAnsi="Arial"/>
          <w:sz w:val="16"/>
          <w:szCs w:val="16"/>
          <w:color w:val="auto"/>
        </w:rPr>
        <w:t>)</w:t>
      </w:r>
    </w:p>
    <w:p>
      <w:pPr>
        <w:spacing w:after="0" w:line="113" w:lineRule="exact"/>
        <w:rPr>
          <w:sz w:val="20"/>
          <w:szCs w:val="20"/>
          <w:color w:val="auto"/>
        </w:rPr>
      </w:pPr>
    </w:p>
    <w:p>
      <w:pPr>
        <w:ind w:left="700" w:right="260"/>
        <w:spacing w:after="0" w:line="347" w:lineRule="auto"/>
        <w:rPr>
          <w:sz w:val="20"/>
          <w:szCs w:val="20"/>
          <w:color w:val="auto"/>
        </w:rPr>
      </w:pPr>
      <w:r>
        <w:rPr>
          <w:rFonts w:ascii="Arial" w:cs="Arial" w:eastAsia="Arial" w:hAnsi="Arial"/>
          <w:sz w:val="16"/>
          <w:szCs w:val="16"/>
          <w:color w:val="auto"/>
        </w:rPr>
        <w:t xml:space="preserve">The representations and warranties given by the Company as set forth in Section 7.1 and </w:t>
      </w:r>
      <w:r>
        <w:rPr>
          <w:rFonts w:ascii="Arial" w:cs="Arial" w:eastAsia="Arial" w:hAnsi="Arial"/>
          <w:sz w:val="16"/>
          <w:szCs w:val="16"/>
          <w:b w:val="1"/>
          <w:bCs w:val="1"/>
          <w:color w:val="auto"/>
        </w:rPr>
        <w:t>Annex 7.1</w:t>
      </w:r>
      <w:r>
        <w:rPr>
          <w:rFonts w:ascii="Arial" w:cs="Arial" w:eastAsia="Arial" w:hAnsi="Arial"/>
          <w:sz w:val="16"/>
          <w:szCs w:val="16"/>
          <w:color w:val="auto"/>
        </w:rPr>
        <w:t xml:space="preserve"> shall expire, and any claim of an Investor for misrepresentation or breach of warranty shall be time barred, forfeited and precluded from being made (</w:t>
      </w:r>
      <w:r>
        <w:rPr>
          <w:rFonts w:ascii="Arial" w:cs="Arial" w:eastAsia="Arial" w:hAnsi="Arial"/>
          <w:sz w:val="16"/>
          <w:szCs w:val="16"/>
          <w:i w:val="1"/>
          <w:iCs w:val="1"/>
          <w:color w:val="auto"/>
        </w:rPr>
        <w:t>Verjährung / prescription</w:t>
      </w:r>
      <w:r>
        <w:rPr>
          <w:rFonts w:ascii="Arial" w:cs="Arial" w:eastAsia="Arial" w:hAnsi="Arial"/>
          <w:sz w:val="16"/>
          <w:szCs w:val="16"/>
          <w:color w:val="auto"/>
        </w:rPr>
        <w:t>):</w:t>
      </w:r>
    </w:p>
    <w:p>
      <w:pPr>
        <w:spacing w:after="0" w:line="22" w:lineRule="exact"/>
        <w:rPr>
          <w:sz w:val="20"/>
          <w:szCs w:val="20"/>
          <w:color w:val="auto"/>
        </w:rPr>
      </w:pPr>
    </w:p>
    <w:p>
      <w:pPr>
        <w:ind w:left="1120" w:right="780" w:hanging="437"/>
        <w:spacing w:after="0" w:line="282" w:lineRule="auto"/>
        <w:tabs>
          <w:tab w:leader="none" w:pos="11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 xml:space="preserve">with respect to the representations and warranties made in </w:t>
      </w:r>
      <w:r>
        <w:rPr>
          <w:rFonts w:ascii="Arial" w:cs="Arial" w:eastAsia="Arial" w:hAnsi="Arial"/>
          <w:sz w:val="18"/>
          <w:szCs w:val="18"/>
          <w:b w:val="1"/>
          <w:bCs w:val="1"/>
          <w:color w:val="auto"/>
        </w:rPr>
        <w:t>Annex 7.1</w:t>
      </w:r>
      <w:r>
        <w:rPr>
          <w:rFonts w:ascii="Arial" w:cs="Arial" w:eastAsia="Arial" w:hAnsi="Arial"/>
          <w:sz w:val="18"/>
          <w:szCs w:val="18"/>
          <w:color w:val="auto"/>
        </w:rPr>
        <w:t xml:space="preserve"> Sections 1 (Incorporation and Authority), 2 (Capitalization), 3 (Authorization) and 4 (Valid Issuance of Shares) as of the tenth (10</w:t>
      </w:r>
      <w:r>
        <w:rPr>
          <w:rFonts w:ascii="Arial" w:cs="Arial" w:eastAsia="Arial" w:hAnsi="Arial"/>
          <w:sz w:val="15"/>
          <w:szCs w:val="15"/>
          <w:color w:val="auto"/>
        </w:rPr>
        <w:t>th</w:t>
      </w:r>
      <w:r>
        <w:rPr>
          <w:rFonts w:ascii="Arial" w:cs="Arial" w:eastAsia="Arial" w:hAnsi="Arial"/>
          <w:sz w:val="18"/>
          <w:szCs w:val="18"/>
          <w:color w:val="auto"/>
        </w:rPr>
        <w:t>) anniversary of the Closing;</w:t>
      </w:r>
    </w:p>
    <w:p>
      <w:pPr>
        <w:spacing w:after="0" w:line="67" w:lineRule="exact"/>
        <w:rPr>
          <w:rFonts w:ascii="Arial" w:cs="Arial" w:eastAsia="Arial" w:hAnsi="Arial"/>
          <w:sz w:val="18"/>
          <w:szCs w:val="18"/>
          <w:color w:val="auto"/>
        </w:rPr>
      </w:pPr>
    </w:p>
    <w:p>
      <w:pPr>
        <w:ind w:left="1120" w:right="120" w:hanging="437"/>
        <w:spacing w:after="0" w:line="261" w:lineRule="auto"/>
        <w:tabs>
          <w:tab w:leader="none" w:pos="11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 xml:space="preserve">with respect to the representations and warranties made in </w:t>
      </w:r>
      <w:r>
        <w:rPr>
          <w:rFonts w:ascii="Arial" w:cs="Arial" w:eastAsia="Arial" w:hAnsi="Arial"/>
          <w:sz w:val="18"/>
          <w:szCs w:val="18"/>
          <w:b w:val="1"/>
          <w:bCs w:val="1"/>
          <w:color w:val="auto"/>
        </w:rPr>
        <w:t>Annex 7.1</w:t>
      </w:r>
      <w:r>
        <w:rPr>
          <w:rFonts w:ascii="Arial" w:cs="Arial" w:eastAsia="Arial" w:hAnsi="Arial"/>
          <w:sz w:val="18"/>
          <w:szCs w:val="18"/>
          <w:color w:val="auto"/>
        </w:rPr>
        <w:t xml:space="preserve"> Sections 16 (Payments of Taxes) and 18 (Social Security and Pensions) on the earlier of: (i) six (6) months after the date on which the relevant Taxes have been finally assessed (</w:t>
      </w:r>
      <w:r>
        <w:rPr>
          <w:rFonts w:ascii="Arial" w:cs="Arial" w:eastAsia="Arial" w:hAnsi="Arial"/>
          <w:sz w:val="18"/>
          <w:szCs w:val="18"/>
          <w:i w:val="1"/>
          <w:iCs w:val="1"/>
          <w:color w:val="auto"/>
        </w:rPr>
        <w:t>veranlagt / taxées</w:t>
      </w:r>
      <w:r>
        <w:rPr>
          <w:rFonts w:ascii="Arial" w:cs="Arial" w:eastAsia="Arial" w:hAnsi="Arial"/>
          <w:sz w:val="18"/>
          <w:szCs w:val="18"/>
          <w:color w:val="auto"/>
        </w:rPr>
        <w:t>) and such assessment has become legally binding (</w:t>
      </w:r>
      <w:r>
        <w:rPr>
          <w:rFonts w:ascii="Arial" w:cs="Arial" w:eastAsia="Arial" w:hAnsi="Arial"/>
          <w:sz w:val="18"/>
          <w:szCs w:val="18"/>
          <w:i w:val="1"/>
          <w:iCs w:val="1"/>
          <w:color w:val="auto"/>
        </w:rPr>
        <w:t>rechtskräftig / définitivement jugées</w:t>
      </w:r>
      <w:r>
        <w:rPr>
          <w:rFonts w:ascii="Arial" w:cs="Arial" w:eastAsia="Arial" w:hAnsi="Arial"/>
          <w:sz w:val="18"/>
          <w:szCs w:val="18"/>
          <w:color w:val="auto"/>
        </w:rPr>
        <w:t>), or (ii) the date on which the statute of limitations for the relevant Taxes has expired; or</w:t>
      </w:r>
    </w:p>
    <w:p>
      <w:pPr>
        <w:spacing w:after="0" w:line="85" w:lineRule="exact"/>
        <w:rPr>
          <w:rFonts w:ascii="Arial" w:cs="Arial" w:eastAsia="Arial" w:hAnsi="Arial"/>
          <w:sz w:val="18"/>
          <w:szCs w:val="18"/>
          <w:color w:val="auto"/>
        </w:rPr>
      </w:pPr>
    </w:p>
    <w:p>
      <w:pPr>
        <w:ind w:left="1120" w:right="600" w:hanging="437"/>
        <w:spacing w:after="0" w:line="282" w:lineRule="auto"/>
        <w:tabs>
          <w:tab w:leader="none" w:pos="112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 xml:space="preserve">with respect to all other representations and warranties made in </w:t>
      </w:r>
      <w:r>
        <w:rPr>
          <w:rFonts w:ascii="Arial" w:cs="Arial" w:eastAsia="Arial" w:hAnsi="Arial"/>
          <w:sz w:val="18"/>
          <w:szCs w:val="18"/>
          <w:b w:val="1"/>
          <w:bCs w:val="1"/>
          <w:color w:val="auto"/>
        </w:rPr>
        <w:t>Annex 7.1</w:t>
      </w:r>
      <w:r>
        <w:rPr>
          <w:rFonts w:ascii="Arial" w:cs="Arial" w:eastAsia="Arial" w:hAnsi="Arial"/>
          <w:sz w:val="18"/>
          <w:szCs w:val="18"/>
          <w:color w:val="auto"/>
        </w:rPr>
        <w:t>, as of the expiry of a period of twelve (12) months from the Closing.</w:t>
      </w:r>
    </w:p>
    <w:p>
      <w:pPr>
        <w:spacing w:after="0" w:line="54" w:lineRule="exact"/>
        <w:rPr>
          <w:sz w:val="20"/>
          <w:szCs w:val="20"/>
          <w:color w:val="auto"/>
        </w:rPr>
      </w:pPr>
    </w:p>
    <w:p>
      <w:pPr>
        <w:jc w:val="both"/>
        <w:ind w:left="700" w:right="100"/>
        <w:spacing w:after="0" w:line="266" w:lineRule="auto"/>
        <w:rPr>
          <w:sz w:val="20"/>
          <w:szCs w:val="20"/>
          <w:color w:val="auto"/>
        </w:rPr>
      </w:pPr>
      <w:r>
        <w:rPr>
          <w:rFonts w:ascii="Arial" w:cs="Arial" w:eastAsia="Arial" w:hAnsi="Arial"/>
          <w:sz w:val="18"/>
          <w:szCs w:val="18"/>
          <w:color w:val="auto"/>
        </w:rPr>
        <w:t xml:space="preserve">The representations and warranties given by each Investor as set forth in Section 7.2 and </w:t>
      </w:r>
      <w:r>
        <w:rPr>
          <w:rFonts w:ascii="Arial" w:cs="Arial" w:eastAsia="Arial" w:hAnsi="Arial"/>
          <w:sz w:val="18"/>
          <w:szCs w:val="18"/>
          <w:b w:val="1"/>
          <w:bCs w:val="1"/>
          <w:color w:val="auto"/>
        </w:rPr>
        <w:t>Annex 7.2</w:t>
      </w:r>
      <w:r>
        <w:rPr>
          <w:rFonts w:ascii="Arial" w:cs="Arial" w:eastAsia="Arial" w:hAnsi="Arial"/>
          <w:sz w:val="18"/>
          <w:szCs w:val="18"/>
          <w:color w:val="auto"/>
        </w:rPr>
        <w:t xml:space="preserve"> shall expire, and any claim of the Company for misrepresentation or breach of warranty shall be time barred, forfeited and precluded from being made (</w:t>
      </w:r>
      <w:r>
        <w:rPr>
          <w:rFonts w:ascii="Arial" w:cs="Arial" w:eastAsia="Arial" w:hAnsi="Arial"/>
          <w:sz w:val="18"/>
          <w:szCs w:val="18"/>
          <w:i w:val="1"/>
          <w:iCs w:val="1"/>
          <w:color w:val="auto"/>
        </w:rPr>
        <w:t>Verjährung / prescription</w:t>
      </w:r>
      <w:r>
        <w:rPr>
          <w:rFonts w:ascii="Arial" w:cs="Arial" w:eastAsia="Arial" w:hAnsi="Arial"/>
          <w:sz w:val="18"/>
          <w:szCs w:val="18"/>
          <w:color w:val="auto"/>
        </w:rPr>
        <w:t>) as of the expiry of a period of twelve (12) months from the Closing.</w:t>
      </w:r>
    </w:p>
    <w:p>
      <w:pPr>
        <w:spacing w:after="0" w:line="72" w:lineRule="exact"/>
        <w:rPr>
          <w:sz w:val="20"/>
          <w:szCs w:val="20"/>
          <w:color w:val="auto"/>
        </w:rPr>
      </w:pPr>
    </w:p>
    <w:p>
      <w:pPr>
        <w:ind w:left="700" w:right="140"/>
        <w:spacing w:after="0" w:line="291" w:lineRule="auto"/>
        <w:rPr>
          <w:sz w:val="20"/>
          <w:szCs w:val="20"/>
          <w:color w:val="auto"/>
        </w:rPr>
      </w:pPr>
      <w:r>
        <w:rPr>
          <w:rFonts w:ascii="Arial" w:cs="Arial" w:eastAsia="Arial" w:hAnsi="Arial"/>
          <w:sz w:val="16"/>
          <w:szCs w:val="16"/>
          <w:color w:val="auto"/>
        </w:rPr>
        <w:t>An Investor shall be entitled to make a claim in respect of liability which is contingent or unascertained provided that written notice of the claim (giving as far as practical the amount and details of the claim) is given to the Company before the expiry of the relevant periods specified in this Section. Any notice of claim for misrepresentation or breach of warranty may be delivered to the Company on or by the applicable date set forth in the preceding paragraphs, in which case the resolution of such claim may be effected after such date; provided, however, that notwithstanding the foregoing, such Investor’s claim shall be time-barred, forfeited and precluded from being made (</w:t>
      </w:r>
      <w:r>
        <w:rPr>
          <w:rFonts w:ascii="Arial" w:cs="Arial" w:eastAsia="Arial" w:hAnsi="Arial"/>
          <w:sz w:val="16"/>
          <w:szCs w:val="16"/>
          <w:i w:val="1"/>
          <w:iCs w:val="1"/>
          <w:color w:val="auto"/>
        </w:rPr>
        <w:t>verjährt / prescrit)</w:t>
      </w:r>
      <w:r>
        <w:rPr>
          <w:rFonts w:ascii="Arial" w:cs="Arial" w:eastAsia="Arial" w:hAnsi="Arial"/>
          <w:sz w:val="16"/>
          <w:szCs w:val="16"/>
          <w:color w:val="auto"/>
        </w:rPr>
        <w:t xml:space="preserve"> unless such Investor initiates proceedings on the claim against the Company pursuant to Section 11.13 (Arbitration) within twelve (12) months from the date of such Investor’s notice of claim to the Company. The rules in this paragraph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in case the Company makes a claim towards an Investor.</w:t>
      </w:r>
    </w:p>
    <w:p>
      <w:pPr>
        <w:spacing w:after="0" w:line="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Remedies for the Investors</w:t>
      </w:r>
    </w:p>
    <w:p>
      <w:pPr>
        <w:spacing w:after="0" w:line="117" w:lineRule="exact"/>
        <w:rPr>
          <w:sz w:val="20"/>
          <w:szCs w:val="20"/>
          <w:color w:val="auto"/>
        </w:rPr>
      </w:pPr>
    </w:p>
    <w:p>
      <w:pPr>
        <w:ind w:left="700" w:right="100"/>
        <w:spacing w:after="0" w:line="257" w:lineRule="auto"/>
        <w:rPr>
          <w:sz w:val="20"/>
          <w:szCs w:val="20"/>
          <w:color w:val="auto"/>
        </w:rPr>
      </w:pPr>
      <w:r>
        <w:rPr>
          <w:rFonts w:ascii="Arial" w:cs="Arial" w:eastAsia="Arial" w:hAnsi="Arial"/>
          <w:sz w:val="18"/>
          <w:szCs w:val="18"/>
          <w:color w:val="auto"/>
        </w:rPr>
        <w:t>The Investors shall be indemnified for any and all direct costs, expenses, damages, claims, actions, demands, penalties or other liabilities including loss of Series E Original Issue Price but excluding any lost profits, resulting as a consequence of any inaccuracy or breach of any representation, warranty, covenant, undertaking, confirmation or obligation (the “</w:t>
      </w:r>
      <w:r>
        <w:rPr>
          <w:rFonts w:ascii="Arial" w:cs="Arial" w:eastAsia="Arial" w:hAnsi="Arial"/>
          <w:sz w:val="18"/>
          <w:szCs w:val="18"/>
          <w:b w:val="1"/>
          <w:bCs w:val="1"/>
          <w:color w:val="auto"/>
        </w:rPr>
        <w:t>Loss</w:t>
      </w:r>
      <w:r>
        <w:rPr>
          <w:rFonts w:ascii="Arial" w:cs="Arial" w:eastAsia="Arial" w:hAnsi="Arial"/>
          <w:sz w:val="18"/>
          <w:szCs w:val="18"/>
          <w:color w:val="auto"/>
        </w:rPr>
        <w:t>”), pursuant to the terms and conditions in this Section 8.3 thereby excluding any other remedy. The term Loss shall also include all duly documented external costs and reasonable expenses of the Investors claiming the Loss including reasonable attorneys’ fees.</w:t>
      </w:r>
    </w:p>
    <w:p>
      <w:pPr>
        <w:sectPr>
          <w:pgSz w:w="11900" w:h="16838" w:orient="portrait"/>
          <w:cols w:equalWidth="0" w:num="1">
            <w:col w:w="11420"/>
          </w:cols>
          <w:pgMar w:left="240" w:top="274" w:right="239" w:bottom="1440" w:gutter="0" w:footer="0" w:header="0"/>
        </w:sectPr>
      </w:pPr>
    </w:p>
    <w:bookmarkStart w:id="611" w:name="page612"/>
    <w:bookmarkEnd w:id="611"/>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left="700" w:right="240"/>
        <w:spacing w:after="0" w:line="264" w:lineRule="auto"/>
        <w:rPr>
          <w:sz w:val="20"/>
          <w:szCs w:val="20"/>
          <w:color w:val="auto"/>
        </w:rPr>
      </w:pPr>
      <w:r>
        <w:rPr>
          <w:rFonts w:ascii="Arial" w:cs="Arial" w:eastAsia="Arial" w:hAnsi="Arial"/>
          <w:sz w:val="18"/>
          <w:szCs w:val="18"/>
          <w:color w:val="auto"/>
        </w:rPr>
        <w:t>To the extent the claimed Loss is remedied in full by the Company immediately upon receiving notification of the Loss, or at the latest within one month after receiving the claim, and provided the Company has established the contractually due status, the claim shall lapse and be of no further effect.</w:t>
      </w:r>
    </w:p>
    <w:p>
      <w:pPr>
        <w:spacing w:after="0" w:line="73" w:lineRule="exact"/>
        <w:rPr>
          <w:sz w:val="20"/>
          <w:szCs w:val="20"/>
          <w:color w:val="auto"/>
        </w:rPr>
      </w:pPr>
    </w:p>
    <w:p>
      <w:pPr>
        <w:ind w:left="700" w:right="240"/>
        <w:spacing w:after="0" w:line="286" w:lineRule="auto"/>
        <w:rPr>
          <w:sz w:val="20"/>
          <w:szCs w:val="20"/>
          <w:color w:val="auto"/>
        </w:rPr>
      </w:pPr>
      <w:r>
        <w:rPr>
          <w:rFonts w:ascii="Arial" w:cs="Arial" w:eastAsia="Arial" w:hAnsi="Arial"/>
          <w:sz w:val="17"/>
          <w:szCs w:val="17"/>
          <w:color w:val="auto"/>
        </w:rPr>
        <w:t>Subject to Section 8.4 hereinafter and subject to the subsequent paragraph, the Loss shall be compensated in full by the Company by way of a compensatory capital increase of the Company’s share capital (“</w:t>
      </w:r>
      <w:r>
        <w:rPr>
          <w:rFonts w:ascii="Arial" w:cs="Arial" w:eastAsia="Arial" w:hAnsi="Arial"/>
          <w:sz w:val="17"/>
          <w:szCs w:val="17"/>
          <w:b w:val="1"/>
          <w:bCs w:val="1"/>
          <w:color w:val="auto"/>
        </w:rPr>
        <w:t>Compensatory Capital Increase</w:t>
      </w:r>
      <w:r>
        <w:rPr>
          <w:rFonts w:ascii="Arial" w:cs="Arial" w:eastAsia="Arial" w:hAnsi="Arial"/>
          <w:sz w:val="17"/>
          <w:szCs w:val="17"/>
          <w:color w:val="auto"/>
        </w:rPr>
        <w:t>”). The Compensatory Capital Increase shall be resolved and completed without undue delay after the demand by such Investor or Investors.</w:t>
      </w:r>
    </w:p>
    <w:p>
      <w:pPr>
        <w:spacing w:after="0" w:line="57" w:lineRule="exact"/>
        <w:rPr>
          <w:sz w:val="20"/>
          <w:szCs w:val="20"/>
          <w:color w:val="auto"/>
        </w:rPr>
      </w:pPr>
    </w:p>
    <w:p>
      <w:pPr>
        <w:ind w:left="700" w:right="100"/>
        <w:spacing w:after="0" w:line="297" w:lineRule="auto"/>
        <w:rPr>
          <w:sz w:val="20"/>
          <w:szCs w:val="20"/>
          <w:color w:val="auto"/>
        </w:rPr>
      </w:pPr>
      <w:r>
        <w:rPr>
          <w:rFonts w:ascii="Arial" w:cs="Arial" w:eastAsia="Arial" w:hAnsi="Arial"/>
          <w:sz w:val="16"/>
          <w:szCs w:val="16"/>
          <w:color w:val="auto"/>
        </w:rPr>
        <w:t>As part of the Compensatory Capital Increase, the Investors shall be invited, to the exclusion of the subscription rights of all other Shareholders, to subscribe to the number of Series E Preferred Shares at its nominal value (currently CHF 5.00) per share so that the Investors shall receive such participation in the Company’s share capital as if the Investors had invested the funds committed under this Subscription Agreement and the additional funds provided in the Compensatory Capital Increase from the start at the Reduced Valuation. The “Reduced Valuation” shall be equal to a pre-money valuation of the Company (i.e. before the Series E Financing Round) less the amount of all Losses.</w:t>
      </w:r>
    </w:p>
    <w:p>
      <w:pPr>
        <w:spacing w:after="0" w:line="50" w:lineRule="exact"/>
        <w:rPr>
          <w:sz w:val="20"/>
          <w:szCs w:val="20"/>
          <w:color w:val="auto"/>
        </w:rPr>
      </w:pPr>
    </w:p>
    <w:p>
      <w:pPr>
        <w:ind w:left="700" w:right="360"/>
        <w:spacing w:after="0" w:line="308" w:lineRule="auto"/>
        <w:rPr>
          <w:sz w:val="20"/>
          <w:szCs w:val="20"/>
          <w:color w:val="auto"/>
        </w:rPr>
      </w:pPr>
      <w:r>
        <w:rPr>
          <w:rFonts w:ascii="Arial" w:cs="Arial" w:eastAsia="Arial" w:hAnsi="Arial"/>
          <w:sz w:val="17"/>
          <w:szCs w:val="17"/>
          <w:color w:val="auto"/>
        </w:rPr>
        <w:t>To the extent that the Compensatory Capital Increase cannot be implemented, resolved or is blocked for whatever reason for a period of 90 days after the claim is due, the Company shall indemnify the Investors irrespective of fault for any Loss through a payment in cash.</w:t>
      </w:r>
    </w:p>
    <w:p>
      <w:pPr>
        <w:spacing w:after="0" w:line="38"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The remedies in this Section 8.3 for any misrepresentation or breach of warranty under this Subscription Agreement by the Company shall be in lieu of, and not in addition to, the remedies provided for under statutory law. All other remedies including, without limitation, the right to rescind this Subscription Agreement shall, subject to the right of termination and rescission in accordance with Section 6, not apply and are expressly excluded and waived.</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Limitations on Liability by the Company</w:t>
      </w:r>
    </w:p>
    <w:p>
      <w:pPr>
        <w:spacing w:after="0" w:line="117"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The liability of the Company and towards all Investors for misrepresentations or breaches of warranties under this Subscription Agreement shall be excluded if the aggregate amount of the claimed Basket Losses for all Investors does not exceed CHF 1’000’000; provided, however, in the case the total claimed Basket Losses exceed CHF 1’000’000, the entire Loss (and not only the amount above the claimed Basket Losses) is to be compensated. For purposes hereof, “Basket Losses” shall mean actual damages, claims, actions, demands, penalties or other liabilities including loss of Series E Original Issue Price but excluding any lost profits, resulting as a consequence of any inaccuracy or breach of any representation, warranty, covenant, undertaking, confirmation or obligation but excluding attorney’s fees and other external costs and expenses of the Investors claiming the Loss.</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Each Investor confirms not to be aware that the Company is in breach of any representation or warranty at the date of this Subscription Agreement.</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Parties explicitly exclude and waive Article 200 para 2 CO, if and to the extent applicable.</w:t>
      </w:r>
    </w:p>
    <w:p>
      <w:pPr>
        <w:sectPr>
          <w:pgSz w:w="11900" w:h="16838" w:orient="portrait"/>
          <w:cols w:equalWidth="0" w:num="1">
            <w:col w:w="11420"/>
          </w:cols>
          <w:pgMar w:left="240" w:top="274" w:right="239" w:bottom="1440" w:gutter="0" w:footer="0" w:header="0"/>
        </w:sectPr>
      </w:pPr>
    </w:p>
    <w:bookmarkStart w:id="612" w:name="page613"/>
    <w:bookmarkEnd w:id="612"/>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00" w:right="280"/>
        <w:spacing w:after="0" w:line="277" w:lineRule="auto"/>
        <w:rPr>
          <w:sz w:val="20"/>
          <w:szCs w:val="20"/>
          <w:color w:val="auto"/>
        </w:rPr>
      </w:pPr>
      <w:r>
        <w:rPr>
          <w:rFonts w:ascii="Arial" w:cs="Arial" w:eastAsia="Arial" w:hAnsi="Arial"/>
          <w:sz w:val="18"/>
          <w:szCs w:val="18"/>
          <w:color w:val="auto"/>
        </w:rPr>
        <w:t>The Company’s liability for misrepresentation or breach of warranty under this Subscription Agreement shall be excluded or reduced, as the case may be, if and to the extent that:</w:t>
      </w:r>
    </w:p>
    <w:p>
      <w:pPr>
        <w:spacing w:after="0" w:line="76" w:lineRule="exact"/>
        <w:rPr>
          <w:sz w:val="20"/>
          <w:szCs w:val="20"/>
          <w:color w:val="auto"/>
        </w:rPr>
      </w:pPr>
    </w:p>
    <w:p>
      <w:pPr>
        <w:ind w:left="1120" w:right="180" w:hanging="437"/>
        <w:spacing w:after="0" w:line="286" w:lineRule="auto"/>
        <w:tabs>
          <w:tab w:leader="none" w:pos="112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Such Investor or the Company has actually recovered or, using commercially reasonable best efforts, could recover or could have recovered, as the case may be, from any third person, including but not limited to an insurer, any sum in respect of any matter to which a claim made relates, after deduction of all duly documented costs and expenses incurred in making such recovery;</w:t>
      </w:r>
    </w:p>
    <w:p>
      <w:pPr>
        <w:spacing w:after="0" w:line="70" w:lineRule="exact"/>
        <w:rPr>
          <w:rFonts w:ascii="Arial" w:cs="Arial" w:eastAsia="Arial" w:hAnsi="Arial"/>
          <w:sz w:val="17"/>
          <w:szCs w:val="17"/>
          <w:color w:val="auto"/>
        </w:rPr>
      </w:pPr>
    </w:p>
    <w:p>
      <w:pPr>
        <w:jc w:val="both"/>
        <w:ind w:left="1120" w:right="140" w:hanging="437"/>
        <w:spacing w:after="0" w:line="342" w:lineRule="auto"/>
        <w:tabs>
          <w:tab w:leader="none" w:pos="112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a specific provision, reserve or valuation allowance has been or is made or included in the financial statements / management accounts of the Company as of 31 December 2014 with respect to the facts, matters or circumstances resulting in a misrepresentation of breach of warranty;</w:t>
      </w:r>
    </w:p>
    <w:p>
      <w:pPr>
        <w:spacing w:after="0" w:line="29" w:lineRule="exact"/>
        <w:rPr>
          <w:rFonts w:ascii="Arial" w:cs="Arial" w:eastAsia="Arial" w:hAnsi="Arial"/>
          <w:sz w:val="16"/>
          <w:szCs w:val="16"/>
          <w:color w:val="auto"/>
        </w:rPr>
      </w:pPr>
    </w:p>
    <w:p>
      <w:pPr>
        <w:ind w:left="1120" w:hanging="437"/>
        <w:spacing w:after="0"/>
        <w:tabs>
          <w:tab w:leader="none" w:pos="112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such Loss is attributable to any act, omission, Subscription or arrangement of the Company after the closing of this Subscription Agreement;</w:t>
      </w:r>
    </w:p>
    <w:p>
      <w:pPr>
        <w:spacing w:after="0" w:line="153" w:lineRule="exact"/>
        <w:rPr>
          <w:rFonts w:ascii="Arial" w:cs="Arial" w:eastAsia="Arial" w:hAnsi="Arial"/>
          <w:sz w:val="16"/>
          <w:szCs w:val="16"/>
          <w:color w:val="auto"/>
        </w:rPr>
      </w:pPr>
    </w:p>
    <w:p>
      <w:pPr>
        <w:ind w:left="1120" w:right="220" w:hanging="437"/>
        <w:spacing w:after="0" w:line="259" w:lineRule="auto"/>
        <w:tabs>
          <w:tab w:leader="none" w:pos="112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to the extent that such Loss arises only as a result of any change in the accounting bases or policies in accordance with which the Company values its assets or calculate its liabilities or any other change in accounting practice from the treatment or application of the same used in preparing the accounts (save to the extent that such changes are required to correct errors or because relevant generally accepted accounting principles have not been complied with);</w:t>
      </w:r>
    </w:p>
    <w:p>
      <w:pPr>
        <w:spacing w:after="0" w:line="92" w:lineRule="exact"/>
        <w:rPr>
          <w:rFonts w:ascii="Arial" w:cs="Arial" w:eastAsia="Arial" w:hAnsi="Arial"/>
          <w:sz w:val="18"/>
          <w:szCs w:val="18"/>
          <w:color w:val="auto"/>
        </w:rPr>
      </w:pPr>
    </w:p>
    <w:p>
      <w:pPr>
        <w:ind w:left="1120" w:hanging="437"/>
        <w:spacing w:after="0"/>
        <w:tabs>
          <w:tab w:leader="none" w:pos="112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any tax payable by the Company is reduced as a result of a matter giving rise to a claim for misrepresentation or breach of warranty; and</w:t>
      </w:r>
    </w:p>
    <w:p>
      <w:pPr>
        <w:spacing w:after="0" w:line="142" w:lineRule="exact"/>
        <w:rPr>
          <w:rFonts w:ascii="Arial" w:cs="Arial" w:eastAsia="Arial" w:hAnsi="Arial"/>
          <w:sz w:val="17"/>
          <w:szCs w:val="17"/>
          <w:color w:val="auto"/>
        </w:rPr>
      </w:pPr>
    </w:p>
    <w:p>
      <w:pPr>
        <w:ind w:left="1120" w:right="20" w:hanging="437"/>
        <w:spacing w:after="0" w:line="302" w:lineRule="auto"/>
        <w:tabs>
          <w:tab w:leader="none" w:pos="112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such claim arises or is increased as a result of any legislation, regulation, rule of law or practice not in force at the date hereof, or as a result of the withdrawal (which is not due to any act or omission of the Company) after Closing of any authorization, license or permit previously made by any relevant authority, or as a result of any change made or introduced on or after the date hereof in any legislation, regulation, rule of law or practice of any relevant authority, whether or not such change or withdrawal purports to be effective retrospectively in whole or part.</w:t>
      </w:r>
    </w:p>
    <w:p>
      <w:pPr>
        <w:spacing w:after="0" w:line="299" w:lineRule="exact"/>
        <w:rPr>
          <w:sz w:val="20"/>
          <w:szCs w:val="20"/>
          <w:color w:val="auto"/>
        </w:rPr>
      </w:pPr>
    </w:p>
    <w:p>
      <w:pPr>
        <w:ind w:left="680" w:hanging="672"/>
        <w:spacing w:after="0"/>
        <w:tabs>
          <w:tab w:leader="none" w:pos="680" w:val="left"/>
        </w:tabs>
        <w:numPr>
          <w:ilvl w:val="0"/>
          <w:numId w:val="474"/>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Issuance of New Shares and Registration in the Share Register</w:t>
      </w:r>
    </w:p>
    <w:p>
      <w:pPr>
        <w:spacing w:after="0" w:line="117" w:lineRule="exact"/>
        <w:rPr>
          <w:sz w:val="20"/>
          <w:szCs w:val="20"/>
          <w:color w:val="auto"/>
        </w:rPr>
      </w:pPr>
    </w:p>
    <w:p>
      <w:pPr>
        <w:ind w:left="700" w:right="100"/>
        <w:spacing w:after="0" w:line="312" w:lineRule="auto"/>
        <w:rPr>
          <w:sz w:val="20"/>
          <w:szCs w:val="20"/>
          <w:color w:val="auto"/>
        </w:rPr>
      </w:pPr>
      <w:r>
        <w:rPr>
          <w:rFonts w:ascii="Arial" w:cs="Arial" w:eastAsia="Arial" w:hAnsi="Arial"/>
          <w:sz w:val="16"/>
          <w:szCs w:val="16"/>
          <w:color w:val="auto"/>
        </w:rPr>
        <w:t>Promptly following the receipt of the certified extract and/or express confirmation of the Register of Commerce evidencing the registration of the Series E capital increase and the respective adoption of the Revised Articles of Association the Company shall deliver to the Investors a copy of the updated share register of the Company evidencing each Investor as owner of the appropriate number of Series E Preferred Shares.</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Information Rights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shall deliver to each Investor at a minimum,</w:t>
      </w:r>
    </w:p>
    <w:p>
      <w:pPr>
        <w:spacing w:after="0" w:line="131" w:lineRule="exact"/>
        <w:rPr>
          <w:sz w:val="20"/>
          <w:szCs w:val="20"/>
          <w:color w:val="auto"/>
        </w:rPr>
      </w:pPr>
    </w:p>
    <w:p>
      <w:pPr>
        <w:ind w:left="1120" w:hanging="437"/>
        <w:spacing w:after="0"/>
        <w:tabs>
          <w:tab w:leader="none" w:pos="112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audited financial statements within 90 days after the end of each fiscal year, prepared in accordance with IFRS;</w:t>
      </w:r>
    </w:p>
    <w:p>
      <w:pPr>
        <w:sectPr>
          <w:pgSz w:w="11900" w:h="16838" w:orient="portrait"/>
          <w:cols w:equalWidth="0" w:num="1">
            <w:col w:w="11420"/>
          </w:cols>
          <w:pgMar w:left="240" w:top="275" w:right="239" w:bottom="1440" w:gutter="0" w:footer="0" w:header="0"/>
        </w:sectPr>
      </w:pPr>
    </w:p>
    <w:bookmarkStart w:id="613" w:name="page614"/>
    <w:bookmarkEnd w:id="613"/>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120" w:hanging="437"/>
        <w:spacing w:after="0"/>
        <w:tabs>
          <w:tab w:leader="none" w:pos="112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unaudited quarterly financial statements within 30 days from the end of each quarter; and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quarterly progress reports as determined by the Board</w:t>
      </w:r>
    </w:p>
    <w:p>
      <w:pPr>
        <w:spacing w:after="0" w:line="117" w:lineRule="exact"/>
        <w:rPr>
          <w:sz w:val="20"/>
          <w:szCs w:val="20"/>
          <w:color w:val="auto"/>
        </w:rPr>
      </w:pPr>
    </w:p>
    <w:p>
      <w:pPr>
        <w:ind w:left="700"/>
        <w:spacing w:after="0" w:line="312" w:lineRule="auto"/>
        <w:rPr>
          <w:sz w:val="20"/>
          <w:szCs w:val="20"/>
          <w:color w:val="auto"/>
        </w:rPr>
      </w:pPr>
      <w:r>
        <w:rPr>
          <w:rFonts w:ascii="Arial" w:cs="Arial" w:eastAsia="Arial" w:hAnsi="Arial"/>
          <w:sz w:val="16"/>
          <w:szCs w:val="16"/>
          <w:color w:val="auto"/>
        </w:rPr>
        <w:t>The Company shall promptly and accurately respond, and shall use its best efforts to cause its transfer agent to promptly respond, to requests for information made on behalf of any Investor or such Investor’s fund or account relating to accounting or securities law matters required in connection with its audit or the actual holdings of the Investor or of the Investor’s funds or accounts, including in relation to the total outstanding shares.</w:t>
      </w:r>
    </w:p>
    <w:p>
      <w:pPr>
        <w:spacing w:after="0" w:line="39"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All information rights shall expire once no Investor (or the Investor’s fund or account) holds any securities of the Company that are restricted under the Securities Act, as amended.</w:t>
      </w:r>
    </w:p>
    <w:p>
      <w:pPr>
        <w:spacing w:after="0" w:line="315" w:lineRule="exact"/>
        <w:rPr>
          <w:sz w:val="20"/>
          <w:szCs w:val="20"/>
          <w:color w:val="auto"/>
        </w:rPr>
      </w:pPr>
    </w:p>
    <w:p>
      <w:pPr>
        <w:ind w:left="680" w:hanging="672"/>
        <w:spacing w:after="0"/>
        <w:tabs>
          <w:tab w:leader="none" w:pos="68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PARTIES’ RIGHTS AND OBLIGATIONS</w:t>
      </w:r>
    </w:p>
    <w:p>
      <w:pPr>
        <w:spacing w:after="0" w:line="121" w:lineRule="exact"/>
        <w:rPr>
          <w:rFonts w:ascii="Arial" w:cs="Arial" w:eastAsia="Arial" w:hAnsi="Arial"/>
          <w:sz w:val="18"/>
          <w:szCs w:val="18"/>
          <w:b w:val="1"/>
          <w:bCs w:val="1"/>
          <w:color w:val="auto"/>
        </w:rPr>
      </w:pPr>
    </w:p>
    <w:p>
      <w:pPr>
        <w:ind w:left="7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Except as specifically provided otherwise in this Subscription Agreement, the rights and obligations of the Parties hereunder shall be several (and not joint). Each Investor may exercise and enforce its rights hereunder in accordance with this Subscription Agreement, and the non-performance by the Company or a Shareholder (the “</w:t>
      </w:r>
      <w:r>
        <w:rPr>
          <w:rFonts w:ascii="Arial" w:cs="Arial" w:eastAsia="Arial" w:hAnsi="Arial"/>
          <w:sz w:val="18"/>
          <w:szCs w:val="18"/>
          <w:b w:val="1"/>
          <w:bCs w:val="1"/>
          <w:color w:val="auto"/>
        </w:rPr>
        <w:t>Defaulting Party</w:t>
      </w:r>
      <w:r>
        <w:rPr>
          <w:rFonts w:ascii="Arial" w:cs="Arial" w:eastAsia="Arial" w:hAnsi="Arial"/>
          <w:sz w:val="18"/>
          <w:szCs w:val="18"/>
          <w:color w:val="auto"/>
        </w:rPr>
        <w:t>”) shall neither relieve the Company nor any other Shareholder from performing its obligations under this Subscription Agreement, nor shall the Company (provided it is not the Defaulting Party) or any other Shareholder be liable for the non-performance by the Defaulting Party. Nothing in this Subscription Agreement is intended to or shall be construed as establishing or implying any partnership of any kind between the Parties.</w:t>
      </w:r>
    </w:p>
    <w:p>
      <w:pPr>
        <w:spacing w:after="0" w:line="337" w:lineRule="exact"/>
        <w:rPr>
          <w:rFonts w:ascii="Arial" w:cs="Arial" w:eastAsia="Arial" w:hAnsi="Arial"/>
          <w:sz w:val="18"/>
          <w:szCs w:val="18"/>
          <w:b w:val="1"/>
          <w:bCs w:val="1"/>
          <w:color w:val="auto"/>
        </w:rPr>
      </w:pPr>
    </w:p>
    <w:p>
      <w:pPr>
        <w:ind w:left="680" w:hanging="672"/>
        <w:spacing w:after="0"/>
        <w:tabs>
          <w:tab w:leader="none" w:pos="68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Confidentiality</w:t>
      </w:r>
    </w:p>
    <w:p>
      <w:pPr>
        <w:spacing w:after="0" w:line="117" w:lineRule="exact"/>
        <w:rPr>
          <w:sz w:val="20"/>
          <w:szCs w:val="20"/>
          <w:color w:val="auto"/>
        </w:rPr>
      </w:pPr>
    </w:p>
    <w:p>
      <w:pPr>
        <w:ind w:left="700" w:right="40"/>
        <w:spacing w:after="0" w:line="288" w:lineRule="auto"/>
        <w:rPr>
          <w:sz w:val="20"/>
          <w:szCs w:val="20"/>
          <w:color w:val="auto"/>
        </w:rPr>
      </w:pPr>
      <w:r>
        <w:rPr>
          <w:rFonts w:ascii="Arial" w:cs="Arial" w:eastAsia="Arial" w:hAnsi="Arial"/>
          <w:sz w:val="16"/>
          <w:szCs w:val="16"/>
          <w:color w:val="auto"/>
        </w:rPr>
        <w:t xml:space="preserve">Unless disclosure is or has been approved by the Company and Fidelity, the existence as well as the terms and conditions of this Subscription Agreement, and any information exchanged between the Parties (including their respective representatives or advisors) during the due diligence and the negotiation of the definitive agreements for the Series E Financing Round and/or pertaining to the business and the operation of the Company shall be kept strictly confidential by each Party as further outlined in the Shareholders’ Agreement, provided however, that the Company may confirm that an Investor is the investor in the Company following the public announcement of the Closing of the Series E Financing. Any Party may disclose the terms of this Subscription Agreement (i) to the extent required to comply with any governmental or regulatory inquiry or with applicable law, including the rules and regulations promulgated by the United States Securities and Exchange Commission or any equivalent governmental agency to which the Party is subject; </w:t>
      </w:r>
      <w:r>
        <w:rPr>
          <w:rFonts w:ascii="Arial" w:cs="Arial" w:eastAsia="Arial" w:hAnsi="Arial"/>
          <w:sz w:val="16"/>
          <w:szCs w:val="16"/>
          <w:i w:val="1"/>
          <w:iCs w:val="1"/>
          <w:color w:val="auto"/>
        </w:rPr>
        <w:t>provided</w:t>
      </w:r>
      <w:r>
        <w:rPr>
          <w:rFonts w:ascii="Arial" w:cs="Arial" w:eastAsia="Arial" w:hAnsi="Arial"/>
          <w:sz w:val="16"/>
          <w:szCs w:val="16"/>
          <w:color w:val="auto"/>
        </w:rPr>
        <w:t>, that where it is practicable such Party will solicit and will reasonably consider the comments of the other Party regarding confidential treatment sought for such disclosure; (ii) to the extent required for the enforcement of such Party’s rights hereunder and/or under the Shareholders’ Agreement; and (iii) to its affiliated companies, advisors (including financial advisors,</w:t>
      </w:r>
    </w:p>
    <w:p>
      <w:pPr>
        <w:sectPr>
          <w:pgSz w:w="11900" w:h="16838" w:orient="portrait"/>
          <w:cols w:equalWidth="0" w:num="1">
            <w:col w:w="11420"/>
          </w:cols>
          <w:pgMar w:left="240" w:top="274" w:right="239" w:bottom="1440" w:gutter="0" w:footer="0" w:header="0"/>
        </w:sectPr>
      </w:pPr>
    </w:p>
    <w:bookmarkStart w:id="614" w:name="page615"/>
    <w:bookmarkEnd w:id="614"/>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700" w:right="640"/>
        <w:spacing w:after="0" w:line="264" w:lineRule="auto"/>
        <w:rPr>
          <w:sz w:val="20"/>
          <w:szCs w:val="20"/>
          <w:color w:val="auto"/>
        </w:rPr>
      </w:pPr>
      <w:r>
        <w:rPr>
          <w:rFonts w:ascii="Arial" w:cs="Arial" w:eastAsia="Arial" w:hAnsi="Arial"/>
          <w:sz w:val="18"/>
          <w:szCs w:val="18"/>
          <w:color w:val="auto"/>
        </w:rPr>
        <w:t xml:space="preserve">attorneys and accountants), actual or potential acquisition partners, financing sources or investors and underwriters on a need to know basis;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disclosure is covered by terms of confidentiality similar to those set forth herein (which may include professional ethical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Successors and Assignment</w:t>
      </w:r>
    </w:p>
    <w:p>
      <w:pPr>
        <w:spacing w:after="0" w:line="117"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This Subscription Agreement shall be binding upon and shall inure to the benefit of the Parties hereto and their respective permitted successors and assigns.</w:t>
      </w:r>
    </w:p>
    <w:p>
      <w:pPr>
        <w:spacing w:after="0" w:line="62" w:lineRule="exact"/>
        <w:rPr>
          <w:sz w:val="20"/>
          <w:szCs w:val="20"/>
          <w:color w:val="auto"/>
        </w:rPr>
      </w:pPr>
    </w:p>
    <w:p>
      <w:pPr>
        <w:jc w:val="both"/>
        <w:ind w:left="700" w:right="40"/>
        <w:spacing w:after="0" w:line="312" w:lineRule="auto"/>
        <w:rPr>
          <w:sz w:val="20"/>
          <w:szCs w:val="20"/>
          <w:color w:val="auto"/>
        </w:rPr>
      </w:pPr>
      <w:r>
        <w:rPr>
          <w:rFonts w:ascii="Arial" w:cs="Arial" w:eastAsia="Arial" w:hAnsi="Arial"/>
          <w:sz w:val="16"/>
          <w:szCs w:val="16"/>
          <w:color w:val="auto"/>
        </w:rPr>
        <w:t>None of the Parties shall be entitled to assign all or any part of its rights and obligations under this Subscription Agreement without the prior written consent of the other Parties, except that post the Closing each Investor may assign its rights and obligations under this Subscription Agreement with the prior written consent of the Company in conjunction with a transfer of Shares pursuant to and in compliance with the Shareholders’ Agreement.</w:t>
      </w:r>
    </w:p>
    <w:p>
      <w:pPr>
        <w:spacing w:after="0" w:line="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Costs and Expenses, Taxes</w:t>
      </w:r>
    </w:p>
    <w:p>
      <w:pPr>
        <w:spacing w:after="0" w:line="117" w:lineRule="exact"/>
        <w:rPr>
          <w:sz w:val="20"/>
          <w:szCs w:val="20"/>
          <w:color w:val="auto"/>
        </w:rPr>
      </w:pPr>
    </w:p>
    <w:p>
      <w:pPr>
        <w:ind w:left="700" w:right="60"/>
        <w:spacing w:after="0" w:line="279" w:lineRule="auto"/>
        <w:rPr>
          <w:sz w:val="20"/>
          <w:szCs w:val="20"/>
          <w:color w:val="auto"/>
        </w:rPr>
      </w:pPr>
      <w:r>
        <w:rPr>
          <w:rFonts w:ascii="Arial" w:cs="Arial" w:eastAsia="Arial" w:hAnsi="Arial"/>
          <w:sz w:val="17"/>
          <w:szCs w:val="17"/>
          <w:color w:val="auto"/>
        </w:rPr>
        <w:t>Provided the Series E Financing Round is closed, the Company shall pay the reasonable fees and out-of-pocket expenses of counsel for the several Investors, in an aggregate amount not to exceed USD 100’000 including any taxes. The Company shall also bear all Swiss issuance and stamp taxes arising out of the Series E Financing Round. Each Party shall bear any other costs and any other expenses arising out of or incurred, and any taxes imposed on it, in connection with this Subscription Agreement and all Subscriptions contemplated hereby.</w:t>
      </w:r>
    </w:p>
    <w:p>
      <w:pPr>
        <w:spacing w:after="0" w:line="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Notices</w:t>
      </w:r>
    </w:p>
    <w:p>
      <w:pPr>
        <w:spacing w:after="0" w:line="117" w:lineRule="exact"/>
        <w:rPr>
          <w:sz w:val="20"/>
          <w:szCs w:val="20"/>
          <w:color w:val="auto"/>
        </w:rPr>
      </w:pPr>
    </w:p>
    <w:p>
      <w:pPr>
        <w:jc w:val="both"/>
        <w:ind w:left="700" w:right="180"/>
        <w:spacing w:after="0" w:line="264" w:lineRule="auto"/>
        <w:rPr>
          <w:sz w:val="20"/>
          <w:szCs w:val="20"/>
          <w:color w:val="auto"/>
        </w:rPr>
      </w:pPr>
      <w:r>
        <w:rPr>
          <w:rFonts w:ascii="Arial" w:cs="Arial" w:eastAsia="Arial" w:hAnsi="Arial"/>
          <w:sz w:val="18"/>
          <w:szCs w:val="18"/>
          <w:color w:val="auto"/>
        </w:rPr>
        <w:t>All notices and other communications made or to be made under this Subscription Agreement shall be effective upon receipt and shall be given in writing by courier, or registered mail to the addressees listed on the first page of this Subscription Agreement. Any notice to the Company shall be sent to the attention of the Chairman of the Board and to the attention of the CEO.</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notice to Fidelity shall be sent:</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Fidelity Select Portfolios: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Biotechnology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Fidelity Advisor Series VII: Fidelity Advisor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Biotechnology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Fidelity Securities Fund: Fidelity Series Blue Chip Growth</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Fund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Brown Brothers Harriman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525 Washington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Jersey City NJ 07310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Michael Lerman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michael.lerman@bbh.com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number: 617 772-2418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Street Bank &amp;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5756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02206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Bangle &amp; Co fbo Fidelity Advisor Series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VII: Fidelity Advisor Biotechnology Fund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SSBCORPACTIONS@StateStreet.com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number: 617-988-9110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 Street Bank &amp;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5756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02206</w:t>
      </w:r>
    </w:p>
    <w:p>
      <w:pPr>
        <w:sectPr>
          <w:pgSz w:w="11900" w:h="16838" w:orient="portrait"/>
          <w:cols w:equalWidth="0" w:num="2">
            <w:col w:w="4940" w:space="260"/>
            <w:col w:w="6220"/>
          </w:cols>
          <w:pgMar w:left="240" w:top="274" w:right="239" w:bottom="1440" w:gutter="0" w:footer="0" w:header="0"/>
          <w:type w:val="continuous"/>
        </w:sectPr>
      </w:pPr>
    </w:p>
    <w:bookmarkStart w:id="615" w:name="page616"/>
    <w:bookmarkEnd w:id="615"/>
    <w:tbl>
      <w:tblPr>
        <w:tblLayout w:type="fixed"/>
        <w:tblInd w:w="0" w:type="dxa"/>
        <w:tblCellMar>
          <w:top w:w="0" w:type="dxa"/>
          <w:left w:w="0" w:type="dxa"/>
          <w:bottom w:w="0" w:type="dxa"/>
          <w:right w:w="0" w:type="dxa"/>
        </w:tblCellMar>
      </w:tblP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50"/>
        </w:trPr>
        <w:tc>
          <w:tcPr>
            <w:tcW w:w="4340" w:type="dxa"/>
            <w:vAlign w:val="bottom"/>
          </w:tcPr>
          <w:p>
            <w:pPr>
              <w:spacing w:after="0"/>
              <w:rPr>
                <w:sz w:val="24"/>
                <w:szCs w:val="24"/>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Attn: Wavechart &amp; Co fbo Fidelity Securities</w:t>
            </w:r>
          </w:p>
        </w:tc>
        <w:tc>
          <w:tcPr>
            <w:tcW w:w="1440" w:type="dxa"/>
            <w:vAlign w:val="bottom"/>
          </w:tcPr>
          <w:p>
            <w:pPr>
              <w:spacing w:after="0"/>
              <w:rPr>
                <w:sz w:val="24"/>
                <w:szCs w:val="24"/>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Fund: Fidelity Series Blue Chip Growth Fund</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Email: SSBCORPACTIONS@StateStreet.com</w:t>
            </w:r>
          </w:p>
        </w:tc>
        <w:tc>
          <w:tcPr>
            <w:tcW w:w="1440" w:type="dxa"/>
            <w:vAlign w:val="bottom"/>
          </w:tcPr>
          <w:p>
            <w:pPr>
              <w:spacing w:after="0"/>
              <w:rPr>
                <w:sz w:val="18"/>
                <w:szCs w:val="18"/>
                <w:color w:val="auto"/>
              </w:rPr>
            </w:pPr>
          </w:p>
        </w:tc>
      </w:tr>
      <w:tr>
        <w:trPr>
          <w:trHeight w:val="230"/>
        </w:trPr>
        <w:tc>
          <w:tcPr>
            <w:tcW w:w="4340" w:type="dxa"/>
            <w:vAlign w:val="bottom"/>
          </w:tcPr>
          <w:p>
            <w:pPr>
              <w:spacing w:after="0"/>
              <w:rPr>
                <w:sz w:val="19"/>
                <w:szCs w:val="19"/>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Fax number: 617-988-9110</w:t>
            </w:r>
          </w:p>
        </w:tc>
        <w:tc>
          <w:tcPr>
            <w:tcW w:w="1440" w:type="dxa"/>
            <w:vAlign w:val="bottom"/>
          </w:tcPr>
          <w:p>
            <w:pPr>
              <w:spacing w:after="0"/>
              <w:rPr>
                <w:sz w:val="19"/>
                <w:szCs w:val="19"/>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Fidelity Blue Chip Growth</w:t>
            </w:r>
          </w:p>
        </w:tc>
        <w:tc>
          <w:tcPr>
            <w:tcW w:w="5640" w:type="dxa"/>
            <w:vAlign w:val="bottom"/>
          </w:tcPr>
          <w:p>
            <w:pPr>
              <w:ind w:left="860"/>
              <w:spacing w:after="0"/>
              <w:rPr>
                <w:sz w:val="20"/>
                <w:szCs w:val="20"/>
                <w:color w:val="auto"/>
              </w:rPr>
            </w:pPr>
            <w:r>
              <w:rPr>
                <w:rFonts w:ascii="Arial" w:cs="Arial" w:eastAsia="Arial" w:hAnsi="Arial"/>
                <w:sz w:val="18"/>
                <w:szCs w:val="18"/>
                <w:color w:val="auto"/>
              </w:rPr>
              <w:t>Brown Brothers Harriman &amp; Co.</w:t>
            </w:r>
          </w:p>
        </w:tc>
        <w:tc>
          <w:tcPr>
            <w:tcW w:w="1440" w:type="dxa"/>
            <w:vAlign w:val="bottom"/>
          </w:tcPr>
          <w:p>
            <w:pPr>
              <w:spacing w:after="0"/>
              <w:rPr>
                <w:sz w:val="18"/>
                <w:szCs w:val="18"/>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Commingled Pool</w:t>
            </w:r>
          </w:p>
        </w:tc>
        <w:tc>
          <w:tcPr>
            <w:tcW w:w="5640" w:type="dxa"/>
            <w:vAlign w:val="bottom"/>
          </w:tcPr>
          <w:p>
            <w:pPr>
              <w:ind w:left="860"/>
              <w:spacing w:after="0"/>
              <w:rPr>
                <w:sz w:val="20"/>
                <w:szCs w:val="20"/>
                <w:color w:val="auto"/>
              </w:rPr>
            </w:pPr>
            <w:r>
              <w:rPr>
                <w:rFonts w:ascii="Arial" w:cs="Arial" w:eastAsia="Arial" w:hAnsi="Arial"/>
                <w:sz w:val="18"/>
                <w:szCs w:val="18"/>
                <w:color w:val="auto"/>
              </w:rPr>
              <w:t>525 Washington Blvd</w:t>
            </w:r>
          </w:p>
        </w:tc>
        <w:tc>
          <w:tcPr>
            <w:tcW w:w="1440" w:type="dxa"/>
            <w:vAlign w:val="bottom"/>
          </w:tcPr>
          <w:p>
            <w:pPr>
              <w:spacing w:after="0"/>
              <w:rPr>
                <w:sz w:val="18"/>
                <w:szCs w:val="18"/>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By: Fidelity Management &amp; Trust Co.</w:t>
            </w:r>
          </w:p>
        </w:tc>
        <w:tc>
          <w:tcPr>
            <w:tcW w:w="5640" w:type="dxa"/>
            <w:vAlign w:val="bottom"/>
          </w:tcPr>
          <w:p>
            <w:pPr>
              <w:ind w:left="860"/>
              <w:spacing w:after="0"/>
              <w:rPr>
                <w:sz w:val="20"/>
                <w:szCs w:val="20"/>
                <w:color w:val="auto"/>
              </w:rPr>
            </w:pPr>
            <w:r>
              <w:rPr>
                <w:rFonts w:ascii="Arial" w:cs="Arial" w:eastAsia="Arial" w:hAnsi="Arial"/>
                <w:sz w:val="18"/>
                <w:szCs w:val="18"/>
                <w:color w:val="auto"/>
              </w:rPr>
              <w:t>Jersey City NJ 07310</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Attn: Michael Lerman 15th Floor</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Corporate Actions</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Email: michael.lerman@bbh.com</w:t>
            </w:r>
          </w:p>
        </w:tc>
        <w:tc>
          <w:tcPr>
            <w:tcW w:w="1440" w:type="dxa"/>
            <w:vAlign w:val="bottom"/>
          </w:tcPr>
          <w:p>
            <w:pPr>
              <w:spacing w:after="0"/>
              <w:rPr>
                <w:sz w:val="18"/>
                <w:szCs w:val="18"/>
                <w:color w:val="auto"/>
              </w:rPr>
            </w:pPr>
          </w:p>
        </w:tc>
      </w:tr>
      <w:tr>
        <w:trPr>
          <w:trHeight w:val="230"/>
        </w:trPr>
        <w:tc>
          <w:tcPr>
            <w:tcW w:w="4340" w:type="dxa"/>
            <w:vAlign w:val="bottom"/>
          </w:tcPr>
          <w:p>
            <w:pPr>
              <w:spacing w:after="0"/>
              <w:rPr>
                <w:sz w:val="19"/>
                <w:szCs w:val="19"/>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Fax number: 617 772-2418</w:t>
            </w:r>
          </w:p>
        </w:tc>
        <w:tc>
          <w:tcPr>
            <w:tcW w:w="1440" w:type="dxa"/>
            <w:vAlign w:val="bottom"/>
          </w:tcPr>
          <w:p>
            <w:pPr>
              <w:spacing w:after="0"/>
              <w:rPr>
                <w:sz w:val="19"/>
                <w:szCs w:val="19"/>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Pyramis Lifecycle Blue Chip Growth</w:t>
            </w:r>
          </w:p>
        </w:tc>
        <w:tc>
          <w:tcPr>
            <w:tcW w:w="5640" w:type="dxa"/>
            <w:vAlign w:val="bottom"/>
          </w:tcPr>
          <w:p>
            <w:pPr>
              <w:ind w:left="860"/>
              <w:spacing w:after="0"/>
              <w:rPr>
                <w:sz w:val="20"/>
                <w:szCs w:val="20"/>
                <w:color w:val="auto"/>
              </w:rPr>
            </w:pPr>
            <w:r>
              <w:rPr>
                <w:rFonts w:ascii="Arial" w:cs="Arial" w:eastAsia="Arial" w:hAnsi="Arial"/>
                <w:sz w:val="18"/>
                <w:szCs w:val="18"/>
                <w:color w:val="auto"/>
              </w:rPr>
              <w:t>State Street Bank &amp; Trust</w:t>
            </w:r>
          </w:p>
        </w:tc>
        <w:tc>
          <w:tcPr>
            <w:tcW w:w="1440" w:type="dxa"/>
            <w:vAlign w:val="bottom"/>
          </w:tcPr>
          <w:p>
            <w:pPr>
              <w:spacing w:after="0"/>
              <w:rPr>
                <w:sz w:val="18"/>
                <w:szCs w:val="18"/>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Commingled Pool</w:t>
            </w:r>
          </w:p>
        </w:tc>
        <w:tc>
          <w:tcPr>
            <w:tcW w:w="5640" w:type="dxa"/>
            <w:vAlign w:val="bottom"/>
          </w:tcPr>
          <w:p>
            <w:pPr>
              <w:ind w:left="860"/>
              <w:spacing w:after="0"/>
              <w:rPr>
                <w:sz w:val="20"/>
                <w:szCs w:val="20"/>
                <w:color w:val="auto"/>
              </w:rPr>
            </w:pPr>
            <w:r>
              <w:rPr>
                <w:rFonts w:ascii="Arial" w:cs="Arial" w:eastAsia="Arial" w:hAnsi="Arial"/>
                <w:sz w:val="18"/>
                <w:szCs w:val="18"/>
                <w:color w:val="auto"/>
              </w:rPr>
              <w:t>PO Box 5756</w:t>
            </w:r>
          </w:p>
        </w:tc>
        <w:tc>
          <w:tcPr>
            <w:tcW w:w="1440" w:type="dxa"/>
            <w:vAlign w:val="bottom"/>
          </w:tcPr>
          <w:p>
            <w:pPr>
              <w:spacing w:after="0"/>
              <w:rPr>
                <w:sz w:val="18"/>
                <w:szCs w:val="18"/>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By: Pyramis Global Advisors Trust</w:t>
            </w:r>
          </w:p>
        </w:tc>
        <w:tc>
          <w:tcPr>
            <w:tcW w:w="5640" w:type="dxa"/>
            <w:vAlign w:val="bottom"/>
          </w:tcPr>
          <w:p>
            <w:pPr>
              <w:ind w:left="860"/>
              <w:spacing w:after="0"/>
              <w:rPr>
                <w:sz w:val="20"/>
                <w:szCs w:val="20"/>
                <w:color w:val="auto"/>
              </w:rPr>
            </w:pPr>
            <w:r>
              <w:rPr>
                <w:rFonts w:ascii="Arial" w:cs="Arial" w:eastAsia="Arial" w:hAnsi="Arial"/>
                <w:sz w:val="18"/>
                <w:szCs w:val="18"/>
                <w:color w:val="auto"/>
              </w:rPr>
              <w:t>Boston, Massachusetts 02206</w:t>
            </w:r>
          </w:p>
        </w:tc>
        <w:tc>
          <w:tcPr>
            <w:tcW w:w="1440" w:type="dxa"/>
            <w:vAlign w:val="bottom"/>
          </w:tcPr>
          <w:p>
            <w:pPr>
              <w:spacing w:after="0"/>
              <w:rPr>
                <w:sz w:val="18"/>
                <w:szCs w:val="18"/>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Company, as Trustee</w:t>
            </w:r>
          </w:p>
        </w:tc>
        <w:tc>
          <w:tcPr>
            <w:tcW w:w="5640" w:type="dxa"/>
            <w:vAlign w:val="bottom"/>
          </w:tcPr>
          <w:p>
            <w:pPr>
              <w:ind w:left="860"/>
              <w:spacing w:after="0"/>
              <w:rPr>
                <w:sz w:val="20"/>
                <w:szCs w:val="20"/>
                <w:color w:val="auto"/>
              </w:rPr>
            </w:pPr>
            <w:r>
              <w:rPr>
                <w:rFonts w:ascii="Arial" w:cs="Arial" w:eastAsia="Arial" w:hAnsi="Arial"/>
                <w:sz w:val="18"/>
                <w:szCs w:val="18"/>
                <w:color w:val="auto"/>
              </w:rPr>
              <w:t>Attn: FLAPPER CO fbo Pyramis Lifecycle Blue</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Chip Growth Commingled Pool</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Email: SSBCORPACTIONS@StateStreet.com</w:t>
            </w:r>
          </w:p>
        </w:tc>
        <w:tc>
          <w:tcPr>
            <w:tcW w:w="1440" w:type="dxa"/>
            <w:vAlign w:val="bottom"/>
          </w:tcPr>
          <w:p>
            <w:pPr>
              <w:spacing w:after="0"/>
              <w:rPr>
                <w:sz w:val="18"/>
                <w:szCs w:val="18"/>
                <w:color w:val="auto"/>
              </w:rPr>
            </w:pPr>
          </w:p>
        </w:tc>
      </w:tr>
      <w:tr>
        <w:trPr>
          <w:trHeight w:val="230"/>
        </w:trPr>
        <w:tc>
          <w:tcPr>
            <w:tcW w:w="4340" w:type="dxa"/>
            <w:vAlign w:val="bottom"/>
          </w:tcPr>
          <w:p>
            <w:pPr>
              <w:spacing w:after="0"/>
              <w:rPr>
                <w:sz w:val="19"/>
                <w:szCs w:val="19"/>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Fax number: 617-988-9110</w:t>
            </w:r>
          </w:p>
        </w:tc>
        <w:tc>
          <w:tcPr>
            <w:tcW w:w="1440" w:type="dxa"/>
            <w:vAlign w:val="bottom"/>
          </w:tcPr>
          <w:p>
            <w:pPr>
              <w:spacing w:after="0"/>
              <w:rPr>
                <w:sz w:val="19"/>
                <w:szCs w:val="19"/>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Fidelity Securities Fund: Fidelity Blue</w:t>
            </w:r>
          </w:p>
        </w:tc>
        <w:tc>
          <w:tcPr>
            <w:tcW w:w="5640" w:type="dxa"/>
            <w:vAlign w:val="bottom"/>
          </w:tcPr>
          <w:p>
            <w:pPr>
              <w:ind w:left="860"/>
              <w:spacing w:after="0"/>
              <w:rPr>
                <w:sz w:val="20"/>
                <w:szCs w:val="20"/>
                <w:color w:val="auto"/>
              </w:rPr>
            </w:pPr>
            <w:r>
              <w:rPr>
                <w:rFonts w:ascii="Arial" w:cs="Arial" w:eastAsia="Arial" w:hAnsi="Arial"/>
                <w:sz w:val="18"/>
                <w:szCs w:val="18"/>
                <w:color w:val="auto"/>
              </w:rPr>
              <w:t>M.Gardiner &amp; Co</w:t>
            </w:r>
          </w:p>
        </w:tc>
        <w:tc>
          <w:tcPr>
            <w:tcW w:w="1440" w:type="dxa"/>
            <w:vAlign w:val="bottom"/>
          </w:tcPr>
          <w:p>
            <w:pPr>
              <w:spacing w:after="0"/>
              <w:rPr>
                <w:sz w:val="18"/>
                <w:szCs w:val="18"/>
                <w:color w:val="auto"/>
              </w:rPr>
            </w:pPr>
          </w:p>
        </w:tc>
      </w:tr>
      <w:tr>
        <w:trPr>
          <w:trHeight w:val="216"/>
        </w:trPr>
        <w:tc>
          <w:tcPr>
            <w:tcW w:w="4340" w:type="dxa"/>
            <w:vAlign w:val="bottom"/>
          </w:tcPr>
          <w:p>
            <w:pPr>
              <w:ind w:left="700"/>
              <w:spacing w:after="0"/>
              <w:rPr>
                <w:sz w:val="20"/>
                <w:szCs w:val="20"/>
                <w:color w:val="auto"/>
              </w:rPr>
            </w:pPr>
            <w:r>
              <w:rPr>
                <w:rFonts w:ascii="Arial" w:cs="Arial" w:eastAsia="Arial" w:hAnsi="Arial"/>
                <w:sz w:val="18"/>
                <w:szCs w:val="18"/>
                <w:color w:val="auto"/>
              </w:rPr>
              <w:t>Chip Growth Fund</w:t>
            </w:r>
          </w:p>
        </w:tc>
        <w:tc>
          <w:tcPr>
            <w:tcW w:w="5640" w:type="dxa"/>
            <w:vAlign w:val="bottom"/>
          </w:tcPr>
          <w:p>
            <w:pPr>
              <w:ind w:left="860"/>
              <w:spacing w:after="0"/>
              <w:rPr>
                <w:sz w:val="20"/>
                <w:szCs w:val="20"/>
                <w:color w:val="auto"/>
              </w:rPr>
            </w:pPr>
            <w:r>
              <w:rPr>
                <w:rFonts w:ascii="Arial" w:cs="Arial" w:eastAsia="Arial" w:hAnsi="Arial"/>
                <w:sz w:val="18"/>
                <w:szCs w:val="18"/>
                <w:color w:val="auto"/>
              </w:rPr>
              <w:t>C/O JPMorgan Chase Bank, N.A</w:t>
            </w:r>
          </w:p>
        </w:tc>
        <w:tc>
          <w:tcPr>
            <w:tcW w:w="14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P.O. Box 35308</w:t>
            </w:r>
          </w:p>
        </w:tc>
        <w:tc>
          <w:tcPr>
            <w:tcW w:w="1440" w:type="dxa"/>
            <w:vAlign w:val="bottom"/>
          </w:tcPr>
          <w:p>
            <w:pPr>
              <w:spacing w:after="0"/>
              <w:rPr>
                <w:sz w:val="18"/>
                <w:szCs w:val="18"/>
                <w:color w:val="auto"/>
              </w:rPr>
            </w:pPr>
          </w:p>
        </w:tc>
      </w:tr>
      <w:tr>
        <w:trPr>
          <w:trHeight w:val="230"/>
        </w:trPr>
        <w:tc>
          <w:tcPr>
            <w:tcW w:w="4340" w:type="dxa"/>
            <w:vAlign w:val="bottom"/>
          </w:tcPr>
          <w:p>
            <w:pPr>
              <w:spacing w:after="0"/>
              <w:rPr>
                <w:sz w:val="20"/>
                <w:szCs w:val="20"/>
                <w:color w:val="auto"/>
              </w:rPr>
            </w:pPr>
          </w:p>
        </w:tc>
        <w:tc>
          <w:tcPr>
            <w:tcW w:w="5640" w:type="dxa"/>
            <w:vAlign w:val="bottom"/>
          </w:tcPr>
          <w:p>
            <w:pPr>
              <w:ind w:left="860"/>
              <w:spacing w:after="0"/>
              <w:rPr>
                <w:sz w:val="20"/>
                <w:szCs w:val="20"/>
                <w:color w:val="auto"/>
              </w:rPr>
            </w:pPr>
            <w:r>
              <w:rPr>
                <w:rFonts w:ascii="Arial" w:cs="Arial" w:eastAsia="Arial" w:hAnsi="Arial"/>
                <w:sz w:val="18"/>
                <w:szCs w:val="18"/>
                <w:color w:val="auto"/>
              </w:rPr>
              <w:t>Newark, NJ 07101-8006</w:t>
            </w:r>
          </w:p>
        </w:tc>
        <w:tc>
          <w:tcPr>
            <w:tcW w:w="1440" w:type="dxa"/>
            <w:vAlign w:val="bottom"/>
          </w:tcPr>
          <w:p>
            <w:pPr>
              <w:spacing w:after="0"/>
              <w:rPr>
                <w:sz w:val="20"/>
                <w:szCs w:val="20"/>
                <w:color w:val="auto"/>
              </w:rPr>
            </w:pPr>
          </w:p>
        </w:tc>
      </w:tr>
    </w:tbl>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Email: Fidelity.crcs@jpmorgan.com</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Jpmorganinformation.services@jpmorgan.com</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Fax number: 469-477-1510</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notice to the Company shall be sent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CEO</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EPFL Innovation Park, bâtiment B,</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 1015 Lausanne, Switzerland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Telephone: +41 21 693 91 21</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VISCHER AG</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Attn. Dr. Matthias Staehelin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 4010 Basel, Switzerland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Telephone: +41 58 211 33 00</w:t>
      </w:r>
    </w:p>
    <w:p>
      <w:pPr>
        <w:spacing w:after="0" w:line="103"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Each Party may change or amend the addresses given in this Subscription Agreement or designate additional addresses for the purposes of this Section by giving the other Parties written notice of the new address in the manner set forth in this Section.</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Entire Agreement</w:t>
      </w:r>
    </w:p>
    <w:p>
      <w:pPr>
        <w:spacing w:after="0" w:line="117" w:lineRule="exact"/>
        <w:rPr>
          <w:sz w:val="20"/>
          <w:szCs w:val="20"/>
          <w:color w:val="auto"/>
        </w:rPr>
      </w:pPr>
    </w:p>
    <w:p>
      <w:pPr>
        <w:ind w:left="700" w:right="20"/>
        <w:spacing w:after="0" w:line="286" w:lineRule="auto"/>
        <w:rPr>
          <w:sz w:val="20"/>
          <w:szCs w:val="20"/>
          <w:color w:val="auto"/>
        </w:rPr>
      </w:pPr>
      <w:r>
        <w:rPr>
          <w:rFonts w:ascii="Arial" w:cs="Arial" w:eastAsia="Arial" w:hAnsi="Arial"/>
          <w:sz w:val="17"/>
          <w:szCs w:val="17"/>
          <w:color w:val="auto"/>
        </w:rPr>
        <w:t>This Subscription Agreement (including its Appendices) and any written document executed in connection herewith constitutes the entire agreement between the Parties hereto with respect to the subject matter hereof and supersedes any agreement or understanding that may have been concluded with respect to the subject matter hereof between any of the Parties prior to the date of this Subscription Agreement.</w:t>
      </w:r>
    </w:p>
    <w:p>
      <w:pPr>
        <w:sectPr>
          <w:pgSz w:w="11900" w:h="16838" w:orient="portrait"/>
          <w:cols w:equalWidth="0" w:num="1">
            <w:col w:w="11420"/>
          </w:cols>
          <w:pgMar w:left="240" w:top="274" w:right="239" w:bottom="1440" w:gutter="0" w:footer="0" w:header="0"/>
        </w:sectPr>
      </w:pPr>
    </w:p>
    <w:bookmarkStart w:id="616" w:name="page617"/>
    <w:bookmarkEnd w:id="616"/>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Severability</w:t>
      </w:r>
    </w:p>
    <w:p>
      <w:pPr>
        <w:spacing w:after="0" w:line="117"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If at any time any provision of this Subscription Agreement or any part thereof is or becomes invalid or unenforceable, then neither the validity nor the enforceability of the remaining provisions or the remaining part of the provision shall in any way be affected or impaired thereby. The Parties agree to replace the invalid or unenforceable provision or part thereof by a valid or enforceable provision which shall best reflect the Parties’ original intention and shall to the extent possible achieve the same economic result.</w:t>
      </w:r>
    </w:p>
    <w:p>
      <w:pPr>
        <w:spacing w:after="0" w:line="3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Termination at IPO and Survival</w:t>
      </w:r>
    </w:p>
    <w:p>
      <w:pPr>
        <w:spacing w:after="0" w:line="117" w:lineRule="exact"/>
        <w:rPr>
          <w:sz w:val="20"/>
          <w:szCs w:val="20"/>
          <w:color w:val="auto"/>
        </w:rPr>
      </w:pPr>
    </w:p>
    <w:p>
      <w:pPr>
        <w:ind w:left="700" w:right="60"/>
        <w:spacing w:after="0" w:line="272" w:lineRule="auto"/>
        <w:rPr>
          <w:sz w:val="20"/>
          <w:szCs w:val="20"/>
          <w:color w:val="auto"/>
        </w:rPr>
      </w:pPr>
      <w:r>
        <w:rPr>
          <w:rFonts w:ascii="Arial" w:cs="Arial" w:eastAsia="Arial" w:hAnsi="Arial"/>
          <w:sz w:val="17"/>
          <w:szCs w:val="17"/>
          <w:color w:val="auto"/>
        </w:rPr>
        <w:t>This Subscription Agreement shall terminate at a firmly underwritten public offering of Common Shares of the Company for listing on an internationally recognized stock exchange at a pre-money valuation at the IPO date of not less than the Post Series E Valuation (USD 500’000’000.00 assuming the issuance of 20’755 Series E Preferred Shares) and with gross proceeds from the initial public offering of at least USD 50 million. Notwithstanding any termination and rescission of this Subscription Agreement (and the Shareholders’ Agreement and any documents, instruments or deeds executed by an Investor including, but not limited to, the Subscription Forms) pursuant to Section 6 above, it is acknowledged and agreed that Sections 6 (Termination and Recission) and this Section 11.7 shall survive any such termination and rescission and continue to be effective as if no such termination and rescission had occurred.</w:t>
      </w:r>
    </w:p>
    <w:p>
      <w:pPr>
        <w:spacing w:after="0" w:line="32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Amendments</w:t>
      </w:r>
    </w:p>
    <w:p>
      <w:pPr>
        <w:spacing w:after="0" w:line="117" w:lineRule="exact"/>
        <w:rPr>
          <w:sz w:val="20"/>
          <w:szCs w:val="20"/>
          <w:color w:val="auto"/>
        </w:rPr>
      </w:pPr>
    </w:p>
    <w:p>
      <w:pPr>
        <w:ind w:left="700" w:right="720"/>
        <w:spacing w:after="0" w:line="277" w:lineRule="auto"/>
        <w:rPr>
          <w:sz w:val="20"/>
          <w:szCs w:val="20"/>
          <w:color w:val="auto"/>
        </w:rPr>
      </w:pPr>
      <w:r>
        <w:rPr>
          <w:rFonts w:ascii="Arial" w:cs="Arial" w:eastAsia="Arial" w:hAnsi="Arial"/>
          <w:sz w:val="18"/>
          <w:szCs w:val="18"/>
          <w:color w:val="auto"/>
        </w:rPr>
        <w:t>This Subscription Agreement including this Section 11.8 may be amended only in writing by an instrument signed by the Company and all Investors.</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Waiver of Rights</w:t>
      </w:r>
    </w:p>
    <w:p>
      <w:pPr>
        <w:spacing w:after="0" w:line="117"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No waiver by a Party of a failure of any other Party to perform any provision of this Subscription Agreement shall operate or be construed as a waiver in respect of any other or further failure whether of a similar or different character.</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Announcement</w:t>
      </w:r>
    </w:p>
    <w:p>
      <w:pPr>
        <w:spacing w:after="0" w:line="117" w:lineRule="exact"/>
        <w:rPr>
          <w:sz w:val="20"/>
          <w:szCs w:val="20"/>
          <w:color w:val="auto"/>
        </w:rPr>
      </w:pPr>
    </w:p>
    <w:p>
      <w:pPr>
        <w:ind w:left="700"/>
        <w:spacing w:after="0" w:line="312" w:lineRule="auto"/>
        <w:rPr>
          <w:sz w:val="20"/>
          <w:szCs w:val="20"/>
          <w:color w:val="auto"/>
        </w:rPr>
      </w:pPr>
      <w:r>
        <w:rPr>
          <w:rFonts w:ascii="Arial" w:cs="Arial" w:eastAsia="Arial" w:hAnsi="Arial"/>
          <w:sz w:val="16"/>
          <w:szCs w:val="16"/>
          <w:color w:val="auto"/>
        </w:rPr>
        <w:t>Each Investor shall consult with the Company, and the Company shall consult with such Investor, before issuing any press releases or otherwise making any public statements with respect to this Subscription Agreement and the matter contemplated hereby. The wording and timing of the initial public announcement of the acquisition of the equity participation in the Company shall be mutually agreed between the Company and Fidelity.</w:t>
      </w:r>
    </w:p>
    <w:p>
      <w:pPr>
        <w:spacing w:after="0" w:line="2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Counterparts</w:t>
      </w:r>
    </w:p>
    <w:p>
      <w:pPr>
        <w:spacing w:after="0" w:line="117" w:lineRule="exact"/>
        <w:rPr>
          <w:sz w:val="20"/>
          <w:szCs w:val="20"/>
          <w:color w:val="auto"/>
        </w:rPr>
      </w:pPr>
    </w:p>
    <w:p>
      <w:pPr>
        <w:ind w:left="700" w:right="240"/>
        <w:spacing w:after="0" w:line="286" w:lineRule="auto"/>
        <w:rPr>
          <w:sz w:val="20"/>
          <w:szCs w:val="20"/>
          <w:color w:val="auto"/>
        </w:rPr>
      </w:pPr>
      <w:r>
        <w:rPr>
          <w:rFonts w:ascii="Arial" w:cs="Arial" w:eastAsia="Arial" w:hAnsi="Arial"/>
          <w:sz w:val="17"/>
          <w:szCs w:val="17"/>
          <w:color w:val="auto"/>
        </w:rPr>
        <w:t>This Subscription Agreement may be executed in so many counterparts as there are Parties to it, each of which shall constitute an original, and all counterparts shall constitute an original, and all counterparts shall together constitute one and the same instrument. Execution copies may be delivered by as PDF by e-mail (in which case original copies shall subsequently be sent by mail as soon as possible).</w:t>
      </w:r>
    </w:p>
    <w:p>
      <w:pPr>
        <w:sectPr>
          <w:pgSz w:w="11900" w:h="16838" w:orient="portrait"/>
          <w:cols w:equalWidth="0" w:num="1">
            <w:col w:w="11420"/>
          </w:cols>
          <w:pgMar w:left="240" w:top="274" w:right="239" w:bottom="1440" w:gutter="0" w:footer="0" w:header="0"/>
        </w:sectPr>
      </w:pPr>
    </w:p>
    <w:bookmarkStart w:id="617" w:name="page618"/>
    <w:bookmarkEnd w:id="617"/>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color w:val="auto"/>
        </w:rPr>
        <w:t>Applicable Law</w:t>
      </w:r>
    </w:p>
    <w:p>
      <w:pPr>
        <w:spacing w:after="0" w:line="117"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This Subscription Agreement and all disputes including those concerning any statute of limitations, set-off claims, tort claims and interest claims, shall be governed by the substantive laws of Switzerland excluding its conflict of laws rules.</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7"/>
          <w:szCs w:val="17"/>
          <w:color w:val="auto"/>
        </w:rPr>
        <w:t>Arbitration</w:t>
      </w:r>
    </w:p>
    <w:p>
      <w:pPr>
        <w:spacing w:after="0" w:line="117"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color w:val="auto"/>
        </w:rPr>
        <w:t>Any disputes, controversy or claim arising under, out of or relating to this Subscription Agreement (and sub-sequent amendments thereof), its valid conclusion, binding effect, interpretation, performance, breach or termination, including tort claims, shall be referred to and finally determined by arbitration in accordance with the Swiss Rules of International Arbitration of the Swiss Chambers of Commerce in force at the time when the arbitration is initiated. A panel of three arbitrators shall be appointed. The place of arbitration shall be Lausanne, Switzerland. The language to be used in the arbitration proceedings shall be English.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this page intentionally left blank]</w:t>
      </w:r>
    </w:p>
    <w:p>
      <w:pPr>
        <w:sectPr>
          <w:pgSz w:w="11900" w:h="16838" w:orient="portrait"/>
          <w:cols w:equalWidth="0" w:num="1">
            <w:col w:w="11420"/>
          </w:cols>
          <w:pgMar w:left="240" w:top="274" w:right="239" w:bottom="1440" w:gutter="0" w:footer="0" w:header="0"/>
        </w:sectPr>
      </w:pPr>
    </w:p>
    <w:bookmarkStart w:id="618" w:name="page619"/>
    <w:bookmarkEnd w:id="618"/>
    <w:tbl>
      <w:tblPr>
        <w:tblLayout w:type="fixed"/>
        <w:tblInd w:w="0" w:type="dxa"/>
        <w:tblCellMar>
          <w:top w:w="0" w:type="dxa"/>
          <w:left w:w="0" w:type="dxa"/>
          <w:bottom w:w="0" w:type="dxa"/>
          <w:right w:w="0" w:type="dxa"/>
        </w:tblCellMar>
      </w:tblPr>
      <w:tr>
        <w:trPr>
          <w:trHeight w:val="230"/>
        </w:trPr>
        <w:tc>
          <w:tcPr>
            <w:tcW w:w="1042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10420" w:type="dxa"/>
            <w:vAlign w:val="bottom"/>
          </w:tcPr>
          <w:p>
            <w:pPr>
              <w:spacing w:after="0"/>
              <w:rPr>
                <w:sz w:val="20"/>
                <w:szCs w:val="20"/>
                <w:color w:val="auto"/>
              </w:rPr>
            </w:pPr>
            <w:r>
              <w:rPr>
                <w:rFonts w:ascii="Arial" w:cs="Arial" w:eastAsia="Arial" w:hAnsi="Arial"/>
                <w:sz w:val="18"/>
                <w:szCs w:val="18"/>
                <w:color w:val="auto"/>
                <w:w w:val="98"/>
              </w:rPr>
              <w:t>IN WITNESS WHEREOF the Parties have caused the Subscription Agreement to be duly executed as of the date first written above.</w:t>
            </w:r>
          </w:p>
        </w:tc>
        <w:tc>
          <w:tcPr>
            <w:tcW w:w="1000" w:type="dxa"/>
            <w:vAlign w:val="bottom"/>
          </w:tcPr>
          <w:p>
            <w:pPr>
              <w:spacing w:after="0"/>
              <w:rPr>
                <w:sz w:val="24"/>
                <w:szCs w:val="24"/>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Place/Date: Boston, Massachusetts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October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Select Portfolios: Biotechnology Portfolio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B Robins</w:t>
            </w: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Kenneth B Robins</w:t>
            </w: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Place/Date: Boston, Massachusetts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October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Advisor Series VII: Fidelity Advisor Biotechnology Fund</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619" w:name="page620"/>
    <w:bookmarkEnd w:id="619"/>
    <w:tbl>
      <w:tblPr>
        <w:tblLayout w:type="fixed"/>
        <w:tblInd w:w="0" w:type="dxa"/>
        <w:tblCellMar>
          <w:top w:w="0" w:type="dxa"/>
          <w:left w:w="0" w:type="dxa"/>
          <w:bottom w:w="0" w:type="dxa"/>
          <w:right w:w="0" w:type="dxa"/>
        </w:tblCellMar>
      </w:tblPr>
      <w:tr>
        <w:trPr>
          <w:trHeight w:val="230"/>
        </w:trPr>
        <w:tc>
          <w:tcPr>
            <w:tcW w:w="8300" w:type="dxa"/>
            <w:vAlign w:val="bottom"/>
            <w:gridSpan w:val="4"/>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5"/>
        </w:trPr>
        <w:tc>
          <w:tcPr>
            <w:tcW w:w="8300" w:type="dxa"/>
            <w:vAlign w:val="bottom"/>
            <w:gridSpan w:val="4"/>
          </w:tcPr>
          <w:p>
            <w:pPr>
              <w:spacing w:after="0"/>
              <w:rPr>
                <w:sz w:val="20"/>
                <w:szCs w:val="20"/>
                <w:color w:val="auto"/>
              </w:rPr>
            </w:pPr>
            <w:r>
              <w:rPr>
                <w:rFonts w:ascii="Arial" w:cs="Arial" w:eastAsia="Arial" w:hAnsi="Arial"/>
                <w:sz w:val="18"/>
                <w:szCs w:val="18"/>
                <w:color w:val="auto"/>
              </w:rPr>
              <w:t>Place/Date: Boston, Massachusetts</w:t>
            </w:r>
          </w:p>
        </w:tc>
        <w:tc>
          <w:tcPr>
            <w:tcW w:w="312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October 16, 2015</w:t>
            </w:r>
          </w:p>
        </w:tc>
        <w:tc>
          <w:tcPr>
            <w:tcW w:w="37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39"/>
        </w:trPr>
        <w:tc>
          <w:tcPr>
            <w:tcW w:w="8300" w:type="dxa"/>
            <w:vAlign w:val="bottom"/>
            <w:gridSpan w:val="4"/>
          </w:tcPr>
          <w:p>
            <w:pPr>
              <w:spacing w:after="0"/>
              <w:rPr>
                <w:sz w:val="20"/>
                <w:szCs w:val="20"/>
                <w:color w:val="auto"/>
              </w:rPr>
            </w:pPr>
            <w:r>
              <w:rPr>
                <w:rFonts w:ascii="Arial" w:cs="Arial" w:eastAsia="Arial" w:hAnsi="Arial"/>
                <w:sz w:val="18"/>
                <w:szCs w:val="18"/>
                <w:b w:val="1"/>
                <w:bCs w:val="1"/>
                <w:color w:val="auto"/>
              </w:rPr>
              <w:t>Fidelity Securities Fund: Fidelity Series Blue Chip Growth Fund</w:t>
            </w:r>
          </w:p>
        </w:tc>
        <w:tc>
          <w:tcPr>
            <w:tcW w:w="3120" w:type="dxa"/>
            <w:vAlign w:val="bottom"/>
          </w:tcPr>
          <w:p>
            <w:pPr>
              <w:spacing w:after="0"/>
              <w:rPr>
                <w:sz w:val="24"/>
                <w:szCs w:val="24"/>
                <w:color w:val="auto"/>
              </w:rPr>
            </w:pP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Kenneth B Robins</w:t>
            </w:r>
          </w:p>
        </w:tc>
        <w:tc>
          <w:tcPr>
            <w:tcW w:w="37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Kenneth B Robins</w:t>
            </w:r>
          </w:p>
        </w:tc>
        <w:tc>
          <w:tcPr>
            <w:tcW w:w="37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Authorized Signatory</w:t>
            </w:r>
          </w:p>
        </w:tc>
        <w:tc>
          <w:tcPr>
            <w:tcW w:w="372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Place/Date: Boston, Massachusetts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October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Blue Chip Growth Commingled Pool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Fidelity Management &amp; Trust Co.</w:t>
      </w:r>
    </w:p>
    <w:p>
      <w:pPr>
        <w:spacing w:after="0" w:line="23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20" w:name="page621"/>
    <w:bookmarkEnd w:id="620"/>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Place/Date: Smithfield, RI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October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Pyramis Lifecycle Blue Chip Growth Commingled Pool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Pyramis Global Advisors Trust Company, as Trustee</w:t>
      </w:r>
    </w:p>
    <w:p>
      <w:pPr>
        <w:spacing w:after="0" w:line="23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Dana Rancourt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 Dana Rancourt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Place/Date: Boston, Massachusetts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October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Securities Fund: Fidelity Blue Chip Growth Fund</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621" w:name="page622"/>
    <w:bookmarkEnd w:id="621"/>
    <w:tbl>
      <w:tblPr>
        <w:tblLayout w:type="fixed"/>
        <w:tblInd w:w="0" w:type="dxa"/>
        <w:tblCellMar>
          <w:top w:w="0" w:type="dxa"/>
          <w:left w:w="0" w:type="dxa"/>
          <w:bottom w:w="0" w:type="dxa"/>
          <w:right w:w="0" w:type="dxa"/>
        </w:tblCellMar>
      </w:tblPr>
      <w:tr>
        <w:trPr>
          <w:trHeight w:val="230"/>
        </w:trPr>
        <w:tc>
          <w:tcPr>
            <w:tcW w:w="5780" w:type="dxa"/>
            <w:vAlign w:val="bottom"/>
            <w:gridSpan w:val="5"/>
          </w:tcPr>
          <w:p>
            <w:pPr>
              <w:spacing w:after="0"/>
              <w:rPr>
                <w:sz w:val="20"/>
                <w:szCs w:val="20"/>
                <w:color w:val="auto"/>
              </w:rPr>
            </w:pPr>
            <w:r>
              <w:rPr>
                <w:rFonts w:ascii="Arial" w:cs="Arial" w:eastAsia="Arial" w:hAnsi="Arial"/>
                <w:sz w:val="18"/>
                <w:szCs w:val="18"/>
                <w:color w:val="auto"/>
                <w:w w:val="98"/>
              </w:rPr>
              <w:t>Subscription Agreement regarding AC Immune SA as of 16 October 2015</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65"/>
        </w:trPr>
        <w:tc>
          <w:tcPr>
            <w:tcW w:w="5780" w:type="dxa"/>
            <w:vAlign w:val="bottom"/>
            <w:gridSpan w:val="5"/>
          </w:tcPr>
          <w:p>
            <w:pPr>
              <w:spacing w:after="0"/>
              <w:rPr>
                <w:sz w:val="20"/>
                <w:szCs w:val="20"/>
                <w:color w:val="auto"/>
              </w:rPr>
            </w:pPr>
            <w:r>
              <w:rPr>
                <w:rFonts w:ascii="Arial" w:cs="Arial" w:eastAsia="Arial" w:hAnsi="Arial"/>
                <w:sz w:val="18"/>
                <w:szCs w:val="18"/>
                <w:color w:val="auto"/>
              </w:rPr>
              <w:t>Place/Date: Lausanne, 16 October 2015</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
        </w:trPr>
        <w:tc>
          <w:tcPr>
            <w:tcW w:w="920" w:type="dxa"/>
            <w:vAlign w:val="bottom"/>
            <w:gridSpan w:val="2"/>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439"/>
        </w:trPr>
        <w:tc>
          <w:tcPr>
            <w:tcW w:w="5780" w:type="dxa"/>
            <w:vAlign w:val="bottom"/>
            <w:gridSpan w:val="5"/>
          </w:tcPr>
          <w:p>
            <w:pPr>
              <w:spacing w:after="0"/>
              <w:rPr>
                <w:sz w:val="20"/>
                <w:szCs w:val="20"/>
                <w:color w:val="auto"/>
              </w:rPr>
            </w:pPr>
            <w:r>
              <w:rPr>
                <w:rFonts w:ascii="Arial" w:cs="Arial" w:eastAsia="Arial" w:hAnsi="Arial"/>
                <w:sz w:val="18"/>
                <w:szCs w:val="18"/>
                <w:b w:val="1"/>
                <w:bCs w:val="1"/>
                <w:color w:val="auto"/>
              </w:rPr>
              <w:t>AC Immune SA</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59"/>
        </w:trPr>
        <w:tc>
          <w:tcPr>
            <w:tcW w:w="5780" w:type="dxa"/>
            <w:vAlign w:val="bottom"/>
            <w:gridSpan w:val="5"/>
          </w:tcPr>
          <w:p>
            <w:pPr>
              <w:spacing w:after="0"/>
              <w:rPr>
                <w:sz w:val="20"/>
                <w:szCs w:val="20"/>
                <w:color w:val="auto"/>
              </w:rPr>
            </w:pPr>
            <w:r>
              <w:rPr>
                <w:rFonts w:ascii="Arial" w:cs="Arial" w:eastAsia="Arial" w:hAnsi="Arial"/>
                <w:sz w:val="18"/>
                <w:szCs w:val="18"/>
                <w:color w:val="auto"/>
              </w:rPr>
              <w:t>Signature</w:t>
            </w:r>
          </w:p>
        </w:tc>
        <w:tc>
          <w:tcPr>
            <w:tcW w:w="5640" w:type="dxa"/>
            <w:vAlign w:val="bottom"/>
            <w:gridSpan w:val="3"/>
          </w:tcPr>
          <w:p>
            <w:pPr>
              <w:ind w:left="420"/>
              <w:spacing w:after="0"/>
              <w:rPr>
                <w:sz w:val="20"/>
                <w:szCs w:val="20"/>
                <w:color w:val="auto"/>
              </w:rPr>
            </w:pPr>
            <w:r>
              <w:rPr>
                <w:rFonts w:ascii="Arial" w:cs="Arial" w:eastAsia="Arial" w:hAnsi="Arial"/>
                <w:sz w:val="18"/>
                <w:szCs w:val="18"/>
                <w:color w:val="auto"/>
              </w:rPr>
              <w:t>Signature</w:t>
            </w:r>
          </w:p>
        </w:tc>
      </w:tr>
      <w:tr>
        <w:trPr>
          <w:trHeight w:val="432"/>
        </w:trPr>
        <w:tc>
          <w:tcPr>
            <w:tcW w:w="53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Martin Velasco</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317"/>
        </w:trPr>
        <w:tc>
          <w:tcPr>
            <w:tcW w:w="500" w:type="dxa"/>
            <w:vAlign w:val="bottom"/>
          </w:tcPr>
          <w:p>
            <w:pPr>
              <w:spacing w:after="0"/>
              <w:rPr>
                <w:sz w:val="20"/>
                <w:szCs w:val="20"/>
                <w:color w:val="auto"/>
              </w:rPr>
            </w:pPr>
            <w:r>
              <w:rPr>
                <w:rFonts w:ascii="Arial" w:cs="Arial" w:eastAsia="Arial" w:hAnsi="Arial"/>
                <w:sz w:val="18"/>
                <w:szCs w:val="18"/>
                <w:color w:val="auto"/>
                <w:w w:val="99"/>
              </w:rPr>
              <w:t>Name</w:t>
            </w:r>
          </w:p>
        </w:tc>
        <w:tc>
          <w:tcPr>
            <w:tcW w:w="5280" w:type="dxa"/>
            <w:vAlign w:val="bottom"/>
            <w:gridSpan w:val="4"/>
          </w:tcPr>
          <w:p>
            <w:pPr>
              <w:ind w:left="60"/>
              <w:spacing w:after="0"/>
              <w:rPr>
                <w:sz w:val="20"/>
                <w:szCs w:val="20"/>
                <w:color w:val="auto"/>
              </w:rPr>
            </w:pPr>
            <w:r>
              <w:rPr>
                <w:rFonts w:ascii="Arial" w:cs="Arial" w:eastAsia="Arial" w:hAnsi="Arial"/>
                <w:sz w:val="18"/>
                <w:szCs w:val="18"/>
                <w:color w:val="auto"/>
              </w:rPr>
              <w:t>Martin Velasco</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95"/>
              </w:rPr>
              <w:t>Name</w:t>
            </w:r>
          </w:p>
        </w:tc>
        <w:tc>
          <w:tcPr>
            <w:tcW w:w="4740" w:type="dxa"/>
            <w:vAlign w:val="bottom"/>
          </w:tcPr>
          <w:p>
            <w:pPr>
              <w:ind w:left="60"/>
              <w:spacing w:after="0"/>
              <w:rPr>
                <w:sz w:val="20"/>
                <w:szCs w:val="20"/>
                <w:color w:val="auto"/>
              </w:rPr>
            </w:pPr>
            <w:r>
              <w:rPr>
                <w:rFonts w:ascii="Arial" w:cs="Arial" w:eastAsia="Arial" w:hAnsi="Arial"/>
                <w:sz w:val="18"/>
                <w:szCs w:val="18"/>
                <w:color w:val="auto"/>
              </w:rPr>
              <w:t>Matthias Staehelin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80" w:type="dxa"/>
            <w:vAlign w:val="bottom"/>
            <w:gridSpan w:val="4"/>
          </w:tcPr>
          <w:p>
            <w:pPr>
              <w:ind w:left="60"/>
              <w:spacing w:after="0"/>
              <w:rPr>
                <w:sz w:val="20"/>
                <w:szCs w:val="20"/>
                <w:color w:val="auto"/>
              </w:rPr>
            </w:pPr>
            <w:r>
              <w:rPr>
                <w:rFonts w:ascii="Arial" w:cs="Arial" w:eastAsia="Arial" w:hAnsi="Arial"/>
                <w:sz w:val="18"/>
                <w:szCs w:val="18"/>
                <w:color w:val="auto"/>
              </w:rPr>
              <w:t>Chairman of the Board</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Title</w:t>
            </w:r>
          </w:p>
        </w:tc>
        <w:tc>
          <w:tcPr>
            <w:tcW w:w="4740" w:type="dxa"/>
            <w:vAlign w:val="bottom"/>
          </w:tcPr>
          <w:p>
            <w:pPr>
              <w:ind w:left="60"/>
              <w:spacing w:after="0"/>
              <w:rPr>
                <w:sz w:val="20"/>
                <w:szCs w:val="20"/>
                <w:color w:val="auto"/>
              </w:rPr>
            </w:pPr>
            <w:r>
              <w:rPr>
                <w:rFonts w:ascii="Arial" w:cs="Arial" w:eastAsia="Arial" w:hAnsi="Arial"/>
                <w:sz w:val="18"/>
                <w:szCs w:val="18"/>
                <w:color w:val="auto"/>
              </w:rPr>
              <w:t>Secretary of the Board (Non-Member)</w:t>
            </w:r>
          </w:p>
        </w:tc>
      </w:tr>
    </w:tbl>
    <w:p>
      <w:pPr>
        <w:ind w:left="6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622" w:name="page623"/>
    <w:bookmarkEnd w:id="622"/>
    <w:tbl>
      <w:tblPr>
        <w:tblLayout w:type="fixed"/>
        <w:tblInd w:w="0" w:type="dxa"/>
        <w:tblCellMar>
          <w:top w:w="0" w:type="dxa"/>
          <w:left w:w="0" w:type="dxa"/>
          <w:bottom w:w="0" w:type="dxa"/>
          <w:right w:w="0" w:type="dxa"/>
        </w:tblCellMar>
      </w:tblPr>
      <w:tr>
        <w:trPr>
          <w:trHeight w:val="230"/>
        </w:trPr>
        <w:tc>
          <w:tcPr>
            <w:tcW w:w="5780" w:type="dxa"/>
            <w:vAlign w:val="bottom"/>
            <w:gridSpan w:val="5"/>
          </w:tcPr>
          <w:p>
            <w:pPr>
              <w:spacing w:after="0"/>
              <w:rPr>
                <w:sz w:val="20"/>
                <w:szCs w:val="20"/>
                <w:color w:val="auto"/>
              </w:rPr>
            </w:pPr>
            <w:r>
              <w:rPr>
                <w:rFonts w:ascii="Arial" w:cs="Arial" w:eastAsia="Arial" w:hAnsi="Arial"/>
                <w:sz w:val="18"/>
                <w:szCs w:val="18"/>
                <w:color w:val="auto"/>
                <w:w w:val="98"/>
              </w:rPr>
              <w:t>Subscription Agreement regarding AC Immune SA as of 16 October 2015</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65"/>
        </w:trPr>
        <w:tc>
          <w:tcPr>
            <w:tcW w:w="5780" w:type="dxa"/>
            <w:vAlign w:val="bottom"/>
            <w:gridSpan w:val="5"/>
          </w:tcPr>
          <w:p>
            <w:pPr>
              <w:spacing w:after="0"/>
              <w:rPr>
                <w:sz w:val="20"/>
                <w:szCs w:val="20"/>
                <w:color w:val="auto"/>
              </w:rPr>
            </w:pPr>
            <w:r>
              <w:rPr>
                <w:rFonts w:ascii="Arial" w:cs="Arial" w:eastAsia="Arial" w:hAnsi="Arial"/>
                <w:sz w:val="18"/>
                <w:szCs w:val="18"/>
                <w:color w:val="auto"/>
              </w:rPr>
              <w:t>Place/Date: Bangkok / 16 October 2015</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
        </w:trPr>
        <w:tc>
          <w:tcPr>
            <w:tcW w:w="920" w:type="dxa"/>
            <w:vAlign w:val="bottom"/>
            <w:gridSpan w:val="2"/>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439"/>
        </w:trPr>
        <w:tc>
          <w:tcPr>
            <w:tcW w:w="5780" w:type="dxa"/>
            <w:vAlign w:val="bottom"/>
            <w:gridSpan w:val="5"/>
          </w:tcPr>
          <w:p>
            <w:pPr>
              <w:spacing w:after="0"/>
              <w:rPr>
                <w:sz w:val="20"/>
                <w:szCs w:val="20"/>
                <w:color w:val="auto"/>
              </w:rPr>
            </w:pPr>
            <w:r>
              <w:rPr>
                <w:rFonts w:ascii="Arial" w:cs="Arial" w:eastAsia="Arial" w:hAnsi="Arial"/>
                <w:sz w:val="18"/>
                <w:szCs w:val="18"/>
                <w:b w:val="1"/>
                <w:bCs w:val="1"/>
                <w:color w:val="auto"/>
              </w:rPr>
              <w:t>AC Immune SA</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59"/>
        </w:trPr>
        <w:tc>
          <w:tcPr>
            <w:tcW w:w="5780" w:type="dxa"/>
            <w:vAlign w:val="bottom"/>
            <w:gridSpan w:val="5"/>
          </w:tcPr>
          <w:p>
            <w:pPr>
              <w:spacing w:after="0"/>
              <w:rPr>
                <w:sz w:val="20"/>
                <w:szCs w:val="20"/>
                <w:color w:val="auto"/>
              </w:rPr>
            </w:pPr>
            <w:r>
              <w:rPr>
                <w:rFonts w:ascii="Arial" w:cs="Arial" w:eastAsia="Arial" w:hAnsi="Arial"/>
                <w:sz w:val="18"/>
                <w:szCs w:val="18"/>
                <w:color w:val="auto"/>
              </w:rPr>
              <w:t>Signature</w:t>
            </w:r>
          </w:p>
        </w:tc>
        <w:tc>
          <w:tcPr>
            <w:tcW w:w="5640" w:type="dxa"/>
            <w:vAlign w:val="bottom"/>
            <w:gridSpan w:val="3"/>
          </w:tcPr>
          <w:p>
            <w:pPr>
              <w:ind w:left="420"/>
              <w:spacing w:after="0"/>
              <w:rPr>
                <w:sz w:val="20"/>
                <w:szCs w:val="20"/>
                <w:color w:val="auto"/>
              </w:rPr>
            </w:pPr>
            <w:r>
              <w:rPr>
                <w:rFonts w:ascii="Arial" w:cs="Arial" w:eastAsia="Arial" w:hAnsi="Arial"/>
                <w:sz w:val="18"/>
                <w:szCs w:val="18"/>
                <w:color w:val="auto"/>
              </w:rPr>
              <w:t>Signature</w:t>
            </w:r>
          </w:p>
        </w:tc>
      </w:tr>
      <w:tr>
        <w:trPr>
          <w:trHeight w:val="43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40" w:type="dxa"/>
            <w:vAlign w:val="bottom"/>
            <w:gridSpan w:val="3"/>
          </w:tcPr>
          <w:p>
            <w:pPr>
              <w:ind w:left="420"/>
              <w:spacing w:after="0"/>
              <w:rPr>
                <w:sz w:val="20"/>
                <w:szCs w:val="20"/>
                <w:color w:val="auto"/>
              </w:rPr>
            </w:pPr>
            <w:r>
              <w:rPr>
                <w:rFonts w:ascii="Arial" w:cs="Arial" w:eastAsia="Arial" w:hAnsi="Arial"/>
                <w:sz w:val="18"/>
                <w:szCs w:val="18"/>
                <w:color w:val="auto"/>
              </w:rPr>
              <w:t>/s/ Matthias Staehelin</w:t>
            </w:r>
          </w:p>
        </w:tc>
      </w:tr>
      <w:tr>
        <w:trPr>
          <w:trHeight w:val="20"/>
        </w:trPr>
        <w:tc>
          <w:tcPr>
            <w:tcW w:w="500" w:type="dxa"/>
            <w:vAlign w:val="bottom"/>
            <w:shd w:val="clear" w:color="auto" w:fill="000000"/>
          </w:tcPr>
          <w:p>
            <w:pPr>
              <w:spacing w:after="0" w:line="20" w:lineRule="exact"/>
              <w:rPr>
                <w:sz w:val="1"/>
                <w:szCs w:val="1"/>
                <w:color w:val="auto"/>
              </w:rPr>
            </w:pPr>
          </w:p>
        </w:tc>
        <w:tc>
          <w:tcPr>
            <w:tcW w:w="484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r>
      <w:tr>
        <w:trPr>
          <w:trHeight w:val="317"/>
        </w:trPr>
        <w:tc>
          <w:tcPr>
            <w:tcW w:w="500" w:type="dxa"/>
            <w:vAlign w:val="bottom"/>
          </w:tcPr>
          <w:p>
            <w:pPr>
              <w:spacing w:after="0"/>
              <w:rPr>
                <w:sz w:val="20"/>
                <w:szCs w:val="20"/>
                <w:color w:val="auto"/>
              </w:rPr>
            </w:pPr>
            <w:r>
              <w:rPr>
                <w:rFonts w:ascii="Arial" w:cs="Arial" w:eastAsia="Arial" w:hAnsi="Arial"/>
                <w:sz w:val="18"/>
                <w:szCs w:val="18"/>
                <w:color w:val="auto"/>
                <w:w w:val="99"/>
              </w:rPr>
              <w:t>Name</w:t>
            </w:r>
          </w:p>
        </w:tc>
        <w:tc>
          <w:tcPr>
            <w:tcW w:w="4840" w:type="dxa"/>
            <w:vAlign w:val="bottom"/>
            <w:gridSpan w:val="3"/>
          </w:tcPr>
          <w:p>
            <w:pPr>
              <w:ind w:left="60"/>
              <w:spacing w:after="0"/>
              <w:rPr>
                <w:sz w:val="20"/>
                <w:szCs w:val="20"/>
                <w:color w:val="auto"/>
              </w:rPr>
            </w:pPr>
            <w:r>
              <w:rPr>
                <w:rFonts w:ascii="Arial" w:cs="Arial" w:eastAsia="Arial" w:hAnsi="Arial"/>
                <w:sz w:val="18"/>
                <w:szCs w:val="18"/>
                <w:color w:val="auto"/>
              </w:rPr>
              <w:t>Martin Velasco</w:t>
            </w:r>
          </w:p>
        </w:tc>
        <w:tc>
          <w:tcPr>
            <w:tcW w:w="440" w:type="dxa"/>
            <w:vAlign w:val="bottom"/>
          </w:tcPr>
          <w:p>
            <w:pPr>
              <w:spacing w:after="0"/>
              <w:rPr>
                <w:sz w:val="24"/>
                <w:szCs w:val="24"/>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95"/>
              </w:rPr>
              <w:t>Name</w:t>
            </w:r>
          </w:p>
        </w:tc>
        <w:tc>
          <w:tcPr>
            <w:tcW w:w="4740" w:type="dxa"/>
            <w:vAlign w:val="bottom"/>
          </w:tcPr>
          <w:p>
            <w:pPr>
              <w:ind w:left="60"/>
              <w:spacing w:after="0"/>
              <w:rPr>
                <w:sz w:val="20"/>
                <w:szCs w:val="20"/>
                <w:color w:val="auto"/>
              </w:rPr>
            </w:pPr>
            <w:r>
              <w:rPr>
                <w:rFonts w:ascii="Arial" w:cs="Arial" w:eastAsia="Arial" w:hAnsi="Arial"/>
                <w:sz w:val="18"/>
                <w:szCs w:val="18"/>
                <w:color w:val="auto"/>
              </w:rPr>
              <w:t>Matthias Staehelin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80" w:type="dxa"/>
            <w:vAlign w:val="bottom"/>
            <w:gridSpan w:val="4"/>
          </w:tcPr>
          <w:p>
            <w:pPr>
              <w:ind w:left="60"/>
              <w:spacing w:after="0"/>
              <w:rPr>
                <w:sz w:val="20"/>
                <w:szCs w:val="20"/>
                <w:color w:val="auto"/>
              </w:rPr>
            </w:pPr>
            <w:r>
              <w:rPr>
                <w:rFonts w:ascii="Arial" w:cs="Arial" w:eastAsia="Arial" w:hAnsi="Arial"/>
                <w:sz w:val="18"/>
                <w:szCs w:val="18"/>
                <w:color w:val="auto"/>
              </w:rPr>
              <w:t>Chairman of the Board</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Title</w:t>
            </w:r>
          </w:p>
        </w:tc>
        <w:tc>
          <w:tcPr>
            <w:tcW w:w="4740" w:type="dxa"/>
            <w:vAlign w:val="bottom"/>
          </w:tcPr>
          <w:p>
            <w:pPr>
              <w:ind w:left="60"/>
              <w:spacing w:after="0"/>
              <w:rPr>
                <w:sz w:val="20"/>
                <w:szCs w:val="20"/>
                <w:color w:val="auto"/>
              </w:rPr>
            </w:pPr>
            <w:r>
              <w:rPr>
                <w:rFonts w:ascii="Arial" w:cs="Arial" w:eastAsia="Arial" w:hAnsi="Arial"/>
                <w:sz w:val="18"/>
                <w:szCs w:val="18"/>
                <w:color w:val="auto"/>
              </w:rPr>
              <w:t>Secretary of the Board (Non-Member)</w:t>
            </w:r>
          </w:p>
        </w:tc>
      </w:tr>
    </w:tbl>
    <w:p>
      <w:pPr>
        <w:ind w:left="60"/>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623" w:name="page624"/>
    <w:bookmarkEnd w:id="623"/>
    <w:tbl>
      <w:tblPr>
        <w:tblLayout w:type="fixed"/>
        <w:tblInd w:w="0" w:type="dxa"/>
        <w:tblCellMar>
          <w:top w:w="0" w:type="dxa"/>
          <w:left w:w="0" w:type="dxa"/>
          <w:bottom w:w="0" w:type="dxa"/>
          <w:right w:w="0" w:type="dxa"/>
        </w:tblCellMar>
      </w:tblPr>
      <w:tr>
        <w:trPr>
          <w:trHeight w:val="230"/>
        </w:trPr>
        <w:tc>
          <w:tcPr>
            <w:tcW w:w="904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2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1460" w:type="dxa"/>
            <w:vAlign w:val="bottom"/>
          </w:tcPr>
          <w:p>
            <w:pPr>
              <w:spacing w:after="0"/>
              <w:rPr>
                <w:sz w:val="20"/>
                <w:szCs w:val="20"/>
                <w:color w:val="auto"/>
              </w:rPr>
            </w:pPr>
            <w:r>
              <w:rPr>
                <w:rFonts w:ascii="Arial" w:cs="Arial" w:eastAsia="Arial" w:hAnsi="Arial"/>
                <w:sz w:val="18"/>
                <w:szCs w:val="18"/>
                <w:b w:val="1"/>
                <w:bCs w:val="1"/>
                <w:color w:val="auto"/>
              </w:rPr>
              <w:t>Annexes</w:t>
            </w:r>
          </w:p>
        </w:tc>
        <w:tc>
          <w:tcPr>
            <w:tcW w:w="75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59"/>
        </w:trPr>
        <w:tc>
          <w:tcPr>
            <w:tcW w:w="1460" w:type="dxa"/>
            <w:vAlign w:val="bottom"/>
          </w:tcPr>
          <w:p>
            <w:pPr>
              <w:spacing w:after="0"/>
              <w:rPr>
                <w:sz w:val="20"/>
                <w:szCs w:val="20"/>
                <w:color w:val="auto"/>
              </w:rPr>
            </w:pPr>
            <w:r>
              <w:rPr>
                <w:rFonts w:ascii="Arial" w:cs="Arial" w:eastAsia="Arial" w:hAnsi="Arial"/>
                <w:sz w:val="18"/>
                <w:szCs w:val="18"/>
                <w:color w:val="auto"/>
              </w:rPr>
              <w:t>Annex 0</w:t>
            </w:r>
          </w:p>
        </w:tc>
        <w:tc>
          <w:tcPr>
            <w:tcW w:w="7580" w:type="dxa"/>
            <w:vAlign w:val="bottom"/>
          </w:tcPr>
          <w:p>
            <w:pPr>
              <w:ind w:left="380"/>
              <w:spacing w:after="0"/>
              <w:rPr>
                <w:sz w:val="20"/>
                <w:szCs w:val="20"/>
                <w:color w:val="auto"/>
              </w:rPr>
            </w:pPr>
            <w:r>
              <w:rPr>
                <w:rFonts w:ascii="Arial" w:cs="Arial" w:eastAsia="Arial" w:hAnsi="Arial"/>
                <w:sz w:val="18"/>
                <w:szCs w:val="18"/>
                <w:color w:val="auto"/>
              </w:rPr>
              <w:t>Shareholders’ Agreement dated 16 October 2015</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2.2</w:t>
            </w:r>
          </w:p>
        </w:tc>
        <w:tc>
          <w:tcPr>
            <w:tcW w:w="7580" w:type="dxa"/>
            <w:vAlign w:val="bottom"/>
          </w:tcPr>
          <w:p>
            <w:pPr>
              <w:ind w:left="380"/>
              <w:spacing w:after="0"/>
              <w:rPr>
                <w:sz w:val="20"/>
                <w:szCs w:val="20"/>
                <w:color w:val="auto"/>
              </w:rPr>
            </w:pPr>
            <w:r>
              <w:rPr>
                <w:rFonts w:ascii="Arial" w:cs="Arial" w:eastAsia="Arial" w:hAnsi="Arial"/>
                <w:sz w:val="18"/>
                <w:szCs w:val="18"/>
                <w:color w:val="auto"/>
              </w:rPr>
              <w:t>Current Articles of Association of the Company as of 1 October 2015</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3.1</w:t>
            </w:r>
          </w:p>
        </w:tc>
        <w:tc>
          <w:tcPr>
            <w:tcW w:w="7580" w:type="dxa"/>
            <w:vAlign w:val="bottom"/>
          </w:tcPr>
          <w:p>
            <w:pPr>
              <w:ind w:left="380"/>
              <w:spacing w:after="0"/>
              <w:rPr>
                <w:sz w:val="20"/>
                <w:szCs w:val="20"/>
                <w:color w:val="auto"/>
              </w:rPr>
            </w:pPr>
            <w:r>
              <w:rPr>
                <w:rFonts w:ascii="Arial" w:cs="Arial" w:eastAsia="Arial" w:hAnsi="Arial"/>
                <w:sz w:val="18"/>
                <w:szCs w:val="18"/>
                <w:color w:val="auto"/>
              </w:rPr>
              <w:t>Adherence Declaration</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3.2</w:t>
            </w:r>
          </w:p>
        </w:tc>
        <w:tc>
          <w:tcPr>
            <w:tcW w:w="7580" w:type="dxa"/>
            <w:vAlign w:val="bottom"/>
          </w:tcPr>
          <w:p>
            <w:pPr>
              <w:ind w:left="380"/>
              <w:spacing w:after="0"/>
              <w:rPr>
                <w:sz w:val="20"/>
                <w:szCs w:val="20"/>
                <w:color w:val="auto"/>
              </w:rPr>
            </w:pPr>
            <w:r>
              <w:rPr>
                <w:rFonts w:ascii="Arial" w:cs="Arial" w:eastAsia="Arial" w:hAnsi="Arial"/>
                <w:sz w:val="18"/>
                <w:szCs w:val="18"/>
                <w:color w:val="auto"/>
              </w:rPr>
              <w:t>Subscription Form</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3.3</w:t>
            </w:r>
          </w:p>
        </w:tc>
        <w:tc>
          <w:tcPr>
            <w:tcW w:w="7580" w:type="dxa"/>
            <w:vAlign w:val="bottom"/>
          </w:tcPr>
          <w:p>
            <w:pPr>
              <w:ind w:left="380"/>
              <w:spacing w:after="0"/>
              <w:rPr>
                <w:sz w:val="20"/>
                <w:szCs w:val="20"/>
                <w:color w:val="auto"/>
              </w:rPr>
            </w:pPr>
            <w:r>
              <w:rPr>
                <w:rFonts w:ascii="Arial" w:cs="Arial" w:eastAsia="Arial" w:hAnsi="Arial"/>
                <w:sz w:val="18"/>
                <w:szCs w:val="18"/>
                <w:color w:val="auto"/>
              </w:rPr>
              <w:t>Revised Articles of Association of the Company as of Closing</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4</w:t>
            </w:r>
          </w:p>
        </w:tc>
        <w:tc>
          <w:tcPr>
            <w:tcW w:w="7580" w:type="dxa"/>
            <w:vAlign w:val="bottom"/>
          </w:tcPr>
          <w:p>
            <w:pPr>
              <w:ind w:left="380"/>
              <w:spacing w:after="0"/>
              <w:rPr>
                <w:sz w:val="20"/>
                <w:szCs w:val="20"/>
                <w:color w:val="auto"/>
              </w:rPr>
            </w:pPr>
            <w:r>
              <w:rPr>
                <w:rFonts w:ascii="Arial" w:cs="Arial" w:eastAsia="Arial" w:hAnsi="Arial"/>
                <w:sz w:val="18"/>
                <w:szCs w:val="18"/>
                <w:color w:val="auto"/>
              </w:rPr>
              <w:t>Capitalization Table of the Company Post Closing</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5.2.1(e)</w:t>
            </w:r>
          </w:p>
        </w:tc>
        <w:tc>
          <w:tcPr>
            <w:tcW w:w="7580" w:type="dxa"/>
            <w:vAlign w:val="bottom"/>
          </w:tcPr>
          <w:p>
            <w:pPr>
              <w:ind w:left="380"/>
              <w:spacing w:after="0"/>
              <w:rPr>
                <w:sz w:val="20"/>
                <w:szCs w:val="20"/>
                <w:color w:val="auto"/>
              </w:rPr>
            </w:pPr>
            <w:r>
              <w:rPr>
                <w:rFonts w:ascii="Arial" w:cs="Arial" w:eastAsia="Arial" w:hAnsi="Arial"/>
                <w:sz w:val="18"/>
                <w:szCs w:val="18"/>
                <w:color w:val="auto"/>
              </w:rPr>
              <w:t>Registration Rights Agreement</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5.2.1(f)</w:t>
            </w:r>
          </w:p>
        </w:tc>
        <w:tc>
          <w:tcPr>
            <w:tcW w:w="7580" w:type="dxa"/>
            <w:vAlign w:val="bottom"/>
          </w:tcPr>
          <w:p>
            <w:pPr>
              <w:ind w:left="380"/>
              <w:spacing w:after="0"/>
              <w:rPr>
                <w:sz w:val="20"/>
                <w:szCs w:val="20"/>
                <w:color w:val="auto"/>
              </w:rPr>
            </w:pPr>
            <w:r>
              <w:rPr>
                <w:rFonts w:ascii="Arial" w:cs="Arial" w:eastAsia="Arial" w:hAnsi="Arial"/>
                <w:sz w:val="18"/>
                <w:szCs w:val="18"/>
                <w:color w:val="auto"/>
              </w:rPr>
              <w:t>Legal Opinion VISCHER AG</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5.3(a)</w:t>
            </w:r>
          </w:p>
        </w:tc>
        <w:tc>
          <w:tcPr>
            <w:tcW w:w="7580" w:type="dxa"/>
            <w:vAlign w:val="bottom"/>
          </w:tcPr>
          <w:p>
            <w:pPr>
              <w:ind w:left="380"/>
              <w:spacing w:after="0"/>
              <w:rPr>
                <w:sz w:val="20"/>
                <w:szCs w:val="20"/>
                <w:color w:val="auto"/>
              </w:rPr>
            </w:pPr>
            <w:r>
              <w:rPr>
                <w:rFonts w:ascii="Arial" w:cs="Arial" w:eastAsia="Arial" w:hAnsi="Arial"/>
                <w:sz w:val="18"/>
                <w:szCs w:val="18"/>
                <w:color w:val="auto"/>
              </w:rPr>
              <w:t>Certificates for fulfilled conditions precedent</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7.1</w:t>
            </w:r>
          </w:p>
        </w:tc>
        <w:tc>
          <w:tcPr>
            <w:tcW w:w="7580" w:type="dxa"/>
            <w:vAlign w:val="bottom"/>
          </w:tcPr>
          <w:p>
            <w:pPr>
              <w:ind w:left="380"/>
              <w:spacing w:after="0"/>
              <w:rPr>
                <w:sz w:val="20"/>
                <w:szCs w:val="20"/>
                <w:color w:val="auto"/>
              </w:rPr>
            </w:pPr>
            <w:r>
              <w:rPr>
                <w:rFonts w:ascii="Arial" w:cs="Arial" w:eastAsia="Arial" w:hAnsi="Arial"/>
                <w:sz w:val="18"/>
                <w:szCs w:val="18"/>
                <w:color w:val="auto"/>
              </w:rPr>
              <w:t>Representation and Warranties by the Company</w:t>
            </w:r>
          </w:p>
        </w:tc>
        <w:tc>
          <w:tcPr>
            <w:tcW w:w="2380" w:type="dxa"/>
            <w:vAlign w:val="bottom"/>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Annex 7.2</w:t>
            </w:r>
          </w:p>
        </w:tc>
        <w:tc>
          <w:tcPr>
            <w:tcW w:w="7580" w:type="dxa"/>
            <w:vAlign w:val="bottom"/>
          </w:tcPr>
          <w:p>
            <w:pPr>
              <w:ind w:left="380"/>
              <w:spacing w:after="0"/>
              <w:rPr>
                <w:sz w:val="20"/>
                <w:szCs w:val="20"/>
                <w:color w:val="auto"/>
              </w:rPr>
            </w:pPr>
            <w:r>
              <w:rPr>
                <w:rFonts w:ascii="Arial" w:cs="Arial" w:eastAsia="Arial" w:hAnsi="Arial"/>
                <w:sz w:val="18"/>
                <w:szCs w:val="18"/>
                <w:color w:val="auto"/>
              </w:rPr>
              <w:t>Representation and Warranties by each Investor</w:t>
            </w:r>
          </w:p>
        </w:tc>
        <w:tc>
          <w:tcPr>
            <w:tcW w:w="2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624" w:name="page625"/>
    <w:bookmarkEnd w:id="6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Adherence Declaration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7"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(hereinafter “</w:t>
      </w:r>
      <w:r>
        <w:rPr>
          <w:rFonts w:ascii="Arial" w:cs="Arial" w:eastAsia="Arial" w:hAnsi="Arial"/>
          <w:sz w:val="16"/>
          <w:szCs w:val="16"/>
          <w:b w:val="1"/>
          <w:bCs w:val="1"/>
          <w:color w:val="auto"/>
        </w:rPr>
        <w:t>Investor</w:t>
      </w:r>
      <w:r>
        <w:rPr>
          <w:rFonts w:ascii="Arial" w:cs="Arial" w:eastAsia="Arial" w:hAnsi="Arial"/>
          <w:sz w:val="16"/>
          <w:szCs w:val="16"/>
          <w:color w:val="auto"/>
        </w:rPr>
        <w:t>”)</w:t>
      </w:r>
    </w:p>
    <w:p>
      <w:pPr>
        <w:spacing w:after="0" w:line="25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WHEREAS, the Subscription Agreement as of 16 October 2015 regarding AC Immune SA, a Swiss share company registered under the number CHE-109.878.825, EPFL Innovation Park, bâtiment B, 1015 Lausanne, Switzerland (the “</w:t>
      </w:r>
      <w:r>
        <w:rPr>
          <w:rFonts w:ascii="Arial" w:cs="Arial" w:eastAsia="Arial" w:hAnsi="Arial"/>
          <w:sz w:val="18"/>
          <w:szCs w:val="18"/>
          <w:b w:val="1"/>
          <w:bCs w:val="1"/>
          <w:color w:val="auto"/>
        </w:rPr>
        <w:t>Company</w:t>
      </w:r>
      <w:r>
        <w:rPr>
          <w:rFonts w:ascii="Arial" w:cs="Arial" w:eastAsia="Arial" w:hAnsi="Arial"/>
          <w:sz w:val="18"/>
          <w:szCs w:val="18"/>
          <w:color w:val="auto"/>
        </w:rPr>
        <w:t>”), was executed between the Company and [●]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enclosed as Appendix A to this adherence declaration);</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WHEREAS, pursuant to the Subscription Agreement existing shareholders and other investors may participate for up to USD 49’472’456.16 in the investment in the Company by way of adherence to the Subscription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the Investor is willing to invest in the Company or increase its investment in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Investor hereby declares and agrees to the following:</w:t>
      </w:r>
    </w:p>
    <w:p>
      <w:pPr>
        <w:spacing w:after="0" w:line="370" w:lineRule="exact"/>
        <w:rPr>
          <w:sz w:val="20"/>
          <w:szCs w:val="20"/>
          <w:color w:val="auto"/>
        </w:rPr>
      </w:pPr>
    </w:p>
    <w:p>
      <w:pPr>
        <w:ind w:left="460" w:hanging="452"/>
        <w:spacing w:after="0"/>
        <w:tabs>
          <w:tab w:leader="none" w:pos="460"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in this adherence declaration, all capitalized terms shall have the meaning according to the definition in the Subscription Agreement.</w:t>
      </w:r>
    </w:p>
    <w:p>
      <w:pPr>
        <w:spacing w:after="0" w:line="393" w:lineRule="exact"/>
        <w:rPr>
          <w:sz w:val="20"/>
          <w:szCs w:val="20"/>
          <w:color w:val="auto"/>
        </w:rPr>
      </w:pPr>
    </w:p>
    <w:p>
      <w:pPr>
        <w:ind w:left="460" w:hanging="452"/>
        <w:spacing w:after="0"/>
        <w:tabs>
          <w:tab w:leader="none" w:pos="460"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color w:val="auto"/>
        </w:rPr>
        <w:t>ADHERENCE TO THE SUBSCRIPTION AGREEMENT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Investor hereby adheres to the Subscription Agreement as additional Investor and undertakes to invest a total amount of USD [AMOUNT] according to the terms in this adherence declaration and according to the terms of the Subscription Agreement.</w:t>
      </w:r>
    </w:p>
    <w:p>
      <w:pPr>
        <w:spacing w:after="0" w:line="315" w:lineRule="exact"/>
        <w:rPr>
          <w:sz w:val="20"/>
          <w:szCs w:val="20"/>
          <w:color w:val="auto"/>
        </w:rPr>
      </w:pPr>
    </w:p>
    <w:p>
      <w:pPr>
        <w:ind w:left="460" w:hanging="452"/>
        <w:spacing w:after="0"/>
        <w:tabs>
          <w:tab w:leader="none" w:pos="460"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 JURISDICTION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adherence declaration and all disputes including those concerning any statute of limitations, set-off claims, tort claims and interest claims, shall be governed by the substantive laws of Switzerland excluding its conflict of laws rules.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Any disputes, controversy or claim arising under, out of or relating to this adherence declaration (and sub-sequent amendments thereof), its valid conclusion, binding effect, interpretation, performance, breach or termination, including tort claims, shall be referred to and finally determined by arbitration in accordance with the Swiss Rules of International Arbitration of the Swiss Chambers of Commerce in force at the time when the arbitration is initiated. A panel of three arbitrators shall be appointed. The place of arbitration shall be Lausanne, Switzerland. The language to be used in the arbitration proceedings shall be English.</w:t>
      </w:r>
    </w:p>
    <w:p>
      <w:pPr>
        <w:sectPr>
          <w:pgSz w:w="11900" w:h="16838" w:orient="portrait"/>
          <w:cols w:equalWidth="0" w:num="1">
            <w:col w:w="11420"/>
          </w:cols>
          <w:pgMar w:left="240" w:top="274" w:right="239" w:bottom="1440" w:gutter="0" w:footer="0" w:header="0"/>
        </w:sectPr>
      </w:pPr>
    </w:p>
    <w:bookmarkStart w:id="625" w:name="page626"/>
    <w:bookmarkEnd w:id="6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Appendices</w:t>
      </w: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Appendix A </w:t>
      </w:r>
      <w:r>
        <w:rPr>
          <w:rFonts w:ascii="Arial" w:cs="Arial" w:eastAsia="Arial" w:hAnsi="Arial"/>
          <w:sz w:val="18"/>
          <w:szCs w:val="18"/>
          <w:color w:val="auto"/>
        </w:rPr>
        <w:t>Subscription Agreement 16 October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Investor has caused this adherence declaration to be duly executed</w:t>
      </w:r>
    </w:p>
    <w:p>
      <w:pPr>
        <w:spacing w:after="0" w:line="25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Place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Signature</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216"/>
        </w:trPr>
        <w:tc>
          <w:tcPr>
            <w:tcW w:w="538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317"/>
        </w:trPr>
        <w:tc>
          <w:tcPr>
            <w:tcW w:w="5380" w:type="dxa"/>
            <w:vAlign w:val="bottom"/>
          </w:tcPr>
          <w:p>
            <w:pPr>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Title</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b w:val="1"/>
                <w:bCs w:val="1"/>
                <w:color w:val="auto"/>
              </w:rPr>
              <w:t>Accepted:</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AC Immune SA</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Signature</w:t>
            </w: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Signature</w:t>
            </w:r>
          </w:p>
        </w:tc>
      </w:tr>
      <w:tr>
        <w:trPr>
          <w:trHeight w:val="432"/>
        </w:trPr>
        <w:tc>
          <w:tcPr>
            <w:tcW w:w="5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317"/>
        </w:trPr>
        <w:tc>
          <w:tcPr>
            <w:tcW w:w="5380" w:type="dxa"/>
            <w:vAlign w:val="bottom"/>
          </w:tcPr>
          <w:p>
            <w:pPr>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Name</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Title</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Title</w:t>
            </w:r>
          </w:p>
        </w:tc>
      </w:tr>
    </w:tbl>
    <w:p>
      <w:pPr>
        <w:sectPr>
          <w:pgSz w:w="11900" w:h="16838" w:orient="portrait"/>
          <w:cols w:equalWidth="0" w:num="1">
            <w:col w:w="11420"/>
          </w:cols>
          <w:pgMar w:left="240" w:top="274" w:right="239" w:bottom="1440" w:gutter="0" w:footer="0" w:header="0"/>
        </w:sectPr>
      </w:pPr>
    </w:p>
    <w:bookmarkStart w:id="626" w:name="page627"/>
    <w:bookmarkEnd w:id="6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15240</wp:posOffset>
            </wp:positionV>
            <wp:extent cx="2341245" cy="47180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234124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AND REGISTRATION FORM</w:t>
      </w:r>
    </w:p>
    <w:p>
      <w:pPr>
        <w:spacing w:after="0" w:line="225"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Subscription Rights and Shares may not be offered or sold, directly or indirectly, in or from any country or jurisdiction except under circumstances that will result in compliance with any applicable rules and regulations of any such country or jurisdiction. This security offering is in the United States solely addressed to accredited investors (as defined in Regulation D of the Securities Act) and in the European Union solely addressed to qualified investors or to special category of investors (as defined in article 2 section 1 E of the Prospectus Directive).</w:t>
      </w:r>
    </w:p>
    <w:p>
      <w:pPr>
        <w:spacing w:after="0" w:line="1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Making reference to the articles of association AC Immune SA, with registered seat in Lausanne, company number CHE-109.878.825 (the “Company”), as enacted the extraordinary general meeting held on October 1, 2015 and the resolutions of such meeting and a meeting of the Board of Directors to increase the share capital of the Company by the aggregate amount of CHF[102’680] from CHF [853’900] (amount registered in the register of commerce not taking into account the 502 options for common shares exercised in 2015) up to CHF [956’580] through the issuance of up to 20’536 new Series E Preferred Shares (the “Preferred Series E Shares” and each a “Preferred Series E Share”) with a nominal value of CHF 5.00 each at the subscription amount of USD 2’409.06, and the corresponding rights offering, offering such shares for a price of USD 2’409.06 per share in cash at issuance.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My/Our commitment for the Series E Financing Round is USD</w:t>
      </w:r>
    </w:p>
    <w:p>
      <w:pPr>
        <w:spacing w:after="0" w:line="117" w:lineRule="exact"/>
        <w:rPr>
          <w:sz w:val="20"/>
          <w:szCs w:val="20"/>
          <w:color w:val="auto"/>
        </w:rPr>
      </w:pPr>
    </w:p>
    <w:p>
      <w:pPr>
        <w:ind w:left="460" w:right="660"/>
        <w:spacing w:after="0" w:line="277" w:lineRule="auto"/>
        <w:rPr>
          <w:sz w:val="20"/>
          <w:szCs w:val="20"/>
          <w:color w:val="auto"/>
        </w:rPr>
      </w:pPr>
      <w:r>
        <w:rPr>
          <w:rFonts w:ascii="Arial" w:cs="Arial" w:eastAsia="Arial" w:hAnsi="Arial"/>
          <w:sz w:val="18"/>
          <w:szCs w:val="18"/>
          <w:color w:val="auto"/>
        </w:rPr>
        <w:t>For my/our commitment I/we hereby unconditionally subscribe (in words ) Preferred Series E Shares with the irrevocable and unconditional undertaking to pay the issue price of USD 2’409.06 for each allotted Preferred Series E Share to the Company.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I/we grant power of attorney to each member of the board of directors of the Company to repeat the subscription of based on a signed copy of this form.</w:t>
      </w: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I/we confirm the following: (1) My/our overall commitment to investments that are not readily marketable is reasonable in relation to my/our net worth; (2) I am/we are willing and able to bear the economic risk of this investment; and (3) I am/we are purchasing the shares offered for my/our own account for investment purposes only and not with a view to distribution or resale.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I/we confirm that I/we have taken note of the contents of the Articles of Association of the Company as resolved on October 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I/we declare that I/we will acquire Preferred Series E Shares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my/our own name and for my/our own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429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trustee (nominee) for the following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429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spacing w:after="0"/>
        <w:tabs>
          <w:tab w:leader="none" w:pos="2320" w:val="left"/>
          <w:tab w:leader="none" w:pos="3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 address</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627" w:name="page628"/>
    <w:bookmarkEnd w:id="6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4"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I /we confirm that I/we are not acquiring the Shares for the account or benefit of another person who is a U.S. person or resident in China, Australia, Canada, Taiwan or Japan.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I/we request that the Preferred Series E Shares be entered into the shareholders’ register of AC Immune SA under my/our name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Individuals</w:t>
      </w:r>
    </w:p>
    <w:p>
      <w:pPr>
        <w:spacing w:after="0" w:line="84" w:lineRule="exact"/>
        <w:rPr>
          <w:sz w:val="20"/>
          <w:szCs w:val="20"/>
          <w:color w:val="auto"/>
        </w:rPr>
      </w:pPr>
    </w:p>
    <w:p>
      <w:pPr>
        <w:spacing w:after="0" w:line="207" w:lineRule="exact"/>
        <w:tabs>
          <w:tab w:leader="none" w:pos="6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Ms/Mrs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First Name:</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Street, No.:</w:t>
            </w:r>
          </w:p>
        </w:tc>
        <w:tc>
          <w:tcPr>
            <w:tcW w:w="706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Postal Code, City:</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Country:</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Telefon, No.:</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Fax, No. or e-mail:</w:t>
            </w:r>
          </w:p>
        </w:tc>
      </w:tr>
      <w:tr>
        <w:trPr>
          <w:trHeight w:val="223"/>
        </w:trPr>
        <w:tc>
          <w:tcPr>
            <w:tcW w:w="4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Nationality:</w:t>
            </w:r>
          </w:p>
        </w:tc>
        <w:tc>
          <w:tcPr>
            <w:tcW w:w="7060" w:type="dxa"/>
            <w:vAlign w:val="bottom"/>
          </w:tcPr>
          <w:p>
            <w:pPr>
              <w:ind w:left="2140"/>
              <w:spacing w:after="0"/>
              <w:rPr>
                <w:sz w:val="20"/>
                <w:szCs w:val="20"/>
                <w:color w:val="auto"/>
              </w:rPr>
            </w:pPr>
            <w:r>
              <w:rPr>
                <w:rFonts w:ascii="Arial" w:cs="Arial" w:eastAsia="Arial" w:hAnsi="Arial"/>
                <w:sz w:val="18"/>
                <w:szCs w:val="18"/>
                <w:color w:val="auto"/>
              </w:rPr>
              <w:t>Date of Birth:</w:t>
            </w:r>
          </w:p>
        </w:tc>
      </w:tr>
      <w:tr>
        <w:trPr>
          <w:trHeight w:val="20"/>
        </w:trPr>
        <w:tc>
          <w:tcPr>
            <w:tcW w:w="480" w:type="dxa"/>
            <w:vAlign w:val="bottom"/>
            <w:gridSpan w:val="2"/>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7060" w:type="dxa"/>
            <w:vAlign w:val="bottom"/>
            <w:shd w:val="clear" w:color="auto" w:fill="000000"/>
          </w:tcPr>
          <w:p>
            <w:pPr>
              <w:spacing w:after="0" w:line="20" w:lineRule="exact"/>
              <w:rPr>
                <w:sz w:val="1"/>
                <w:szCs w:val="1"/>
                <w:color w:val="auto"/>
              </w:rPr>
            </w:pPr>
          </w:p>
        </w:tc>
      </w:tr>
      <w:tr>
        <w:trPr>
          <w:trHeight w:val="547"/>
        </w:trPr>
        <w:tc>
          <w:tcPr>
            <w:tcW w:w="3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Legal Entities</w:t>
            </w:r>
          </w:p>
        </w:tc>
        <w:tc>
          <w:tcPr>
            <w:tcW w:w="706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First Name:</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Street, No.:</w:t>
            </w:r>
          </w:p>
        </w:tc>
        <w:tc>
          <w:tcPr>
            <w:tcW w:w="706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Postal Code, City:</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Country:</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Telefon, No.:</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Fax, No. or e-mail:</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Legal Status:</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Line of Business:</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Activity/Purpose:</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Jurisdiction of Incorporation:</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Notices from AC Immune SA should be sent to:</w:t>
      </w:r>
    </w:p>
    <w:p>
      <w:pPr>
        <w:spacing w:after="0" w:line="252" w:lineRule="exact"/>
        <w:rPr>
          <w:sz w:val="20"/>
          <w:szCs w:val="20"/>
          <w:color w:val="auto"/>
        </w:rPr>
      </w:pPr>
    </w:p>
    <w:p>
      <w:pPr>
        <w:ind w:left="680" w:hanging="213"/>
        <w:spacing w:after="0"/>
        <w:tabs>
          <w:tab w:leader="none" w:pos="680" w:val="left"/>
        </w:tabs>
        <w:numPr>
          <w:ilvl w:val="0"/>
          <w:numId w:val="481"/>
        </w:numPr>
        <w:rPr>
          <w:rFonts w:ascii="MS PGothic" w:cs="MS PGothic" w:eastAsia="MS PGothic" w:hAnsi="MS PGothic"/>
          <w:sz w:val="18"/>
          <w:szCs w:val="18"/>
          <w:color w:val="auto"/>
        </w:rPr>
      </w:pPr>
      <w:r>
        <w:rPr>
          <w:rFonts w:ascii="Arial" w:cs="Arial" w:eastAsia="Arial" w:hAnsi="Arial"/>
          <w:sz w:val="18"/>
          <w:szCs w:val="18"/>
          <w:color w:val="auto"/>
        </w:rPr>
        <w:t>the above address</w:t>
      </w:r>
    </w:p>
    <w:p>
      <w:pPr>
        <w:spacing w:after="0" w:line="43" w:lineRule="exact"/>
        <w:rPr>
          <w:rFonts w:ascii="MS PGothic" w:cs="MS PGothic" w:eastAsia="MS PGothic" w:hAnsi="MS PGothic"/>
          <w:sz w:val="18"/>
          <w:szCs w:val="18"/>
          <w:color w:val="auto"/>
        </w:rPr>
      </w:pPr>
    </w:p>
    <w:p>
      <w:pPr>
        <w:ind w:left="680" w:hanging="213"/>
        <w:spacing w:after="0"/>
        <w:tabs>
          <w:tab w:leader="none" w:pos="680" w:val="left"/>
        </w:tabs>
        <w:numPr>
          <w:ilvl w:val="0"/>
          <w:numId w:val="481"/>
        </w:numPr>
        <w:rPr>
          <w:rFonts w:ascii="MS PGothic" w:cs="MS PGothic" w:eastAsia="MS PGothic" w:hAnsi="MS PGothic"/>
          <w:sz w:val="18"/>
          <w:szCs w:val="18"/>
          <w:color w:val="auto"/>
        </w:rPr>
      </w:pPr>
      <w:r>
        <w:rPr>
          <w:rFonts w:ascii="Arial" w:cs="Arial" w:eastAsia="Arial" w:hAnsi="Arial"/>
          <w:sz w:val="18"/>
          <w:szCs w:val="18"/>
          <w:color w:val="auto"/>
        </w:rPr>
        <w:t>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-143510</wp:posOffset>
            </wp:positionV>
            <wp:extent cx="66636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147320</wp:posOffset>
            </wp:positionV>
            <wp:extent cx="666369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If I am a U.S. Person as defined in Regulation S (see on the form below), I/we confirm I am/we are an accredited investor(s) as that term is defined in Regulation D of the Securities Act (see at the end of this form), the Preferred Series E Shares have not been offered for sale to me/us in the United States, and I am/we are not acquiring the Shares for the account or benefit of any other U.S. person.</w:t>
      </w:r>
    </w:p>
    <w:p>
      <w:pPr>
        <w:spacing w:after="0" w:line="15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If I am /we are a resident of a members state of the European Union, I/we understand that the offering is solely addressed to qualified investors or to special category of investors (as defined in article 2 section 1 E of the Prospectus Directive, see below) and that any subscription by another person may not be permitted and must be approved by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and Payment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I/we will wire the amount of USD 2’409.06 for each Preferred Series E Shares allotted to me/us with value date October [ ], 2015 to the following escrow bank account: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bank: Credit Suisse AG, St. Alban-Graben 1-3, 4002 Basel/Switzerland, SWIFT CRESCHZZ80A</w:t>
      </w:r>
    </w:p>
    <w:p>
      <w:pPr>
        <w:sectPr>
          <w:pgSz w:w="11900" w:h="16838" w:orient="portrait"/>
          <w:cols w:equalWidth="0" w:num="1">
            <w:col w:w="11400"/>
          </w:cols>
          <w:pgMar w:left="240" w:top="274" w:right="259" w:bottom="1440" w:gutter="0" w:footer="0" w:header="0"/>
        </w:sectPr>
      </w:pPr>
    </w:p>
    <w:bookmarkStart w:id="628" w:name="page629"/>
    <w:bookmarkEnd w:id="6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Benificiary/Formal account holder: AC Immune SA, EPFL Innovation Park, Building B, CH 1015 Lausanne, Suisse; Account Number USD: IBAN CH72 0483 5173 7769 4200 7]</w:t>
      </w:r>
      <w:r>
        <w:rPr>
          <w:rFonts w:ascii="Arial" w:cs="Arial" w:eastAsia="Arial" w:hAnsi="Arial"/>
          <w:sz w:val="15"/>
          <w:szCs w:val="15"/>
          <w:color w:val="auto"/>
        </w:rPr>
        <w:t>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Duties /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stamp tax (“Emissionsabgabe”) will be borne by AC Immune SA. The Shares are entitled to dividends starting with the business year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Arrangement of the Series E Preference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shares are subject to an escrow arrangement as laid out in Section D4 of the Shareholders’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I/We hereby declare that I/we have taken notice of and fully understood the content of the Shareholders’ Agreement dated 16 October 2015 and that I/we hereby unconditionally and irrevocably accede to the Shareholders’ Agreement and assume all rights and duties thereunder.</w:t>
      </w:r>
    </w:p>
    <w:p>
      <w:pPr>
        <w:spacing w:after="0" w:line="147"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This Subscription and Registration Form is subject to Swiss law. Any disputes, controversy or claim arising under, out of or relating to this Subscription Agreement (and subsequent amendments thereof), its valid conclusion, binding effect, interpretation, performance, breach or termination, including tort claims, shall be referred to and finally determined by arbitration in accordance with the Swiss Rules of International Arbitration of the Swiss Chambers of Commerce in force at the time when the arbitration is initiated. A panel of three arbitrators shall be appointed. The place of arbitration shall be Lausanne, Switzerland. The language to be used in the arbitration proceedings shall be English.</w:t>
      </w:r>
    </w:p>
    <w:p>
      <w:pPr>
        <w:spacing w:after="0" w:line="200"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Place/Date: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66548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[signature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need be notarized]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Securities Act of 1933: Definition of U.S. Person / Accredited Investor.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used in Regulation S, the term “U.S. person” means:</w:t>
      </w:r>
    </w:p>
    <w:p>
      <w:pPr>
        <w:spacing w:after="0" w:line="225" w:lineRule="exact"/>
        <w:rPr>
          <w:sz w:val="20"/>
          <w:szCs w:val="20"/>
          <w:color w:val="auto"/>
        </w:rPr>
      </w:pPr>
    </w:p>
    <w:p>
      <w:pPr>
        <w:ind w:left="220" w:hanging="212"/>
        <w:spacing w:after="0"/>
        <w:tabs>
          <w:tab w:leader="none" w:pos="2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natural person resident in the United States;</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partnership or corporation organized or incorporated under the laws of the United States;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estate of which any executor or administrator is a U.S. person;</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trust of which any trustee is a U.S. person;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agency or branch of a foreign entity located in the United States;</w:t>
      </w:r>
    </w:p>
    <w:p>
      <w:pPr>
        <w:spacing w:after="0" w:line="225" w:lineRule="exact"/>
        <w:rPr>
          <w:rFonts w:ascii="Arial" w:cs="Arial" w:eastAsia="Arial" w:hAnsi="Arial"/>
          <w:sz w:val="18"/>
          <w:szCs w:val="18"/>
          <w:color w:val="auto"/>
        </w:rPr>
      </w:pPr>
    </w:p>
    <w:p>
      <w:pPr>
        <w:ind w:right="420" w:firstLine="8"/>
        <w:spacing w:after="0" w:line="277" w:lineRule="auto"/>
        <w:tabs>
          <w:tab w:leader="none" w:pos="305"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non-discretionary account or similar account (other than an estate or trust) held by a dealer or other fiduciary for the benefit or account of a U.S. person;</w:t>
      </w:r>
    </w:p>
    <w:p>
      <w:pPr>
        <w:spacing w:after="0" w:line="170" w:lineRule="exact"/>
        <w:rPr>
          <w:rFonts w:ascii="Arial" w:cs="Arial" w:eastAsia="Arial" w:hAnsi="Arial"/>
          <w:sz w:val="18"/>
          <w:szCs w:val="18"/>
          <w:color w:val="auto"/>
        </w:rPr>
      </w:pPr>
    </w:p>
    <w:p>
      <w:pPr>
        <w:ind w:right="820" w:firstLine="8"/>
        <w:spacing w:after="0" w:line="277" w:lineRule="auto"/>
        <w:tabs>
          <w:tab w:leader="none" w:pos="355"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any discretionary account or similar account (other than an estate or trust) held by a dealer or other fiduciary organized, incorporated, or (if an individual) resident in the United States; and</w:t>
      </w:r>
    </w:p>
    <w:p>
      <w:pPr>
        <w:spacing w:after="0" w:line="170" w:lineRule="exact"/>
        <w:rPr>
          <w:rFonts w:ascii="Arial" w:cs="Arial" w:eastAsia="Arial" w:hAnsi="Arial"/>
          <w:sz w:val="18"/>
          <w:szCs w:val="18"/>
          <w:color w:val="auto"/>
        </w:rPr>
      </w:pPr>
    </w:p>
    <w:p>
      <w:pPr>
        <w:ind w:right="60" w:firstLine="8"/>
        <w:spacing w:after="0" w:line="312" w:lineRule="auto"/>
        <w:tabs>
          <w:tab w:leader="none" w:pos="405" w:val="left"/>
        </w:tabs>
        <w:numPr>
          <w:ilvl w:val="0"/>
          <w:numId w:val="482"/>
        </w:numPr>
        <w:rPr>
          <w:rFonts w:ascii="Arial" w:cs="Arial" w:eastAsia="Arial" w:hAnsi="Arial"/>
          <w:sz w:val="16"/>
          <w:szCs w:val="16"/>
          <w:color w:val="auto"/>
        </w:rPr>
      </w:pPr>
      <w:r>
        <w:rPr>
          <w:rFonts w:ascii="Arial" w:cs="Arial" w:eastAsia="Arial" w:hAnsi="Arial"/>
          <w:sz w:val="16"/>
          <w:szCs w:val="16"/>
          <w:color w:val="auto"/>
        </w:rPr>
        <w:t>any partnership or corporation if: (A) organized or incorporated under the laws of any foreign jurisdiction; and (B) formed by a U.S. person principally for the purpose of investing in securities not registered under the Act, unless it is organized or incorporated, and owned, by accredited investors (as defined in Rule 501(a), which is codified in Title 17 of the US Code of Federal Regulations as § 230.501) who are not natural persons, estates or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898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220" w:hanging="212"/>
        <w:spacing w:after="0"/>
        <w:tabs>
          <w:tab w:leader="none" w:pos="220" w:val="left"/>
        </w:tabs>
        <w:numPr>
          <w:ilvl w:val="0"/>
          <w:numId w:val="483"/>
        </w:numPr>
        <w:rPr>
          <w:rFonts w:ascii="Arial" w:cs="Arial" w:eastAsia="Arial" w:hAnsi="Arial"/>
          <w:sz w:val="15"/>
          <w:szCs w:val="15"/>
          <w:color w:val="auto"/>
        </w:rPr>
      </w:pPr>
      <w:r>
        <w:rPr>
          <w:rFonts w:ascii="Arial" w:cs="Arial" w:eastAsia="Arial" w:hAnsi="Arial"/>
          <w:sz w:val="18"/>
          <w:szCs w:val="18"/>
          <w:color w:val="auto"/>
        </w:rPr>
        <w:t>Note to draft; Please update with current wire instructions.</w:t>
      </w:r>
    </w:p>
    <w:p>
      <w:pPr>
        <w:sectPr>
          <w:pgSz w:w="11900" w:h="16838" w:orient="portrait"/>
          <w:cols w:equalWidth="0" w:num="1">
            <w:col w:w="11420"/>
          </w:cols>
          <w:pgMar w:left="240" w:top="273" w:right="239" w:bottom="1440" w:gutter="0" w:footer="0" w:header="0"/>
        </w:sectPr>
      </w:pPr>
    </w:p>
    <w:bookmarkStart w:id="629" w:name="page630"/>
    <w:bookmarkEnd w:id="6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As used in Regulation D, </w:t>
      </w:r>
      <w:r>
        <w:rPr>
          <w:rFonts w:ascii="Arial" w:cs="Arial" w:eastAsia="Arial" w:hAnsi="Arial"/>
          <w:sz w:val="18"/>
          <w:szCs w:val="18"/>
          <w:i w:val="1"/>
          <w:iCs w:val="1"/>
          <w:color w:val="auto"/>
        </w:rPr>
        <w:t>accredited investor</w:t>
      </w:r>
      <w:r>
        <w:rPr>
          <w:rFonts w:ascii="Arial" w:cs="Arial" w:eastAsia="Arial" w:hAnsi="Arial"/>
          <w:sz w:val="18"/>
          <w:szCs w:val="18"/>
          <w:color w:val="auto"/>
        </w:rPr>
        <w:t xml:space="preserve"> shall mean any person who comes within any of the following categories, or who the issuer reasonably believes comes within any of the following categories, at the time of the sale of the securities to that person:</w:t>
      </w:r>
    </w:p>
    <w:p>
      <w:pPr>
        <w:spacing w:after="0" w:line="76" w:lineRule="exact"/>
        <w:rPr>
          <w:sz w:val="20"/>
          <w:szCs w:val="20"/>
          <w:color w:val="auto"/>
        </w:rPr>
      </w:pPr>
    </w:p>
    <w:p>
      <w:pPr>
        <w:ind w:left="900" w:hanging="446"/>
        <w:spacing w:after="0" w:line="288" w:lineRule="auto"/>
        <w:tabs>
          <w:tab w:leader="none" w:pos="90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Any bank as defined in section 3(a)(2) of the Act, or any savings and loan association or other institution as defined in section 3(a)(5)(A) of the Act whether acting in its individual or fiduciary capacity; any broker or dealer registered pursuant to section 15 of the Securities Exchange Act of 1934; any insurance company as defined in section 2(a)(13) of the Act; any investment company registered under the Investment Company Act of 1940 or a business development company as defined in section 2(a)(48) of that Act; any Small Business Investment Company licensed by the U.S. Small Business Administration under section 301(c) or (d) of the Small Business Investment Act of 1958; any plan established and maintained by a state, its political subdivisions, or any agency or instrumentality of a state or its political subdivisions, for the benefit of its employees, if such plan has total assets in excess of $5,000,000; 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74" w:lineRule="exact"/>
        <w:rPr>
          <w:rFonts w:ascii="Arial" w:cs="Arial" w:eastAsia="Arial" w:hAnsi="Arial"/>
          <w:sz w:val="16"/>
          <w:szCs w:val="16"/>
          <w:color w:val="auto"/>
        </w:rPr>
      </w:pPr>
    </w:p>
    <w:p>
      <w:pPr>
        <w:ind w:left="900" w:hanging="446"/>
        <w:spacing w:after="0"/>
        <w:tabs>
          <w:tab w:leader="none" w:pos="9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130" w:lineRule="exact"/>
        <w:rPr>
          <w:rFonts w:ascii="Arial" w:cs="Arial" w:eastAsia="Arial" w:hAnsi="Arial"/>
          <w:sz w:val="18"/>
          <w:szCs w:val="18"/>
          <w:color w:val="auto"/>
        </w:rPr>
      </w:pPr>
    </w:p>
    <w:p>
      <w:pPr>
        <w:ind w:left="900" w:right="860" w:hanging="446"/>
        <w:spacing w:after="0" w:line="342" w:lineRule="auto"/>
        <w:tabs>
          <w:tab w:leader="none" w:pos="90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or partnership, not formed for the specific purpose of acquiring the securities offered, with total assets in excess of $5,000,000;</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Any director, executive officer, or general partner of the issuer of the securities being offered or sold, or any director, executive officer, or general partner of a general partner of that issuer;</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Any natural person whose individual net worth, or joint net worth with that person’s spouse, at the time of his purchase exceeds $1,000,000 excluding the value of the primary residence of such person;</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484"/>
        </w:numPr>
        <w:rPr>
          <w:rFonts w:ascii="Arial" w:cs="Arial" w:eastAsia="Arial" w:hAnsi="Arial"/>
          <w:sz w:val="18"/>
          <w:szCs w:val="18"/>
          <w:color w:val="auto"/>
        </w:rPr>
      </w:pPr>
      <w:r>
        <w:rPr>
          <w:rFonts w:ascii="Arial" w:cs="Arial" w:eastAsia="Arial" w:hAnsi="Arial"/>
          <w:sz w:val="18"/>
          <w:szCs w:val="18"/>
          <w:color w:val="auto"/>
        </w:rPr>
        <w:t>Except as provided in paragraph ii. below, for purposes of calculating net worth:</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2"/>
          <w:numId w:val="484"/>
        </w:numPr>
        <w:rPr>
          <w:rFonts w:ascii="Arial" w:cs="Arial" w:eastAsia="Arial" w:hAnsi="Arial"/>
          <w:sz w:val="18"/>
          <w:szCs w:val="18"/>
          <w:color w:val="auto"/>
        </w:rPr>
      </w:pPr>
      <w:r>
        <w:rPr>
          <w:rFonts w:ascii="Arial" w:cs="Arial" w:eastAsia="Arial" w:hAnsi="Arial"/>
          <w:sz w:val="18"/>
          <w:szCs w:val="18"/>
          <w:color w:val="auto"/>
        </w:rPr>
        <w:t>The person’s primary residence shall not be included as an asset;</w:t>
      </w:r>
    </w:p>
    <w:p>
      <w:pPr>
        <w:spacing w:after="0" w:line="130" w:lineRule="exact"/>
        <w:rPr>
          <w:rFonts w:ascii="Arial" w:cs="Arial" w:eastAsia="Arial" w:hAnsi="Arial"/>
          <w:sz w:val="18"/>
          <w:szCs w:val="18"/>
          <w:color w:val="auto"/>
        </w:rPr>
      </w:pPr>
    </w:p>
    <w:p>
      <w:pPr>
        <w:ind w:left="2960" w:right="160" w:hanging="562"/>
        <w:spacing w:after="0" w:line="257" w:lineRule="auto"/>
        <w:tabs>
          <w:tab w:leader="none" w:pos="2960" w:val="left"/>
        </w:tabs>
        <w:numPr>
          <w:ilvl w:val="2"/>
          <w:numId w:val="484"/>
        </w:numPr>
        <w:rPr>
          <w:rFonts w:ascii="Arial" w:cs="Arial" w:eastAsia="Arial" w:hAnsi="Arial"/>
          <w:sz w:val="18"/>
          <w:szCs w:val="18"/>
          <w:color w:val="auto"/>
        </w:rPr>
      </w:pPr>
      <w:r>
        <w:rPr>
          <w:rFonts w:ascii="Arial" w:cs="Arial" w:eastAsia="Arial" w:hAnsi="Arial"/>
          <w:sz w:val="18"/>
          <w:szCs w:val="18"/>
          <w:color w:val="auto"/>
        </w:rPr>
        <w:t>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w:t>
      </w:r>
    </w:p>
    <w:p>
      <w:pPr>
        <w:spacing w:after="0" w:line="93" w:lineRule="exact"/>
        <w:rPr>
          <w:rFonts w:ascii="Arial" w:cs="Arial" w:eastAsia="Arial" w:hAnsi="Arial"/>
          <w:sz w:val="18"/>
          <w:szCs w:val="18"/>
          <w:color w:val="auto"/>
        </w:rPr>
      </w:pPr>
    </w:p>
    <w:p>
      <w:pPr>
        <w:ind w:left="2960" w:right="340" w:hanging="562"/>
        <w:spacing w:after="0" w:line="277" w:lineRule="auto"/>
        <w:tabs>
          <w:tab w:leader="none" w:pos="2960" w:val="left"/>
        </w:tabs>
        <w:numPr>
          <w:ilvl w:val="2"/>
          <w:numId w:val="484"/>
        </w:numPr>
        <w:rPr>
          <w:rFonts w:ascii="Arial" w:cs="Arial" w:eastAsia="Arial" w:hAnsi="Arial"/>
          <w:sz w:val="18"/>
          <w:szCs w:val="18"/>
          <w:color w:val="auto"/>
        </w:rPr>
      </w:pPr>
      <w:r>
        <w:rPr>
          <w:rFonts w:ascii="Arial" w:cs="Arial" w:eastAsia="Arial" w:hAnsi="Arial"/>
          <w:sz w:val="18"/>
          <w:szCs w:val="18"/>
          <w:color w:val="auto"/>
        </w:rPr>
        <w:t>Indebtedness that is secured by the person’s primary residence in excess of the estimated fair market value of the primary residence at the time of the sale of securities shall be included as a liability;</w:t>
      </w:r>
    </w:p>
    <w:p>
      <w:pPr>
        <w:sectPr>
          <w:pgSz w:w="11900" w:h="16838" w:orient="portrait"/>
          <w:cols w:equalWidth="0" w:num="1">
            <w:col w:w="11420"/>
          </w:cols>
          <w:pgMar w:left="240" w:top="275" w:right="239" w:bottom="1440" w:gutter="0" w:footer="0" w:header="0"/>
        </w:sectPr>
      </w:pPr>
    </w:p>
    <w:bookmarkStart w:id="630" w:name="page631"/>
    <w:bookmarkEnd w:id="630"/>
    <w:p>
      <w:pPr>
        <w:spacing w:after="0"/>
        <w:tabs>
          <w:tab w:leader="none" w:pos="11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r>
        <w:rPr>
          <w:sz w:val="20"/>
          <w:szCs w:val="20"/>
          <w:color w:val="auto"/>
        </w:rPr>
        <w:tab/>
      </w:r>
      <w:r>
        <w:rPr>
          <w:rFonts w:ascii="Arial" w:cs="Arial" w:eastAsia="Arial" w:hAnsi="Arial"/>
          <w:sz w:val="16"/>
          <w:szCs w:val="16"/>
          <w:color w:val="auto"/>
        </w:rPr>
        <w:t>35</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ind w:left="1920" w:right="360" w:hanging="440"/>
        <w:spacing w:after="0" w:line="277" w:lineRule="auto"/>
        <w:tabs>
          <w:tab w:leader="none" w:pos="192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Paragraph i. above will not apply to any calculation of a person’s net worth made in connection with a purchase of securities in accordance with a right to purchase such securities, provided that:</w:t>
      </w:r>
    </w:p>
    <w:p>
      <w:pPr>
        <w:spacing w:after="0" w:line="75" w:lineRule="exact"/>
        <w:rPr>
          <w:rFonts w:ascii="Arial" w:cs="Arial" w:eastAsia="Arial" w:hAnsi="Arial"/>
          <w:sz w:val="18"/>
          <w:szCs w:val="18"/>
          <w:color w:val="auto"/>
        </w:rPr>
      </w:pPr>
    </w:p>
    <w:p>
      <w:pPr>
        <w:ind w:left="2960" w:hanging="562"/>
        <w:spacing w:after="0"/>
        <w:tabs>
          <w:tab w:leader="none" w:pos="2960" w:val="left"/>
        </w:tabs>
        <w:numPr>
          <w:ilvl w:val="2"/>
          <w:numId w:val="485"/>
        </w:numPr>
        <w:rPr>
          <w:rFonts w:ascii="Arial" w:cs="Arial" w:eastAsia="Arial" w:hAnsi="Arial"/>
          <w:sz w:val="18"/>
          <w:szCs w:val="18"/>
          <w:color w:val="auto"/>
        </w:rPr>
      </w:pPr>
      <w:r>
        <w:rPr>
          <w:rFonts w:ascii="Arial" w:cs="Arial" w:eastAsia="Arial" w:hAnsi="Arial"/>
          <w:sz w:val="18"/>
          <w:szCs w:val="18"/>
          <w:color w:val="auto"/>
        </w:rPr>
        <w:t>Such right was held by the person on July 20, 2010;</w:t>
      </w:r>
    </w:p>
    <w:p>
      <w:pPr>
        <w:spacing w:after="0" w:line="130" w:lineRule="exact"/>
        <w:rPr>
          <w:rFonts w:ascii="Arial" w:cs="Arial" w:eastAsia="Arial" w:hAnsi="Arial"/>
          <w:sz w:val="18"/>
          <w:szCs w:val="18"/>
          <w:color w:val="auto"/>
        </w:rPr>
      </w:pPr>
    </w:p>
    <w:p>
      <w:pPr>
        <w:ind w:left="2960" w:right="260" w:hanging="562"/>
        <w:spacing w:after="0" w:line="277" w:lineRule="auto"/>
        <w:tabs>
          <w:tab w:leader="none" w:pos="2960" w:val="left"/>
        </w:tabs>
        <w:numPr>
          <w:ilvl w:val="2"/>
          <w:numId w:val="485"/>
        </w:numPr>
        <w:rPr>
          <w:rFonts w:ascii="Arial" w:cs="Arial" w:eastAsia="Arial" w:hAnsi="Arial"/>
          <w:sz w:val="18"/>
          <w:szCs w:val="18"/>
          <w:color w:val="auto"/>
        </w:rPr>
      </w:pPr>
      <w:r>
        <w:rPr>
          <w:rFonts w:ascii="Arial" w:cs="Arial" w:eastAsia="Arial" w:hAnsi="Arial"/>
          <w:sz w:val="18"/>
          <w:szCs w:val="18"/>
          <w:color w:val="auto"/>
        </w:rPr>
        <w:t>The person qualified as an accredited investor on the basis of net worth at the time the person acquired such right; and</w:t>
      </w:r>
    </w:p>
    <w:p>
      <w:pPr>
        <w:spacing w:after="0" w:line="75" w:lineRule="exact"/>
        <w:rPr>
          <w:rFonts w:ascii="Arial" w:cs="Arial" w:eastAsia="Arial" w:hAnsi="Arial"/>
          <w:sz w:val="18"/>
          <w:szCs w:val="18"/>
          <w:color w:val="auto"/>
        </w:rPr>
      </w:pPr>
    </w:p>
    <w:p>
      <w:pPr>
        <w:ind w:left="2960" w:hanging="562"/>
        <w:spacing w:after="0"/>
        <w:tabs>
          <w:tab w:leader="none" w:pos="2960" w:val="left"/>
        </w:tabs>
        <w:numPr>
          <w:ilvl w:val="2"/>
          <w:numId w:val="485"/>
        </w:numPr>
        <w:rPr>
          <w:rFonts w:ascii="Arial" w:cs="Arial" w:eastAsia="Arial" w:hAnsi="Arial"/>
          <w:sz w:val="18"/>
          <w:szCs w:val="18"/>
          <w:color w:val="auto"/>
        </w:rPr>
      </w:pPr>
      <w:r>
        <w:rPr>
          <w:rFonts w:ascii="Arial" w:cs="Arial" w:eastAsia="Arial" w:hAnsi="Arial"/>
          <w:sz w:val="18"/>
          <w:szCs w:val="18"/>
          <w:color w:val="auto"/>
        </w:rPr>
        <w:t>The person held securities of the same issuer, other than such right, on July 20, 2010.</w:t>
      </w:r>
    </w:p>
    <w:p>
      <w:pPr>
        <w:spacing w:after="0" w:line="130"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29" w:lineRule="exact"/>
        <w:rPr>
          <w:rFonts w:ascii="Arial" w:cs="Arial" w:eastAsia="Arial" w:hAnsi="Arial"/>
          <w:sz w:val="16"/>
          <w:szCs w:val="16"/>
          <w:color w:val="auto"/>
        </w:rPr>
      </w:pPr>
    </w:p>
    <w:p>
      <w:pPr>
        <w:ind w:left="900" w:right="360" w:hanging="446"/>
        <w:spacing w:after="0" w:line="277" w:lineRule="auto"/>
        <w:tabs>
          <w:tab w:leader="none" w:pos="9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Rule 506(b)(2)(ii)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entity in which all of the equity owners are accredited investors.</w:t>
      </w:r>
    </w:p>
    <w:p>
      <w:pPr>
        <w:sectPr>
          <w:pgSz w:w="11900" w:h="16838" w:orient="portrait"/>
          <w:cols w:equalWidth="0" w:num="1">
            <w:col w:w="11420"/>
          </w:cols>
          <w:pgMar w:left="240" w:top="274" w:right="239" w:bottom="1440" w:gutter="0" w:footer="0" w:header="0"/>
          <w:type w:val="continuous"/>
        </w:sectPr>
      </w:pPr>
    </w:p>
    <w:bookmarkStart w:id="631" w:name="page632"/>
    <w:bookmarkEnd w:id="6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 Prospectus Directive 2010/73/EU of 24 November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Article 2 –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 For the purposes of this Directive, the following definitions shall apply:</w:t>
      </w:r>
    </w:p>
    <w:p>
      <w:pPr>
        <w:spacing w:after="0" w:line="252" w:lineRule="exact"/>
        <w:rPr>
          <w:sz w:val="20"/>
          <w:szCs w:val="20"/>
          <w:color w:val="auto"/>
        </w:rPr>
      </w:pPr>
    </w:p>
    <w:p>
      <w:pPr>
        <w:ind w:left="460" w:hanging="452"/>
        <w:spacing w:after="0"/>
        <w:tabs>
          <w:tab w:leader="none" w:pos="4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 (d) […];</w:t>
      </w:r>
    </w:p>
    <w:p>
      <w:pPr>
        <w:spacing w:after="0" w:line="130" w:lineRule="exact"/>
        <w:rPr>
          <w:rFonts w:ascii="Arial" w:cs="Arial" w:eastAsia="Arial" w:hAnsi="Arial"/>
          <w:sz w:val="18"/>
          <w:szCs w:val="18"/>
          <w:color w:val="auto"/>
        </w:rPr>
      </w:pPr>
    </w:p>
    <w:p>
      <w:pPr>
        <w:ind w:left="900" w:right="80" w:hanging="446"/>
        <w:spacing w:after="0" w:line="272" w:lineRule="auto"/>
        <w:tabs>
          <w:tab w:leader="none" w:pos="900" w:val="left"/>
        </w:tabs>
        <w:numPr>
          <w:ilvl w:val="1"/>
          <w:numId w:val="487"/>
        </w:numPr>
        <w:rPr>
          <w:rFonts w:ascii="Arial" w:cs="Arial" w:eastAsia="Arial" w:hAnsi="Arial"/>
          <w:sz w:val="17"/>
          <w:szCs w:val="17"/>
          <w:color w:val="auto"/>
        </w:rPr>
      </w:pPr>
      <w:r>
        <w:rPr>
          <w:rFonts w:ascii="Arial" w:cs="Arial" w:eastAsia="Arial" w:hAnsi="Arial"/>
          <w:sz w:val="17"/>
          <w:szCs w:val="17"/>
          <w:color w:val="auto"/>
        </w:rPr>
        <w:t>‘qualified investors’ means persons or entities that are described in points (1) to (4) of Section I of Annex II to Directive 2004/39/EC of the European Parliament and of the Council of 21 April 2004 on markets in financial instruments</w:t>
      </w:r>
      <w:r>
        <w:rPr>
          <w:rFonts w:ascii="Arial" w:cs="Arial" w:eastAsia="Arial" w:hAnsi="Arial"/>
          <w:sz w:val="14"/>
          <w:szCs w:val="14"/>
          <w:color w:val="auto"/>
        </w:rPr>
        <w:t>2</w:t>
      </w:r>
      <w:r>
        <w:rPr>
          <w:rFonts w:ascii="Arial" w:cs="Arial" w:eastAsia="Arial" w:hAnsi="Arial"/>
          <w:sz w:val="17"/>
          <w:szCs w:val="17"/>
          <w:color w:val="auto"/>
        </w:rPr>
        <w:t>, and persons or entities who are, on request, treated as professional clients in accordance with Annex II to Directive 2004/39/EC</w:t>
      </w:r>
      <w:r>
        <w:rPr>
          <w:rFonts w:ascii="Arial" w:cs="Arial" w:eastAsia="Arial" w:hAnsi="Arial"/>
          <w:sz w:val="14"/>
          <w:szCs w:val="14"/>
          <w:color w:val="auto"/>
        </w:rPr>
        <w:t>3</w:t>
      </w:r>
      <w:r>
        <w:rPr>
          <w:rFonts w:ascii="Arial" w:cs="Arial" w:eastAsia="Arial" w:hAnsi="Arial"/>
          <w:sz w:val="17"/>
          <w:szCs w:val="17"/>
          <w:color w:val="auto"/>
        </w:rPr>
        <w:t>, or recognized as eligible counterparties in accordance with Article 24 of Directive 2004/39/EC unless they have requested that they be treated as non-professional clients. Investment firms and credit institutions shall communicate their classification on request to the issuer without prejudice to the relevant legislation on data protection. Investment firms authorized to continue considering existing professional clients as such in accordance with Article 71(6) of Directive 2004/39/EC shall be authorized to treat those clients as qualified investors under this Directive.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898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2" w:lineRule="exact"/>
        <w:rPr>
          <w:sz w:val="20"/>
          <w:szCs w:val="20"/>
          <w:color w:val="auto"/>
        </w:rPr>
      </w:pPr>
    </w:p>
    <w:p>
      <w:pPr>
        <w:ind w:left="460" w:right="220" w:hanging="452"/>
        <w:spacing w:after="0" w:line="312" w:lineRule="auto"/>
        <w:tabs>
          <w:tab w:leader="none" w:pos="460" w:val="left"/>
        </w:tabs>
        <w:numPr>
          <w:ilvl w:val="0"/>
          <w:numId w:val="488"/>
        </w:numPr>
        <w:rPr>
          <w:rFonts w:ascii="Arial" w:cs="Arial" w:eastAsia="Arial" w:hAnsi="Arial"/>
          <w:sz w:val="14"/>
          <w:szCs w:val="14"/>
          <w:color w:val="auto"/>
        </w:rPr>
      </w:pPr>
      <w:r>
        <w:rPr>
          <w:rFonts w:ascii="Arial" w:cs="Arial" w:eastAsia="Arial" w:hAnsi="Arial"/>
          <w:sz w:val="16"/>
          <w:szCs w:val="16"/>
          <w:color w:val="auto"/>
        </w:rPr>
        <w:t>(1) Entities which are required to be authorised or regulated to operate in the financial markets. The list below should be understood as including all authorised entities carrying out the characteristic activities of the entities mentioned: entities authorised by a Member State under a Directive, entities authorised or regulated by a Member State without reference to a Directive, and entities authorised or regulated by a non-Member State:</w:t>
      </w:r>
    </w:p>
    <w:p>
      <w:pPr>
        <w:spacing w:after="0" w:line="52" w:lineRule="exact"/>
        <w:rPr>
          <w:rFonts w:ascii="Arial" w:cs="Arial" w:eastAsia="Arial" w:hAnsi="Arial"/>
          <w:sz w:val="14"/>
          <w:szCs w:val="14"/>
          <w:color w:val="auto"/>
        </w:rPr>
      </w:pPr>
    </w:p>
    <w:p>
      <w:pPr>
        <w:ind w:left="1480" w:hanging="567"/>
        <w:spacing w:after="0"/>
        <w:tabs>
          <w:tab w:leader="none" w:pos="148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Credit institutions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Investment firms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Other authorised or regulated financial institutions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Collective investment schemes and management companies of such schemes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Pension funds and management companies of such funds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Commodity and commodity derivatives dealers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Locals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88"/>
        </w:numPr>
        <w:rPr>
          <w:rFonts w:ascii="Arial" w:cs="Arial" w:eastAsia="Arial" w:hAnsi="Arial"/>
          <w:sz w:val="18"/>
          <w:szCs w:val="18"/>
          <w:color w:val="auto"/>
        </w:rPr>
      </w:pPr>
      <w:r>
        <w:rPr>
          <w:rFonts w:ascii="Arial" w:cs="Arial" w:eastAsia="Arial" w:hAnsi="Arial"/>
          <w:sz w:val="18"/>
          <w:szCs w:val="18"/>
          <w:color w:val="auto"/>
        </w:rPr>
        <w:t>Other institutional investors</w:t>
      </w:r>
    </w:p>
    <w:p>
      <w:pPr>
        <w:spacing w:after="0" w:line="131" w:lineRule="exact"/>
        <w:rPr>
          <w:sz w:val="20"/>
          <w:szCs w:val="20"/>
          <w:color w:val="auto"/>
        </w:rPr>
      </w:pPr>
    </w:p>
    <w:p>
      <w:pPr>
        <w:ind w:left="460" w:hanging="452"/>
        <w:spacing w:after="0"/>
        <w:tabs>
          <w:tab w:leader="none" w:pos="4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Large undertakings meeting two of the following size requirements on a company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balance sheet total: EUR 2 0 000 000,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net turnover: EUR 4 0 000 000,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own funds: EUR 2 000 000.</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National and regional governments, public bodies that manage public debt, Central Banks, international and supranational institutions such as the World Bank, the IMF, the ECB, the EIB and other similar international organisations.</w:t>
      </w:r>
    </w:p>
    <w:p>
      <w:pPr>
        <w:spacing w:after="0" w:line="75" w:lineRule="exact"/>
        <w:rPr>
          <w:rFonts w:ascii="Arial" w:cs="Arial" w:eastAsia="Arial" w:hAnsi="Arial"/>
          <w:sz w:val="18"/>
          <w:szCs w:val="18"/>
          <w:color w:val="auto"/>
        </w:rPr>
      </w:pPr>
    </w:p>
    <w:p>
      <w:pPr>
        <w:ind w:left="460" w:right="100" w:hanging="452"/>
        <w:spacing w:after="0" w:line="258" w:lineRule="auto"/>
        <w:tabs>
          <w:tab w:leader="none" w:pos="4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Other institutional investors whose main activity is to invest in financial instruments, including entities dedicated to the securitisation of assets or other financing transactions.</w:t>
      </w:r>
    </w:p>
    <w:p>
      <w:pPr>
        <w:ind w:left="460" w:right="20" w:hanging="452"/>
        <w:spacing w:after="0" w:line="287" w:lineRule="auto"/>
        <w:tabs>
          <w:tab w:leader="none" w:pos="460" w:val="left"/>
        </w:tabs>
        <w:numPr>
          <w:ilvl w:val="0"/>
          <w:numId w:val="490"/>
        </w:numPr>
        <w:rPr>
          <w:rFonts w:ascii="Arial" w:cs="Arial" w:eastAsia="Arial" w:hAnsi="Arial"/>
          <w:sz w:val="14"/>
          <w:szCs w:val="14"/>
          <w:color w:val="auto"/>
        </w:rPr>
      </w:pPr>
      <w:r>
        <w:rPr>
          <w:rFonts w:ascii="Arial" w:cs="Arial" w:eastAsia="Arial" w:hAnsi="Arial"/>
          <w:sz w:val="16"/>
          <w:szCs w:val="16"/>
          <w:color w:val="auto"/>
        </w:rPr>
        <w:t>Clients other than those mentioned in section I, including public sector bodies and private individual investors, may also be allowed to waive some of the protections afforded by the conduct of business rules. Investment firms should therefore be allowed to treat any of the above clients as professionals provided the relevant criteria and procedure mentioned below are fulfilled. These clients should not, however, be presumed to possess market knowledge and experience comparable to that of the categories listed in section I. Any such waiver of the protection afforded by the standard conduct of business regime shall be considered valid only if an adequate assessment of the expertise, experience and knowledge of the client, undertaken by the investment firm, gives reasonable assurance, in light of the nature of the transactions or services envisaged, that the client is capable of making his own investment decisions and understanding the risks involved. The fitness test applied to managers and directors of entities licensed under Directives in the financial field could be regarded as an example of the assessment of expertise and knowledge. In the case of small entities, the person subject to the above assessment should be the person authorised to carry out transactions on behalf of the entity.</w:t>
      </w:r>
    </w:p>
    <w:p>
      <w:pPr>
        <w:spacing w:after="0" w:line="59"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8"/>
          <w:szCs w:val="18"/>
          <w:color w:val="auto"/>
        </w:rPr>
        <w:t>In the course of the above assessment, as a minimum, two of the following criteria should be satisfied:</w:t>
      </w:r>
    </w:p>
    <w:p>
      <w:pPr>
        <w:spacing w:after="0" w:line="130" w:lineRule="exact"/>
        <w:rPr>
          <w:rFonts w:ascii="Arial" w:cs="Arial" w:eastAsia="Arial" w:hAnsi="Arial"/>
          <w:sz w:val="14"/>
          <w:szCs w:val="14"/>
          <w:color w:val="auto"/>
        </w:rPr>
      </w:pPr>
    </w:p>
    <w:p>
      <w:pPr>
        <w:ind w:left="1460" w:right="580" w:hanging="547"/>
        <w:spacing w:after="0" w:line="277" w:lineRule="auto"/>
        <w:tabs>
          <w:tab w:leader="none" w:pos="146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the client has carried out transactions, in significant size, on the relevant market at an average frequency of 10 per quarter over the previous four quarters,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90"/>
        </w:numPr>
        <w:rPr>
          <w:rFonts w:ascii="Arial" w:cs="Arial" w:eastAsia="Arial" w:hAnsi="Arial"/>
          <w:sz w:val="16"/>
          <w:szCs w:val="16"/>
          <w:color w:val="auto"/>
        </w:rPr>
      </w:pPr>
      <w:r>
        <w:rPr>
          <w:rFonts w:ascii="Arial" w:cs="Arial" w:eastAsia="Arial" w:hAnsi="Arial"/>
          <w:sz w:val="16"/>
          <w:szCs w:val="16"/>
          <w:color w:val="auto"/>
        </w:rPr>
        <w:t>the size of the client’s financial instrument portfolio, defined as including cash deposits and financial instruments exceeds EUR 500 000,</w:t>
      </w:r>
    </w:p>
    <w:p>
      <w:pPr>
        <w:spacing w:after="0" w:line="153" w:lineRule="exact"/>
        <w:rPr>
          <w:rFonts w:ascii="Arial" w:cs="Arial" w:eastAsia="Arial" w:hAnsi="Arial"/>
          <w:sz w:val="16"/>
          <w:szCs w:val="16"/>
          <w:color w:val="auto"/>
        </w:rPr>
      </w:pPr>
    </w:p>
    <w:p>
      <w:pPr>
        <w:ind w:left="1460" w:right="360" w:hanging="547"/>
        <w:spacing w:after="0" w:line="277" w:lineRule="auto"/>
        <w:tabs>
          <w:tab w:leader="none" w:pos="146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the client works or has worked in the financial sector for at least one year in a professional position, which requires knowledge of the transactions or services envisaged.</w:t>
      </w:r>
    </w:p>
    <w:p>
      <w:pPr>
        <w:sectPr>
          <w:pgSz w:w="11900" w:h="16838" w:orient="portrait"/>
          <w:cols w:equalWidth="0" w:num="1">
            <w:col w:w="11420"/>
          </w:cols>
          <w:pgMar w:left="240" w:top="273" w:right="239" w:bottom="1440" w:gutter="0" w:footer="0" w:header="0"/>
        </w:sectPr>
      </w:pPr>
    </w:p>
    <w:bookmarkStart w:id="632" w:name="page633"/>
    <w:bookmarkEnd w:id="6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5.3(a)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for fulfilled conditions precedent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Management &amp; Research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Confirmation regarding Closing and Instruction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with reference to the Subscription Agreement dated 16 October 2015 (the “Subscription Agreement”) concluded by Fidelity Management &amp; Research Company and AC Immune SA (together the “Parties”), the undersigned AC Immune SA hereby confirms:</w:t>
      </w:r>
    </w:p>
    <w:p>
      <w:pPr>
        <w:spacing w:after="0" w:line="76" w:lineRule="exact"/>
        <w:rPr>
          <w:sz w:val="20"/>
          <w:szCs w:val="20"/>
          <w:color w:val="auto"/>
        </w:rPr>
      </w:pPr>
    </w:p>
    <w:p>
      <w:pPr>
        <w:ind w:left="460" w:right="200" w:hanging="452"/>
        <w:spacing w:after="0" w:line="308" w:lineRule="auto"/>
        <w:tabs>
          <w:tab w:leader="none" w:pos="460" w:val="left"/>
        </w:tabs>
        <w:numPr>
          <w:ilvl w:val="0"/>
          <w:numId w:val="491"/>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contained in Section 7.1 are true and correct in all material respects as of the Closing (except that representations and warranties qualified by materiality or a Material Adverse Effect shall be true and correct in all respects).</w:t>
      </w:r>
    </w:p>
    <w:p>
      <w:pPr>
        <w:spacing w:after="0" w:line="51" w:lineRule="exact"/>
        <w:rPr>
          <w:rFonts w:ascii="Arial" w:cs="Arial" w:eastAsia="Arial" w:hAnsi="Arial"/>
          <w:sz w:val="17"/>
          <w:szCs w:val="17"/>
          <w:color w:val="auto"/>
        </w:rPr>
      </w:pPr>
    </w:p>
    <w:p>
      <w:pPr>
        <w:ind w:left="460" w:right="20" w:hanging="452"/>
        <w:spacing w:after="0" w:line="277" w:lineRule="auto"/>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Company has performed and complied with all covenants, agreements, obligations and conditions contained in the Subscription Agreement that are required to be performed or complied with by the Company on or before such Closing.</w:t>
      </w:r>
    </w:p>
    <w:p>
      <w:pPr>
        <w:spacing w:after="0" w:line="75" w:lineRule="exact"/>
        <w:rPr>
          <w:rFonts w:ascii="Arial" w:cs="Arial" w:eastAsia="Arial" w:hAnsi="Arial"/>
          <w:sz w:val="18"/>
          <w:szCs w:val="18"/>
          <w:color w:val="auto"/>
        </w:rPr>
      </w:pPr>
    </w:p>
    <w:p>
      <w:pPr>
        <w:ind w:left="460" w:right="580" w:hanging="452"/>
        <w:spacing w:after="0" w:line="308" w:lineRule="auto"/>
        <w:tabs>
          <w:tab w:leader="none" w:pos="460" w:val="left"/>
        </w:tabs>
        <w:numPr>
          <w:ilvl w:val="0"/>
          <w:numId w:val="491"/>
        </w:numPr>
        <w:rPr>
          <w:rFonts w:ascii="Arial" w:cs="Arial" w:eastAsia="Arial" w:hAnsi="Arial"/>
          <w:sz w:val="17"/>
          <w:szCs w:val="17"/>
          <w:color w:val="auto"/>
        </w:rPr>
      </w:pPr>
      <w:r>
        <w:rPr>
          <w:rFonts w:ascii="Arial" w:cs="Arial" w:eastAsia="Arial" w:hAnsi="Arial"/>
          <w:sz w:val="17"/>
          <w:szCs w:val="17"/>
          <w:color w:val="auto"/>
        </w:rPr>
        <w:t>All authorizations, approvals or permits, if any, of any governmental authority or regulatory body that are required in connection with the lawful issuance and sale of the Shares pursuant to the Subscription Agreement shall be obtained and effective as of such Closing.</w:t>
      </w:r>
    </w:p>
    <w:p>
      <w:pPr>
        <w:spacing w:after="0" w:line="51" w:lineRule="exact"/>
        <w:rPr>
          <w:rFonts w:ascii="Arial" w:cs="Arial" w:eastAsia="Arial" w:hAnsi="Arial"/>
          <w:sz w:val="17"/>
          <w:szCs w:val="17"/>
          <w:color w:val="auto"/>
        </w:rPr>
      </w:pPr>
    </w:p>
    <w:p>
      <w:pPr>
        <w:ind w:left="460" w:right="180" w:hanging="452"/>
        <w:spacing w:after="0" w:line="264" w:lineRule="auto"/>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The Company, Fidelity, any other Investor and the other shareholders of the Company representing 85% of all outstanding Shares prior to the Closing of the Series E Financing Round have executed and delivered the Shareholders’ Agreement Amendment (or a joinder agreement thereto), in substantially the form of </w:t>
      </w:r>
      <w:r>
        <w:rPr>
          <w:rFonts w:ascii="Arial" w:cs="Arial" w:eastAsia="Arial" w:hAnsi="Arial"/>
          <w:sz w:val="18"/>
          <w:szCs w:val="18"/>
          <w:b w:val="1"/>
          <w:bCs w:val="1"/>
          <w:color w:val="auto"/>
        </w:rPr>
        <w:t>Annex 0</w:t>
      </w:r>
      <w:r>
        <w:rPr>
          <w:rFonts w:ascii="Arial" w:cs="Arial" w:eastAsia="Arial" w:hAnsi="Arial"/>
          <w:sz w:val="18"/>
          <w:szCs w:val="18"/>
          <w:color w:val="auto"/>
        </w:rPr>
        <w:t xml:space="preserve"> of the Subscription Agreement.</w:t>
      </w:r>
    </w:p>
    <w:p>
      <w:pPr>
        <w:spacing w:after="0" w:line="86" w:lineRule="exact"/>
        <w:rPr>
          <w:rFonts w:ascii="Arial" w:cs="Arial" w:eastAsia="Arial" w:hAnsi="Arial"/>
          <w:sz w:val="18"/>
          <w:szCs w:val="18"/>
          <w:color w:val="auto"/>
        </w:rPr>
      </w:pPr>
    </w:p>
    <w:p>
      <w:pPr>
        <w:ind w:left="460" w:right="600" w:hanging="452"/>
        <w:spacing w:after="0" w:line="264" w:lineRule="auto"/>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The Company, Fidelity, any other Investor requesting so and the other shareholders of the Company named as parties thereto have executed and delivered the Registration Rights Agreement (or a joinder agreement thereto), in substantially the form of </w:t>
      </w:r>
      <w:r>
        <w:rPr>
          <w:rFonts w:ascii="Arial" w:cs="Arial" w:eastAsia="Arial" w:hAnsi="Arial"/>
          <w:sz w:val="18"/>
          <w:szCs w:val="18"/>
          <w:b w:val="1"/>
          <w:bCs w:val="1"/>
          <w:color w:val="auto"/>
        </w:rPr>
        <w:t>Annex 5.2.1(e)</w:t>
      </w:r>
      <w:r>
        <w:rPr>
          <w:rFonts w:ascii="Arial" w:cs="Arial" w:eastAsia="Arial" w:hAnsi="Arial"/>
          <w:sz w:val="18"/>
          <w:szCs w:val="18"/>
          <w:color w:val="auto"/>
        </w:rPr>
        <w:t xml:space="preserve"> of the Subscription Agreement.</w:t>
      </w:r>
    </w:p>
    <w:p>
      <w:pPr>
        <w:spacing w:after="0" w:line="86"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 xml:space="preserve">Fidelity and any other Investor requesting have received from Vischer AG, counsel for the Company, an opinion, dated as of the date of such Closing, in substantially the form </w:t>
      </w:r>
      <w:r>
        <w:rPr>
          <w:rFonts w:ascii="Arial" w:cs="Arial" w:eastAsia="Arial" w:hAnsi="Arial"/>
          <w:sz w:val="18"/>
          <w:szCs w:val="18"/>
          <w:b w:val="1"/>
          <w:bCs w:val="1"/>
          <w:color w:val="auto"/>
        </w:rPr>
        <w:t>Annex 5.2.1(f)</w:t>
      </w:r>
      <w:r>
        <w:rPr>
          <w:rFonts w:ascii="Arial" w:cs="Arial" w:eastAsia="Arial" w:hAnsi="Arial"/>
          <w:sz w:val="18"/>
          <w:szCs w:val="18"/>
          <w:color w:val="auto"/>
        </w:rPr>
        <w:t xml:space="preserve"> of the Subscription Agreement.</w:t>
      </w:r>
    </w:p>
    <w:p>
      <w:pPr>
        <w:sectPr>
          <w:pgSz w:w="11900" w:h="16838" w:orient="portrait"/>
          <w:cols w:equalWidth="0" w:num="1">
            <w:col w:w="11420"/>
          </w:cols>
          <w:pgMar w:left="240" w:top="275" w:right="239" w:bottom="1440" w:gutter="0" w:footer="0" w:header="0"/>
        </w:sectPr>
      </w:pPr>
    </w:p>
    <w:bookmarkStart w:id="633" w:name="page634"/>
    <w:bookmarkEnd w:id="6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40" w:hanging="452"/>
        <w:spacing w:after="0" w:line="302" w:lineRule="auto"/>
        <w:tabs>
          <w:tab w:leader="none" w:pos="46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 xml:space="preserve">The Secretary of the Company has delivered to Fidelity and any other Investor requesting so a certificate, dated as of the date of such Closing, certifying (i) the resolutions of the Board of Directors of the Company approving the Subscription Agreement and the transactions contemplated under such Agreement, and (ii) resolutions of the shareholders of the Company approving the issuance of Series E Preferred Shares and the Revised Articles of Association in </w:t>
      </w:r>
      <w:r>
        <w:rPr>
          <w:rFonts w:ascii="Arial" w:cs="Arial" w:eastAsia="Arial" w:hAnsi="Arial"/>
          <w:sz w:val="16"/>
          <w:szCs w:val="16"/>
          <w:b w:val="1"/>
          <w:bCs w:val="1"/>
          <w:color w:val="auto"/>
        </w:rPr>
        <w:t>Annex 3.3</w:t>
      </w:r>
      <w:r>
        <w:rPr>
          <w:rFonts w:ascii="Arial" w:cs="Arial" w:eastAsia="Arial" w:hAnsi="Arial"/>
          <w:sz w:val="16"/>
          <w:szCs w:val="16"/>
          <w:color w:val="auto"/>
        </w:rPr>
        <w:t xml:space="preserve"> of the Subscription Agreement as to all items except the share capital and the numbers of Series E Preferred Shares.</w:t>
      </w:r>
    </w:p>
    <w:p>
      <w:pPr>
        <w:spacing w:after="0" w:line="59" w:lineRule="exact"/>
        <w:rPr>
          <w:rFonts w:ascii="Arial" w:cs="Arial" w:eastAsia="Arial" w:hAnsi="Arial"/>
          <w:sz w:val="16"/>
          <w:szCs w:val="16"/>
          <w:color w:val="auto"/>
        </w:rPr>
      </w:pPr>
    </w:p>
    <w:p>
      <w:pPr>
        <w:ind w:left="460" w:hanging="452"/>
        <w:spacing w:after="0" w:line="264" w:lineRule="auto"/>
        <w:tabs>
          <w:tab w:leader="none" w:pos="4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All corporate and other proceedings in connection with the transactions contemplated at such Closing and all documents incident thereto shall be reasonably satisfactory in form and substance to Fidelity and the Investors shall have received all such counterpart original and certified or other copies of such documents as reasonably requested.</w:t>
      </w:r>
    </w:p>
    <w:p>
      <w:pPr>
        <w:spacing w:after="0" w:line="86"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No action is pending or threatened which seeks to enjoin, restrain or prohibit the consummation of the Subscriptions contemplated by the Subscription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further confirms that the following documents are present:</w:t>
      </w:r>
    </w:p>
    <w:p>
      <w:pPr>
        <w:spacing w:after="0" w:line="131" w:lineRule="exact"/>
        <w:rPr>
          <w:sz w:val="20"/>
          <w:szCs w:val="20"/>
          <w:color w:val="auto"/>
        </w:rPr>
      </w:pPr>
    </w:p>
    <w:p>
      <w:pPr>
        <w:ind w:left="460" w:right="120" w:hanging="452"/>
        <w:spacing w:after="0" w:line="264" w:lineRule="auto"/>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 xml:space="preserve">an application to the Register of Commerce regarding: (1) the increase of the share capital to reflect the Series E Financing Round, (2) the issuance of Series E Preferred Shares, (3) the adoption of the Revised Articles of Association substantially in the form of </w:t>
      </w:r>
      <w:r>
        <w:rPr>
          <w:rFonts w:ascii="Arial" w:cs="Arial" w:eastAsia="Arial" w:hAnsi="Arial"/>
          <w:sz w:val="18"/>
          <w:szCs w:val="18"/>
          <w:b w:val="1"/>
          <w:bCs w:val="1"/>
          <w:color w:val="auto"/>
        </w:rPr>
        <w:t>Annex 3.3</w:t>
      </w:r>
      <w:r>
        <w:rPr>
          <w:rFonts w:ascii="Arial" w:cs="Arial" w:eastAsia="Arial" w:hAnsi="Arial"/>
          <w:sz w:val="18"/>
          <w:szCs w:val="18"/>
          <w:color w:val="auto"/>
        </w:rPr>
        <w:t xml:space="preserve"> of the Subscription Agreement,</w:t>
      </w:r>
    </w:p>
    <w:p>
      <w:pPr>
        <w:spacing w:after="0" w:line="86"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confirmation from [Credit Suisse], in Basel, evidencing that the amount of USD [●] has been paid in cash and fully credited to the Blocked Capital Account; and]</w:t>
      </w:r>
    </w:p>
    <w:p>
      <w:pPr>
        <w:spacing w:after="0" w:line="75" w:lineRule="exact"/>
        <w:rPr>
          <w:rFonts w:ascii="Arial" w:cs="Arial" w:eastAsia="Arial" w:hAnsi="Arial"/>
          <w:sz w:val="18"/>
          <w:szCs w:val="18"/>
          <w:color w:val="auto"/>
        </w:rPr>
      </w:pPr>
    </w:p>
    <w:p>
      <w:pPr>
        <w:ind w:left="460" w:right="500" w:hanging="452"/>
        <w:spacing w:after="0" w:line="308" w:lineRule="auto"/>
        <w:tabs>
          <w:tab w:leader="none" w:pos="460" w:val="left"/>
        </w:tabs>
        <w:numPr>
          <w:ilvl w:val="0"/>
          <w:numId w:val="493"/>
        </w:numPr>
        <w:rPr>
          <w:rFonts w:ascii="Arial" w:cs="Arial" w:eastAsia="Arial" w:hAnsi="Arial"/>
          <w:sz w:val="17"/>
          <w:szCs w:val="17"/>
          <w:color w:val="auto"/>
        </w:rPr>
      </w:pPr>
      <w:r>
        <w:rPr>
          <w:rFonts w:ascii="Arial" w:cs="Arial" w:eastAsia="Arial" w:hAnsi="Arial"/>
          <w:sz w:val="17"/>
          <w:szCs w:val="17"/>
          <w:color w:val="auto"/>
        </w:rPr>
        <w:t>circular resolutions or minutes evidencing the Board resolution regarding registration of the Investor as owners with voting rights of the relevant number of Series E Preferred Shares subscribed by the Investor in the Company’s share register upon Full Consummation.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terms not defined herein shall have the meaning as defined in the Subscription Agreement.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further confirms that it accepts Fidelity and the Investors listed in the Annex as a new shareholder and that it will upon registration of the shares amend the shareholders’ register accordingly.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Finally the Company confirms to have instructed VISCHER AG to file all Closing documents with the register of commerce in the canton of Vaud.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ectPr>
          <w:pgSz w:w="11900" w:h="16838" w:orient="portrait"/>
          <w:cols w:equalWidth="0" w:num="2">
            <w:col w:w="5340" w:space="720"/>
            <w:col w:w="5300"/>
          </w:cols>
          <w:pgMar w:left="240" w:top="274" w:right="299" w:bottom="1440" w:gutter="0" w:footer="0" w:header="0"/>
          <w:type w:val="continuous"/>
        </w:sect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Title:</w:t>
      </w:r>
    </w:p>
    <w:p>
      <w:pPr>
        <w:sectPr>
          <w:pgSz w:w="11900" w:h="16838" w:orient="portrait"/>
          <w:cols w:equalWidth="0" w:num="2">
            <w:col w:w="5340" w:space="720"/>
            <w:col w:w="5300"/>
          </w:cols>
          <w:pgMar w:left="240" w:top="274" w:right="299" w:bottom="1440" w:gutter="0" w:footer="0" w:header="0"/>
          <w:type w:val="continuous"/>
        </w:sectPr>
      </w:pPr>
    </w:p>
    <w:bookmarkStart w:id="634" w:name="page635"/>
    <w:bookmarkEnd w:id="6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to Certificate for fulfilled conditions precedents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Adhering Investors accepted by the Company:</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84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Subscription Amount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Series E</w:t>
            </w:r>
          </w:p>
        </w:tc>
        <w:tc>
          <w:tcPr>
            <w:tcW w:w="0" w:type="dxa"/>
            <w:vAlign w:val="bottom"/>
          </w:tcPr>
          <w:p>
            <w:pPr>
              <w:spacing w:after="0"/>
              <w:rPr>
                <w:sz w:val="1"/>
                <w:szCs w:val="1"/>
                <w:color w:val="auto"/>
              </w:rPr>
            </w:pPr>
          </w:p>
        </w:tc>
      </w:tr>
      <w:tr>
        <w:trPr>
          <w:trHeight w:val="178"/>
        </w:trPr>
        <w:tc>
          <w:tcPr>
            <w:tcW w:w="3320" w:type="dxa"/>
            <w:vAlign w:val="bottom"/>
            <w:gridSpan w:val="2"/>
            <w:vMerge w:val="continue"/>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2"/>
              </w:rPr>
              <w:t>Preferred Shares</w:t>
            </w:r>
          </w:p>
        </w:tc>
        <w:tc>
          <w:tcPr>
            <w:tcW w:w="0" w:type="dxa"/>
            <w:vAlign w:val="bottom"/>
          </w:tcPr>
          <w:p>
            <w:pPr>
              <w:spacing w:after="0"/>
              <w:rPr>
                <w:sz w:val="1"/>
                <w:szCs w:val="1"/>
                <w:color w:val="auto"/>
              </w:rPr>
            </w:pPr>
          </w:p>
        </w:tc>
      </w:tr>
      <w:tr>
        <w:trPr>
          <w:trHeight w:val="203"/>
        </w:trPr>
        <w:tc>
          <w:tcPr>
            <w:tcW w:w="360" w:type="dxa"/>
            <w:vAlign w:val="bottom"/>
            <w:tcBorders>
              <w:top w:val="single" w:sz="8" w:color="auto"/>
            </w:tcBorders>
            <w:shd w:val="clear" w:color="auto" w:fill="CCEEFF"/>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4" w:right="1440" w:bottom="1440" w:gutter="0" w:footer="0" w:header="0"/>
        </w:sectPr>
      </w:pPr>
    </w:p>
    <w:bookmarkStart w:id="635" w:name="page636"/>
    <w:bookmarkEnd w:id="6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7.1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 and Warranties by the Company</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hereby represents and warrants to the Investor that the following representations are true and complete as of the date hereof, except as otherwise indicated.</w:t>
      </w:r>
    </w:p>
    <w:p>
      <w:pPr>
        <w:spacing w:after="0" w:line="319" w:lineRule="exact"/>
        <w:rPr>
          <w:sz w:val="20"/>
          <w:szCs w:val="20"/>
          <w:color w:val="auto"/>
        </w:rPr>
      </w:pPr>
    </w:p>
    <w:p>
      <w:pPr>
        <w:ind w:left="460" w:hanging="452"/>
        <w:spacing w:after="0"/>
        <w:tabs>
          <w:tab w:leader="none" w:pos="4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Incorporation and Authority</w:t>
      </w:r>
    </w:p>
    <w:p>
      <w:pPr>
        <w:spacing w:after="0" w:line="117" w:lineRule="exact"/>
        <w:rPr>
          <w:rFonts w:ascii="Arial" w:cs="Arial" w:eastAsia="Arial" w:hAnsi="Arial"/>
          <w:sz w:val="18"/>
          <w:szCs w:val="18"/>
          <w:color w:val="auto"/>
        </w:rPr>
      </w:pPr>
    </w:p>
    <w:p>
      <w:pPr>
        <w:ind w:left="460" w:right="160"/>
        <w:spacing w:after="0" w:line="264" w:lineRule="auto"/>
        <w:rPr>
          <w:rFonts w:ascii="Arial" w:cs="Arial" w:eastAsia="Arial" w:hAnsi="Arial"/>
          <w:sz w:val="18"/>
          <w:szCs w:val="18"/>
          <w:color w:val="auto"/>
        </w:rPr>
      </w:pPr>
      <w:r>
        <w:rPr>
          <w:rFonts w:ascii="Arial" w:cs="Arial" w:eastAsia="Arial" w:hAnsi="Arial"/>
          <w:sz w:val="18"/>
          <w:szCs w:val="18"/>
          <w:color w:val="auto"/>
        </w:rPr>
        <w:t>The Company has been duly incorporated and is existing under the laws of Switzerland, with power and authority (corporate and other) to own its properties and conduct its business as described in the disclosure documents (collectively, the “</w:t>
      </w:r>
      <w:r>
        <w:rPr>
          <w:rFonts w:ascii="Arial" w:cs="Arial" w:eastAsia="Arial" w:hAnsi="Arial"/>
          <w:sz w:val="18"/>
          <w:szCs w:val="18"/>
          <w:b w:val="1"/>
          <w:bCs w:val="1"/>
          <w:color w:val="auto"/>
        </w:rPr>
        <w:t>Disclosure Documents</w:t>
      </w:r>
      <w:r>
        <w:rPr>
          <w:rFonts w:ascii="Arial" w:cs="Arial" w:eastAsia="Arial" w:hAnsi="Arial"/>
          <w:sz w:val="18"/>
          <w:szCs w:val="18"/>
          <w:color w:val="auto"/>
        </w:rPr>
        <w:t>”) that are set forth in folder 16 of the data room prepared by the Company and made available to such Investor (the “</w:t>
      </w:r>
      <w:r>
        <w:rPr>
          <w:rFonts w:ascii="Arial" w:cs="Arial" w:eastAsia="Arial" w:hAnsi="Arial"/>
          <w:sz w:val="18"/>
          <w:szCs w:val="18"/>
          <w:b w:val="1"/>
          <w:bCs w:val="1"/>
          <w:color w:val="auto"/>
        </w:rPr>
        <w:t>Dataroom</w:t>
      </w:r>
      <w:r>
        <w:rPr>
          <w:rFonts w:ascii="Arial" w:cs="Arial" w:eastAsia="Arial" w:hAnsi="Arial"/>
          <w:sz w:val="18"/>
          <w:szCs w:val="18"/>
          <w:color w:val="auto"/>
        </w:rPr>
        <w:t>”).</w:t>
      </w:r>
    </w:p>
    <w:p>
      <w:pPr>
        <w:spacing w:after="0" w:line="329" w:lineRule="exact"/>
        <w:rPr>
          <w:rFonts w:ascii="Arial" w:cs="Arial" w:eastAsia="Arial" w:hAnsi="Arial"/>
          <w:sz w:val="18"/>
          <w:szCs w:val="18"/>
          <w:color w:val="auto"/>
        </w:rPr>
      </w:pPr>
    </w:p>
    <w:p>
      <w:pPr>
        <w:ind w:left="460" w:hanging="452"/>
        <w:spacing w:after="0"/>
        <w:tabs>
          <w:tab w:leader="none" w:pos="4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17" w:lineRule="exact"/>
        <w:rPr>
          <w:rFonts w:ascii="Arial" w:cs="Arial" w:eastAsia="Arial" w:hAnsi="Arial"/>
          <w:sz w:val="18"/>
          <w:szCs w:val="18"/>
          <w:color w:val="auto"/>
        </w:rPr>
      </w:pPr>
    </w:p>
    <w:p>
      <w:pPr>
        <w:ind w:left="460"/>
        <w:spacing w:after="0" w:line="273" w:lineRule="auto"/>
        <w:rPr>
          <w:rFonts w:ascii="Arial" w:cs="Arial" w:eastAsia="Arial" w:hAnsi="Arial"/>
          <w:sz w:val="18"/>
          <w:szCs w:val="18"/>
          <w:color w:val="auto"/>
        </w:rPr>
      </w:pPr>
      <w:r>
        <w:rPr>
          <w:rFonts w:ascii="Arial" w:cs="Arial" w:eastAsia="Arial" w:hAnsi="Arial"/>
          <w:sz w:val="17"/>
          <w:szCs w:val="17"/>
          <w:color w:val="auto"/>
        </w:rPr>
        <w:t>As at the date of this Subscription Agreement the Company has an issued statutory share capital in the nominal amount of CHF 856’410.00 divided into 34’914 Common Shares with a nominal value of CHF 5.00 each, 14’152 registered Series A Preferred Shares, 67’130 registered Series B Preferred Shares, 38’476 Series C Preferred Shares and 16’490 registered Series D Preferred Shares. In addition, the Company has a conditional share capital of CHF CHF 90’735 corresponding to up to 18’147 Common Shares for issuance to officers, directors, employees and consultants of the Company pursuant to equity incentive plans. The Company has made available to each Investor complete and accurate copies of the equity incentive plans forms of agreements used thereunder. The Company has no treasury shares.</w:t>
      </w:r>
    </w:p>
    <w:p>
      <w:pPr>
        <w:spacing w:after="0" w:line="70" w:lineRule="exact"/>
        <w:rPr>
          <w:rFonts w:ascii="Arial" w:cs="Arial" w:eastAsia="Arial" w:hAnsi="Arial"/>
          <w:sz w:val="18"/>
          <w:szCs w:val="18"/>
          <w:color w:val="auto"/>
        </w:rPr>
      </w:pPr>
    </w:p>
    <w:p>
      <w:pPr>
        <w:ind w:left="460" w:right="1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Prior and after completion of the Series E Financing Round, the ownership structure of the Company shall be as specified in the capitalization table set forth in </w:t>
      </w:r>
      <w:r>
        <w:rPr>
          <w:rFonts w:ascii="Arial" w:cs="Arial" w:eastAsia="Arial" w:hAnsi="Arial"/>
          <w:sz w:val="18"/>
          <w:szCs w:val="18"/>
          <w:b w:val="1"/>
          <w:bCs w:val="1"/>
          <w:color w:val="auto"/>
        </w:rPr>
        <w:t>Annex 4.</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Authorization</w:t>
      </w:r>
    </w:p>
    <w:p>
      <w:pPr>
        <w:spacing w:after="0" w:line="117" w:lineRule="exact"/>
        <w:rPr>
          <w:rFonts w:ascii="Arial" w:cs="Arial" w:eastAsia="Arial" w:hAnsi="Arial"/>
          <w:sz w:val="18"/>
          <w:szCs w:val="18"/>
          <w:color w:val="auto"/>
        </w:rPr>
      </w:pPr>
    </w:p>
    <w:p>
      <w:pPr>
        <w:ind w:left="460" w:right="80"/>
        <w:spacing w:after="0" w:line="288" w:lineRule="auto"/>
        <w:rPr>
          <w:rFonts w:ascii="Arial" w:cs="Arial" w:eastAsia="Arial" w:hAnsi="Arial"/>
          <w:sz w:val="18"/>
          <w:szCs w:val="18"/>
          <w:color w:val="auto"/>
        </w:rPr>
      </w:pPr>
      <w:r>
        <w:rPr>
          <w:rFonts w:ascii="Arial" w:cs="Arial" w:eastAsia="Arial" w:hAnsi="Arial"/>
          <w:sz w:val="16"/>
          <w:szCs w:val="16"/>
          <w:color w:val="auto"/>
        </w:rPr>
        <w:t>All corporate action required to be taken by the Company’s Board of Directors and shareholders in order to authorize the Company to enter into the Subscription Agreement and the other Transaction Documents, and to issue the Shares at the Closing has been taken or will be taken prior to such Closing. All action on the part of the officers of the Company necessary for the execution and delivery of the Subscription Agreement and the other Transaction Documents, the performance of all obligations of the Company under the Subscription Agreement and the other Transaction Documents to be performed as of the Closing, and the issuance and delivery of the Shares has been taken or will be taken prior to Closing. The Subscription Agreement and the other Transaction Documents, when executed and delivered by the Company, shall constitute valid and legally binding obligations of the Company, enforceable against the Company in accordance with their respective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Registration Rights Agreement may be limited by applicable federal or state securities laws.</w:t>
      </w:r>
    </w:p>
    <w:p>
      <w:pPr>
        <w:sectPr>
          <w:pgSz w:w="11900" w:h="16838" w:orient="portrait"/>
          <w:cols w:equalWidth="0" w:num="1">
            <w:col w:w="11420"/>
          </w:cols>
          <w:pgMar w:left="240" w:top="274" w:right="239" w:bottom="1440" w:gutter="0" w:footer="0" w:header="0"/>
        </w:sectPr>
      </w:pPr>
    </w:p>
    <w:bookmarkStart w:id="636" w:name="page637"/>
    <w:bookmarkEnd w:id="6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Valid Issuance of Shares</w:t>
      </w:r>
    </w:p>
    <w:p>
      <w:pPr>
        <w:spacing w:after="0" w:line="117" w:lineRule="exact"/>
        <w:rPr>
          <w:rFonts w:ascii="Arial" w:cs="Arial" w:eastAsia="Arial" w:hAnsi="Arial"/>
          <w:sz w:val="18"/>
          <w:szCs w:val="18"/>
          <w:color w:val="auto"/>
        </w:rPr>
      </w:pPr>
    </w:p>
    <w:p>
      <w:pPr>
        <w:ind w:left="460" w:right="40"/>
        <w:spacing w:after="0" w:line="257" w:lineRule="auto"/>
        <w:rPr>
          <w:rFonts w:ascii="Arial" w:cs="Arial" w:eastAsia="Arial" w:hAnsi="Arial"/>
          <w:sz w:val="18"/>
          <w:szCs w:val="18"/>
          <w:color w:val="auto"/>
        </w:rPr>
      </w:pPr>
      <w:r>
        <w:rPr>
          <w:rFonts w:ascii="Arial" w:cs="Arial" w:eastAsia="Arial" w:hAnsi="Arial"/>
          <w:sz w:val="18"/>
          <w:szCs w:val="18"/>
          <w:color w:val="auto"/>
        </w:rPr>
        <w:t>The Shares, when issued, sold and delivered in accordance with the terms and for the consideration set forth in this Subscription Agreement, will be validly issued, fully paid and non-assessable and free of restrictions on transfer other than restrictions on transfer under the Shareholders’ Agreement, applicable U.S. state and federal and non-U.S. securities laws and liens or encumbrances created by or imposed by the Investor. Assuming the accuracy of the representations of the Investor in Section 7.2 of this Subscription Agreement, the Shares will be issued in compliance with all applicable U.S. federal and U.S. state securities laws.</w:t>
      </w:r>
    </w:p>
    <w:p>
      <w:pPr>
        <w:spacing w:after="0" w:line="336" w:lineRule="exact"/>
        <w:rPr>
          <w:rFonts w:ascii="Arial" w:cs="Arial" w:eastAsia="Arial" w:hAnsi="Arial"/>
          <w:sz w:val="18"/>
          <w:szCs w:val="18"/>
          <w:color w:val="auto"/>
        </w:rPr>
      </w:pPr>
    </w:p>
    <w:p>
      <w:pPr>
        <w:ind w:left="460" w:hanging="452"/>
        <w:spacing w:after="0"/>
        <w:tabs>
          <w:tab w:leader="none" w:pos="4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No Subsidiary</w:t>
      </w:r>
    </w:p>
    <w:p>
      <w:pPr>
        <w:spacing w:after="0" w:line="117" w:lineRule="exact"/>
        <w:rPr>
          <w:rFonts w:ascii="Arial" w:cs="Arial" w:eastAsia="Arial" w:hAnsi="Arial"/>
          <w:sz w:val="18"/>
          <w:szCs w:val="18"/>
          <w:color w:val="auto"/>
        </w:rPr>
      </w:pPr>
    </w:p>
    <w:p>
      <w:pPr>
        <w:ind w:left="460" w:right="60"/>
        <w:spacing w:after="0" w:line="264" w:lineRule="auto"/>
        <w:rPr>
          <w:rFonts w:ascii="Arial" w:cs="Arial" w:eastAsia="Arial" w:hAnsi="Arial"/>
          <w:sz w:val="18"/>
          <w:szCs w:val="18"/>
          <w:color w:val="auto"/>
        </w:rPr>
      </w:pPr>
      <w:r>
        <w:rPr>
          <w:rFonts w:ascii="Arial" w:cs="Arial" w:eastAsia="Arial" w:hAnsi="Arial"/>
          <w:sz w:val="18"/>
          <w:szCs w:val="18"/>
          <w:color w:val="auto"/>
        </w:rPr>
        <w:t>The Company does not currently own or control, directly or indirectly, any interest in any other corporation, partnership, trust, joint venture, limited liability company, association, or other business entity, and the Company is not a participant in any joint venture, partnership or similar arrangement, in each case except as disclosed in the Disclosure Documents.</w:t>
      </w:r>
    </w:p>
    <w:p>
      <w:pPr>
        <w:spacing w:after="0" w:line="329" w:lineRule="exact"/>
        <w:rPr>
          <w:rFonts w:ascii="Arial" w:cs="Arial" w:eastAsia="Arial" w:hAnsi="Arial"/>
          <w:sz w:val="18"/>
          <w:szCs w:val="18"/>
          <w:color w:val="auto"/>
        </w:rPr>
      </w:pPr>
    </w:p>
    <w:p>
      <w:pPr>
        <w:ind w:left="460" w:hanging="452"/>
        <w:spacing w:after="0"/>
        <w:tabs>
          <w:tab w:leader="none" w:pos="4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Absence of Further Requirements</w:t>
      </w:r>
    </w:p>
    <w:p>
      <w:pPr>
        <w:spacing w:after="0" w:line="117" w:lineRule="exact"/>
        <w:rPr>
          <w:rFonts w:ascii="Arial" w:cs="Arial" w:eastAsia="Arial" w:hAnsi="Arial"/>
          <w:sz w:val="18"/>
          <w:szCs w:val="18"/>
          <w:color w:val="auto"/>
        </w:rPr>
      </w:pPr>
    </w:p>
    <w:p>
      <w:pPr>
        <w:jc w:val="both"/>
        <w:ind w:left="460" w:right="60"/>
        <w:spacing w:after="0" w:line="288" w:lineRule="auto"/>
        <w:rPr>
          <w:rFonts w:ascii="Arial" w:cs="Arial" w:eastAsia="Arial" w:hAnsi="Arial"/>
          <w:sz w:val="18"/>
          <w:szCs w:val="18"/>
          <w:color w:val="auto"/>
        </w:rPr>
      </w:pPr>
      <w:r>
        <w:rPr>
          <w:rFonts w:ascii="Arial" w:cs="Arial" w:eastAsia="Arial" w:hAnsi="Arial"/>
          <w:sz w:val="16"/>
          <w:szCs w:val="16"/>
          <w:color w:val="auto"/>
        </w:rPr>
        <w:t>Assuming the accuracy of the representations made by the Investor in Section 7.2 of this Subscription Agreement, no consent, approval, authorization, or order of, or filing or registration with, any person (including any governmental agency or body or any court) is required for the consummation of the Subscriptions contemplated by this Subscription Agreement in connection with the offering, issuance and sale of the Shares by the Company, except</w:t>
      </w:r>
    </w:p>
    <w:p>
      <w:pPr>
        <w:ind w:left="460" w:right="360"/>
        <w:spacing w:after="0" w:line="261" w:lineRule="auto"/>
        <w:rPr>
          <w:rFonts w:ascii="Arial" w:cs="Arial" w:eastAsia="Arial" w:hAnsi="Arial"/>
          <w:sz w:val="18"/>
          <w:szCs w:val="18"/>
          <w:color w:val="auto"/>
        </w:rPr>
      </w:pPr>
      <w:r>
        <w:rPr>
          <w:rFonts w:ascii="Arial" w:cs="Arial" w:eastAsia="Arial" w:hAnsi="Arial"/>
          <w:sz w:val="18"/>
          <w:szCs w:val="18"/>
          <w:color w:val="auto"/>
        </w:rPr>
        <w:t>(i) such as have been obtained or made or will be made on or prior to the Closing or (ii) such as may be required under applicable state or non-U.S. securities laws.</w:t>
      </w:r>
    </w:p>
    <w:p>
      <w:pPr>
        <w:spacing w:after="0" w:line="332" w:lineRule="exact"/>
        <w:rPr>
          <w:rFonts w:ascii="Arial" w:cs="Arial" w:eastAsia="Arial" w:hAnsi="Arial"/>
          <w:sz w:val="18"/>
          <w:szCs w:val="18"/>
          <w:color w:val="auto"/>
        </w:rPr>
      </w:pPr>
    </w:p>
    <w:p>
      <w:pPr>
        <w:ind w:left="460" w:hanging="452"/>
        <w:spacing w:after="0"/>
        <w:tabs>
          <w:tab w:leader="none" w:pos="4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Absence of Defaults and Conflicts Resulting from Subscriptions</w:t>
      </w:r>
    </w:p>
    <w:p>
      <w:pPr>
        <w:spacing w:after="0" w:line="117" w:lineRule="exact"/>
        <w:rPr>
          <w:rFonts w:ascii="Arial" w:cs="Arial" w:eastAsia="Arial" w:hAnsi="Arial"/>
          <w:sz w:val="18"/>
          <w:szCs w:val="18"/>
          <w:color w:val="auto"/>
        </w:rPr>
      </w:pPr>
    </w:p>
    <w:p>
      <w:pPr>
        <w:ind w:left="460"/>
        <w:spacing w:after="0" w:line="289" w:lineRule="auto"/>
        <w:rPr>
          <w:rFonts w:ascii="Arial" w:cs="Arial" w:eastAsia="Arial" w:hAnsi="Arial"/>
          <w:sz w:val="18"/>
          <w:szCs w:val="18"/>
          <w:color w:val="auto"/>
        </w:rPr>
      </w:pPr>
      <w:r>
        <w:rPr>
          <w:rFonts w:ascii="Arial" w:cs="Arial" w:eastAsia="Arial" w:hAnsi="Arial"/>
          <w:sz w:val="16"/>
          <w:szCs w:val="16"/>
          <w:color w:val="auto"/>
        </w:rPr>
        <w:t>The execution, delivery and performance of this Subscription Agreement, and the issuance and sale of the Shares, will not result in a breach or violation of any of the terms and provisions of, or constitute a default or a Debt Repayment Triggering Event (as defined below) under, or result in the imposition of any lien, charge or encumbrance upon any property or assets of the Company pursuant to, (i) the Articles of Association of the Company, (ii) any statute, rule, regulation or order of any governmental agency or body or any court, domestic or foreign, having jurisdiction over the Company or any of its properties, or (iii) any agreement or instrument to which the Company is a party or by which the Company is bound or to which any of the properties of the Company is subject except for purposes of clauses (ii) and (iii) where any such breach, violation, default, lien, charge or encumbrance would not reasonably be expected to have a Material Adverse Effect;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ectPr>
          <w:pgSz w:w="11900" w:h="16838" w:orient="portrait"/>
          <w:cols w:equalWidth="0" w:num="1">
            <w:col w:w="11420"/>
          </w:cols>
          <w:pgMar w:left="240" w:top="274" w:right="239" w:bottom="1440" w:gutter="0" w:footer="0" w:header="0"/>
        </w:sectPr>
      </w:pPr>
    </w:p>
    <w:bookmarkStart w:id="637" w:name="page638"/>
    <w:bookmarkEnd w:id="6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rFonts w:ascii="Arial" w:cs="Arial" w:eastAsia="Arial" w:hAnsi="Arial"/>
          <w:sz w:val="18"/>
          <w:szCs w:val="18"/>
          <w:color w:val="auto"/>
        </w:rPr>
      </w:pPr>
    </w:p>
    <w:p>
      <w:pPr>
        <w:ind w:left="460" w:right="20"/>
        <w:spacing w:after="0" w:line="291" w:lineRule="auto"/>
        <w:rPr>
          <w:rFonts w:ascii="Arial" w:cs="Arial" w:eastAsia="Arial" w:hAnsi="Arial"/>
          <w:sz w:val="18"/>
          <w:szCs w:val="18"/>
          <w:color w:val="auto"/>
        </w:rPr>
      </w:pPr>
      <w:r>
        <w:rPr>
          <w:rFonts w:ascii="Arial" w:cs="Arial" w:eastAsia="Arial" w:hAnsi="Arial"/>
          <w:sz w:val="16"/>
          <w:szCs w:val="16"/>
          <w:color w:val="auto"/>
        </w:rPr>
        <w:t>Except as disclosed in the Disclosure Documents and the document called “Crenezumab Patent Interference Proceeding” that is set forth in folder 10 of the Dataroom, there are no pending actions, suits or proceedings (including any inquiries made to the Company or, to the Company’s knowledge, investigations by any court or governmental agency or body, domestic or foreign) against or affecting the Company or any of its properties that, if determined adversely to the Company, would individually or in the aggregate reasonably be expected to have a Material Adverse Effect, or would reasonably be expected to affect the ability of the Company to perform its obligations under this Subscription Agreement, or which are otherwise material in the context of the sale of the Shares; and no such actions, suits or proceedings (including any inquiries or investigations by any court or governmental agency or body, domestic or foreign) are, to the Company’s knowledge, threatened or contemplated.</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17"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7"/>
          <w:szCs w:val="17"/>
          <w:color w:val="auto"/>
        </w:rPr>
        <w:t>Except as disclosed in the Disclosure Documents and the document called “Crenezumab Patent Interference Proceeding” that is set forth in folder 10 of the Dataroom and as would not, individually or in the aggregate, reasonably be expected to have a Material Adverse Effect, (i) the Company owns all trademarks, trade names, patent rights, copyrights, domain names, trade secrets, inventions, know-how and other intellectual property and similar proprietary rights, including registrations or grant and applications thereof for registration or grant (collectively,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disclosed in the Disclosed Information to such Investor; (ii) there is no pending or, to the knowledge of the Company, threatened action, suit, proceeding or claim by any third party against the Company (A) challenging the Company’s rights in, or the validity, enforceability or scope of, any of the Intellectual Property Rights owned by the Company, or (B) alleging that any activity by or on behalf of the Company infringes, misappropriates or otherwise violates any Intellectual Property Rights of such third party; (iii) there are no outstanding options, licenses or agreements relating to the Intellectual Property Rights owned by the Company, nor is the Company bound by or a party to any options, licenses or agreements of any kind with respect to the Intellectual Property Rights of any other person or entity other than such licenses or agreements arising from the purchase of “off the shelf” or standard products; (iv) none of the Intellectual Property Rights owned by the Company is subject to any outstanding judgment, decree, order, writ, award, injunction or determination of an arbitrator or court or other governmental authority affecting the rights of the Company with respect thereto; and (v) to the knowledge of the Company, the Company’s business as currently conducted does not violate any Intellectual Property Rights of any third party.</w:t>
      </w:r>
    </w:p>
    <w:p>
      <w:pPr>
        <w:spacing w:after="0" w:line="333" w:lineRule="exact"/>
        <w:rPr>
          <w:rFonts w:ascii="Arial" w:cs="Arial" w:eastAsia="Arial" w:hAnsi="Arial"/>
          <w:sz w:val="18"/>
          <w:szCs w:val="18"/>
          <w:color w:val="auto"/>
        </w:rPr>
      </w:pPr>
    </w:p>
    <w:p>
      <w:pPr>
        <w:ind w:left="460" w:hanging="452"/>
        <w:spacing w:after="0"/>
        <w:tabs>
          <w:tab w:leader="none" w:pos="46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Absence of Existing Defaults and Conflicts</w:t>
      </w:r>
    </w:p>
    <w:p>
      <w:pPr>
        <w:spacing w:after="0" w:line="117" w:lineRule="exact"/>
        <w:rPr>
          <w:rFonts w:ascii="Arial" w:cs="Arial" w:eastAsia="Arial" w:hAnsi="Arial"/>
          <w:sz w:val="18"/>
          <w:szCs w:val="18"/>
          <w:color w:val="auto"/>
        </w:rPr>
      </w:pPr>
    </w:p>
    <w:p>
      <w:pPr>
        <w:ind w:left="460"/>
        <w:spacing w:after="0" w:line="279" w:lineRule="auto"/>
        <w:rPr>
          <w:rFonts w:ascii="Arial" w:cs="Arial" w:eastAsia="Arial" w:hAnsi="Arial"/>
          <w:sz w:val="18"/>
          <w:szCs w:val="18"/>
          <w:color w:val="auto"/>
        </w:rPr>
      </w:pPr>
      <w:r>
        <w:rPr>
          <w:rFonts w:ascii="Arial" w:cs="Arial" w:eastAsia="Arial" w:hAnsi="Arial"/>
          <w:sz w:val="17"/>
          <w:szCs w:val="17"/>
          <w:color w:val="auto"/>
        </w:rPr>
        <w:t>The Company is not in violation of its articles of association or similar organizational documents or in default (or with the giving of notice or lapse of time would not be in default) under any existing obligation, agreement, covenant or condition contained in any indenture, loan agreement, mortgage, lease or other agreement or instrument to which it is a party or by which it is bound or to which any of its properties is subject, except such defaults that would not, individually or in the aggregate, reasonably be expected to result in a Material Adverse Effect.</w:t>
      </w:r>
    </w:p>
    <w:p>
      <w:pPr>
        <w:sectPr>
          <w:pgSz w:w="11900" w:h="16838" w:orient="portrait"/>
          <w:cols w:equalWidth="0" w:num="1">
            <w:col w:w="11400"/>
          </w:cols>
          <w:pgMar w:left="240" w:top="274" w:right="259" w:bottom="1440" w:gutter="0" w:footer="0" w:header="0"/>
        </w:sectPr>
      </w:pPr>
    </w:p>
    <w:bookmarkStart w:id="638" w:name="page639"/>
    <w:bookmarkEnd w:id="6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Registration Rights</w:t>
      </w:r>
    </w:p>
    <w:p>
      <w:pPr>
        <w:spacing w:after="0" w:line="117" w:lineRule="exact"/>
        <w:rPr>
          <w:rFonts w:ascii="Arial" w:cs="Arial" w:eastAsia="Arial" w:hAnsi="Arial"/>
          <w:sz w:val="18"/>
          <w:szCs w:val="18"/>
          <w:color w:val="auto"/>
        </w:rPr>
      </w:pPr>
    </w:p>
    <w:p>
      <w:pPr>
        <w:ind w:left="460" w:right="160"/>
        <w:spacing w:after="0" w:line="302" w:lineRule="auto"/>
        <w:rPr>
          <w:rFonts w:ascii="Arial" w:cs="Arial" w:eastAsia="Arial" w:hAnsi="Arial"/>
          <w:sz w:val="18"/>
          <w:szCs w:val="18"/>
          <w:color w:val="auto"/>
        </w:rPr>
      </w:pPr>
      <w:r>
        <w:rPr>
          <w:rFonts w:ascii="Arial" w:cs="Arial" w:eastAsia="Arial" w:hAnsi="Arial"/>
          <w:sz w:val="16"/>
          <w:szCs w:val="16"/>
          <w:color w:val="auto"/>
        </w:rPr>
        <w:t>Except as provided in the Registration Rights Agreement,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Securities Act.</w:t>
      </w:r>
    </w:p>
    <w:p>
      <w:pPr>
        <w:spacing w:after="0" w:line="302" w:lineRule="exact"/>
        <w:rPr>
          <w:rFonts w:ascii="Arial" w:cs="Arial" w:eastAsia="Arial" w:hAnsi="Arial"/>
          <w:sz w:val="18"/>
          <w:szCs w:val="18"/>
          <w:color w:val="auto"/>
        </w:rPr>
      </w:pPr>
    </w:p>
    <w:p>
      <w:pPr>
        <w:ind w:left="460" w:hanging="452"/>
        <w:spacing w:after="0"/>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Title to Property</w:t>
      </w:r>
    </w:p>
    <w:p>
      <w:pPr>
        <w:spacing w:after="0" w:line="117" w:lineRule="exact"/>
        <w:rPr>
          <w:rFonts w:ascii="Arial" w:cs="Arial" w:eastAsia="Arial" w:hAnsi="Arial"/>
          <w:sz w:val="18"/>
          <w:szCs w:val="18"/>
          <w:color w:val="auto"/>
        </w:rPr>
      </w:pPr>
    </w:p>
    <w:p>
      <w:pPr>
        <w:ind w:left="460" w:right="240"/>
        <w:spacing w:after="0" w:line="259" w:lineRule="auto"/>
        <w:rPr>
          <w:rFonts w:ascii="Arial" w:cs="Arial" w:eastAsia="Arial" w:hAnsi="Arial"/>
          <w:sz w:val="18"/>
          <w:szCs w:val="18"/>
          <w:color w:val="auto"/>
        </w:rPr>
      </w:pPr>
      <w:r>
        <w:rPr>
          <w:rFonts w:ascii="Arial" w:cs="Arial" w:eastAsia="Arial" w:hAnsi="Arial"/>
          <w:sz w:val="18"/>
          <w:szCs w:val="18"/>
          <w:color w:val="auto"/>
        </w:rPr>
        <w:t>The Company does not own any real property. The Company has good and marketable title to all other properties and assets owned by it that are necessary and material to its business, in each case free from liens, charges, encumbrances and defects that would reasonably be expected to have a Material Adverse Effect, and the Company holds any leased real or personal property under valid and enforceable leases with no terms or provisions that would reasonably be expected to have a Material Adverse Effect.</w:t>
      </w:r>
    </w:p>
    <w:p>
      <w:pPr>
        <w:spacing w:after="0" w:line="335" w:lineRule="exact"/>
        <w:rPr>
          <w:rFonts w:ascii="Arial" w:cs="Arial" w:eastAsia="Arial" w:hAnsi="Arial"/>
          <w:sz w:val="18"/>
          <w:szCs w:val="18"/>
          <w:color w:val="auto"/>
        </w:rPr>
      </w:pPr>
    </w:p>
    <w:p>
      <w:pPr>
        <w:ind w:left="460" w:hanging="452"/>
        <w:spacing w:after="0"/>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460" w:right="60"/>
        <w:spacing w:after="0" w:line="297" w:lineRule="auto"/>
        <w:rPr>
          <w:rFonts w:ascii="Arial" w:cs="Arial" w:eastAsia="Arial" w:hAnsi="Arial"/>
          <w:sz w:val="18"/>
          <w:szCs w:val="18"/>
          <w:color w:val="auto"/>
        </w:rPr>
      </w:pPr>
      <w:r>
        <w:rPr>
          <w:rFonts w:ascii="Arial" w:cs="Arial" w:eastAsia="Arial" w:hAnsi="Arial"/>
          <w:sz w:val="16"/>
          <w:szCs w:val="16"/>
          <w:color w:val="auto"/>
        </w:rPr>
        <w:t>The Company has delivered to the Investor its unaudited interim condensed financial statements as at, and for the six months ended, June 30, 2015 and June 30, 2014, and its audited financial statements as at, and for the fiscal years ended, December 31, 2014 and December 31, 2013 (collectively,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The Financial Statements present fairly in all material respects the financial position of the Company as of the dates shown and its results of operations and cash flows for the periods shown, and such financial statements have been prepared in conformity with International Financial Reporting Standards as issued by the International Accounting Standards Board applied on a consistent basis.</w:t>
      </w:r>
    </w:p>
    <w:p>
      <w:pPr>
        <w:spacing w:after="0" w:line="306" w:lineRule="exact"/>
        <w:rPr>
          <w:rFonts w:ascii="Arial" w:cs="Arial" w:eastAsia="Arial" w:hAnsi="Arial"/>
          <w:sz w:val="18"/>
          <w:szCs w:val="18"/>
          <w:color w:val="auto"/>
        </w:rPr>
      </w:pPr>
    </w:p>
    <w:p>
      <w:pPr>
        <w:ind w:left="460" w:hanging="452"/>
        <w:spacing w:after="0"/>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No Material Adverse Event in Business</w:t>
      </w:r>
    </w:p>
    <w:p>
      <w:pPr>
        <w:spacing w:after="0" w:line="117" w:lineRule="exact"/>
        <w:rPr>
          <w:rFonts w:ascii="Arial" w:cs="Arial" w:eastAsia="Arial" w:hAnsi="Arial"/>
          <w:sz w:val="18"/>
          <w:szCs w:val="18"/>
          <w:color w:val="auto"/>
        </w:rPr>
      </w:pPr>
    </w:p>
    <w:p>
      <w:pPr>
        <w:ind w:left="460"/>
        <w:spacing w:after="0" w:line="257" w:lineRule="auto"/>
        <w:rPr>
          <w:rFonts w:ascii="Arial" w:cs="Arial" w:eastAsia="Arial" w:hAnsi="Arial"/>
          <w:sz w:val="18"/>
          <w:szCs w:val="18"/>
          <w:color w:val="auto"/>
        </w:rPr>
      </w:pPr>
      <w:r>
        <w:rPr>
          <w:rFonts w:ascii="Arial" w:cs="Arial" w:eastAsia="Arial" w:hAnsi="Arial"/>
          <w:sz w:val="18"/>
          <w:szCs w:val="18"/>
          <w:color w:val="auto"/>
        </w:rPr>
        <w:t>Except as disclosed in the Disclosure Documents, since the end of the period covered by the Financial Statements, (i) there has been no change, nor any development or event involving a prospective change, in the condition (financial or otherwise), results of operations, business or properties of the Company that is material and adverse, (ii) there has been no dividend or distribution of any kind declared, paid or made by the Company on any class of its capital stock and (iii) there has been no material adverse change in the capital stock, short-term indebtedness, long-term indebtedness, net current assets or net assets of the Company.</w:t>
      </w:r>
    </w:p>
    <w:p>
      <w:pPr>
        <w:spacing w:after="0" w:line="336" w:lineRule="exact"/>
        <w:rPr>
          <w:rFonts w:ascii="Arial" w:cs="Arial" w:eastAsia="Arial" w:hAnsi="Arial"/>
          <w:sz w:val="18"/>
          <w:szCs w:val="18"/>
          <w:color w:val="auto"/>
        </w:rPr>
      </w:pPr>
    </w:p>
    <w:p>
      <w:pPr>
        <w:ind w:left="460" w:hanging="452"/>
        <w:spacing w:after="0"/>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Labor Disputes</w:t>
      </w:r>
    </w:p>
    <w:p>
      <w:pPr>
        <w:spacing w:after="0" w:line="117" w:lineRule="exact"/>
        <w:rPr>
          <w:rFonts w:ascii="Arial" w:cs="Arial" w:eastAsia="Arial" w:hAnsi="Arial"/>
          <w:sz w:val="18"/>
          <w:szCs w:val="18"/>
          <w:color w:val="auto"/>
        </w:rPr>
      </w:pPr>
    </w:p>
    <w:p>
      <w:pPr>
        <w:ind w:left="460" w:right="260"/>
        <w:spacing w:after="0" w:line="277" w:lineRule="auto"/>
        <w:rPr>
          <w:rFonts w:ascii="Arial" w:cs="Arial" w:eastAsia="Arial" w:hAnsi="Arial"/>
          <w:sz w:val="18"/>
          <w:szCs w:val="18"/>
          <w:color w:val="auto"/>
        </w:rPr>
      </w:pPr>
      <w:r>
        <w:rPr>
          <w:rFonts w:ascii="Arial" w:cs="Arial" w:eastAsia="Arial" w:hAnsi="Arial"/>
          <w:sz w:val="18"/>
          <w:szCs w:val="18"/>
          <w:color w:val="auto"/>
        </w:rPr>
        <w:t>No labor dispute with the employees of the Company exists or, to the knowledge of the Company, is imminent that would reasonably be expected to have a Material Adverse Effect.</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17" w:lineRule="exact"/>
        <w:rPr>
          <w:rFonts w:ascii="Arial" w:cs="Arial" w:eastAsia="Arial" w:hAnsi="Arial"/>
          <w:sz w:val="18"/>
          <w:szCs w:val="18"/>
          <w:color w:val="auto"/>
        </w:rPr>
      </w:pPr>
    </w:p>
    <w:p>
      <w:pPr>
        <w:ind w:left="460" w:right="40"/>
        <w:spacing w:after="0" w:line="277" w:lineRule="auto"/>
        <w:rPr>
          <w:rFonts w:ascii="Arial" w:cs="Arial" w:eastAsia="Arial" w:hAnsi="Arial"/>
          <w:sz w:val="18"/>
          <w:szCs w:val="18"/>
          <w:color w:val="auto"/>
        </w:rPr>
      </w:pPr>
      <w:r>
        <w:rPr>
          <w:rFonts w:ascii="Arial" w:cs="Arial" w:eastAsia="Arial" w:hAnsi="Arial"/>
          <w:sz w:val="18"/>
          <w:szCs w:val="18"/>
          <w:color w:val="auto"/>
        </w:rPr>
        <w:t>The preclinical and clinical studies conducted by the Company, and to the knowledge of the Company, the preclinical and clinical studies conducted on behalf of or sponsored by the Company, that are described in, or the results of which were referred to in, the</w:t>
      </w:r>
    </w:p>
    <w:p>
      <w:pPr>
        <w:sectPr>
          <w:pgSz w:w="11900" w:h="16838" w:orient="portrait"/>
          <w:cols w:equalWidth="0" w:num="1">
            <w:col w:w="11400"/>
          </w:cols>
          <w:pgMar w:left="240" w:top="274" w:right="259" w:bottom="1440" w:gutter="0" w:footer="0" w:header="0"/>
        </w:sectPr>
      </w:pPr>
    </w:p>
    <w:bookmarkStart w:id="639" w:name="page640"/>
    <w:bookmarkEnd w:id="6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40"/>
        <w:spacing w:after="0" w:line="269" w:lineRule="auto"/>
        <w:rPr>
          <w:sz w:val="20"/>
          <w:szCs w:val="20"/>
          <w:color w:val="auto"/>
        </w:rPr>
      </w:pPr>
      <w:r>
        <w:rPr>
          <w:rFonts w:ascii="Arial" w:cs="Arial" w:eastAsia="Arial" w:hAnsi="Arial"/>
          <w:sz w:val="17"/>
          <w:szCs w:val="17"/>
          <w:color w:val="auto"/>
        </w:rPr>
        <w:t>Disclosure Documents were and, if still pending, are being conducted in all material respects in accordance with protocols, procedures and controls filed with the appropriate regulatory authorities for each such test or trial, as the case may be, and with standard medical and scientific research procedures, except in each case where failure to so conduct would not reasonably be expected to have a Material Adverse Effect; each description of the results of such studies contained in the Disclosure Documents is accurate and complete in all material respects and fairly presents the data derived from such studies, and the Company has no knowledge of any other studies or tests the results of which are inconsistent with, or otherwise call into question, the results described or referred to in the Disclosure Documents; the Company has not received any notices or other correspondence from the from the U.S.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or any committee thereof or from any other U.S. or foreign government or drug or medical device regulatory agency (collectively, the “</w:t>
      </w:r>
      <w:r>
        <w:rPr>
          <w:rFonts w:ascii="Arial" w:cs="Arial" w:eastAsia="Arial" w:hAnsi="Arial"/>
          <w:sz w:val="17"/>
          <w:szCs w:val="17"/>
          <w:b w:val="1"/>
          <w:bCs w:val="1"/>
          <w:color w:val="auto"/>
        </w:rPr>
        <w:t>Regulatory Agencies</w:t>
      </w:r>
      <w:r>
        <w:rPr>
          <w:rFonts w:ascii="Arial" w:cs="Arial" w:eastAsia="Arial" w:hAnsi="Arial"/>
          <w:sz w:val="17"/>
          <w:szCs w:val="17"/>
          <w:color w:val="auto"/>
        </w:rPr>
        <w:t>”) requiring the termination, suspension or material modification of any clinical trials that are described or referred to in the materials made available to such Investor, other than ordinary course communications with respect to modifications in connection with the design and implementation of such trials; and the Company has operated and currently is in compliance in all respects with all applicable rules, regulations and policies of the Regulatory Agencies except as would not reasonably be expected to have a Material Adverse Effect.</w:t>
      </w:r>
    </w:p>
    <w:p>
      <w:pPr>
        <w:spacing w:after="0" w:line="329" w:lineRule="exact"/>
        <w:rPr>
          <w:sz w:val="20"/>
          <w:szCs w:val="20"/>
          <w:color w:val="auto"/>
        </w:rPr>
      </w:pPr>
    </w:p>
    <w:p>
      <w:pPr>
        <w:ind w:left="460" w:hanging="452"/>
        <w:spacing w:after="0"/>
        <w:tabs>
          <w:tab w:leader="none" w:pos="4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Payments of Taxes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Except as disclosed in the Disclosure Documents, the Company warrants that</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all notices, reports, accounts, computations, statements, assessments, registrations and any other necessary information which the Company was legally obliged to submit to any Tax Authority for the purposes of Taxation, have been filed by the Company within applicable time limits and were accurate and complete;</w:t>
      </w:r>
    </w:p>
    <w:p>
      <w:pPr>
        <w:spacing w:after="0" w:line="86" w:lineRule="exact"/>
        <w:rPr>
          <w:rFonts w:ascii="Arial" w:cs="Arial" w:eastAsia="Arial" w:hAnsi="Arial"/>
          <w:sz w:val="18"/>
          <w:szCs w:val="18"/>
          <w:color w:val="auto"/>
        </w:rPr>
      </w:pPr>
    </w:p>
    <w:p>
      <w:pPr>
        <w:ind w:left="900" w:right="320" w:hanging="446"/>
        <w:spacing w:after="0" w:line="277" w:lineRule="auto"/>
        <w:tabs>
          <w:tab w:leader="none" w:pos="90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all Taxes (whether of Switzerland or elsewhere), for which the Company has been liable or is liable to account for, have been duly and timely paid;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the Company has, in accordance with applicable time limits, maintained all records in relation to Taxes as required by law and such records are sufficient to enable the Company to accurately calculate its Tax liability;</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the Company has complied within applicable time limits with all notices lawfully served on it and any other requirements lawfully imposed on it by any Tax Authority;</w:t>
      </w:r>
    </w:p>
    <w:p>
      <w:pPr>
        <w:spacing w:after="0" w:line="75" w:lineRule="exact"/>
        <w:rPr>
          <w:rFonts w:ascii="Arial" w:cs="Arial" w:eastAsia="Arial" w:hAnsi="Arial"/>
          <w:sz w:val="18"/>
          <w:szCs w:val="18"/>
          <w:color w:val="auto"/>
        </w:rPr>
      </w:pPr>
    </w:p>
    <w:p>
      <w:pPr>
        <w:ind w:left="900" w:right="300" w:hanging="446"/>
        <w:spacing w:after="0" w:line="308" w:lineRule="auto"/>
        <w:tabs>
          <w:tab w:leader="none" w:pos="900" w:val="left"/>
        </w:tabs>
        <w:numPr>
          <w:ilvl w:val="1"/>
          <w:numId w:val="498"/>
        </w:numPr>
        <w:rPr>
          <w:rFonts w:ascii="Arial" w:cs="Arial" w:eastAsia="Arial" w:hAnsi="Arial"/>
          <w:sz w:val="17"/>
          <w:szCs w:val="17"/>
          <w:color w:val="auto"/>
        </w:rPr>
      </w:pPr>
      <w:r>
        <w:rPr>
          <w:rFonts w:ascii="Arial" w:cs="Arial" w:eastAsia="Arial" w:hAnsi="Arial"/>
          <w:sz w:val="17"/>
          <w:szCs w:val="17"/>
          <w:color w:val="auto"/>
        </w:rPr>
        <w:t>with respect to Taxes, the Company has not paid, within the time period starting on the date of its incorporation and ending on the date of this Subscription Agreement, and will not become liable to pay, any material penalty, fine, surcharge or interest charged;</w:t>
      </w:r>
    </w:p>
    <w:p>
      <w:pPr>
        <w:spacing w:after="0" w:line="51" w:lineRule="exact"/>
        <w:rPr>
          <w:rFonts w:ascii="Arial" w:cs="Arial" w:eastAsia="Arial" w:hAnsi="Arial"/>
          <w:sz w:val="17"/>
          <w:szCs w:val="17"/>
          <w:color w:val="auto"/>
        </w:rPr>
      </w:pPr>
    </w:p>
    <w:p>
      <w:pPr>
        <w:ind w:left="900" w:hanging="446"/>
        <w:spacing w:after="0" w:line="286" w:lineRule="auto"/>
        <w:tabs>
          <w:tab w:leader="none" w:pos="900" w:val="left"/>
        </w:tabs>
        <w:numPr>
          <w:ilvl w:val="1"/>
          <w:numId w:val="498"/>
        </w:numPr>
        <w:rPr>
          <w:rFonts w:ascii="Arial" w:cs="Arial" w:eastAsia="Arial" w:hAnsi="Arial"/>
          <w:sz w:val="17"/>
          <w:szCs w:val="17"/>
          <w:color w:val="auto"/>
        </w:rPr>
      </w:pPr>
      <w:r>
        <w:rPr>
          <w:rFonts w:ascii="Arial" w:cs="Arial" w:eastAsia="Arial" w:hAnsi="Arial"/>
          <w:sz w:val="17"/>
          <w:szCs w:val="17"/>
          <w:color w:val="auto"/>
        </w:rPr>
        <w:t>the Company is not involved in any dispute with or investigation by any Tax Authority and has not, within the past 12 months, been subject to any visit, audit, investigation, discovery or access order by any Tax Authority and is not aware of any circumstances existing which make it likely that a visit, audit, investigation, discovery or access order with respect to Taxes will be made in the next 12 months; and</w:t>
      </w:r>
    </w:p>
    <w:p>
      <w:pPr>
        <w:spacing w:after="0" w:line="70" w:lineRule="exact"/>
        <w:rPr>
          <w:rFonts w:ascii="Arial" w:cs="Arial" w:eastAsia="Arial" w:hAnsi="Arial"/>
          <w:sz w:val="17"/>
          <w:szCs w:val="17"/>
          <w:color w:val="auto"/>
        </w:rPr>
      </w:pPr>
    </w:p>
    <w:p>
      <w:pPr>
        <w:ind w:left="900" w:right="180" w:hanging="446"/>
        <w:spacing w:after="0" w:line="277" w:lineRule="auto"/>
        <w:tabs>
          <w:tab w:leader="none" w:pos="90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in the Financial Statements the Company has made full provision or reserve for any period ended on or before the relevant accounts date for all Taxation assessed or liable to be assessed on it;</w:t>
      </w:r>
    </w:p>
    <w:p>
      <w:pPr>
        <w:sectPr>
          <w:pgSz w:w="11900" w:h="16838" w:orient="portrait"/>
          <w:cols w:equalWidth="0" w:num="1">
            <w:col w:w="11400"/>
          </w:cols>
          <w:pgMar w:left="240" w:top="274" w:right="259" w:bottom="1440" w:gutter="0" w:footer="0" w:header="0"/>
        </w:sectPr>
      </w:pPr>
    </w:p>
    <w:bookmarkStart w:id="640" w:name="page641"/>
    <w:bookmarkEnd w:id="6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except for any such Taxes, assessments, fines or penalties currently being contested in good faith or as would not, individually or in the aggregate, reasonably be expected to have a Material Adverse Effect.</w:t>
      </w:r>
    </w:p>
    <w:p>
      <w:pPr>
        <w:spacing w:after="0" w:line="319" w:lineRule="exact"/>
        <w:rPr>
          <w:sz w:val="20"/>
          <w:szCs w:val="20"/>
          <w:color w:val="auto"/>
        </w:rPr>
      </w:pPr>
    </w:p>
    <w:p>
      <w:pPr>
        <w:ind w:left="460" w:hanging="452"/>
        <w:spacing w:after="0"/>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rFonts w:ascii="Arial" w:cs="Arial" w:eastAsia="Arial" w:hAnsi="Arial"/>
          <w:sz w:val="18"/>
          <w:szCs w:val="18"/>
          <w:color w:val="auto"/>
        </w:rPr>
      </w:pPr>
    </w:p>
    <w:p>
      <w:pPr>
        <w:ind w:left="460" w:right="40"/>
        <w:spacing w:after="0" w:line="270" w:lineRule="auto"/>
        <w:rPr>
          <w:rFonts w:ascii="Arial" w:cs="Arial" w:eastAsia="Arial" w:hAnsi="Arial"/>
          <w:sz w:val="18"/>
          <w:szCs w:val="18"/>
          <w:color w:val="auto"/>
        </w:rPr>
      </w:pPr>
      <w:r>
        <w:rPr>
          <w:rFonts w:ascii="Arial" w:cs="Arial" w:eastAsia="Arial" w:hAnsi="Arial"/>
          <w:sz w:val="17"/>
          <w:szCs w:val="17"/>
          <w:color w:val="auto"/>
        </w:rPr>
        <w:t>The Company is insured by insurers with appropriately rated claims paying abilities against such losses and risks and in such amounts as the Company reasonably considers adequate for the businesses in which it is engaged; all material policies of insurance and fidelity or surety bonds insuring the Company or its business, asset, employees, officers and directors are in full force and effect; to the Company’s knowledge,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material insurance coverage sought or applied for; and the Company has no reason to believe that it will not be able to renew its existing insurance coverage as and when such coverage expires or to obtain similar coverage from similar insurers as the Company reasonably believes may be necessary to continue its business at a cost that would not reasonably be expected to have a Material Adverse Effect, except as set forth in or contemplated in the Disclosure Documents.</w:t>
      </w:r>
    </w:p>
    <w:p>
      <w:pPr>
        <w:spacing w:after="0" w:line="330" w:lineRule="exact"/>
        <w:rPr>
          <w:rFonts w:ascii="Arial" w:cs="Arial" w:eastAsia="Arial" w:hAnsi="Arial"/>
          <w:sz w:val="18"/>
          <w:szCs w:val="18"/>
          <w:color w:val="auto"/>
        </w:rPr>
      </w:pPr>
    </w:p>
    <w:p>
      <w:pPr>
        <w:ind w:left="460" w:hanging="452"/>
        <w:spacing w:after="0"/>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Social Security and Pensions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Except as would not, individually or in the aggregate, reasonably be expected to have a Material Adverse Effect, the Company warrants that</w:t>
      </w:r>
    </w:p>
    <w:p>
      <w:pPr>
        <w:spacing w:after="0" w:line="142"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all benefit plans for any period ending before Closing have been fully paid, or, as regards employees of the Company, provided for in the relevant financial statements;</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all contributions required to be made under the terms of any such benefit plans until the Closing have been timely made or provided for in the relevant financial statements;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99"/>
        </w:numPr>
        <w:rPr>
          <w:rFonts w:ascii="Arial" w:cs="Arial" w:eastAsia="Arial" w:hAnsi="Arial"/>
          <w:sz w:val="16"/>
          <w:szCs w:val="16"/>
          <w:color w:val="auto"/>
        </w:rPr>
      </w:pPr>
      <w:r>
        <w:rPr>
          <w:rFonts w:ascii="Arial" w:cs="Arial" w:eastAsia="Arial" w:hAnsi="Arial"/>
          <w:sz w:val="16"/>
          <w:szCs w:val="16"/>
          <w:color w:val="auto"/>
        </w:rPr>
        <w:t>on the basis of and compared to the funding requirements of applicable law, none of the benefit plans has any accumulated funding deficiency;</w:t>
      </w:r>
    </w:p>
    <w:p>
      <w:pPr>
        <w:spacing w:after="0" w:line="140" w:lineRule="exact"/>
        <w:rPr>
          <w:sz w:val="20"/>
          <w:szCs w:val="20"/>
          <w:color w:val="auto"/>
        </w:rPr>
      </w:pPr>
    </w:p>
    <w:p>
      <w:pPr>
        <w:ind w:left="460" w:right="640"/>
        <w:spacing w:after="0" w:line="277" w:lineRule="auto"/>
        <w:rPr>
          <w:sz w:val="20"/>
          <w:szCs w:val="20"/>
          <w:color w:val="auto"/>
        </w:rPr>
      </w:pPr>
      <w:r>
        <w:rPr>
          <w:rFonts w:ascii="Arial" w:cs="Arial" w:eastAsia="Arial" w:hAnsi="Arial"/>
          <w:sz w:val="18"/>
          <w:szCs w:val="18"/>
          <w:color w:val="auto"/>
        </w:rPr>
        <w:t>except for any such contributions, assessments, fines or penalties currently being contested in good faith or as would not, individually or in the aggregate, reasonably be expected to have a Material Adverse Effect.</w:t>
      </w:r>
    </w:p>
    <w:p>
      <w:pPr>
        <w:sectPr>
          <w:pgSz w:w="11900" w:h="16838" w:orient="portrait"/>
          <w:cols w:equalWidth="0" w:num="1">
            <w:col w:w="11380"/>
          </w:cols>
          <w:pgMar w:left="240" w:top="275" w:right="279" w:bottom="1440" w:gutter="0" w:footer="0" w:header="0"/>
        </w:sectPr>
      </w:pPr>
    </w:p>
    <w:bookmarkStart w:id="641" w:name="page642"/>
    <w:bookmarkEnd w:id="6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Possession of Permits</w:t>
      </w:r>
    </w:p>
    <w:p>
      <w:pPr>
        <w:spacing w:after="0" w:line="117" w:lineRule="exact"/>
        <w:rPr>
          <w:rFonts w:ascii="Arial" w:cs="Arial" w:eastAsia="Arial" w:hAnsi="Arial"/>
          <w:sz w:val="18"/>
          <w:szCs w:val="18"/>
          <w:color w:val="auto"/>
        </w:rPr>
      </w:pPr>
    </w:p>
    <w:p>
      <w:pPr>
        <w:ind w:left="460" w:right="60"/>
        <w:spacing w:after="0" w:line="302" w:lineRule="auto"/>
        <w:rPr>
          <w:rFonts w:ascii="Arial" w:cs="Arial" w:eastAsia="Arial" w:hAnsi="Arial"/>
          <w:sz w:val="18"/>
          <w:szCs w:val="18"/>
          <w:color w:val="auto"/>
        </w:rPr>
      </w:pPr>
      <w:r>
        <w:rPr>
          <w:rFonts w:ascii="Arial" w:cs="Arial" w:eastAsia="Arial" w:hAnsi="Arial"/>
          <w:sz w:val="16"/>
          <w:szCs w:val="16"/>
          <w:color w:val="auto"/>
        </w:rPr>
        <w:t>The Company possesses, and is in compliance with the terms of, all adequate certificates, authorizations, franchises, licenses and permits, including, without limitation from the FDA and equivalent foreign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necessary or material to the conduct of the business now or proposed to be conducted by it and has not received any notice of proceedings relating to the revocation or modification of any Permits that, if determined adversely to the Company, would individually or in the aggregate reasonably be expected to have a Material Adverse Effect.</w:t>
      </w:r>
    </w:p>
    <w:p>
      <w:pPr>
        <w:spacing w:after="0" w:line="302" w:lineRule="exact"/>
        <w:rPr>
          <w:rFonts w:ascii="Arial" w:cs="Arial" w:eastAsia="Arial" w:hAnsi="Arial"/>
          <w:sz w:val="18"/>
          <w:szCs w:val="18"/>
          <w:color w:val="auto"/>
        </w:rPr>
      </w:pPr>
    </w:p>
    <w:p>
      <w:pPr>
        <w:ind w:left="460" w:hanging="452"/>
        <w:spacing w:after="0"/>
        <w:tabs>
          <w:tab w:leader="none" w:pos="4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Environmental Laws</w:t>
      </w:r>
    </w:p>
    <w:p>
      <w:pPr>
        <w:spacing w:after="0" w:line="117"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The Company is not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8"/>
          <w:szCs w:val="18"/>
          <w:b w:val="1"/>
          <w:bCs w:val="1"/>
          <w:color w:val="auto"/>
        </w:rPr>
        <w:t>Environmental Laws</w:t>
      </w:r>
      <w:r>
        <w:rPr>
          <w:rFonts w:ascii="Arial" w:cs="Arial" w:eastAsia="Arial" w:hAnsi="Arial"/>
          <w:sz w:val="18"/>
          <w:szCs w:val="18"/>
          <w:color w:val="auto"/>
        </w:rPr>
        <w:t>”). The Company (i) does not own or operate any real property contaminated with any substance that is subject to any Environmental Laws, (ii) is not liable for any off-site disposal or contamination pursuant to any Environmental Laws, and (iii) is not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w:t>
      </w:r>
    </w:p>
    <w:p>
      <w:pPr>
        <w:spacing w:after="0" w:line="337" w:lineRule="exact"/>
        <w:rPr>
          <w:rFonts w:ascii="Arial" w:cs="Arial" w:eastAsia="Arial" w:hAnsi="Arial"/>
          <w:sz w:val="18"/>
          <w:szCs w:val="18"/>
          <w:color w:val="auto"/>
        </w:rPr>
      </w:pPr>
    </w:p>
    <w:p>
      <w:pPr>
        <w:ind w:left="460" w:hanging="452"/>
        <w:spacing w:after="0"/>
        <w:tabs>
          <w:tab w:leader="none" w:pos="4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Foreign Corrupt Practices Act</w:t>
      </w:r>
    </w:p>
    <w:p>
      <w:pPr>
        <w:spacing w:after="0" w:line="117" w:lineRule="exact"/>
        <w:rPr>
          <w:rFonts w:ascii="Arial" w:cs="Arial" w:eastAsia="Arial" w:hAnsi="Arial"/>
          <w:sz w:val="18"/>
          <w:szCs w:val="18"/>
          <w:color w:val="auto"/>
        </w:rPr>
      </w:pPr>
    </w:p>
    <w:p>
      <w:pPr>
        <w:ind w:left="460"/>
        <w:spacing w:after="0" w:line="286" w:lineRule="auto"/>
        <w:rPr>
          <w:rFonts w:ascii="Arial" w:cs="Arial" w:eastAsia="Arial" w:hAnsi="Arial"/>
          <w:sz w:val="18"/>
          <w:szCs w:val="18"/>
          <w:color w:val="auto"/>
        </w:rPr>
      </w:pPr>
      <w:r>
        <w:rPr>
          <w:rFonts w:ascii="Arial" w:cs="Arial" w:eastAsia="Arial" w:hAnsi="Arial"/>
          <w:sz w:val="16"/>
          <w:szCs w:val="16"/>
          <w:color w:val="auto"/>
        </w:rPr>
        <w:t>The Company (including, to the knowledge of the Company, its employees, officers or directors), has not taken or failed to take any action that would cause it to be in violation of the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any rules or regulations thereunder, or any other applicable anti-corruption or anti-kickback law, including without limitation: (A) the making of any offer or promise to pay, payment of, or authorization of payment of, directly or indirectly, money or anything of value to any Official, for the purpose of influencing an official act or decision, inducing the doing or omission of any act in violation of a lawful duty, or securing an improper advantage; (B) use of any corporate funds for any illegal contributions, gifts, entertainment or other unlawful expenses relating to political activity; and (C) making of any bribe, unlawful rebate, payoff, influence payment, kickback or other unlawful payment of any nature. For purposes of this Subscription Agreement, (i) an “</w:t>
      </w:r>
      <w:r>
        <w:rPr>
          <w:rFonts w:ascii="Arial" w:cs="Arial" w:eastAsia="Arial" w:hAnsi="Arial"/>
          <w:sz w:val="16"/>
          <w:szCs w:val="16"/>
          <w:b w:val="1"/>
          <w:bCs w:val="1"/>
          <w:color w:val="auto"/>
        </w:rPr>
        <w:t>Official</w:t>
      </w:r>
      <w:r>
        <w:rPr>
          <w:rFonts w:ascii="Arial" w:cs="Arial" w:eastAsia="Arial" w:hAnsi="Arial"/>
          <w:sz w:val="16"/>
          <w:szCs w:val="16"/>
          <w:color w:val="auto"/>
        </w:rPr>
        <w:t>” shall include any appointed or elected official, any government employee, any political party, party official, or candidate for political office, or any officer, director or employee of any Governmental Authority or employees of state-owned or state-controlled businesses and (ii) a “</w:t>
      </w:r>
      <w:r>
        <w:rPr>
          <w:rFonts w:ascii="Arial" w:cs="Arial" w:eastAsia="Arial" w:hAnsi="Arial"/>
          <w:sz w:val="16"/>
          <w:szCs w:val="16"/>
          <w:b w:val="1"/>
          <w:bCs w:val="1"/>
          <w:color w:val="auto"/>
        </w:rPr>
        <w:t>Governmental Authority</w:t>
      </w:r>
      <w:r>
        <w:rPr>
          <w:rFonts w:ascii="Arial" w:cs="Arial" w:eastAsia="Arial" w:hAnsi="Arial"/>
          <w:sz w:val="16"/>
          <w:szCs w:val="16"/>
          <w:color w:val="auto"/>
        </w:rPr>
        <w:t>” shall include any transnational, national, federal, state, provincial, county, municipal or local government, foreign or domestic, or the government of any political subdivision of any of the foregoing, or any entity, authority, agency, ministry or other similar body exercising executive, legislative, judicial (including any court), regulatory, or administrative authority or functions of or pertaining to government, including any authority or other quasi-governmental entity established to perform any of such functions. The Company has in place adequate controls and systems designed to</w:t>
      </w:r>
    </w:p>
    <w:p>
      <w:pPr>
        <w:sectPr>
          <w:pgSz w:w="11900" w:h="16838" w:orient="portrait"/>
          <w:cols w:equalWidth="0" w:num="1">
            <w:col w:w="11360"/>
          </w:cols>
          <w:pgMar w:left="240" w:top="274" w:right="299" w:bottom="1440" w:gutter="0" w:footer="0" w:header="0"/>
        </w:sectPr>
      </w:pPr>
    </w:p>
    <w:bookmarkStart w:id="642" w:name="page643"/>
    <w:bookmarkEnd w:id="6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40"/>
        <w:spacing w:after="0" w:line="276" w:lineRule="auto"/>
        <w:rPr>
          <w:sz w:val="20"/>
          <w:szCs w:val="20"/>
          <w:color w:val="auto"/>
        </w:rPr>
      </w:pPr>
      <w:r>
        <w:rPr>
          <w:rFonts w:ascii="Arial" w:cs="Arial" w:eastAsia="Arial" w:hAnsi="Arial"/>
          <w:sz w:val="17"/>
          <w:szCs w:val="17"/>
          <w:color w:val="auto"/>
        </w:rPr>
        <w:t>ensure compliance with applicable laws pertaining to anti-corruption, including the FCPA, in each of the jurisdictions in which the Company currently does or in the past has done business, either directly or indirectly. The Company has not undergone or is not undergoing, any audit, review, inspection, investigation, survey or examination by a Governmental Authority relating to the FCPA, anti-corruption, or anti-kickback activity. To the knowledge of the Company, there are no threatened claims, nor presently existing facts or circumstances that would constitute a reasonable basis for any future claims, with respect the FCPA, anti-corruption, or anti-kickback activity by the Company.</w:t>
      </w:r>
    </w:p>
    <w:p>
      <w:pPr>
        <w:spacing w:after="0" w:line="321" w:lineRule="exact"/>
        <w:rPr>
          <w:sz w:val="20"/>
          <w:szCs w:val="20"/>
          <w:color w:val="auto"/>
        </w:rPr>
      </w:pPr>
    </w:p>
    <w:p>
      <w:pPr>
        <w:ind w:left="460" w:hanging="452"/>
        <w:spacing w:after="0"/>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OFAC</w:t>
      </w:r>
    </w:p>
    <w:p>
      <w:pPr>
        <w:spacing w:after="0" w:line="117" w:lineRule="exact"/>
        <w:rPr>
          <w:rFonts w:ascii="Arial" w:cs="Arial" w:eastAsia="Arial" w:hAnsi="Arial"/>
          <w:sz w:val="18"/>
          <w:szCs w:val="18"/>
          <w:color w:val="auto"/>
        </w:rPr>
      </w:pPr>
    </w:p>
    <w:p>
      <w:pPr>
        <w:ind w:left="460" w:right="20"/>
        <w:spacing w:after="0" w:line="257" w:lineRule="auto"/>
        <w:rPr>
          <w:rFonts w:ascii="Arial" w:cs="Arial" w:eastAsia="Arial" w:hAnsi="Arial"/>
          <w:sz w:val="18"/>
          <w:szCs w:val="18"/>
          <w:color w:val="auto"/>
        </w:rPr>
      </w:pPr>
      <w:r>
        <w:rPr>
          <w:rFonts w:ascii="Arial" w:cs="Arial" w:eastAsia="Arial" w:hAnsi="Arial"/>
          <w:sz w:val="18"/>
          <w:szCs w:val="18"/>
          <w:color w:val="auto"/>
        </w:rPr>
        <w:t>Neither the Company nor to the Company’s knowledge any director, officer, affiliate, employee, agent or other person acting on behalf of the Company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336" w:lineRule="exact"/>
        <w:rPr>
          <w:rFonts w:ascii="Arial" w:cs="Arial" w:eastAsia="Arial" w:hAnsi="Arial"/>
          <w:sz w:val="18"/>
          <w:szCs w:val="18"/>
          <w:color w:val="auto"/>
        </w:rPr>
      </w:pPr>
    </w:p>
    <w:p>
      <w:pPr>
        <w:ind w:left="460" w:hanging="452"/>
        <w:spacing w:after="0"/>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Capital Loss</w:t>
      </w:r>
    </w:p>
    <w:p>
      <w:pPr>
        <w:spacing w:after="0" w:line="117" w:lineRule="exact"/>
        <w:rPr>
          <w:rFonts w:ascii="Arial" w:cs="Arial" w:eastAsia="Arial" w:hAnsi="Arial"/>
          <w:sz w:val="18"/>
          <w:szCs w:val="18"/>
          <w:color w:val="auto"/>
        </w:rPr>
      </w:pPr>
    </w:p>
    <w:p>
      <w:pPr>
        <w:ind w:left="460" w:right="140"/>
        <w:spacing w:after="0" w:line="264" w:lineRule="auto"/>
        <w:rPr>
          <w:rFonts w:ascii="Arial" w:cs="Arial" w:eastAsia="Arial" w:hAnsi="Arial"/>
          <w:sz w:val="18"/>
          <w:szCs w:val="18"/>
          <w:color w:val="auto"/>
        </w:rPr>
      </w:pPr>
      <w:r>
        <w:rPr>
          <w:rFonts w:ascii="Arial" w:cs="Arial" w:eastAsia="Arial" w:hAnsi="Arial"/>
          <w:sz w:val="18"/>
          <w:szCs w:val="18"/>
          <w:color w:val="auto"/>
        </w:rPr>
        <w:t>The Company is not overindebted within the meaning of article 725 para 2 CO. The Company is not suffering from capital loss within the meaning of article 725 para 1 CO assuming that only share premium in excess of 50% of the nominal share capital is included in the calculation of such capital loss.</w:t>
      </w:r>
    </w:p>
    <w:p>
      <w:pPr>
        <w:spacing w:after="0" w:line="329" w:lineRule="exact"/>
        <w:rPr>
          <w:rFonts w:ascii="Arial" w:cs="Arial" w:eastAsia="Arial" w:hAnsi="Arial"/>
          <w:sz w:val="18"/>
          <w:szCs w:val="18"/>
          <w:color w:val="auto"/>
        </w:rPr>
      </w:pPr>
    </w:p>
    <w:p>
      <w:pPr>
        <w:ind w:left="460" w:hanging="452"/>
        <w:spacing w:after="0"/>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Investment Company Act</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will not be an “investment company” as defined in the United States Investment Company Act of 1940, as amended.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Disclosure</w:t>
      </w:r>
    </w:p>
    <w:p>
      <w:pPr>
        <w:spacing w:after="0" w:line="117" w:lineRule="exact"/>
        <w:rPr>
          <w:rFonts w:ascii="Arial" w:cs="Arial" w:eastAsia="Arial" w:hAnsi="Arial"/>
          <w:sz w:val="18"/>
          <w:szCs w:val="18"/>
          <w:color w:val="auto"/>
        </w:rPr>
      </w:pPr>
    </w:p>
    <w:p>
      <w:pPr>
        <w:ind w:left="460" w:right="40"/>
        <w:spacing w:after="0" w:line="257" w:lineRule="auto"/>
        <w:rPr>
          <w:rFonts w:ascii="Arial" w:cs="Arial" w:eastAsia="Arial" w:hAnsi="Arial"/>
          <w:sz w:val="18"/>
          <w:szCs w:val="18"/>
          <w:color w:val="auto"/>
        </w:rPr>
      </w:pPr>
      <w:r>
        <w:rPr>
          <w:rFonts w:ascii="Arial" w:cs="Arial" w:eastAsia="Arial" w:hAnsi="Arial"/>
          <w:sz w:val="18"/>
          <w:szCs w:val="18"/>
          <w:color w:val="auto"/>
        </w:rPr>
        <w:t>The Company has made available to such Investor all the information reasonably available to the Company that the Investor has requested for deciding whether to acquire the Shares. No representation or warranty of the Company contained in this Subscription Agreement, and no certificate furnished or to be furnished to the Investor at the Closing, contains any untrue statement of a material fact or, to the Company’s knowledge, omits to state a material fact necessary in order to make the statements contained herein or therein, in the light of the circumstances under which they were made, not misleading.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275" w:right="259" w:bottom="1440" w:gutter="0" w:footer="0" w:header="0"/>
        </w:sectPr>
      </w:pPr>
    </w:p>
    <w:bookmarkStart w:id="643" w:name="page644"/>
    <w:bookmarkEnd w:id="6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7.2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 and Warranties by the Investor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Investor hereby represents and warrants to the Company, severally and not jointly, that:</w:t>
      </w:r>
    </w:p>
    <w:p>
      <w:pPr>
        <w:spacing w:after="0" w:line="131" w:lineRule="exact"/>
        <w:rPr>
          <w:sz w:val="20"/>
          <w:szCs w:val="20"/>
          <w:color w:val="auto"/>
        </w:rPr>
      </w:pPr>
    </w:p>
    <w:p>
      <w:pPr>
        <w:ind w:left="460" w:hanging="452"/>
        <w:spacing w:after="0"/>
        <w:tabs>
          <w:tab w:leader="none" w:pos="4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Authorization</w:t>
      </w:r>
    </w:p>
    <w:p>
      <w:pPr>
        <w:spacing w:after="0" w:line="117" w:lineRule="exact"/>
        <w:rPr>
          <w:rFonts w:ascii="Arial" w:cs="Arial" w:eastAsia="Arial" w:hAnsi="Arial"/>
          <w:sz w:val="18"/>
          <w:szCs w:val="18"/>
          <w:color w:val="auto"/>
        </w:rPr>
      </w:pPr>
    </w:p>
    <w:p>
      <w:pPr>
        <w:ind w:left="460"/>
        <w:spacing w:after="0" w:line="273" w:lineRule="auto"/>
        <w:rPr>
          <w:rFonts w:ascii="Arial" w:cs="Arial" w:eastAsia="Arial" w:hAnsi="Arial"/>
          <w:sz w:val="18"/>
          <w:szCs w:val="18"/>
          <w:color w:val="auto"/>
        </w:rPr>
      </w:pPr>
      <w:r>
        <w:rPr>
          <w:rFonts w:ascii="Arial" w:cs="Arial" w:eastAsia="Arial" w:hAnsi="Arial"/>
          <w:sz w:val="17"/>
          <w:szCs w:val="17"/>
          <w:color w:val="auto"/>
        </w:rPr>
        <w:t>Such Investor has full power and authority to enter into the Subscription Agreement and the other Transaction Documents. The Subscription Agreement and the other Transaction Documents to which such Investor is a party, when executed and delivered by such Investor, will constitute valid and legally binding obligations of such Investor, enforceable in accordance with their terms, except (a)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or (b) to the extent the indemnification provisions contained in the Registration Rights Agreement may be limited by applicable federal or state securities laws.</w:t>
      </w:r>
    </w:p>
    <w:p>
      <w:pPr>
        <w:spacing w:after="0" w:line="327" w:lineRule="exact"/>
        <w:rPr>
          <w:rFonts w:ascii="Arial" w:cs="Arial" w:eastAsia="Arial" w:hAnsi="Arial"/>
          <w:sz w:val="18"/>
          <w:szCs w:val="18"/>
          <w:color w:val="auto"/>
        </w:rPr>
      </w:pPr>
    </w:p>
    <w:p>
      <w:pPr>
        <w:ind w:left="460" w:hanging="452"/>
        <w:spacing w:after="0"/>
        <w:tabs>
          <w:tab w:leader="none" w:pos="4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Purchase Entirely for Own Account</w:t>
      </w:r>
    </w:p>
    <w:p>
      <w:pPr>
        <w:spacing w:after="0" w:line="117" w:lineRule="exact"/>
        <w:rPr>
          <w:rFonts w:ascii="Arial" w:cs="Arial" w:eastAsia="Arial" w:hAnsi="Arial"/>
          <w:sz w:val="18"/>
          <w:szCs w:val="18"/>
          <w:color w:val="auto"/>
        </w:rPr>
      </w:pPr>
    </w:p>
    <w:p>
      <w:pPr>
        <w:ind w:left="460" w:right="100"/>
        <w:spacing w:after="0" w:line="297" w:lineRule="auto"/>
        <w:rPr>
          <w:rFonts w:ascii="Arial" w:cs="Arial" w:eastAsia="Arial" w:hAnsi="Arial"/>
          <w:sz w:val="18"/>
          <w:szCs w:val="18"/>
          <w:color w:val="auto"/>
        </w:rPr>
      </w:pPr>
      <w:r>
        <w:rPr>
          <w:rFonts w:ascii="Arial" w:cs="Arial" w:eastAsia="Arial" w:hAnsi="Arial"/>
          <w:sz w:val="16"/>
          <w:szCs w:val="16"/>
          <w:color w:val="auto"/>
        </w:rPr>
        <w:t>This Subscription Agreement is made with such Investor in reliance upon its representation to the Company that the Shares to be acquired by such Investor will be acquired for investment for such Investor’s own account, not as a nominee or agent, and not with a view to the resale or distribution of any part thereof, and that such Investor has no present intention of selling, granting any participation in, or otherwise distributing the same. Such Investor does not presently have any contract, undertaking, agreement or arrangement with any person to sell, transfer or grant participations to such person or to any third person, with respect to any of the Shares. Such Investor has not been formed for the specific purpose of acquiring the Shares.</w:t>
      </w:r>
    </w:p>
    <w:p>
      <w:pPr>
        <w:spacing w:after="0" w:line="306" w:lineRule="exact"/>
        <w:rPr>
          <w:rFonts w:ascii="Arial" w:cs="Arial" w:eastAsia="Arial" w:hAnsi="Arial"/>
          <w:sz w:val="18"/>
          <w:szCs w:val="18"/>
          <w:color w:val="auto"/>
        </w:rPr>
      </w:pPr>
    </w:p>
    <w:p>
      <w:pPr>
        <w:ind w:left="460" w:hanging="452"/>
        <w:spacing w:after="0"/>
        <w:tabs>
          <w:tab w:leader="none" w:pos="4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Disclosure of Information</w:t>
      </w:r>
    </w:p>
    <w:p>
      <w:pPr>
        <w:spacing w:after="0" w:line="117" w:lineRule="exact"/>
        <w:rPr>
          <w:rFonts w:ascii="Arial" w:cs="Arial" w:eastAsia="Arial" w:hAnsi="Arial"/>
          <w:sz w:val="18"/>
          <w:szCs w:val="18"/>
          <w:color w:val="auto"/>
        </w:rPr>
      </w:pPr>
    </w:p>
    <w:p>
      <w:pPr>
        <w:ind w:left="460" w:right="40"/>
        <w:spacing w:after="0" w:line="259" w:lineRule="auto"/>
        <w:rPr>
          <w:rFonts w:ascii="Arial" w:cs="Arial" w:eastAsia="Arial" w:hAnsi="Arial"/>
          <w:sz w:val="18"/>
          <w:szCs w:val="18"/>
          <w:color w:val="auto"/>
        </w:rPr>
      </w:pPr>
      <w:r>
        <w:rPr>
          <w:rFonts w:ascii="Arial" w:cs="Arial" w:eastAsia="Arial" w:hAnsi="Arial"/>
          <w:sz w:val="18"/>
          <w:szCs w:val="18"/>
          <w:color w:val="auto"/>
        </w:rPr>
        <w:t>Such Investor has had an opportunity to discuss the Company’s business, management, financial affairs and the terms and conditions of the offering of the Shares with the Company’s management and has had an opportunity to review the Company’s facilities and the Dataroom. The foregoing, however, does not limit or modify the representations and warranties of the Company in Section 7 of this Subscription Agreement or the right of such Investor to rely thereon.</w:t>
      </w:r>
    </w:p>
    <w:p>
      <w:pPr>
        <w:spacing w:after="0" w:line="335" w:lineRule="exact"/>
        <w:rPr>
          <w:rFonts w:ascii="Arial" w:cs="Arial" w:eastAsia="Arial" w:hAnsi="Arial"/>
          <w:sz w:val="18"/>
          <w:szCs w:val="18"/>
          <w:color w:val="auto"/>
        </w:rPr>
      </w:pPr>
    </w:p>
    <w:p>
      <w:pPr>
        <w:ind w:left="460" w:hanging="452"/>
        <w:spacing w:after="0"/>
        <w:tabs>
          <w:tab w:leader="none" w:pos="4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Restricted Securities</w:t>
      </w:r>
    </w:p>
    <w:p>
      <w:pPr>
        <w:spacing w:after="0" w:line="117"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Such Investor understands that the Shares have not been, and will not be, registered under the Securities Act, by reason of a specific exemption from the registration provisions of the Securities Act which depends upon, among other things, the bona fide nature of the investment intent and the accuracy of such Investor’s representations as expressed herein. Such Investor (either alone or together with its advisors) has sufficient knowledge and experience in financial and business matters so as to be capable of evaluating the merits and risks of its investment in the Shares and is capable of bearing the economic risks of such investment. Such Investor understands that the Shares are “restricted securities” under applicable U.S. federal and state securities laws</w:t>
      </w:r>
    </w:p>
    <w:p>
      <w:pPr>
        <w:sectPr>
          <w:pgSz w:w="11900" w:h="16838" w:orient="portrait"/>
          <w:cols w:equalWidth="0" w:num="1">
            <w:col w:w="11420"/>
          </w:cols>
          <w:pgMar w:left="240" w:top="274" w:right="239" w:bottom="1440" w:gutter="0" w:footer="0" w:header="0"/>
        </w:sectPr>
      </w:pPr>
    </w:p>
    <w:bookmarkStart w:id="644" w:name="page645"/>
    <w:bookmarkEnd w:id="6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and that, pursuant to these laws, such Investor must hold the Shares indefinitely unless they are registered with the Securities and Exchange Commission and qualified by state authorities, or an exemption from such registration and qualification requirements is available. Such Investor acknowledges that the Company has no obligation to register or qualify the Shares, or the Common Stock into which it may be converted, for resale except as set forth in the Registration Rights Agreement. Such Investor further acknowledges that if an exemption from registration or qualification is available, it may be conditioned on various requirements including, but not limited to, the time and manner of sale, the holding period for the Shares, and on requirements relating to the Company which are outside of such Investor’s control, and which the Company is under no obligation and may not be able to satisfy.</w:t>
      </w:r>
    </w:p>
    <w:p>
      <w:pPr>
        <w:spacing w:after="0" w:line="338" w:lineRule="exact"/>
        <w:rPr>
          <w:sz w:val="20"/>
          <w:szCs w:val="20"/>
          <w:color w:val="auto"/>
        </w:rPr>
      </w:pPr>
    </w:p>
    <w:p>
      <w:pPr>
        <w:ind w:left="460" w:hanging="452"/>
        <w:spacing w:after="0"/>
        <w:tabs>
          <w:tab w:leader="none" w:pos="4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No Public Market</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Such Investor understands that no public market now exists for the Shares, and that the Company has made no assurances that a public market will ever exist for the Shares.</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Legends</w:t>
      </w:r>
    </w:p>
    <w:p>
      <w:pPr>
        <w:spacing w:after="0" w:line="117" w:lineRule="exact"/>
        <w:rPr>
          <w:rFonts w:ascii="Arial" w:cs="Arial" w:eastAsia="Arial" w:hAnsi="Arial"/>
          <w:sz w:val="18"/>
          <w:szCs w:val="18"/>
          <w:color w:val="auto"/>
        </w:rPr>
      </w:pPr>
    </w:p>
    <w:p>
      <w:pPr>
        <w:ind w:left="460" w:right="460"/>
        <w:spacing w:after="0" w:line="277" w:lineRule="auto"/>
        <w:rPr>
          <w:rFonts w:ascii="Arial" w:cs="Arial" w:eastAsia="Arial" w:hAnsi="Arial"/>
          <w:sz w:val="18"/>
          <w:szCs w:val="18"/>
          <w:color w:val="auto"/>
        </w:rPr>
      </w:pPr>
      <w:r>
        <w:rPr>
          <w:rFonts w:ascii="Arial" w:cs="Arial" w:eastAsia="Arial" w:hAnsi="Arial"/>
          <w:sz w:val="18"/>
          <w:szCs w:val="18"/>
          <w:color w:val="auto"/>
        </w:rPr>
        <w:t>Such Investor understands that the Shares and any securities issued in respect of or exchange for the Shares, may be notated with one or all of the following legends:</w:t>
      </w:r>
    </w:p>
    <w:p>
      <w:pPr>
        <w:spacing w:after="0" w:line="75" w:lineRule="exact"/>
        <w:rPr>
          <w:rFonts w:ascii="Arial" w:cs="Arial" w:eastAsia="Arial" w:hAnsi="Arial"/>
          <w:sz w:val="18"/>
          <w:szCs w:val="18"/>
          <w:color w:val="auto"/>
        </w:rPr>
      </w:pPr>
    </w:p>
    <w:p>
      <w:pPr>
        <w:ind w:left="900" w:right="20" w:hanging="446"/>
        <w:spacing w:after="0" w:line="257" w:lineRule="auto"/>
        <w:tabs>
          <w:tab w:leader="none" w:pos="9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“THE SHARES REPRESENTED HEREBY HAVE NOT BEEN REGISTERED UNDER THE UNITED STATES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UNITED STATES SECURITIES ACT OF 1933.”</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Any legend set forth in, or required by, the other Transaction Documents.</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Any legend required by the securities laws of any state to the extent such laws are applicable to the Shares represented by the certificate, instrument, or book entry so legended.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Accredited Investor or non-U.S. Person</w:t>
      </w:r>
    </w:p>
    <w:p>
      <w:pPr>
        <w:spacing w:after="0" w:line="117" w:lineRule="exact"/>
        <w:rPr>
          <w:rFonts w:ascii="Arial" w:cs="Arial" w:eastAsia="Arial" w:hAnsi="Arial"/>
          <w:sz w:val="18"/>
          <w:szCs w:val="18"/>
          <w:color w:val="auto"/>
        </w:rPr>
      </w:pPr>
    </w:p>
    <w:p>
      <w:pPr>
        <w:ind w:left="460" w:right="460"/>
        <w:spacing w:after="0" w:line="277" w:lineRule="auto"/>
        <w:rPr>
          <w:rFonts w:ascii="Arial" w:cs="Arial" w:eastAsia="Arial" w:hAnsi="Arial"/>
          <w:sz w:val="18"/>
          <w:szCs w:val="18"/>
          <w:color w:val="auto"/>
        </w:rPr>
      </w:pPr>
      <w:r>
        <w:rPr>
          <w:rFonts w:ascii="Arial" w:cs="Arial" w:eastAsia="Arial" w:hAnsi="Arial"/>
          <w:sz w:val="18"/>
          <w:szCs w:val="18"/>
          <w:color w:val="auto"/>
        </w:rPr>
        <w:t>Such Investor is either (i) an accredited investor as defined in Rule 501(a) of Regulation D promulgated under the Securities Act or (ii) not a U.S. Person within the meaning of Regulation S promulgated under the Securities Act.</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Foreign Investors</w:t>
      </w:r>
    </w:p>
    <w:p>
      <w:pPr>
        <w:spacing w:after="0" w:line="117" w:lineRule="exact"/>
        <w:rPr>
          <w:rFonts w:ascii="Arial" w:cs="Arial" w:eastAsia="Arial" w:hAnsi="Arial"/>
          <w:sz w:val="18"/>
          <w:szCs w:val="18"/>
          <w:color w:val="auto"/>
        </w:rPr>
      </w:pPr>
    </w:p>
    <w:p>
      <w:pPr>
        <w:ind w:left="460" w:right="240"/>
        <w:spacing w:after="0" w:line="276" w:lineRule="auto"/>
        <w:rPr>
          <w:rFonts w:ascii="Arial" w:cs="Arial" w:eastAsia="Arial" w:hAnsi="Arial"/>
          <w:sz w:val="18"/>
          <w:szCs w:val="18"/>
          <w:color w:val="auto"/>
        </w:rPr>
      </w:pPr>
      <w:r>
        <w:rPr>
          <w:rFonts w:ascii="Arial" w:cs="Arial" w:eastAsia="Arial" w:hAnsi="Arial"/>
          <w:sz w:val="17"/>
          <w:szCs w:val="17"/>
          <w:color w:val="auto"/>
        </w:rPr>
        <w:t>If such Investor is not a United States person (as defined by Section 7701(a)(30) of the United States Internal Revenue Code of 1986, as amended), such Investor hereby represents that it has satisfied itself as to the full observance of the laws of its jurisdiction in connection with any invitation to subscribe for the Shares or any use of this Subscription Agreement, including (i) the legal requirements within its jurisdiction for the purchase of the Shares, (ii) any foreign exchange restrictions applicable to such purchase, (iii) any governmental or other consents that may need to be obtained, and (iv) the income tax and other tax consequences, if any, that may be relevant to the</w:t>
      </w:r>
    </w:p>
    <w:p>
      <w:pPr>
        <w:sectPr>
          <w:pgSz w:w="11900" w:h="16838" w:orient="portrait"/>
          <w:cols w:equalWidth="0" w:num="1">
            <w:col w:w="11400"/>
          </w:cols>
          <w:pgMar w:left="240" w:top="274" w:right="259" w:bottom="1440" w:gutter="0" w:footer="0" w:header="0"/>
        </w:sectPr>
      </w:pPr>
    </w:p>
    <w:bookmarkStart w:id="645" w:name="page646"/>
    <w:bookmarkEnd w:id="6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purchase, holding, redemption, sale, or transfer of the Shares. Such Investor’s subscription and payment for and continued beneficial ownership of the Shares will not violate any applicable securities or other laws of such Investor’s jurisdiction.</w:t>
      </w:r>
    </w:p>
    <w:p>
      <w:pPr>
        <w:spacing w:after="0" w:line="319" w:lineRule="exact"/>
        <w:rPr>
          <w:sz w:val="20"/>
          <w:szCs w:val="20"/>
          <w:color w:val="auto"/>
        </w:rPr>
      </w:pPr>
    </w:p>
    <w:p>
      <w:pPr>
        <w:ind w:left="460" w:hanging="452"/>
        <w:spacing w:after="0"/>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No General Solicitation</w:t>
      </w:r>
    </w:p>
    <w:p>
      <w:pPr>
        <w:spacing w:after="0" w:line="117" w:lineRule="exact"/>
        <w:rPr>
          <w:rFonts w:ascii="Arial" w:cs="Arial" w:eastAsia="Arial" w:hAnsi="Arial"/>
          <w:sz w:val="18"/>
          <w:szCs w:val="18"/>
          <w:color w:val="auto"/>
        </w:rPr>
      </w:pPr>
    </w:p>
    <w:p>
      <w:pPr>
        <w:ind w:left="460"/>
        <w:spacing w:after="0" w:line="342" w:lineRule="auto"/>
        <w:rPr>
          <w:rFonts w:ascii="Arial" w:cs="Arial" w:eastAsia="Arial" w:hAnsi="Arial"/>
          <w:sz w:val="18"/>
          <w:szCs w:val="18"/>
          <w:color w:val="auto"/>
        </w:rPr>
      </w:pPr>
      <w:r>
        <w:rPr>
          <w:rFonts w:ascii="Arial" w:cs="Arial" w:eastAsia="Arial" w:hAnsi="Arial"/>
          <w:sz w:val="16"/>
          <w:szCs w:val="16"/>
          <w:color w:val="auto"/>
        </w:rPr>
        <w:t>Neither such Investor, nor any of its officers, directors, employees, agents, shareholders or partners has either directly or indirectly, including, through a broker or finder (a) engaged in any general solicitation, or (b) published any advertisement in connection with the offer and sale of the Shares.</w:t>
      </w:r>
    </w:p>
    <w:p>
      <w:pPr>
        <w:spacing w:after="0" w:line="272" w:lineRule="exact"/>
        <w:rPr>
          <w:rFonts w:ascii="Arial" w:cs="Arial" w:eastAsia="Arial" w:hAnsi="Arial"/>
          <w:sz w:val="18"/>
          <w:szCs w:val="18"/>
          <w:color w:val="auto"/>
        </w:rPr>
      </w:pPr>
    </w:p>
    <w:p>
      <w:pPr>
        <w:ind w:left="460" w:hanging="452"/>
        <w:spacing w:after="0"/>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Residence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Such Investor’s principal place of business is at its address set forth on the first page of this Subscription Agreement or in the Adherence Declaration.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275" w:right="279" w:bottom="1440" w:gutter="0" w:footer="0" w:header="0"/>
        </w:sectPr>
      </w:pPr>
    </w:p>
    <w:bookmarkStart w:id="646" w:name="page647"/>
    <w:bookmarkEnd w:id="646"/>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3840"/>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jc w:val="center"/>
        <w:ind w:left="3840"/>
        <w:spacing w:after="0"/>
        <w:rPr>
          <w:sz w:val="20"/>
          <w:szCs w:val="20"/>
          <w:color w:val="auto"/>
        </w:rPr>
      </w:pPr>
      <w:r>
        <w:rPr>
          <w:rFonts w:ascii="Arial" w:cs="Arial" w:eastAsia="Arial" w:hAnsi="Arial"/>
          <w:sz w:val="18"/>
          <w:szCs w:val="18"/>
          <w:color w:val="auto"/>
        </w:rPr>
        <w:t>made as of 16 October 2015</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and among</w:t>
      </w:r>
    </w:p>
    <w:p>
      <w:pPr>
        <w:spacing w:after="0" w:line="252" w:lineRule="exact"/>
        <w:rPr>
          <w:sz w:val="20"/>
          <w:szCs w:val="20"/>
          <w:color w:val="auto"/>
        </w:rPr>
      </w:pPr>
    </w:p>
    <w:p>
      <w:pPr>
        <w:ind w:left="900" w:hanging="446"/>
        <w:spacing w:after="0"/>
        <w:tabs>
          <w:tab w:leader="none" w:pos="90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V-Sciences Investments Pte Ltd.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Temasek Holdings (Private) Limited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60B Orchard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#06-18 Tower 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Atrium@Orchard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Singapore 238891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investors adhering to this Subscription Agreement through signing of the Adherence Declaration and accepted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 bâtiment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1015 Lausanne, Switzerland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10.9</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(hereinafter “</w:t>
      </w:r>
      <w:r>
        <w:rPr>
          <w:rFonts w:ascii="Arial" w:cs="Arial" w:eastAsia="Arial" w:hAnsi="Arial"/>
          <w:sz w:val="18"/>
          <w:szCs w:val="18"/>
          <w:b w:val="1"/>
          <w:bCs w:val="1"/>
          <w:color w:val="auto"/>
        </w:rPr>
        <w:t>V-Sciences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460" w:hanging="372"/>
        <w:spacing w:after="0" w:line="347" w:lineRule="auto"/>
        <w:rPr>
          <w:sz w:val="20"/>
          <w:szCs w:val="20"/>
          <w:color w:val="auto"/>
        </w:rPr>
      </w:pPr>
      <w:r>
        <w:rPr>
          <w:rFonts w:ascii="Arial" w:cs="Arial" w:eastAsia="Arial" w:hAnsi="Arial"/>
          <w:sz w:val="16"/>
          <w:szCs w:val="16"/>
          <w:color w:val="auto"/>
        </w:rPr>
        <w:t>(together with V-Sciences the “</w:t>
      </w:r>
      <w:r>
        <w:rPr>
          <w:rFonts w:ascii="Arial" w:cs="Arial" w:eastAsia="Arial" w:hAnsi="Arial"/>
          <w:sz w:val="16"/>
          <w:szCs w:val="16"/>
          <w:b w:val="1"/>
          <w:bCs w:val="1"/>
          <w:color w:val="auto"/>
        </w:rPr>
        <w:t>Investors</w:t>
      </w:r>
      <w:r>
        <w:rPr>
          <w:rFonts w:ascii="Arial" w:cs="Arial" w:eastAsia="Arial" w:hAnsi="Arial"/>
          <w:sz w:val="16"/>
          <w:szCs w:val="16"/>
          <w:color w:val="auto"/>
        </w:rPr>
        <w:t>” and each individually an “</w:t>
      </w:r>
      <w:r>
        <w:rPr>
          <w:rFonts w:ascii="Arial" w:cs="Arial" w:eastAsia="Arial" w:hAnsi="Arial"/>
          <w:sz w:val="16"/>
          <w:szCs w:val="16"/>
          <w:b w:val="1"/>
          <w:bCs w:val="1"/>
          <w:color w:val="auto"/>
        </w:rPr>
        <w:t>Investor</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(each a “</w:t>
      </w:r>
      <w:r>
        <w:rPr>
          <w:rFonts w:ascii="Arial" w:cs="Arial" w:eastAsia="Arial" w:hAnsi="Arial"/>
          <w:sz w:val="16"/>
          <w:szCs w:val="16"/>
          <w:b w:val="1"/>
          <w:bCs w:val="1"/>
          <w:color w:val="auto"/>
        </w:rPr>
        <w:t>Party</w:t>
      </w:r>
      <w:r>
        <w:rPr>
          <w:rFonts w:ascii="Arial" w:cs="Arial" w:eastAsia="Arial" w:hAnsi="Arial"/>
          <w:sz w:val="16"/>
          <w:szCs w:val="16"/>
          <w:color w:val="auto"/>
        </w:rPr>
        <w:t>”, all together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ectPr>
          <w:pgSz w:w="11900" w:h="16838" w:orient="portrait"/>
          <w:cols w:equalWidth="0" w:num="2">
            <w:col w:w="7580" w:space="720"/>
            <w:col w:w="3120"/>
          </w:cols>
          <w:pgMar w:left="240" w:top="121" w:right="239" w:bottom="1440" w:gutter="0" w:footer="0" w:header="0"/>
        </w:sectPr>
      </w:pPr>
    </w:p>
    <w:bookmarkStart w:id="647" w:name="page648"/>
    <w:bookmarkEnd w:id="647"/>
    <w:tbl>
      <w:tblPr>
        <w:tblLayout w:type="fixed"/>
        <w:tblInd w:w="0" w:type="dxa"/>
        <w:tblCellMar>
          <w:top w:w="0" w:type="dxa"/>
          <w:left w:w="0" w:type="dxa"/>
          <w:bottom w:w="0" w:type="dxa"/>
          <w:right w:w="0" w:type="dxa"/>
        </w:tblCellMar>
      </w:tblP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2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65"/>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2780" w:type="dxa"/>
            <w:vAlign w:val="bottom"/>
          </w:tcPr>
          <w:p>
            <w:pPr>
              <w:spacing w:after="0"/>
              <w:rPr>
                <w:sz w:val="24"/>
                <w:szCs w:val="24"/>
                <w:color w:val="auto"/>
              </w:rPr>
            </w:pPr>
          </w:p>
        </w:tc>
      </w:tr>
      <w:tr>
        <w:trPr>
          <w:trHeight w:val="459"/>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Preamble</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DEFINITIONS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2.</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CURRENT EQUITY STRUCTURE OF THE COMPANY</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2.1</w:t>
            </w:r>
          </w:p>
        </w:tc>
        <w:tc>
          <w:tcPr>
            <w:tcW w:w="8160" w:type="dxa"/>
            <w:vAlign w:val="bottom"/>
          </w:tcPr>
          <w:p>
            <w:pPr>
              <w:ind w:left="60"/>
              <w:spacing w:after="0"/>
              <w:rPr>
                <w:sz w:val="20"/>
                <w:szCs w:val="20"/>
                <w:color w:val="auto"/>
              </w:rPr>
            </w:pPr>
            <w:r>
              <w:rPr>
                <w:rFonts w:ascii="Arial" w:cs="Arial" w:eastAsia="Arial" w:hAnsi="Arial"/>
                <w:sz w:val="18"/>
                <w:szCs w:val="18"/>
                <w:color w:val="auto"/>
              </w:rPr>
              <w:t>Share capital</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2.2</w:t>
            </w:r>
          </w:p>
        </w:tc>
        <w:tc>
          <w:tcPr>
            <w:tcW w:w="8160" w:type="dxa"/>
            <w:vAlign w:val="bottom"/>
          </w:tcPr>
          <w:p>
            <w:pPr>
              <w:ind w:left="60"/>
              <w:spacing w:after="0"/>
              <w:rPr>
                <w:sz w:val="20"/>
                <w:szCs w:val="20"/>
                <w:color w:val="auto"/>
              </w:rPr>
            </w:pPr>
            <w:r>
              <w:rPr>
                <w:rFonts w:ascii="Arial" w:cs="Arial" w:eastAsia="Arial" w:hAnsi="Arial"/>
                <w:sz w:val="18"/>
                <w:szCs w:val="18"/>
                <w:color w:val="auto"/>
              </w:rPr>
              <w:t>Articles of Association</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3.</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INCREASE OF SHARE CAPITAL (SERIES E FINANCING ROUND)</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8160" w:type="dxa"/>
            <w:vAlign w:val="bottom"/>
          </w:tcPr>
          <w:p>
            <w:pPr>
              <w:ind w:left="60"/>
              <w:spacing w:after="0"/>
              <w:rPr>
                <w:sz w:val="20"/>
                <w:szCs w:val="20"/>
                <w:color w:val="auto"/>
              </w:rPr>
            </w:pPr>
            <w:r>
              <w:rPr>
                <w:rFonts w:ascii="Arial" w:cs="Arial" w:eastAsia="Arial" w:hAnsi="Arial"/>
                <w:sz w:val="18"/>
                <w:szCs w:val="18"/>
                <w:color w:val="auto"/>
              </w:rPr>
              <w:t>Subscription Undertaking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8160" w:type="dxa"/>
            <w:vAlign w:val="bottom"/>
          </w:tcPr>
          <w:p>
            <w:pPr>
              <w:ind w:left="60"/>
              <w:spacing w:after="0"/>
              <w:rPr>
                <w:sz w:val="20"/>
                <w:szCs w:val="20"/>
                <w:color w:val="auto"/>
              </w:rPr>
            </w:pPr>
            <w:r>
              <w:rPr>
                <w:rFonts w:ascii="Arial" w:cs="Arial" w:eastAsia="Arial" w:hAnsi="Arial"/>
                <w:sz w:val="18"/>
                <w:szCs w:val="18"/>
                <w:color w:val="auto"/>
              </w:rPr>
              <w:t>Payment Undertaking at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3.3</w:t>
            </w:r>
          </w:p>
        </w:tc>
        <w:tc>
          <w:tcPr>
            <w:tcW w:w="8160" w:type="dxa"/>
            <w:vAlign w:val="bottom"/>
          </w:tcPr>
          <w:p>
            <w:pPr>
              <w:ind w:left="60"/>
              <w:spacing w:after="0"/>
              <w:rPr>
                <w:sz w:val="20"/>
                <w:szCs w:val="20"/>
                <w:color w:val="auto"/>
              </w:rPr>
            </w:pPr>
            <w:r>
              <w:rPr>
                <w:rFonts w:ascii="Arial" w:cs="Arial" w:eastAsia="Arial" w:hAnsi="Arial"/>
                <w:sz w:val="18"/>
                <w:szCs w:val="18"/>
                <w:color w:val="auto"/>
              </w:rPr>
              <w:t>Resolution passed by the Extraordinary General Meeting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3.4</w:t>
            </w:r>
          </w:p>
        </w:tc>
        <w:tc>
          <w:tcPr>
            <w:tcW w:w="8160" w:type="dxa"/>
            <w:vAlign w:val="bottom"/>
          </w:tcPr>
          <w:p>
            <w:pPr>
              <w:ind w:left="60"/>
              <w:spacing w:after="0"/>
              <w:rPr>
                <w:sz w:val="20"/>
                <w:szCs w:val="20"/>
                <w:color w:val="auto"/>
              </w:rPr>
            </w:pPr>
            <w:r>
              <w:rPr>
                <w:rFonts w:ascii="Arial" w:cs="Arial" w:eastAsia="Arial" w:hAnsi="Arial"/>
                <w:sz w:val="18"/>
                <w:szCs w:val="18"/>
                <w:color w:val="auto"/>
              </w:rPr>
              <w:t>Resolution of the Board</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4.</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OWNERSHIP STRUCTURE AFTER SERIES E FINANCING ROUND</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5.</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CLOSING</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5.1</w:t>
            </w:r>
          </w:p>
        </w:tc>
        <w:tc>
          <w:tcPr>
            <w:tcW w:w="8160" w:type="dxa"/>
            <w:vAlign w:val="bottom"/>
          </w:tcPr>
          <w:p>
            <w:pPr>
              <w:ind w:left="60"/>
              <w:spacing w:after="0"/>
              <w:rPr>
                <w:sz w:val="20"/>
                <w:szCs w:val="20"/>
                <w:color w:val="auto"/>
              </w:rPr>
            </w:pPr>
            <w:r>
              <w:rPr>
                <w:rFonts w:ascii="Arial" w:cs="Arial" w:eastAsia="Arial" w:hAnsi="Arial"/>
                <w:sz w:val="18"/>
                <w:szCs w:val="18"/>
                <w:color w:val="auto"/>
              </w:rPr>
              <w:t>Place and Date of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5.2</w:t>
            </w:r>
          </w:p>
        </w:tc>
        <w:tc>
          <w:tcPr>
            <w:tcW w:w="8160" w:type="dxa"/>
            <w:vAlign w:val="bottom"/>
          </w:tcPr>
          <w:p>
            <w:pPr>
              <w:ind w:left="60"/>
              <w:spacing w:after="0"/>
              <w:rPr>
                <w:sz w:val="20"/>
                <w:szCs w:val="20"/>
                <w:color w:val="auto"/>
              </w:rPr>
            </w:pPr>
            <w:r>
              <w:rPr>
                <w:rFonts w:ascii="Arial" w:cs="Arial" w:eastAsia="Arial" w:hAnsi="Arial"/>
                <w:sz w:val="18"/>
                <w:szCs w:val="18"/>
                <w:color w:val="auto"/>
              </w:rPr>
              <w:t>Conditions Precedent to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5.3</w:t>
            </w:r>
          </w:p>
        </w:tc>
        <w:tc>
          <w:tcPr>
            <w:tcW w:w="8160" w:type="dxa"/>
            <w:vAlign w:val="bottom"/>
          </w:tcPr>
          <w:p>
            <w:pPr>
              <w:ind w:left="60"/>
              <w:spacing w:after="0"/>
              <w:rPr>
                <w:sz w:val="20"/>
                <w:szCs w:val="20"/>
                <w:color w:val="auto"/>
              </w:rPr>
            </w:pPr>
            <w:r>
              <w:rPr>
                <w:rFonts w:ascii="Arial" w:cs="Arial" w:eastAsia="Arial" w:hAnsi="Arial"/>
                <w:sz w:val="18"/>
                <w:szCs w:val="18"/>
                <w:color w:val="auto"/>
              </w:rPr>
              <w:t>Closing Actions for Closing</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6.</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TERMINATION AND RECISSION</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7.</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REPRESENTATIONS AND WARRANTIES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7.1</w:t>
            </w:r>
          </w:p>
        </w:tc>
        <w:tc>
          <w:tcPr>
            <w:tcW w:w="8160" w:type="dxa"/>
            <w:vAlign w:val="bottom"/>
          </w:tcPr>
          <w:p>
            <w:pPr>
              <w:ind w:left="60"/>
              <w:spacing w:after="0"/>
              <w:rPr>
                <w:sz w:val="20"/>
                <w:szCs w:val="20"/>
                <w:color w:val="auto"/>
              </w:rPr>
            </w:pPr>
            <w:r>
              <w:rPr>
                <w:rFonts w:ascii="Arial" w:cs="Arial" w:eastAsia="Arial" w:hAnsi="Arial"/>
                <w:sz w:val="18"/>
                <w:szCs w:val="18"/>
                <w:color w:val="auto"/>
              </w:rPr>
              <w:t>Representation and Warranties by the Company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7.2</w:t>
            </w:r>
          </w:p>
        </w:tc>
        <w:tc>
          <w:tcPr>
            <w:tcW w:w="8160" w:type="dxa"/>
            <w:vAlign w:val="bottom"/>
          </w:tcPr>
          <w:p>
            <w:pPr>
              <w:ind w:left="60"/>
              <w:spacing w:after="0"/>
              <w:rPr>
                <w:sz w:val="20"/>
                <w:szCs w:val="20"/>
                <w:color w:val="auto"/>
              </w:rPr>
            </w:pPr>
            <w:r>
              <w:rPr>
                <w:rFonts w:ascii="Arial" w:cs="Arial" w:eastAsia="Arial" w:hAnsi="Arial"/>
                <w:sz w:val="18"/>
                <w:szCs w:val="18"/>
                <w:color w:val="auto"/>
              </w:rPr>
              <w:t>Representation and Warranties by each Investor</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7.3</w:t>
            </w:r>
          </w:p>
        </w:tc>
        <w:tc>
          <w:tcPr>
            <w:tcW w:w="8160" w:type="dxa"/>
            <w:vAlign w:val="bottom"/>
          </w:tcPr>
          <w:p>
            <w:pPr>
              <w:ind w:left="60"/>
              <w:spacing w:after="0"/>
              <w:rPr>
                <w:sz w:val="20"/>
                <w:szCs w:val="20"/>
                <w:color w:val="auto"/>
              </w:rPr>
            </w:pPr>
            <w:r>
              <w:rPr>
                <w:rFonts w:ascii="Arial" w:cs="Arial" w:eastAsia="Arial" w:hAnsi="Arial"/>
                <w:sz w:val="18"/>
                <w:szCs w:val="18"/>
                <w:color w:val="auto"/>
              </w:rPr>
              <w:t>Exclusive Representations and Warranties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8.</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INDEMNIFICATION AND REMEDIES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8.1</w:t>
            </w:r>
          </w:p>
        </w:tc>
        <w:tc>
          <w:tcPr>
            <w:tcW w:w="8160" w:type="dxa"/>
            <w:vAlign w:val="bottom"/>
          </w:tcPr>
          <w:p>
            <w:pPr>
              <w:ind w:left="60"/>
              <w:spacing w:after="0"/>
              <w:rPr>
                <w:sz w:val="20"/>
                <w:szCs w:val="20"/>
                <w:color w:val="auto"/>
              </w:rPr>
            </w:pPr>
            <w:r>
              <w:rPr>
                <w:rFonts w:ascii="Arial" w:cs="Arial" w:eastAsia="Arial" w:hAnsi="Arial"/>
                <w:sz w:val="18"/>
                <w:szCs w:val="18"/>
                <w:color w:val="auto"/>
              </w:rPr>
              <w:t>Notice of Breach (</w:t>
            </w:r>
            <w:r>
              <w:rPr>
                <w:rFonts w:ascii="Arial" w:cs="Arial" w:eastAsia="Arial" w:hAnsi="Arial"/>
                <w:sz w:val="18"/>
                <w:szCs w:val="18"/>
                <w:i w:val="1"/>
                <w:iCs w:val="1"/>
                <w:color w:val="auto"/>
              </w:rPr>
              <w:t>Rügefrist</w:t>
            </w:r>
            <w:r>
              <w:rPr>
                <w:rFonts w:ascii="Arial" w:cs="Arial" w:eastAsia="Arial" w:hAnsi="Arial"/>
                <w:sz w:val="18"/>
                <w:szCs w:val="18"/>
                <w:color w:val="auto"/>
              </w:rPr>
              <w: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8.2</w:t>
            </w:r>
          </w:p>
        </w:tc>
        <w:tc>
          <w:tcPr>
            <w:tcW w:w="8160" w:type="dxa"/>
            <w:vAlign w:val="bottom"/>
          </w:tcPr>
          <w:p>
            <w:pPr>
              <w:ind w:left="60"/>
              <w:spacing w:after="0"/>
              <w:rPr>
                <w:sz w:val="20"/>
                <w:szCs w:val="20"/>
                <w:color w:val="auto"/>
              </w:rPr>
            </w:pPr>
            <w:r>
              <w:rPr>
                <w:rFonts w:ascii="Arial" w:cs="Arial" w:eastAsia="Arial" w:hAnsi="Arial"/>
                <w:sz w:val="18"/>
                <w:szCs w:val="18"/>
                <w:color w:val="auto"/>
              </w:rPr>
              <w:t>Time Limitations on Claims (</w:t>
            </w:r>
            <w:r>
              <w:rPr>
                <w:rFonts w:ascii="Arial" w:cs="Arial" w:eastAsia="Arial" w:hAnsi="Arial"/>
                <w:sz w:val="18"/>
                <w:szCs w:val="18"/>
                <w:i w:val="1"/>
                <w:iCs w:val="1"/>
                <w:color w:val="auto"/>
              </w:rPr>
              <w:t>Verjährung / prescription</w:t>
            </w:r>
            <w:r>
              <w:rPr>
                <w:rFonts w:ascii="Arial" w:cs="Arial" w:eastAsia="Arial" w:hAnsi="Arial"/>
                <w:sz w:val="18"/>
                <w:szCs w:val="18"/>
                <w:color w:val="auto"/>
              </w:rPr>
              <w: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8.3</w:t>
            </w:r>
          </w:p>
        </w:tc>
        <w:tc>
          <w:tcPr>
            <w:tcW w:w="8160" w:type="dxa"/>
            <w:vAlign w:val="bottom"/>
          </w:tcPr>
          <w:p>
            <w:pPr>
              <w:ind w:left="60"/>
              <w:spacing w:after="0"/>
              <w:rPr>
                <w:sz w:val="20"/>
                <w:szCs w:val="20"/>
                <w:color w:val="auto"/>
              </w:rPr>
            </w:pPr>
            <w:r>
              <w:rPr>
                <w:rFonts w:ascii="Arial" w:cs="Arial" w:eastAsia="Arial" w:hAnsi="Arial"/>
                <w:sz w:val="18"/>
                <w:szCs w:val="18"/>
                <w:color w:val="auto"/>
              </w:rPr>
              <w:t>Remedies for the Investors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8.4</w:t>
            </w:r>
          </w:p>
        </w:tc>
        <w:tc>
          <w:tcPr>
            <w:tcW w:w="8160" w:type="dxa"/>
            <w:vAlign w:val="bottom"/>
          </w:tcPr>
          <w:p>
            <w:pPr>
              <w:ind w:left="60"/>
              <w:spacing w:after="0"/>
              <w:rPr>
                <w:sz w:val="20"/>
                <w:szCs w:val="20"/>
                <w:color w:val="auto"/>
              </w:rPr>
            </w:pPr>
            <w:r>
              <w:rPr>
                <w:rFonts w:ascii="Arial" w:cs="Arial" w:eastAsia="Arial" w:hAnsi="Arial"/>
                <w:sz w:val="18"/>
                <w:szCs w:val="18"/>
                <w:color w:val="auto"/>
              </w:rPr>
              <w:t>Limitations on Liability by the Company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9.</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COVENANTS OF THE COMPANY</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9.1</w:t>
            </w:r>
          </w:p>
        </w:tc>
        <w:tc>
          <w:tcPr>
            <w:tcW w:w="8160" w:type="dxa"/>
            <w:vAlign w:val="bottom"/>
          </w:tcPr>
          <w:p>
            <w:pPr>
              <w:ind w:left="60"/>
              <w:spacing w:after="0"/>
              <w:rPr>
                <w:sz w:val="20"/>
                <w:szCs w:val="20"/>
                <w:color w:val="auto"/>
              </w:rPr>
            </w:pPr>
            <w:r>
              <w:rPr>
                <w:rFonts w:ascii="Arial" w:cs="Arial" w:eastAsia="Arial" w:hAnsi="Arial"/>
                <w:sz w:val="18"/>
                <w:szCs w:val="18"/>
                <w:color w:val="auto"/>
              </w:rPr>
              <w:t>Issuance of New Shares and Registration in the Share Register</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9.2</w:t>
            </w:r>
          </w:p>
        </w:tc>
        <w:tc>
          <w:tcPr>
            <w:tcW w:w="8160" w:type="dxa"/>
            <w:vAlign w:val="bottom"/>
          </w:tcPr>
          <w:p>
            <w:pPr>
              <w:ind w:left="60"/>
              <w:spacing w:after="0"/>
              <w:rPr>
                <w:sz w:val="20"/>
                <w:szCs w:val="20"/>
                <w:color w:val="auto"/>
              </w:rPr>
            </w:pPr>
            <w:r>
              <w:rPr>
                <w:rFonts w:ascii="Arial" w:cs="Arial" w:eastAsia="Arial" w:hAnsi="Arial"/>
                <w:sz w:val="18"/>
                <w:szCs w:val="18"/>
                <w:color w:val="auto"/>
              </w:rPr>
              <w:t>Information Rights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NATURE OF PARTIES’ RIGHTS AND OBLIGATIONS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r>
      <w:tr>
        <w:trPr>
          <w:trHeight w:val="324"/>
        </w:trPr>
        <w:tc>
          <w:tcPr>
            <w:tcW w:w="4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160" w:type="dxa"/>
            <w:vAlign w:val="bottom"/>
          </w:tcPr>
          <w:p>
            <w:pPr>
              <w:ind w:left="60"/>
              <w:spacing w:after="0"/>
              <w:rPr>
                <w:sz w:val="20"/>
                <w:szCs w:val="20"/>
                <w:color w:val="auto"/>
              </w:rPr>
            </w:pPr>
            <w:r>
              <w:rPr>
                <w:rFonts w:ascii="Arial" w:cs="Arial" w:eastAsia="Arial" w:hAnsi="Arial"/>
                <w:sz w:val="18"/>
                <w:szCs w:val="18"/>
                <w:b w:val="1"/>
                <w:bCs w:val="1"/>
                <w:color w:val="auto"/>
              </w:rPr>
              <w:t>MISCELLANEOUS</w:t>
            </w:r>
          </w:p>
        </w:tc>
        <w:tc>
          <w:tcPr>
            <w:tcW w:w="278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w:t>
            </w:r>
          </w:p>
        </w:tc>
        <w:tc>
          <w:tcPr>
            <w:tcW w:w="816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11.2</w:t>
            </w:r>
          </w:p>
        </w:tc>
        <w:tc>
          <w:tcPr>
            <w:tcW w:w="8160" w:type="dxa"/>
            <w:vAlign w:val="bottom"/>
          </w:tcPr>
          <w:p>
            <w:pPr>
              <w:ind w:left="60"/>
              <w:spacing w:after="0"/>
              <w:rPr>
                <w:sz w:val="20"/>
                <w:szCs w:val="20"/>
                <w:color w:val="auto"/>
              </w:rPr>
            </w:pPr>
            <w:r>
              <w:rPr>
                <w:rFonts w:ascii="Arial" w:cs="Arial" w:eastAsia="Arial" w:hAnsi="Arial"/>
                <w:sz w:val="18"/>
                <w:szCs w:val="18"/>
                <w:color w:val="auto"/>
              </w:rPr>
              <w:t>Successors and Assignment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11.3</w:t>
            </w:r>
          </w:p>
        </w:tc>
        <w:tc>
          <w:tcPr>
            <w:tcW w:w="8160" w:type="dxa"/>
            <w:vAlign w:val="bottom"/>
          </w:tcPr>
          <w:p>
            <w:pPr>
              <w:ind w:left="60"/>
              <w:spacing w:after="0"/>
              <w:rPr>
                <w:sz w:val="20"/>
                <w:szCs w:val="20"/>
                <w:color w:val="auto"/>
              </w:rPr>
            </w:pPr>
            <w:r>
              <w:rPr>
                <w:rFonts w:ascii="Arial" w:cs="Arial" w:eastAsia="Arial" w:hAnsi="Arial"/>
                <w:sz w:val="18"/>
                <w:szCs w:val="18"/>
                <w:color w:val="auto"/>
              </w:rPr>
              <w:t>Costs and Expenses, Taxes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11.4</w:t>
            </w:r>
          </w:p>
        </w:tc>
        <w:tc>
          <w:tcPr>
            <w:tcW w:w="8160" w:type="dxa"/>
            <w:vAlign w:val="bottom"/>
          </w:tcPr>
          <w:p>
            <w:pPr>
              <w:ind w:left="60"/>
              <w:spacing w:after="0"/>
              <w:rPr>
                <w:sz w:val="20"/>
                <w:szCs w:val="20"/>
                <w:color w:val="auto"/>
              </w:rPr>
            </w:pPr>
            <w:r>
              <w:rPr>
                <w:rFonts w:ascii="Arial" w:cs="Arial" w:eastAsia="Arial" w:hAnsi="Arial"/>
                <w:sz w:val="18"/>
                <w:szCs w:val="18"/>
                <w:color w:val="auto"/>
              </w:rPr>
              <w:t>Notices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11.5</w:t>
            </w:r>
          </w:p>
        </w:tc>
        <w:tc>
          <w:tcPr>
            <w:tcW w:w="816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11.6</w:t>
            </w:r>
          </w:p>
        </w:tc>
        <w:tc>
          <w:tcPr>
            <w:tcW w:w="81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11.7</w:t>
            </w:r>
          </w:p>
        </w:tc>
        <w:tc>
          <w:tcPr>
            <w:tcW w:w="8160" w:type="dxa"/>
            <w:vAlign w:val="bottom"/>
          </w:tcPr>
          <w:p>
            <w:pPr>
              <w:ind w:left="60"/>
              <w:spacing w:after="0"/>
              <w:rPr>
                <w:sz w:val="20"/>
                <w:szCs w:val="20"/>
                <w:color w:val="auto"/>
              </w:rPr>
            </w:pPr>
            <w:r>
              <w:rPr>
                <w:rFonts w:ascii="Arial" w:cs="Arial" w:eastAsia="Arial" w:hAnsi="Arial"/>
                <w:sz w:val="18"/>
                <w:szCs w:val="18"/>
                <w:color w:val="auto"/>
              </w:rPr>
              <w:t>Termination at IPO and Survival</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11.8</w:t>
            </w:r>
          </w:p>
        </w:tc>
        <w:tc>
          <w:tcPr>
            <w:tcW w:w="816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11.9</w:t>
            </w:r>
          </w:p>
        </w:tc>
        <w:tc>
          <w:tcPr>
            <w:tcW w:w="8160" w:type="dxa"/>
            <w:vAlign w:val="bottom"/>
          </w:tcPr>
          <w:p>
            <w:pPr>
              <w:ind w:left="60"/>
              <w:spacing w:after="0"/>
              <w:rPr>
                <w:sz w:val="20"/>
                <w:szCs w:val="20"/>
                <w:color w:val="auto"/>
              </w:rPr>
            </w:pPr>
            <w:r>
              <w:rPr>
                <w:rFonts w:ascii="Arial" w:cs="Arial" w:eastAsia="Arial" w:hAnsi="Arial"/>
                <w:sz w:val="18"/>
                <w:szCs w:val="18"/>
                <w:color w:val="auto"/>
              </w:rPr>
              <w:t>Waiver of Rights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11.10</w:t>
            </w:r>
          </w:p>
        </w:tc>
        <w:tc>
          <w:tcPr>
            <w:tcW w:w="8160" w:type="dxa"/>
            <w:vAlign w:val="bottom"/>
          </w:tcPr>
          <w:p>
            <w:pPr>
              <w:ind w:left="60"/>
              <w:spacing w:after="0"/>
              <w:rPr>
                <w:sz w:val="20"/>
                <w:szCs w:val="20"/>
                <w:color w:val="auto"/>
              </w:rPr>
            </w:pPr>
            <w:r>
              <w:rPr>
                <w:rFonts w:ascii="Arial" w:cs="Arial" w:eastAsia="Arial" w:hAnsi="Arial"/>
                <w:sz w:val="18"/>
                <w:szCs w:val="18"/>
                <w:color w:val="auto"/>
              </w:rPr>
              <w:t>Announcement</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11.11</w:t>
            </w:r>
          </w:p>
        </w:tc>
        <w:tc>
          <w:tcPr>
            <w:tcW w:w="81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11.12</w:t>
            </w:r>
          </w:p>
        </w:tc>
        <w:tc>
          <w:tcPr>
            <w:tcW w:w="8160" w:type="dxa"/>
            <w:vAlign w:val="bottom"/>
          </w:tcPr>
          <w:p>
            <w:pPr>
              <w:ind w:left="60"/>
              <w:spacing w:after="0"/>
              <w:rPr>
                <w:sz w:val="20"/>
                <w:szCs w:val="20"/>
                <w:color w:val="auto"/>
              </w:rPr>
            </w:pPr>
            <w:r>
              <w:rPr>
                <w:rFonts w:ascii="Arial" w:cs="Arial" w:eastAsia="Arial" w:hAnsi="Arial"/>
                <w:sz w:val="18"/>
                <w:szCs w:val="18"/>
                <w:color w:val="auto"/>
              </w:rPr>
              <w:t>Applicable Law</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11.13</w:t>
            </w:r>
          </w:p>
        </w:tc>
        <w:tc>
          <w:tcPr>
            <w:tcW w:w="8160" w:type="dxa"/>
            <w:vAlign w:val="bottom"/>
          </w:tcPr>
          <w:p>
            <w:pPr>
              <w:ind w:left="60"/>
              <w:spacing w:after="0"/>
              <w:rPr>
                <w:sz w:val="20"/>
                <w:szCs w:val="20"/>
                <w:color w:val="auto"/>
              </w:rPr>
            </w:pPr>
            <w:r>
              <w:rPr>
                <w:rFonts w:ascii="Arial" w:cs="Arial" w:eastAsia="Arial" w:hAnsi="Arial"/>
                <w:sz w:val="18"/>
                <w:szCs w:val="18"/>
                <w:color w:val="auto"/>
              </w:rPr>
              <w:t>Arbitration</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19</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Annexes 23</w:t>
      </w:r>
    </w:p>
    <w:p>
      <w:pPr>
        <w:sectPr>
          <w:pgSz w:w="11900" w:h="16838" w:orient="portrait"/>
          <w:cols w:equalWidth="0" w:num="1">
            <w:col w:w="11420"/>
          </w:cols>
          <w:pgMar w:left="240" w:top="274" w:right="239" w:bottom="1035" w:gutter="0" w:footer="0" w:header="0"/>
        </w:sectPr>
      </w:pPr>
    </w:p>
    <w:bookmarkStart w:id="648" w:name="page649"/>
    <w:bookmarkEnd w:id="648"/>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Preamble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11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The Company intends to increase its share capital in a fifth round of financing (the “</w:t>
      </w:r>
      <w:r>
        <w:rPr>
          <w:rFonts w:ascii="Arial" w:cs="Arial" w:eastAsia="Arial" w:hAnsi="Arial"/>
          <w:sz w:val="18"/>
          <w:szCs w:val="18"/>
          <w:b w:val="1"/>
          <w:bCs w:val="1"/>
          <w:color w:val="auto"/>
        </w:rPr>
        <w:t>Series E Financing Round</w:t>
      </w:r>
      <w:r>
        <w:rPr>
          <w:rFonts w:ascii="Arial" w:cs="Arial" w:eastAsia="Arial" w:hAnsi="Arial"/>
          <w:sz w:val="18"/>
          <w:szCs w:val="18"/>
          <w:color w:val="auto"/>
        </w:rPr>
        <w:t>”) by way of issuance of up to 20’536 Series E Preferred Shares in the Company with a nominal value of CHF 5.00 per Series E Preferred Share, each to be fully paid-in in cash, thereby increasing the issued share capital of the Company by a nominal amount of up to CHF 102’680.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Parties wish to determine their respective rights and obligations in relation to the Investors’ investment in the Company and the subscription and issuance of new Series E Preferred Shares in the Company in this Subscription Agreement and its Annexes and Appendices.</w:t>
      </w:r>
    </w:p>
    <w:p>
      <w:pPr>
        <w:spacing w:after="0" w:line="315" w:lineRule="exact"/>
        <w:rPr>
          <w:sz w:val="20"/>
          <w:szCs w:val="20"/>
          <w:color w:val="auto"/>
        </w:rPr>
      </w:pPr>
    </w:p>
    <w:p>
      <w:pPr>
        <w:ind w:left="680" w:hanging="672"/>
        <w:spacing w:after="0"/>
        <w:tabs>
          <w:tab w:leader="none" w:pos="680"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purposes of this Subscription Agreement (including the introductory paragraphs and the Appendices), capitalized terms shall have the meanings as follows or, if not defined herein, in the Shareholders’ Agreement):</w:t>
      </w:r>
    </w:p>
    <w:p>
      <w:pPr>
        <w:sectPr>
          <w:pgSz w:w="11900" w:h="16838" w:orient="portrait"/>
          <w:cols w:equalWidth="0" w:num="1">
            <w:col w:w="11420"/>
          </w:cols>
          <w:pgMar w:left="240" w:top="274"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Articles of Association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means the Articles of Association of the Company substantially in the form of </w:t>
      </w:r>
      <w:r>
        <w:rPr>
          <w:rFonts w:ascii="Arial" w:cs="Arial" w:eastAsia="Arial" w:hAnsi="Arial"/>
          <w:sz w:val="16"/>
          <w:szCs w:val="16"/>
          <w:b w:val="1"/>
          <w:bCs w:val="1"/>
          <w:color w:val="auto"/>
        </w:rPr>
        <w:t>Annex 2.2,</w:t>
      </w:r>
      <w:r>
        <w:rPr>
          <w:rFonts w:ascii="Arial" w:cs="Arial" w:eastAsia="Arial" w:hAnsi="Arial"/>
          <w:sz w:val="16"/>
          <w:szCs w:val="16"/>
          <w:color w:val="auto"/>
        </w:rPr>
        <w:t xml:space="preserve"> as amended from time to time.</w:t>
      </w:r>
    </w:p>
    <w:p>
      <w:pPr>
        <w:spacing w:after="0" w:line="140" w:lineRule="exact"/>
        <w:rPr>
          <w:sz w:val="20"/>
          <w:szCs w:val="20"/>
          <w:color w:val="auto"/>
        </w:rPr>
      </w:pPr>
    </w:p>
    <w:p>
      <w:pPr>
        <w:sectPr>
          <w:pgSz w:w="11900" w:h="16838" w:orient="portrait"/>
          <w:cols w:equalWidth="0" w:num="2">
            <w:col w:w="1920" w:space="720"/>
            <w:col w:w="87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Basket Losses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 defined in Section 8.4.</w:t>
      </w:r>
    </w:p>
    <w:p>
      <w:pPr>
        <w:spacing w:after="0" w:line="136" w:lineRule="exact"/>
        <w:rPr>
          <w:sz w:val="20"/>
          <w:szCs w:val="20"/>
          <w:color w:val="auto"/>
        </w:rPr>
      </w:pPr>
    </w:p>
    <w:p>
      <w:pPr>
        <w:sectPr>
          <w:pgSz w:w="11900" w:h="16838" w:orient="portrait"/>
          <w:cols w:equalWidth="0" w:num="2">
            <w:col w:w="1920" w:space="720"/>
            <w:col w:w="87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Blocked Capital Account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 defined in Section 3.2.</w:t>
      </w:r>
    </w:p>
    <w:p>
      <w:pPr>
        <w:spacing w:after="0" w:line="136" w:lineRule="exact"/>
        <w:rPr>
          <w:sz w:val="20"/>
          <w:szCs w:val="20"/>
          <w:color w:val="auto"/>
        </w:rPr>
      </w:pPr>
    </w:p>
    <w:p>
      <w:pPr>
        <w:sectPr>
          <w:pgSz w:w="11900" w:h="16838" w:orient="portrait"/>
          <w:cols w:equalWidth="0" w:num="2">
            <w:col w:w="1920" w:space="720"/>
            <w:col w:w="87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Board</w:t>
      </w:r>
    </w:p>
    <w:p>
      <w:pPr>
        <w:spacing w:after="0" w:line="20" w:lineRule="exact"/>
        <w:rPr>
          <w:sz w:val="20"/>
          <w:szCs w:val="20"/>
          <w:color w:val="auto"/>
        </w:rPr>
      </w:pPr>
      <w:r>
        <w:rPr>
          <w:sz w:val="20"/>
          <w:szCs w:val="20"/>
          <w:color w:val="auto"/>
        </w:rPr>
        <w:br w:type="column"/>
      </w:r>
    </w:p>
    <w:p>
      <w:pPr>
        <w:jc w:val="center"/>
        <w:ind w:right="2200"/>
        <w:spacing w:after="0"/>
        <w:rPr>
          <w:sz w:val="20"/>
          <w:szCs w:val="20"/>
          <w:color w:val="auto"/>
        </w:rPr>
      </w:pPr>
      <w:r>
        <w:rPr>
          <w:rFonts w:ascii="Arial" w:cs="Arial" w:eastAsia="Arial" w:hAnsi="Arial"/>
          <w:sz w:val="16"/>
          <w:szCs w:val="16"/>
          <w:color w:val="auto"/>
        </w:rPr>
        <w:t>means the Company’s board of directors as the same shall be constituted from time to time.</w:t>
      </w:r>
    </w:p>
    <w:p>
      <w:pPr>
        <w:spacing w:after="0" w:line="136" w:lineRule="exact"/>
        <w:rPr>
          <w:sz w:val="20"/>
          <w:szCs w:val="20"/>
          <w:color w:val="auto"/>
        </w:rPr>
      </w:pPr>
    </w:p>
    <w:p>
      <w:pPr>
        <w:sectPr>
          <w:pgSz w:w="11900" w:h="16838" w:orient="portrait"/>
          <w:cols w:equalWidth="0" w:num="2">
            <w:col w:w="1920" w:space="720"/>
            <w:col w:w="878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Swiss Code of Obligations dated 30 March 1911 as amended from time to time.</w:t>
      </w:r>
    </w:p>
    <w:p>
      <w:pPr>
        <w:spacing w:after="0" w:line="135" w:lineRule="exact"/>
        <w:rPr>
          <w:sz w:val="20"/>
          <w:szCs w:val="20"/>
          <w:color w:val="auto"/>
        </w:rPr>
      </w:pPr>
    </w:p>
    <w:p>
      <w:pPr>
        <w:sectPr>
          <w:pgSz w:w="11900" w:h="16838" w:orient="portrait"/>
          <w:cols w:equalWidth="0" w:num="2">
            <w:col w:w="1920" w:space="720"/>
            <w:col w:w="87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Common Shares</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Arial" w:cs="Arial" w:eastAsia="Arial" w:hAnsi="Arial"/>
          <w:sz w:val="18"/>
          <w:szCs w:val="18"/>
          <w:color w:val="auto"/>
        </w:rPr>
        <w:t>shall mean the existing 35,034 restricted common shares (</w:t>
      </w:r>
      <w:r>
        <w:rPr>
          <w:rFonts w:ascii="Arial" w:cs="Arial" w:eastAsia="Arial" w:hAnsi="Arial"/>
          <w:sz w:val="18"/>
          <w:szCs w:val="18"/>
          <w:i w:val="1"/>
          <w:iCs w:val="1"/>
          <w:color w:val="auto"/>
        </w:rPr>
        <w:t>vinkulierte Namenaktien / actions nominatives avec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with a nominal value of CHF 5.00 each per Common Share, and having the transfer restrictions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Articles of Association.</w:t>
      </w:r>
    </w:p>
    <w:p>
      <w:pPr>
        <w:spacing w:after="0" w:line="69" w:lineRule="exact"/>
        <w:rPr>
          <w:sz w:val="20"/>
          <w:szCs w:val="20"/>
          <w:color w:val="auto"/>
        </w:rPr>
      </w:pPr>
    </w:p>
    <w:p>
      <w:pPr>
        <w:sectPr>
          <w:pgSz w:w="11900" w:h="16838" w:orient="portrait"/>
          <w:cols w:equalWidth="0" w:num="2">
            <w:col w:w="1920" w:space="720"/>
            <w:col w:w="87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 defined in the introduction of this Subscription Agreement.</w:t>
      </w:r>
    </w:p>
    <w:p>
      <w:pPr>
        <w:sectPr>
          <w:pgSz w:w="11900" w:h="16838" w:orient="portrait"/>
          <w:cols w:equalWidth="0" w:num="2">
            <w:col w:w="1920" w:space="720"/>
            <w:col w:w="8780"/>
          </w:cols>
          <w:pgMar w:left="240" w:top="274" w:right="239" w:bottom="1440" w:gutter="0" w:footer="0" w:header="0"/>
          <w:type w:val="continuous"/>
        </w:sectPr>
      </w:pPr>
    </w:p>
    <w:bookmarkStart w:id="649" w:name="page650"/>
    <w:bookmarkEnd w:id="649"/>
    <w:tbl>
      <w:tblPr>
        <w:tblLayout w:type="fixed"/>
        <w:tblInd w:w="0" w:type="dxa"/>
        <w:tblCellMar>
          <w:top w:w="0" w:type="dxa"/>
          <w:left w:w="0" w:type="dxa"/>
          <w:bottom w:w="0" w:type="dxa"/>
          <w:right w:w="0" w:type="dxa"/>
        </w:tblCellMar>
      </w:tblPr>
      <w:tr>
        <w:trPr>
          <w:trHeight w:val="230"/>
        </w:trPr>
        <w:tc>
          <w:tcPr>
            <w:tcW w:w="1110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6"/>
        </w:trPr>
        <w:tc>
          <w:tcPr>
            <w:tcW w:w="2520" w:type="dxa"/>
            <w:vAlign w:val="bottom"/>
          </w:tcPr>
          <w:p>
            <w:pPr>
              <w:spacing w:after="0"/>
              <w:rPr>
                <w:sz w:val="20"/>
                <w:szCs w:val="20"/>
                <w:color w:val="auto"/>
              </w:rPr>
            </w:pPr>
            <w:r>
              <w:rPr>
                <w:rFonts w:ascii="Arial" w:cs="Arial" w:eastAsia="Arial" w:hAnsi="Arial"/>
                <w:sz w:val="18"/>
                <w:szCs w:val="18"/>
                <w:b w:val="1"/>
                <w:bCs w:val="1"/>
                <w:color w:val="auto"/>
              </w:rPr>
              <w:t>Compensatory Capital</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Section 8.3.</w:t>
            </w:r>
          </w:p>
        </w:tc>
        <w:tc>
          <w:tcPr>
            <w:tcW w:w="32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Increase</w:t>
            </w:r>
          </w:p>
        </w:tc>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06"/>
        </w:trPr>
        <w:tc>
          <w:tcPr>
            <w:tcW w:w="2520" w:type="dxa"/>
            <w:vAlign w:val="bottom"/>
          </w:tcPr>
          <w:p>
            <w:pPr>
              <w:spacing w:after="0"/>
              <w:rPr>
                <w:sz w:val="20"/>
                <w:szCs w:val="20"/>
                <w:color w:val="auto"/>
              </w:rPr>
            </w:pPr>
            <w:r>
              <w:rPr>
                <w:rFonts w:ascii="Arial" w:cs="Arial" w:eastAsia="Arial" w:hAnsi="Arial"/>
                <w:sz w:val="18"/>
                <w:szCs w:val="18"/>
                <w:b w:val="1"/>
                <w:bCs w:val="1"/>
                <w:color w:val="auto"/>
              </w:rPr>
              <w:t>Debt Repayment Triggering</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7.</w:t>
            </w:r>
          </w:p>
        </w:tc>
        <w:tc>
          <w:tcPr>
            <w:tcW w:w="32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Event</w:t>
            </w:r>
          </w:p>
        </w:tc>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Defaulting Party</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Section 10.</w:t>
            </w:r>
          </w:p>
        </w:tc>
        <w:tc>
          <w:tcPr>
            <w:tcW w:w="32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Environmental Laws</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21.</w:t>
            </w:r>
          </w:p>
        </w:tc>
        <w:tc>
          <w:tcPr>
            <w:tcW w:w="320" w:type="dxa"/>
            <w:vAlign w:val="bottom"/>
          </w:tcPr>
          <w:p>
            <w:pPr>
              <w:spacing w:after="0"/>
              <w:rPr>
                <w:sz w:val="24"/>
                <w:szCs w:val="24"/>
                <w:color w:val="auto"/>
              </w:rPr>
            </w:pPr>
          </w:p>
        </w:tc>
      </w:tr>
      <w:tr>
        <w:trPr>
          <w:trHeight w:val="306"/>
        </w:trPr>
        <w:tc>
          <w:tcPr>
            <w:tcW w:w="2520" w:type="dxa"/>
            <w:vAlign w:val="bottom"/>
          </w:tcPr>
          <w:p>
            <w:pPr>
              <w:spacing w:after="0"/>
              <w:rPr>
                <w:sz w:val="20"/>
                <w:szCs w:val="20"/>
                <w:color w:val="auto"/>
              </w:rPr>
            </w:pPr>
            <w:r>
              <w:rPr>
                <w:rFonts w:ascii="Arial" w:cs="Arial" w:eastAsia="Arial" w:hAnsi="Arial"/>
                <w:sz w:val="18"/>
                <w:szCs w:val="18"/>
                <w:b w:val="1"/>
                <w:bCs w:val="1"/>
                <w:color w:val="auto"/>
              </w:rPr>
              <w:t>Extraordinary General</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Section 3.3(a).</w:t>
            </w:r>
          </w:p>
        </w:tc>
        <w:tc>
          <w:tcPr>
            <w:tcW w:w="32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Meeting</w:t>
            </w:r>
          </w:p>
        </w:tc>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FCPA</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22.</w:t>
            </w:r>
          </w:p>
        </w:tc>
        <w:tc>
          <w:tcPr>
            <w:tcW w:w="32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FDA</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16.</w:t>
            </w:r>
          </w:p>
        </w:tc>
        <w:tc>
          <w:tcPr>
            <w:tcW w:w="32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13.</w:t>
            </w:r>
          </w:p>
        </w:tc>
        <w:tc>
          <w:tcPr>
            <w:tcW w:w="320" w:type="dxa"/>
            <w:vAlign w:val="bottom"/>
          </w:tcPr>
          <w:p>
            <w:pPr>
              <w:spacing w:after="0"/>
              <w:rPr>
                <w:sz w:val="24"/>
                <w:szCs w:val="24"/>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Full Consummation</w:t>
            </w:r>
          </w:p>
        </w:tc>
        <w:tc>
          <w:tcPr>
            <w:tcW w:w="8580" w:type="dxa"/>
            <w:vAlign w:val="bottom"/>
          </w:tcPr>
          <w:p>
            <w:pPr>
              <w:ind w:left="120"/>
              <w:spacing w:after="0"/>
              <w:rPr>
                <w:sz w:val="20"/>
                <w:szCs w:val="20"/>
                <w:color w:val="auto"/>
              </w:rPr>
            </w:pPr>
            <w:r>
              <w:rPr>
                <w:rFonts w:ascii="Arial" w:cs="Arial" w:eastAsia="Arial" w:hAnsi="Arial"/>
                <w:sz w:val="18"/>
                <w:szCs w:val="18"/>
                <w:color w:val="auto"/>
                <w:w w:val="93"/>
              </w:rPr>
              <w:t>shall mean that the Series E Preferred Shares issued in connection with the Series E Financing Round have been</w:t>
            </w:r>
          </w:p>
        </w:tc>
        <w:tc>
          <w:tcPr>
            <w:tcW w:w="320" w:type="dxa"/>
            <w:vAlign w:val="bottom"/>
          </w:tcPr>
          <w:p>
            <w:pPr>
              <w:spacing w:after="0"/>
              <w:rPr>
                <w:sz w:val="24"/>
                <w:szCs w:val="24"/>
                <w:color w:val="auto"/>
              </w:rPr>
            </w:pPr>
          </w:p>
        </w:tc>
      </w:tr>
      <w:tr>
        <w:trPr>
          <w:trHeight w:val="230"/>
        </w:trPr>
        <w:tc>
          <w:tcPr>
            <w:tcW w:w="2520" w:type="dxa"/>
            <w:vAlign w:val="bottom"/>
          </w:tcPr>
          <w:p>
            <w:pPr>
              <w:spacing w:after="0"/>
              <w:rPr>
                <w:sz w:val="20"/>
                <w:szCs w:val="20"/>
                <w:color w:val="auto"/>
              </w:rPr>
            </w:pPr>
          </w:p>
        </w:tc>
        <w:tc>
          <w:tcPr>
            <w:tcW w:w="8580" w:type="dxa"/>
            <w:vAlign w:val="bottom"/>
          </w:tcPr>
          <w:p>
            <w:pPr>
              <w:ind w:left="120"/>
              <w:spacing w:after="0"/>
              <w:rPr>
                <w:sz w:val="20"/>
                <w:szCs w:val="20"/>
                <w:color w:val="auto"/>
              </w:rPr>
            </w:pPr>
            <w:r>
              <w:rPr>
                <w:rFonts w:ascii="Arial" w:cs="Arial" w:eastAsia="Arial" w:hAnsi="Arial"/>
                <w:sz w:val="18"/>
                <w:szCs w:val="18"/>
                <w:color w:val="auto"/>
              </w:rPr>
              <w:t>registered in the commercial register in accordance with Section 5.3 of this Subscription Agreement.</w:t>
            </w:r>
          </w:p>
        </w:tc>
        <w:tc>
          <w:tcPr>
            <w:tcW w:w="320" w:type="dxa"/>
            <w:vAlign w:val="bottom"/>
          </w:tcPr>
          <w:p>
            <w:pPr>
              <w:spacing w:after="0"/>
              <w:rPr>
                <w:sz w:val="20"/>
                <w:szCs w:val="20"/>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Governmental Authority</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22.</w:t>
            </w:r>
          </w:p>
        </w:tc>
        <w:tc>
          <w:tcPr>
            <w:tcW w:w="32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Intellectual Property Rights</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9.</w:t>
            </w:r>
          </w:p>
        </w:tc>
        <w:tc>
          <w:tcPr>
            <w:tcW w:w="32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Investor</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the introduction of this Subscription Agreement.</w:t>
            </w:r>
          </w:p>
        </w:tc>
        <w:tc>
          <w:tcPr>
            <w:tcW w:w="32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the introduction of this Subscription Agreement</w:t>
            </w:r>
          </w:p>
        </w:tc>
        <w:tc>
          <w:tcPr>
            <w:tcW w:w="320" w:type="dxa"/>
            <w:vAlign w:val="bottom"/>
          </w:tcPr>
          <w:p>
            <w:pPr>
              <w:spacing w:after="0"/>
              <w:rPr>
                <w:sz w:val="24"/>
                <w:szCs w:val="24"/>
                <w:color w:val="auto"/>
              </w:rPr>
            </w:pPr>
          </w:p>
        </w:tc>
      </w:tr>
      <w:tr>
        <w:trPr>
          <w:trHeight w:val="306"/>
        </w:trPr>
        <w:tc>
          <w:tcPr>
            <w:tcW w:w="2520" w:type="dxa"/>
            <w:vAlign w:val="bottom"/>
          </w:tcPr>
          <w:p>
            <w:pPr>
              <w:spacing w:after="0"/>
              <w:rPr>
                <w:sz w:val="20"/>
                <w:szCs w:val="20"/>
                <w:color w:val="auto"/>
              </w:rPr>
            </w:pPr>
            <w:r>
              <w:rPr>
                <w:rFonts w:ascii="Arial" w:cs="Arial" w:eastAsia="Arial" w:hAnsi="Arial"/>
                <w:sz w:val="18"/>
                <w:szCs w:val="18"/>
                <w:b w:val="1"/>
                <w:bCs w:val="1"/>
                <w:color w:val="auto"/>
                <w:w w:val="96"/>
              </w:rPr>
              <w:t xml:space="preserve">knowledge </w:t>
            </w:r>
            <w:r>
              <w:rPr>
                <w:rFonts w:ascii="Arial" w:cs="Arial" w:eastAsia="Arial" w:hAnsi="Arial"/>
                <w:sz w:val="18"/>
                <w:szCs w:val="18"/>
                <w:color w:val="auto"/>
                <w:w w:val="96"/>
              </w:rPr>
              <w:t>including the phrase</w:t>
            </w:r>
          </w:p>
        </w:tc>
        <w:tc>
          <w:tcPr>
            <w:tcW w:w="8580" w:type="dxa"/>
            <w:vAlign w:val="bottom"/>
          </w:tcPr>
          <w:p>
            <w:pPr>
              <w:ind w:left="120"/>
              <w:spacing w:after="0"/>
              <w:rPr>
                <w:sz w:val="20"/>
                <w:szCs w:val="20"/>
                <w:color w:val="auto"/>
              </w:rPr>
            </w:pPr>
            <w:r>
              <w:rPr>
                <w:rFonts w:ascii="Arial" w:cs="Arial" w:eastAsia="Arial" w:hAnsi="Arial"/>
                <w:sz w:val="18"/>
                <w:szCs w:val="18"/>
                <w:color w:val="auto"/>
                <w:w w:val="93"/>
              </w:rPr>
              <w:t>shall mean the actual knowledge after reasonable investigation of the Chief Executive Officer, the Chief Scientific</w:t>
            </w:r>
          </w:p>
        </w:tc>
        <w:tc>
          <w:tcPr>
            <w:tcW w:w="32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to the Company’s knowledge</w:t>
            </w:r>
            <w:r>
              <w:rPr>
                <w:rFonts w:ascii="Arial" w:cs="Arial" w:eastAsia="Arial" w:hAnsi="Arial"/>
                <w:sz w:val="18"/>
                <w:szCs w:val="18"/>
                <w:color w:val="auto"/>
                <w:w w:val="95"/>
              </w:rPr>
              <w:t>”</w:t>
            </w:r>
          </w:p>
        </w:tc>
        <w:tc>
          <w:tcPr>
            <w:tcW w:w="8580" w:type="dxa"/>
            <w:vAlign w:val="bottom"/>
          </w:tcPr>
          <w:p>
            <w:pPr>
              <w:ind w:left="120"/>
              <w:spacing w:after="0"/>
              <w:rPr>
                <w:sz w:val="20"/>
                <w:szCs w:val="20"/>
                <w:color w:val="auto"/>
              </w:rPr>
            </w:pPr>
            <w:r>
              <w:rPr>
                <w:rFonts w:ascii="Arial" w:cs="Arial" w:eastAsia="Arial" w:hAnsi="Arial"/>
                <w:sz w:val="18"/>
                <w:szCs w:val="18"/>
                <w:color w:val="auto"/>
              </w:rPr>
              <w:t>Officer and Chief Financial Officer of the Company.</w:t>
            </w:r>
          </w:p>
        </w:tc>
        <w:tc>
          <w:tcPr>
            <w:tcW w:w="320" w:type="dxa"/>
            <w:vAlign w:val="bottom"/>
          </w:tcPr>
          <w:p>
            <w:pPr>
              <w:spacing w:after="0"/>
              <w:rPr>
                <w:sz w:val="20"/>
                <w:szCs w:val="20"/>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Loss</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Section 8.3.</w:t>
            </w:r>
          </w:p>
        </w:tc>
        <w:tc>
          <w:tcPr>
            <w:tcW w:w="320" w:type="dxa"/>
            <w:vAlign w:val="bottom"/>
          </w:tcPr>
          <w:p>
            <w:pPr>
              <w:spacing w:after="0"/>
              <w:rPr>
                <w:sz w:val="24"/>
                <w:szCs w:val="24"/>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Material Adverse Effect</w:t>
            </w:r>
          </w:p>
        </w:tc>
        <w:tc>
          <w:tcPr>
            <w:tcW w:w="8580" w:type="dxa"/>
            <w:vAlign w:val="bottom"/>
          </w:tcPr>
          <w:p>
            <w:pPr>
              <w:ind w:left="120"/>
              <w:spacing w:after="0"/>
              <w:rPr>
                <w:sz w:val="20"/>
                <w:szCs w:val="20"/>
                <w:color w:val="auto"/>
              </w:rPr>
            </w:pPr>
            <w:r>
              <w:rPr>
                <w:rFonts w:ascii="Arial" w:cs="Arial" w:eastAsia="Arial" w:hAnsi="Arial"/>
                <w:sz w:val="18"/>
                <w:szCs w:val="18"/>
                <w:color w:val="auto"/>
                <w:w w:val="92"/>
              </w:rPr>
              <w:t>means a material adverse effect on the business, assets (including intangible assets), liabilities, financial condition,</w:t>
            </w:r>
          </w:p>
        </w:tc>
        <w:tc>
          <w:tcPr>
            <w:tcW w:w="320" w:type="dxa"/>
            <w:vAlign w:val="bottom"/>
          </w:tcPr>
          <w:p>
            <w:pPr>
              <w:spacing w:after="0"/>
              <w:rPr>
                <w:sz w:val="24"/>
                <w:szCs w:val="24"/>
                <w:color w:val="auto"/>
              </w:rPr>
            </w:pPr>
          </w:p>
        </w:tc>
      </w:tr>
      <w:tr>
        <w:trPr>
          <w:trHeight w:val="230"/>
        </w:trPr>
        <w:tc>
          <w:tcPr>
            <w:tcW w:w="2520" w:type="dxa"/>
            <w:vAlign w:val="bottom"/>
          </w:tcPr>
          <w:p>
            <w:pPr>
              <w:spacing w:after="0"/>
              <w:rPr>
                <w:sz w:val="20"/>
                <w:szCs w:val="20"/>
                <w:color w:val="auto"/>
              </w:rPr>
            </w:pPr>
          </w:p>
        </w:tc>
        <w:tc>
          <w:tcPr>
            <w:tcW w:w="8580" w:type="dxa"/>
            <w:vAlign w:val="bottom"/>
          </w:tcPr>
          <w:p>
            <w:pPr>
              <w:ind w:left="120"/>
              <w:spacing w:after="0"/>
              <w:rPr>
                <w:sz w:val="20"/>
                <w:szCs w:val="20"/>
                <w:color w:val="auto"/>
              </w:rPr>
            </w:pPr>
            <w:r>
              <w:rPr>
                <w:rFonts w:ascii="Arial" w:cs="Arial" w:eastAsia="Arial" w:hAnsi="Arial"/>
                <w:sz w:val="18"/>
                <w:szCs w:val="18"/>
                <w:color w:val="auto"/>
              </w:rPr>
              <w:t>property or results of operations of the Company.</w:t>
            </w:r>
          </w:p>
        </w:tc>
        <w:tc>
          <w:tcPr>
            <w:tcW w:w="320" w:type="dxa"/>
            <w:vAlign w:val="bottom"/>
          </w:tcPr>
          <w:p>
            <w:pPr>
              <w:spacing w:after="0"/>
              <w:rPr>
                <w:sz w:val="20"/>
                <w:szCs w:val="20"/>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OFAC</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23.</w:t>
            </w:r>
          </w:p>
        </w:tc>
        <w:tc>
          <w:tcPr>
            <w:tcW w:w="32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Official</w:t>
            </w:r>
          </w:p>
        </w:tc>
        <w:tc>
          <w:tcPr>
            <w:tcW w:w="858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22.</w:t>
            </w:r>
          </w:p>
        </w:tc>
        <w:tc>
          <w:tcPr>
            <w:tcW w:w="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50" w:name="page651"/>
    <w:bookmarkEnd w:id="650"/>
    <w:tbl>
      <w:tblPr>
        <w:tblLayout w:type="fixed"/>
        <w:tblInd w:w="0" w:type="dxa"/>
        <w:tblCellMar>
          <w:top w:w="0" w:type="dxa"/>
          <w:left w:w="0" w:type="dxa"/>
          <w:bottom w:w="0" w:type="dxa"/>
          <w:right w:w="0" w:type="dxa"/>
        </w:tblCellMar>
      </w:tblPr>
      <w:tr>
        <w:trPr>
          <w:trHeight w:val="230"/>
        </w:trPr>
        <w:tc>
          <w:tcPr>
            <w:tcW w:w="1132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5</w:t>
            </w:r>
          </w:p>
        </w:tc>
      </w:tr>
      <w:tr>
        <w:trPr>
          <w:trHeight w:val="473"/>
        </w:trPr>
        <w:tc>
          <w:tcPr>
            <w:tcW w:w="2520" w:type="dxa"/>
            <w:vAlign w:val="bottom"/>
          </w:tcPr>
          <w:p>
            <w:pPr>
              <w:spacing w:after="0"/>
              <w:rPr>
                <w:sz w:val="20"/>
                <w:szCs w:val="20"/>
                <w:color w:val="auto"/>
              </w:rPr>
            </w:pPr>
            <w:r>
              <w:rPr>
                <w:rFonts w:ascii="Arial" w:cs="Arial" w:eastAsia="Arial" w:hAnsi="Arial"/>
                <w:sz w:val="18"/>
                <w:szCs w:val="18"/>
                <w:b w:val="1"/>
                <w:bCs w:val="1"/>
                <w:color w:val="auto"/>
              </w:rPr>
              <w:t>Party or Parties</w:t>
            </w:r>
          </w:p>
        </w:tc>
        <w:tc>
          <w:tcPr>
            <w:tcW w:w="8800" w:type="dxa"/>
            <w:vAlign w:val="bottom"/>
          </w:tcPr>
          <w:p>
            <w:pPr>
              <w:ind w:left="120"/>
              <w:spacing w:after="0"/>
              <w:rPr>
                <w:sz w:val="20"/>
                <w:szCs w:val="20"/>
                <w:color w:val="auto"/>
              </w:rPr>
            </w:pPr>
            <w:r>
              <w:rPr>
                <w:rFonts w:ascii="Arial" w:cs="Arial" w:eastAsia="Arial" w:hAnsi="Arial"/>
                <w:sz w:val="18"/>
                <w:szCs w:val="18"/>
                <w:color w:val="auto"/>
              </w:rPr>
              <w:t>shall have the meaning as defined in the introduction of this Subscription Agreement.</w:t>
            </w:r>
          </w:p>
        </w:tc>
        <w:tc>
          <w:tcPr>
            <w:tcW w:w="10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Permits</w:t>
            </w:r>
          </w:p>
        </w:tc>
        <w:tc>
          <w:tcPr>
            <w:tcW w:w="880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20.</w:t>
            </w:r>
          </w:p>
        </w:tc>
        <w:tc>
          <w:tcPr>
            <w:tcW w:w="100" w:type="dxa"/>
            <w:vAlign w:val="bottom"/>
          </w:tcPr>
          <w:p>
            <w:pPr>
              <w:spacing w:after="0"/>
              <w:rPr>
                <w:sz w:val="24"/>
                <w:szCs w:val="24"/>
                <w:color w:val="auto"/>
              </w:rPr>
            </w:pPr>
          </w:p>
        </w:tc>
      </w:tr>
      <w:tr>
        <w:trPr>
          <w:trHeight w:val="306"/>
        </w:trPr>
        <w:tc>
          <w:tcPr>
            <w:tcW w:w="2520" w:type="dxa"/>
            <w:vAlign w:val="bottom"/>
          </w:tcPr>
          <w:p>
            <w:pPr>
              <w:spacing w:after="0"/>
              <w:rPr>
                <w:sz w:val="20"/>
                <w:szCs w:val="20"/>
                <w:color w:val="auto"/>
              </w:rPr>
            </w:pPr>
            <w:r>
              <w:rPr>
                <w:rFonts w:ascii="Arial" w:cs="Arial" w:eastAsia="Arial" w:hAnsi="Arial"/>
                <w:sz w:val="18"/>
                <w:szCs w:val="18"/>
                <w:b w:val="1"/>
                <w:bCs w:val="1"/>
                <w:color w:val="auto"/>
                <w:w w:val="94"/>
              </w:rPr>
              <w:t>Registration Rights Agreement</w:t>
            </w:r>
          </w:p>
        </w:tc>
        <w:tc>
          <w:tcPr>
            <w:tcW w:w="8800" w:type="dxa"/>
            <w:vAlign w:val="bottom"/>
          </w:tcPr>
          <w:p>
            <w:pPr>
              <w:ind w:left="120"/>
              <w:spacing w:after="0"/>
              <w:rPr>
                <w:sz w:val="20"/>
                <w:szCs w:val="20"/>
                <w:color w:val="auto"/>
              </w:rPr>
            </w:pPr>
            <w:r>
              <w:rPr>
                <w:rFonts w:ascii="Arial" w:cs="Arial" w:eastAsia="Arial" w:hAnsi="Arial"/>
                <w:sz w:val="18"/>
                <w:szCs w:val="18"/>
                <w:color w:val="auto"/>
                <w:w w:val="89"/>
              </w:rPr>
              <w:t>means the agreement among the Company and certain shareholders of the Company dated as of the date of the Closing,</w:t>
            </w:r>
          </w:p>
        </w:tc>
        <w:tc>
          <w:tcPr>
            <w:tcW w:w="100" w:type="dxa"/>
            <w:vAlign w:val="bottom"/>
          </w:tcPr>
          <w:p>
            <w:pPr>
              <w:spacing w:after="0"/>
              <w:rPr>
                <w:sz w:val="24"/>
                <w:szCs w:val="24"/>
                <w:color w:val="auto"/>
              </w:rPr>
            </w:pPr>
          </w:p>
        </w:tc>
      </w:tr>
      <w:tr>
        <w:trPr>
          <w:trHeight w:val="234"/>
        </w:trPr>
        <w:tc>
          <w:tcPr>
            <w:tcW w:w="25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 xml:space="preserve">in the form of </w:t>
            </w:r>
            <w:r>
              <w:rPr>
                <w:rFonts w:ascii="Arial" w:cs="Arial" w:eastAsia="Arial" w:hAnsi="Arial"/>
                <w:sz w:val="18"/>
                <w:szCs w:val="18"/>
                <w:b w:val="1"/>
                <w:bCs w:val="1"/>
                <w:color w:val="auto"/>
              </w:rPr>
              <w:t>Annex 5.2.1(e)</w:t>
            </w:r>
            <w:r>
              <w:rPr>
                <w:rFonts w:ascii="Arial" w:cs="Arial" w:eastAsia="Arial" w:hAnsi="Arial"/>
                <w:sz w:val="18"/>
                <w:szCs w:val="18"/>
                <w:color w:val="auto"/>
              </w:rPr>
              <w:t xml:space="preserve"> attached to this Subscription Agreement.</w:t>
            </w:r>
          </w:p>
        </w:tc>
        <w:tc>
          <w:tcPr>
            <w:tcW w:w="100" w:type="dxa"/>
            <w:vAlign w:val="bottom"/>
          </w:tcPr>
          <w:p>
            <w:pPr>
              <w:spacing w:after="0"/>
              <w:rPr>
                <w:sz w:val="20"/>
                <w:szCs w:val="20"/>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Regulatory Agencies</w:t>
            </w:r>
          </w:p>
        </w:tc>
        <w:tc>
          <w:tcPr>
            <w:tcW w:w="8800" w:type="dxa"/>
            <w:vAlign w:val="bottom"/>
          </w:tcPr>
          <w:p>
            <w:pPr>
              <w:ind w:left="120"/>
              <w:spacing w:after="0"/>
              <w:rPr>
                <w:sz w:val="20"/>
                <w:szCs w:val="20"/>
                <w:color w:val="auto"/>
              </w:rPr>
            </w:pPr>
            <w:r>
              <w:rPr>
                <w:rFonts w:ascii="Arial" w:cs="Arial" w:eastAsia="Arial" w:hAnsi="Arial"/>
                <w:sz w:val="18"/>
                <w:szCs w:val="18"/>
                <w:color w:val="auto"/>
              </w:rPr>
              <w:t>shall have the meaning as defined in Annex 7.1 Section 16.</w:t>
            </w:r>
          </w:p>
        </w:tc>
        <w:tc>
          <w:tcPr>
            <w:tcW w:w="10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w w:val="92"/>
              </w:rPr>
              <w:t>Revised Articles of Association</w:t>
            </w:r>
          </w:p>
        </w:tc>
        <w:tc>
          <w:tcPr>
            <w:tcW w:w="8800" w:type="dxa"/>
            <w:vAlign w:val="bottom"/>
          </w:tcPr>
          <w:p>
            <w:pPr>
              <w:ind w:left="120"/>
              <w:spacing w:after="0"/>
              <w:rPr>
                <w:sz w:val="20"/>
                <w:szCs w:val="20"/>
                <w:color w:val="auto"/>
              </w:rPr>
            </w:pPr>
            <w:r>
              <w:rPr>
                <w:rFonts w:ascii="Arial" w:cs="Arial" w:eastAsia="Arial" w:hAnsi="Arial"/>
                <w:sz w:val="18"/>
                <w:szCs w:val="18"/>
                <w:color w:val="auto"/>
                <w:w w:val="95"/>
              </w:rPr>
              <w:t xml:space="preserve">means the Articles of Association of the Company to be adopted at Closing substantially in the form of </w:t>
            </w:r>
            <w:r>
              <w:rPr>
                <w:rFonts w:ascii="Arial" w:cs="Arial" w:eastAsia="Arial" w:hAnsi="Arial"/>
                <w:sz w:val="18"/>
                <w:szCs w:val="18"/>
                <w:b w:val="1"/>
                <w:bCs w:val="1"/>
                <w:color w:val="auto"/>
                <w:w w:val="95"/>
              </w:rPr>
              <w:t>Annex 3.3.</w:t>
            </w:r>
          </w:p>
        </w:tc>
        <w:tc>
          <w:tcPr>
            <w:tcW w:w="10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Securities Act</w:t>
            </w:r>
          </w:p>
        </w:tc>
        <w:tc>
          <w:tcPr>
            <w:tcW w:w="8800" w:type="dxa"/>
            <w:vAlign w:val="bottom"/>
          </w:tcPr>
          <w:p>
            <w:pPr>
              <w:ind w:left="120"/>
              <w:spacing w:after="0"/>
              <w:rPr>
                <w:sz w:val="20"/>
                <w:szCs w:val="20"/>
                <w:color w:val="auto"/>
              </w:rPr>
            </w:pPr>
            <w:r>
              <w:rPr>
                <w:rFonts w:ascii="Arial" w:cs="Arial" w:eastAsia="Arial" w:hAnsi="Arial"/>
                <w:sz w:val="18"/>
                <w:szCs w:val="18"/>
                <w:color w:val="auto"/>
                <w:w w:val="93"/>
              </w:rPr>
              <w:t>means the United States Securities Act of 1933, as amended, and the rules and regulations promulgated thereunder.</w:t>
            </w:r>
          </w:p>
        </w:tc>
        <w:tc>
          <w:tcPr>
            <w:tcW w:w="100" w:type="dxa"/>
            <w:vAlign w:val="bottom"/>
          </w:tcPr>
          <w:p>
            <w:pPr>
              <w:spacing w:after="0"/>
              <w:rPr>
                <w:sz w:val="24"/>
                <w:szCs w:val="24"/>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Series A Preferred Shares</w:t>
            </w:r>
          </w:p>
        </w:tc>
        <w:tc>
          <w:tcPr>
            <w:tcW w:w="8800" w:type="dxa"/>
            <w:vAlign w:val="bottom"/>
          </w:tcPr>
          <w:p>
            <w:pPr>
              <w:ind w:left="120"/>
              <w:spacing w:after="0"/>
              <w:rPr>
                <w:sz w:val="20"/>
                <w:szCs w:val="20"/>
                <w:color w:val="auto"/>
              </w:rPr>
            </w:pPr>
            <w:r>
              <w:rPr>
                <w:rFonts w:ascii="Arial" w:cs="Arial" w:eastAsia="Arial" w:hAnsi="Arial"/>
                <w:sz w:val="18"/>
                <w:szCs w:val="18"/>
                <w:color w:val="auto"/>
                <w:w w:val="90"/>
              </w:rPr>
              <w:t>shall mean the existing 14’152 Series A preferred shares (</w:t>
            </w:r>
            <w:r>
              <w:rPr>
                <w:rFonts w:ascii="Arial" w:cs="Arial" w:eastAsia="Arial" w:hAnsi="Arial"/>
                <w:sz w:val="18"/>
                <w:szCs w:val="18"/>
                <w:i w:val="1"/>
                <w:iCs w:val="1"/>
                <w:color w:val="auto"/>
                <w:w w:val="90"/>
              </w:rPr>
              <w:t>Vorzugsaktien der Serie A / actions privilégiées série A)</w:t>
            </w:r>
            <w:r>
              <w:rPr>
                <w:rFonts w:ascii="Arial" w:cs="Arial" w:eastAsia="Arial" w:hAnsi="Arial"/>
                <w:sz w:val="18"/>
                <w:szCs w:val="18"/>
                <w:color w:val="auto"/>
                <w:w w:val="90"/>
              </w:rPr>
              <w:t xml:space="preserve"> with a</w:t>
            </w:r>
          </w:p>
        </w:tc>
        <w:tc>
          <w:tcPr>
            <w:tcW w:w="100" w:type="dxa"/>
            <w:vAlign w:val="bottom"/>
          </w:tcPr>
          <w:p>
            <w:pPr>
              <w:spacing w:after="0"/>
              <w:rPr>
                <w:sz w:val="24"/>
                <w:szCs w:val="24"/>
                <w:color w:val="auto"/>
              </w:rPr>
            </w:pP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120"/>
              <w:spacing w:after="0"/>
              <w:rPr>
                <w:sz w:val="20"/>
                <w:szCs w:val="20"/>
                <w:color w:val="auto"/>
              </w:rPr>
            </w:pPr>
            <w:r>
              <w:rPr>
                <w:rFonts w:ascii="Arial" w:cs="Arial" w:eastAsia="Arial" w:hAnsi="Arial"/>
                <w:sz w:val="18"/>
                <w:szCs w:val="18"/>
                <w:color w:val="auto"/>
                <w:w w:val="90"/>
              </w:rPr>
              <w:t>nominal value of CHF 5.00 each per Series A Preferred Share, and having the preference rights set forth in the Articles of</w:t>
            </w:r>
          </w:p>
        </w:tc>
      </w:tr>
      <w:tr>
        <w:trPr>
          <w:trHeight w:val="230"/>
        </w:trPr>
        <w:tc>
          <w:tcPr>
            <w:tcW w:w="25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Association.</w:t>
            </w:r>
          </w:p>
        </w:tc>
        <w:tc>
          <w:tcPr>
            <w:tcW w:w="100" w:type="dxa"/>
            <w:vAlign w:val="bottom"/>
          </w:tcPr>
          <w:p>
            <w:pPr>
              <w:spacing w:after="0"/>
              <w:rPr>
                <w:sz w:val="20"/>
                <w:szCs w:val="20"/>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Series B Preferred Shares</w:t>
            </w:r>
          </w:p>
        </w:tc>
        <w:tc>
          <w:tcPr>
            <w:tcW w:w="8900" w:type="dxa"/>
            <w:vAlign w:val="bottom"/>
            <w:gridSpan w:val="2"/>
          </w:tcPr>
          <w:p>
            <w:pPr>
              <w:ind w:left="120"/>
              <w:spacing w:after="0"/>
              <w:rPr>
                <w:sz w:val="20"/>
                <w:szCs w:val="20"/>
                <w:color w:val="auto"/>
              </w:rPr>
            </w:pPr>
            <w:r>
              <w:rPr>
                <w:rFonts w:ascii="Arial" w:cs="Arial" w:eastAsia="Arial" w:hAnsi="Arial"/>
                <w:sz w:val="18"/>
                <w:szCs w:val="18"/>
                <w:color w:val="auto"/>
                <w:w w:val="91"/>
              </w:rPr>
              <w:t>shall mean the 67’130 Series B preferred shares (</w:t>
            </w:r>
            <w:r>
              <w:rPr>
                <w:rFonts w:ascii="Arial" w:cs="Arial" w:eastAsia="Arial" w:hAnsi="Arial"/>
                <w:sz w:val="18"/>
                <w:szCs w:val="18"/>
                <w:i w:val="1"/>
                <w:iCs w:val="1"/>
                <w:color w:val="auto"/>
                <w:w w:val="91"/>
              </w:rPr>
              <w:t>Vorzugsaktien der Serie B / actions privilégiées série B)</w:t>
            </w:r>
            <w:r>
              <w:rPr>
                <w:rFonts w:ascii="Arial" w:cs="Arial" w:eastAsia="Arial" w:hAnsi="Arial"/>
                <w:sz w:val="18"/>
                <w:szCs w:val="18"/>
                <w:color w:val="auto"/>
                <w:w w:val="91"/>
              </w:rPr>
              <w:t xml:space="preserve"> with a nominal</w:t>
            </w:r>
          </w:p>
        </w:tc>
      </w:tr>
      <w:tr>
        <w:trPr>
          <w:trHeight w:val="216"/>
        </w:trPr>
        <w:tc>
          <w:tcPr>
            <w:tcW w:w="25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6"/>
              </w:rPr>
              <w:t>value of CHF 5.00 each per Series B Preferred Share, and having the preference rights set forth in the Articles of</w:t>
            </w:r>
          </w:p>
        </w:tc>
        <w:tc>
          <w:tcPr>
            <w:tcW w:w="10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Association.</w:t>
            </w:r>
          </w:p>
        </w:tc>
        <w:tc>
          <w:tcPr>
            <w:tcW w:w="100" w:type="dxa"/>
            <w:vAlign w:val="bottom"/>
          </w:tcPr>
          <w:p>
            <w:pPr>
              <w:spacing w:after="0"/>
              <w:rPr>
                <w:sz w:val="20"/>
                <w:szCs w:val="20"/>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Series C Preferred Shares</w:t>
            </w:r>
          </w:p>
        </w:tc>
        <w:tc>
          <w:tcPr>
            <w:tcW w:w="8900" w:type="dxa"/>
            <w:vAlign w:val="bottom"/>
            <w:gridSpan w:val="2"/>
          </w:tcPr>
          <w:p>
            <w:pPr>
              <w:ind w:left="120"/>
              <w:spacing w:after="0"/>
              <w:rPr>
                <w:sz w:val="20"/>
                <w:szCs w:val="20"/>
                <w:color w:val="auto"/>
              </w:rPr>
            </w:pPr>
            <w:r>
              <w:rPr>
                <w:rFonts w:ascii="Arial" w:cs="Arial" w:eastAsia="Arial" w:hAnsi="Arial"/>
                <w:sz w:val="18"/>
                <w:szCs w:val="18"/>
                <w:color w:val="auto"/>
                <w:w w:val="90"/>
              </w:rPr>
              <w:t>shall mean the 38’476 Series C preferred shares (</w:t>
            </w:r>
            <w:r>
              <w:rPr>
                <w:rFonts w:ascii="Arial" w:cs="Arial" w:eastAsia="Arial" w:hAnsi="Arial"/>
                <w:sz w:val="18"/>
                <w:szCs w:val="18"/>
                <w:i w:val="1"/>
                <w:iCs w:val="1"/>
                <w:color w:val="auto"/>
                <w:w w:val="90"/>
              </w:rPr>
              <w:t>Vorzugsaktien der Serie C / actions privilégiées série C)</w:t>
            </w:r>
            <w:r>
              <w:rPr>
                <w:rFonts w:ascii="Arial" w:cs="Arial" w:eastAsia="Arial" w:hAnsi="Arial"/>
                <w:sz w:val="18"/>
                <w:szCs w:val="18"/>
                <w:color w:val="auto"/>
                <w:w w:val="90"/>
              </w:rPr>
              <w:t xml:space="preserve"> with a nominal</w:t>
            </w:r>
          </w:p>
        </w:tc>
      </w:tr>
      <w:tr>
        <w:trPr>
          <w:trHeight w:val="216"/>
        </w:trPr>
        <w:tc>
          <w:tcPr>
            <w:tcW w:w="25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6"/>
              </w:rPr>
              <w:t>value of CHF 5.00 each per Series C Preferred Share, and having the preference rights set forth in the Articles of</w:t>
            </w:r>
          </w:p>
        </w:tc>
        <w:tc>
          <w:tcPr>
            <w:tcW w:w="10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Association.</w:t>
            </w:r>
          </w:p>
        </w:tc>
        <w:tc>
          <w:tcPr>
            <w:tcW w:w="100" w:type="dxa"/>
            <w:vAlign w:val="bottom"/>
          </w:tcPr>
          <w:p>
            <w:pPr>
              <w:spacing w:after="0"/>
              <w:rPr>
                <w:sz w:val="20"/>
                <w:szCs w:val="20"/>
                <w:color w:val="auto"/>
              </w:rPr>
            </w:pP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Series D Preferred Shares</w:t>
            </w:r>
          </w:p>
        </w:tc>
        <w:tc>
          <w:tcPr>
            <w:tcW w:w="8900" w:type="dxa"/>
            <w:vAlign w:val="bottom"/>
            <w:gridSpan w:val="2"/>
          </w:tcPr>
          <w:p>
            <w:pPr>
              <w:ind w:left="120"/>
              <w:spacing w:after="0"/>
              <w:rPr>
                <w:sz w:val="20"/>
                <w:szCs w:val="20"/>
                <w:color w:val="auto"/>
              </w:rPr>
            </w:pPr>
            <w:r>
              <w:rPr>
                <w:rFonts w:ascii="Arial" w:cs="Arial" w:eastAsia="Arial" w:hAnsi="Arial"/>
                <w:sz w:val="18"/>
                <w:szCs w:val="18"/>
                <w:color w:val="auto"/>
                <w:w w:val="90"/>
              </w:rPr>
              <w:t>shall mean the 16’490 Series D preferred shares (</w:t>
            </w:r>
            <w:r>
              <w:rPr>
                <w:rFonts w:ascii="Arial" w:cs="Arial" w:eastAsia="Arial" w:hAnsi="Arial"/>
                <w:sz w:val="18"/>
                <w:szCs w:val="18"/>
                <w:i w:val="1"/>
                <w:iCs w:val="1"/>
                <w:color w:val="auto"/>
                <w:w w:val="90"/>
              </w:rPr>
              <w:t>Vorzugsaktien der Serie D / actions privilégiées série D)</w:t>
            </w:r>
            <w:r>
              <w:rPr>
                <w:rFonts w:ascii="Arial" w:cs="Arial" w:eastAsia="Arial" w:hAnsi="Arial"/>
                <w:sz w:val="18"/>
                <w:szCs w:val="18"/>
                <w:color w:val="auto"/>
                <w:w w:val="90"/>
              </w:rPr>
              <w:t xml:space="preserve"> with a nominal</w:t>
            </w:r>
          </w:p>
        </w:tc>
      </w:tr>
      <w:tr>
        <w:trPr>
          <w:trHeight w:val="216"/>
        </w:trPr>
        <w:tc>
          <w:tcPr>
            <w:tcW w:w="25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6"/>
              </w:rPr>
              <w:t>value of CHF 5.00 each per Series D Preferred Share, and having the preference rights set forth in the Articles of</w:t>
            </w:r>
          </w:p>
        </w:tc>
        <w:tc>
          <w:tcPr>
            <w:tcW w:w="10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Association.</w:t>
            </w:r>
          </w:p>
        </w:tc>
        <w:tc>
          <w:tcPr>
            <w:tcW w:w="100" w:type="dxa"/>
            <w:vAlign w:val="bottom"/>
          </w:tcPr>
          <w:p>
            <w:pPr>
              <w:spacing w:after="0"/>
              <w:rPr>
                <w:sz w:val="20"/>
                <w:szCs w:val="20"/>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Series E Financing Round</w:t>
            </w:r>
          </w:p>
        </w:tc>
        <w:tc>
          <w:tcPr>
            <w:tcW w:w="8800" w:type="dxa"/>
            <w:vAlign w:val="bottom"/>
          </w:tcPr>
          <w:p>
            <w:pPr>
              <w:ind w:left="120"/>
              <w:spacing w:after="0"/>
              <w:rPr>
                <w:sz w:val="20"/>
                <w:szCs w:val="20"/>
                <w:color w:val="auto"/>
              </w:rPr>
            </w:pPr>
            <w:r>
              <w:rPr>
                <w:rFonts w:ascii="Arial" w:cs="Arial" w:eastAsia="Arial" w:hAnsi="Arial"/>
                <w:sz w:val="18"/>
                <w:szCs w:val="18"/>
                <w:color w:val="auto"/>
              </w:rPr>
              <w:t>shall have the meaning as defined in the Preamble.</w:t>
            </w:r>
          </w:p>
        </w:tc>
        <w:tc>
          <w:tcPr>
            <w:tcW w:w="10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Series E Original Issue Price</w:t>
            </w:r>
          </w:p>
        </w:tc>
        <w:tc>
          <w:tcPr>
            <w:tcW w:w="8800" w:type="dxa"/>
            <w:vAlign w:val="bottom"/>
          </w:tcPr>
          <w:p>
            <w:pPr>
              <w:ind w:left="120"/>
              <w:spacing w:after="0"/>
              <w:rPr>
                <w:sz w:val="20"/>
                <w:szCs w:val="20"/>
                <w:color w:val="auto"/>
              </w:rPr>
            </w:pPr>
            <w:r>
              <w:rPr>
                <w:rFonts w:ascii="Arial" w:cs="Arial" w:eastAsia="Arial" w:hAnsi="Arial"/>
                <w:sz w:val="18"/>
                <w:szCs w:val="18"/>
                <w:color w:val="auto"/>
              </w:rPr>
              <w:t>shall have the meaning as defined in Section 3.1.</w:t>
            </w:r>
          </w:p>
        </w:tc>
        <w:tc>
          <w:tcPr>
            <w:tcW w:w="100" w:type="dxa"/>
            <w:vAlign w:val="bottom"/>
          </w:tcPr>
          <w:p>
            <w:pPr>
              <w:spacing w:after="0"/>
              <w:rPr>
                <w:sz w:val="24"/>
                <w:szCs w:val="24"/>
                <w:color w:val="auto"/>
              </w:rPr>
            </w:pP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Series E Preferred Shares</w:t>
            </w:r>
          </w:p>
        </w:tc>
        <w:tc>
          <w:tcPr>
            <w:tcW w:w="8800" w:type="dxa"/>
            <w:vAlign w:val="bottom"/>
          </w:tcPr>
          <w:p>
            <w:pPr>
              <w:ind w:left="120"/>
              <w:spacing w:after="0"/>
              <w:rPr>
                <w:sz w:val="20"/>
                <w:szCs w:val="20"/>
                <w:color w:val="auto"/>
              </w:rPr>
            </w:pPr>
            <w:r>
              <w:rPr>
                <w:rFonts w:ascii="Arial" w:cs="Arial" w:eastAsia="Arial" w:hAnsi="Arial"/>
                <w:sz w:val="18"/>
                <w:szCs w:val="18"/>
                <w:color w:val="auto"/>
                <w:w w:val="92"/>
              </w:rPr>
              <w:t>shall mean the up to 4’150 Series E Preferred Shares (</w:t>
            </w:r>
            <w:r>
              <w:rPr>
                <w:rFonts w:ascii="Arial" w:cs="Arial" w:eastAsia="Arial" w:hAnsi="Arial"/>
                <w:sz w:val="18"/>
                <w:szCs w:val="18"/>
                <w:i w:val="1"/>
                <w:iCs w:val="1"/>
                <w:color w:val="auto"/>
                <w:w w:val="92"/>
              </w:rPr>
              <w:t>Vorzugsaktien der Serie E / actions privilégiées série E)</w:t>
            </w:r>
            <w:r>
              <w:rPr>
                <w:rFonts w:ascii="Arial" w:cs="Arial" w:eastAsia="Arial" w:hAnsi="Arial"/>
                <w:sz w:val="18"/>
                <w:szCs w:val="18"/>
                <w:color w:val="auto"/>
                <w:w w:val="92"/>
              </w:rPr>
              <w:t xml:space="preserve"> with a</w:t>
            </w:r>
          </w:p>
        </w:tc>
        <w:tc>
          <w:tcPr>
            <w:tcW w:w="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51" w:name="page652"/>
    <w:bookmarkEnd w:id="651"/>
    <w:tbl>
      <w:tblPr>
        <w:tblLayout w:type="fixed"/>
        <w:tblInd w:w="0" w:type="dxa"/>
        <w:tblCellMar>
          <w:top w:w="0" w:type="dxa"/>
          <w:left w:w="0" w:type="dxa"/>
          <w:bottom w:w="0" w:type="dxa"/>
          <w:right w:w="0" w:type="dxa"/>
        </w:tblCellMar>
      </w:tblPr>
      <w:tr>
        <w:trPr>
          <w:trHeight w:val="230"/>
        </w:trPr>
        <w:tc>
          <w:tcPr>
            <w:tcW w:w="1132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6</w:t>
            </w:r>
          </w:p>
        </w:tc>
      </w:tr>
      <w:tr>
        <w:trPr>
          <w:trHeight w:val="350"/>
        </w:trPr>
        <w:tc>
          <w:tcPr>
            <w:tcW w:w="2300" w:type="dxa"/>
            <w:vAlign w:val="bottom"/>
          </w:tcPr>
          <w:p>
            <w:pPr>
              <w:spacing w:after="0"/>
              <w:rPr>
                <w:sz w:val="24"/>
                <w:szCs w:val="24"/>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w w:val="90"/>
              </w:rPr>
              <w:t>nominal value of CHF 5.00 each per Series E Preferred Share, each to be fully paid in pursuant the terms and conditions</w:t>
            </w:r>
          </w:p>
        </w:tc>
        <w:tc>
          <w:tcPr>
            <w:tcW w:w="100" w:type="dxa"/>
            <w:vAlign w:val="bottom"/>
          </w:tcPr>
          <w:p>
            <w:pPr>
              <w:spacing w:after="0"/>
              <w:rPr>
                <w:sz w:val="24"/>
                <w:szCs w:val="24"/>
                <w:color w:val="auto"/>
              </w:rPr>
            </w:pPr>
          </w:p>
        </w:tc>
      </w:tr>
      <w:tr>
        <w:trPr>
          <w:trHeight w:val="212"/>
        </w:trPr>
        <w:tc>
          <w:tcPr>
            <w:tcW w:w="230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w w:val="91"/>
              </w:rPr>
              <w:t>set forth in the Subscription Agreement and having the preference rights set forth in the Revised Articles of Association</w:t>
            </w:r>
          </w:p>
        </w:tc>
        <w:tc>
          <w:tcPr>
            <w:tcW w:w="100" w:type="dxa"/>
            <w:vAlign w:val="bottom"/>
          </w:tcPr>
          <w:p>
            <w:pPr>
              <w:spacing w:after="0"/>
              <w:rPr>
                <w:sz w:val="18"/>
                <w:szCs w:val="18"/>
                <w:color w:val="auto"/>
              </w:rPr>
            </w:pPr>
          </w:p>
        </w:tc>
      </w:tr>
      <w:tr>
        <w:trPr>
          <w:trHeight w:val="220"/>
        </w:trPr>
        <w:tc>
          <w:tcPr>
            <w:tcW w:w="2300" w:type="dxa"/>
            <w:vAlign w:val="bottom"/>
          </w:tcPr>
          <w:p>
            <w:pPr>
              <w:spacing w:after="0"/>
              <w:rPr>
                <w:sz w:val="19"/>
                <w:szCs w:val="19"/>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w w:val="95"/>
              </w:rPr>
              <w:t xml:space="preserve">in </w:t>
            </w:r>
            <w:r>
              <w:rPr>
                <w:rFonts w:ascii="Arial" w:cs="Arial" w:eastAsia="Arial" w:hAnsi="Arial"/>
                <w:sz w:val="18"/>
                <w:szCs w:val="18"/>
                <w:b w:val="1"/>
                <w:bCs w:val="1"/>
                <w:color w:val="auto"/>
                <w:w w:val="95"/>
              </w:rPr>
              <w:t>Annex 3.3.</w:t>
            </w:r>
            <w:r>
              <w:rPr>
                <w:rFonts w:ascii="Arial" w:cs="Arial" w:eastAsia="Arial" w:hAnsi="Arial"/>
                <w:sz w:val="18"/>
                <w:szCs w:val="18"/>
                <w:color w:val="auto"/>
                <w:w w:val="95"/>
              </w:rPr>
              <w:t xml:space="preserve"> and any additional Series E Preferred Shares subscribed by an investor participating in the Series E</w:t>
            </w:r>
          </w:p>
        </w:tc>
        <w:tc>
          <w:tcPr>
            <w:tcW w:w="100" w:type="dxa"/>
            <w:vAlign w:val="bottom"/>
          </w:tcPr>
          <w:p>
            <w:pPr>
              <w:spacing w:after="0"/>
              <w:rPr>
                <w:sz w:val="19"/>
                <w:szCs w:val="19"/>
                <w:color w:val="auto"/>
              </w:rPr>
            </w:pPr>
          </w:p>
        </w:tc>
      </w:tr>
      <w:tr>
        <w:trPr>
          <w:trHeight w:val="230"/>
        </w:trPr>
        <w:tc>
          <w:tcPr>
            <w:tcW w:w="2300" w:type="dxa"/>
            <w:vAlign w:val="bottom"/>
          </w:tcPr>
          <w:p>
            <w:pPr>
              <w:spacing w:after="0"/>
              <w:rPr>
                <w:sz w:val="20"/>
                <w:szCs w:val="20"/>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Financing Round.</w:t>
            </w:r>
          </w:p>
        </w:tc>
        <w:tc>
          <w:tcPr>
            <w:tcW w:w="100" w:type="dxa"/>
            <w:vAlign w:val="bottom"/>
          </w:tcPr>
          <w:p>
            <w:pPr>
              <w:spacing w:after="0"/>
              <w:rPr>
                <w:sz w:val="20"/>
                <w:szCs w:val="20"/>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b w:val="1"/>
                <w:bCs w:val="1"/>
                <w:color w:val="auto"/>
              </w:rPr>
              <w:t>Shareholder</w:t>
            </w:r>
          </w:p>
        </w:tc>
        <w:tc>
          <w:tcPr>
            <w:tcW w:w="9020" w:type="dxa"/>
            <w:vAlign w:val="bottom"/>
          </w:tcPr>
          <w:p>
            <w:pPr>
              <w:ind w:left="340"/>
              <w:spacing w:after="0"/>
              <w:rPr>
                <w:sz w:val="20"/>
                <w:szCs w:val="20"/>
                <w:color w:val="auto"/>
              </w:rPr>
            </w:pPr>
            <w:r>
              <w:rPr>
                <w:rFonts w:ascii="Arial" w:cs="Arial" w:eastAsia="Arial" w:hAnsi="Arial"/>
                <w:sz w:val="18"/>
                <w:szCs w:val="18"/>
                <w:color w:val="auto"/>
              </w:rPr>
              <w:t>means any shareholder of the Company which at any given time is a party to the Shareholders’ Agreement.</w:t>
            </w:r>
          </w:p>
        </w:tc>
        <w:tc>
          <w:tcPr>
            <w:tcW w:w="100" w:type="dxa"/>
            <w:vAlign w:val="bottom"/>
          </w:tcPr>
          <w:p>
            <w:pPr>
              <w:spacing w:after="0"/>
              <w:rPr>
                <w:sz w:val="24"/>
                <w:szCs w:val="24"/>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b w:val="1"/>
                <w:bCs w:val="1"/>
                <w:color w:val="auto"/>
              </w:rPr>
              <w:t>Shareholders’ Agreement</w:t>
            </w:r>
          </w:p>
        </w:tc>
        <w:tc>
          <w:tcPr>
            <w:tcW w:w="9020" w:type="dxa"/>
            <w:vAlign w:val="bottom"/>
          </w:tcPr>
          <w:p>
            <w:pPr>
              <w:ind w:left="340"/>
              <w:spacing w:after="0"/>
              <w:rPr>
                <w:sz w:val="20"/>
                <w:szCs w:val="20"/>
                <w:color w:val="auto"/>
              </w:rPr>
            </w:pPr>
            <w:r>
              <w:rPr>
                <w:rFonts w:ascii="Arial" w:cs="Arial" w:eastAsia="Arial" w:hAnsi="Arial"/>
                <w:sz w:val="18"/>
                <w:szCs w:val="18"/>
                <w:color w:val="auto"/>
              </w:rPr>
              <w:t xml:space="preserve">means the shareholders’ agreement regarding the Company dated 16 October 2015 in </w:t>
            </w:r>
            <w:r>
              <w:rPr>
                <w:rFonts w:ascii="Arial" w:cs="Arial" w:eastAsia="Arial" w:hAnsi="Arial"/>
                <w:sz w:val="18"/>
                <w:szCs w:val="18"/>
                <w:b w:val="1"/>
                <w:bCs w:val="1"/>
                <w:color w:val="auto"/>
              </w:rPr>
              <w:t>Annex 0</w:t>
            </w: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9020" w:type="dxa"/>
            <w:vAlign w:val="bottom"/>
          </w:tcPr>
          <w:p>
            <w:pPr>
              <w:ind w:left="340"/>
              <w:spacing w:after="0"/>
              <w:rPr>
                <w:sz w:val="20"/>
                <w:szCs w:val="20"/>
                <w:color w:val="auto"/>
              </w:rPr>
            </w:pPr>
            <w:r>
              <w:rPr>
                <w:rFonts w:ascii="Arial" w:cs="Arial" w:eastAsia="Arial" w:hAnsi="Arial"/>
                <w:sz w:val="18"/>
                <w:szCs w:val="18"/>
                <w:color w:val="auto"/>
              </w:rPr>
              <w:t>shall mean any share of the Company</w:t>
            </w:r>
            <w:r>
              <w:rPr>
                <w:rFonts w:ascii="Arial" w:cs="Arial" w:eastAsia="Arial" w:hAnsi="Arial"/>
                <w:sz w:val="18"/>
                <w:szCs w:val="18"/>
                <w:i w:val="1"/>
                <w:iCs w:val="1"/>
                <w:color w:val="auto"/>
              </w:rPr>
              <w:t>.</w:t>
            </w:r>
          </w:p>
        </w:tc>
        <w:tc>
          <w:tcPr>
            <w:tcW w:w="100" w:type="dxa"/>
            <w:vAlign w:val="bottom"/>
          </w:tcPr>
          <w:p>
            <w:pPr>
              <w:spacing w:after="0"/>
              <w:rPr>
                <w:sz w:val="24"/>
                <w:szCs w:val="24"/>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b w:val="1"/>
                <w:bCs w:val="1"/>
                <w:color w:val="auto"/>
              </w:rPr>
              <w:t>Subscription Agreement</w:t>
            </w:r>
          </w:p>
        </w:tc>
        <w:tc>
          <w:tcPr>
            <w:tcW w:w="9020" w:type="dxa"/>
            <w:vAlign w:val="bottom"/>
          </w:tcPr>
          <w:p>
            <w:pPr>
              <w:ind w:left="340"/>
              <w:spacing w:after="0"/>
              <w:rPr>
                <w:sz w:val="20"/>
                <w:szCs w:val="20"/>
                <w:color w:val="auto"/>
              </w:rPr>
            </w:pPr>
            <w:r>
              <w:rPr>
                <w:rFonts w:ascii="Arial" w:cs="Arial" w:eastAsia="Arial" w:hAnsi="Arial"/>
                <w:sz w:val="18"/>
                <w:szCs w:val="18"/>
                <w:color w:val="auto"/>
              </w:rPr>
              <w:t>means this Subscription Agreement.</w:t>
            </w:r>
          </w:p>
        </w:tc>
        <w:tc>
          <w:tcPr>
            <w:tcW w:w="100" w:type="dxa"/>
            <w:vAlign w:val="bottom"/>
          </w:tcPr>
          <w:p>
            <w:pPr>
              <w:spacing w:after="0"/>
              <w:rPr>
                <w:sz w:val="24"/>
                <w:szCs w:val="24"/>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b w:val="1"/>
                <w:bCs w:val="1"/>
                <w:color w:val="auto"/>
              </w:rPr>
              <w:t>Subscription Form</w:t>
            </w:r>
          </w:p>
        </w:tc>
        <w:tc>
          <w:tcPr>
            <w:tcW w:w="9020" w:type="dxa"/>
            <w:vAlign w:val="bottom"/>
          </w:tcPr>
          <w:p>
            <w:pPr>
              <w:ind w:left="340"/>
              <w:spacing w:after="0"/>
              <w:rPr>
                <w:sz w:val="20"/>
                <w:szCs w:val="20"/>
                <w:color w:val="auto"/>
              </w:rPr>
            </w:pPr>
            <w:r>
              <w:rPr>
                <w:rFonts w:ascii="Arial" w:cs="Arial" w:eastAsia="Arial" w:hAnsi="Arial"/>
                <w:sz w:val="18"/>
                <w:szCs w:val="18"/>
                <w:color w:val="auto"/>
              </w:rPr>
              <w:t>shall have the meaning as defined in Section 3.2</w:t>
            </w:r>
            <w:r>
              <w:rPr>
                <w:rFonts w:ascii="Arial" w:cs="Arial" w:eastAsia="Arial" w:hAnsi="Arial"/>
                <w:sz w:val="18"/>
                <w:szCs w:val="18"/>
                <w:i w:val="1"/>
                <w:iCs w:val="1"/>
                <w:color w:val="auto"/>
              </w:rPr>
              <w:t>.</w:t>
            </w:r>
          </w:p>
        </w:tc>
        <w:tc>
          <w:tcPr>
            <w:tcW w:w="100" w:type="dxa"/>
            <w:vAlign w:val="bottom"/>
          </w:tcPr>
          <w:p>
            <w:pPr>
              <w:spacing w:after="0"/>
              <w:rPr>
                <w:sz w:val="24"/>
                <w:szCs w:val="24"/>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b w:val="1"/>
                <w:bCs w:val="1"/>
                <w:color w:val="auto"/>
              </w:rPr>
              <w:t>Tax Authority</w:t>
            </w: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w w:val="90"/>
              </w:rPr>
              <w:t>shall mean any governmental or other authority whatsoever competent to impose, collect or assess any Taxes, whether in</w:t>
            </w:r>
          </w:p>
        </w:tc>
      </w:tr>
      <w:tr>
        <w:trPr>
          <w:trHeight w:val="230"/>
        </w:trPr>
        <w:tc>
          <w:tcPr>
            <w:tcW w:w="2300" w:type="dxa"/>
            <w:vAlign w:val="bottom"/>
          </w:tcPr>
          <w:p>
            <w:pPr>
              <w:spacing w:after="0"/>
              <w:rPr>
                <w:sz w:val="20"/>
                <w:szCs w:val="20"/>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Switzerland or elsewhere.</w:t>
            </w:r>
          </w:p>
        </w:tc>
        <w:tc>
          <w:tcPr>
            <w:tcW w:w="100" w:type="dxa"/>
            <w:vAlign w:val="bottom"/>
          </w:tcPr>
          <w:p>
            <w:pPr>
              <w:spacing w:after="0"/>
              <w:rPr>
                <w:sz w:val="20"/>
                <w:szCs w:val="20"/>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b w:val="1"/>
                <w:bCs w:val="1"/>
                <w:color w:val="auto"/>
              </w:rPr>
              <w:t>Taxes</w:t>
            </w:r>
          </w:p>
        </w:tc>
        <w:tc>
          <w:tcPr>
            <w:tcW w:w="9020" w:type="dxa"/>
            <w:vAlign w:val="bottom"/>
          </w:tcPr>
          <w:p>
            <w:pPr>
              <w:ind w:left="340"/>
              <w:spacing w:after="0"/>
              <w:rPr>
                <w:sz w:val="20"/>
                <w:szCs w:val="20"/>
                <w:color w:val="auto"/>
              </w:rPr>
            </w:pPr>
            <w:r>
              <w:rPr>
                <w:rFonts w:ascii="Arial" w:cs="Arial" w:eastAsia="Arial" w:hAnsi="Arial"/>
                <w:sz w:val="18"/>
                <w:szCs w:val="18"/>
                <w:color w:val="auto"/>
                <w:w w:val="93"/>
              </w:rPr>
              <w:t>shall mean all forms of taxation and statutory, governmental, state, federal, provincial, local, government or municipal</w:t>
            </w:r>
          </w:p>
        </w:tc>
        <w:tc>
          <w:tcPr>
            <w:tcW w:w="10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w w:val="91"/>
              </w:rPr>
              <w:t>charges, duties, imposts, contributions, levies, withholdings or liabilities wherever chargeable and whether of Switzerland</w:t>
            </w:r>
          </w:p>
        </w:tc>
      </w:tr>
      <w:tr>
        <w:trPr>
          <w:trHeight w:val="216"/>
        </w:trPr>
        <w:tc>
          <w:tcPr>
            <w:tcW w:w="230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w w:val="92"/>
              </w:rPr>
              <w:t>or any other jurisdiction, and any penalty, fine, surcharge, interest, charges or costs relating thereto or to any account,</w:t>
            </w: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w w:val="93"/>
              </w:rPr>
              <w:t>record, form, return or computation required to be kept, preserved, maintained or submitted to any Tax Authority, and</w:t>
            </w:r>
          </w:p>
        </w:tc>
        <w:tc>
          <w:tcPr>
            <w:tcW w:w="10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Taxation shall have the same meaning.</w:t>
            </w:r>
          </w:p>
        </w:tc>
        <w:tc>
          <w:tcPr>
            <w:tcW w:w="100" w:type="dxa"/>
            <w:vAlign w:val="bottom"/>
          </w:tcPr>
          <w:p>
            <w:pPr>
              <w:spacing w:after="0"/>
              <w:rPr>
                <w:sz w:val="20"/>
                <w:szCs w:val="20"/>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b w:val="1"/>
                <w:bCs w:val="1"/>
                <w:color w:val="auto"/>
              </w:rPr>
              <w:t>Transaction Documents</w:t>
            </w:r>
          </w:p>
        </w:tc>
        <w:tc>
          <w:tcPr>
            <w:tcW w:w="9020" w:type="dxa"/>
            <w:vAlign w:val="bottom"/>
          </w:tcPr>
          <w:p>
            <w:pPr>
              <w:ind w:left="340"/>
              <w:spacing w:after="0"/>
              <w:rPr>
                <w:sz w:val="20"/>
                <w:szCs w:val="20"/>
                <w:color w:val="auto"/>
              </w:rPr>
            </w:pPr>
            <w:r>
              <w:rPr>
                <w:rFonts w:ascii="Arial" w:cs="Arial" w:eastAsia="Arial" w:hAnsi="Arial"/>
                <w:sz w:val="18"/>
                <w:szCs w:val="18"/>
                <w:color w:val="auto"/>
                <w:w w:val="98"/>
              </w:rPr>
              <w:t>shall mean, collectively, the Subscription Agreement, the Registration Rights Agreement and the Shareholders’</w:t>
            </w:r>
          </w:p>
        </w:tc>
        <w:tc>
          <w:tcPr>
            <w:tcW w:w="10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9020" w:type="dxa"/>
            <w:vAlign w:val="bottom"/>
          </w:tcPr>
          <w:p>
            <w:pPr>
              <w:ind w:left="340"/>
              <w:spacing w:after="0"/>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20"/>
                <w:szCs w:val="20"/>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0" w:hanging="672"/>
        <w:spacing w:after="0"/>
        <w:tabs>
          <w:tab w:leader="none" w:pos="680"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CURRENT EQUITY STRUCTURE OF THE COMPANY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Share capital</w:t>
      </w:r>
    </w:p>
    <w:p>
      <w:pPr>
        <w:spacing w:after="0" w:line="117" w:lineRule="exact"/>
        <w:rPr>
          <w:sz w:val="20"/>
          <w:szCs w:val="20"/>
          <w:color w:val="auto"/>
        </w:rPr>
      </w:pPr>
    </w:p>
    <w:p>
      <w:pPr>
        <w:ind w:left="700" w:right="100"/>
        <w:spacing w:after="0" w:line="279" w:lineRule="auto"/>
        <w:rPr>
          <w:sz w:val="20"/>
          <w:szCs w:val="20"/>
          <w:color w:val="auto"/>
        </w:rPr>
      </w:pPr>
      <w:r>
        <w:rPr>
          <w:rFonts w:ascii="Arial" w:cs="Arial" w:eastAsia="Arial" w:hAnsi="Arial"/>
          <w:sz w:val="17"/>
          <w:szCs w:val="17"/>
          <w:color w:val="auto"/>
        </w:rPr>
        <w:t>As at the date of this Subscription Agreement the Company has an issued statutory share capital in the nominal amount of CHF 853’900.00 divided into 34’532 Common Shares with a nominal value of CHF 5.00 each, 14’152 registered Series A Preferred Shares, 67’130 registered Series B Preferred Shares, 38’476 Series C Preferred Shares and 16’490 registered Series D Preferred Shares. In addition, the Company has a conditional share capital of CHF 92’010.00 corresponding to up to 18’402 Common Shares. The Company has no treasury shares.</w:t>
      </w:r>
    </w:p>
    <w:p>
      <w:pPr>
        <w:sectPr>
          <w:pgSz w:w="11900" w:h="16838" w:orient="portrait"/>
          <w:cols w:equalWidth="0" w:num="1">
            <w:col w:w="11420"/>
          </w:cols>
          <w:pgMar w:left="240" w:top="273" w:right="239" w:bottom="1440" w:gutter="0" w:footer="0" w:header="0"/>
        </w:sectPr>
      </w:pPr>
    </w:p>
    <w:bookmarkStart w:id="652" w:name="page653"/>
    <w:bookmarkEnd w:id="652"/>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Articles of Association</w:t>
      </w:r>
    </w:p>
    <w:p>
      <w:pPr>
        <w:spacing w:after="0" w:line="117" w:lineRule="exact"/>
        <w:rPr>
          <w:sz w:val="20"/>
          <w:szCs w:val="20"/>
          <w:color w:val="auto"/>
        </w:rPr>
      </w:pPr>
    </w:p>
    <w:p>
      <w:pPr>
        <w:ind w:left="700" w:right="440"/>
        <w:spacing w:after="0" w:line="277" w:lineRule="auto"/>
        <w:rPr>
          <w:sz w:val="20"/>
          <w:szCs w:val="20"/>
          <w:color w:val="auto"/>
        </w:rPr>
      </w:pPr>
      <w:r>
        <w:rPr>
          <w:rFonts w:ascii="Arial" w:cs="Arial" w:eastAsia="Arial" w:hAnsi="Arial"/>
          <w:sz w:val="18"/>
          <w:szCs w:val="18"/>
          <w:color w:val="auto"/>
        </w:rPr>
        <w:t xml:space="preserve">The current Articles of Association (not yet reflecting the Series E Financing Round and not reflecting the exercise of 502 options in 2015) are enclosed as </w:t>
      </w:r>
      <w:r>
        <w:rPr>
          <w:rFonts w:ascii="Arial" w:cs="Arial" w:eastAsia="Arial" w:hAnsi="Arial"/>
          <w:sz w:val="18"/>
          <w:szCs w:val="18"/>
          <w:b w:val="1"/>
          <w:bCs w:val="1"/>
          <w:color w:val="auto"/>
        </w:rPr>
        <w:t>Annex 2.2</w:t>
      </w:r>
    </w:p>
    <w:p>
      <w:pPr>
        <w:spacing w:after="0" w:line="315" w:lineRule="exact"/>
        <w:rPr>
          <w:sz w:val="20"/>
          <w:szCs w:val="20"/>
          <w:color w:val="auto"/>
        </w:rPr>
      </w:pPr>
    </w:p>
    <w:p>
      <w:pPr>
        <w:ind w:left="680" w:hanging="672"/>
        <w:spacing w:after="0"/>
        <w:tabs>
          <w:tab w:leader="none" w:pos="68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INCREASE OF SHARE CAPITAL (SERIES E FINANCING ROUND)</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Subscription Undertaking</w:t>
      </w:r>
    </w:p>
    <w:p>
      <w:pPr>
        <w:spacing w:after="0" w:line="117" w:lineRule="exact"/>
        <w:rPr>
          <w:sz w:val="20"/>
          <w:szCs w:val="20"/>
          <w:color w:val="auto"/>
        </w:rPr>
      </w:pPr>
    </w:p>
    <w:p>
      <w:pPr>
        <w:ind w:left="700" w:right="440"/>
        <w:spacing w:after="0" w:line="277" w:lineRule="auto"/>
        <w:rPr>
          <w:sz w:val="20"/>
          <w:szCs w:val="20"/>
          <w:color w:val="auto"/>
        </w:rPr>
      </w:pPr>
      <w:r>
        <w:rPr>
          <w:rFonts w:ascii="Arial" w:cs="Arial" w:eastAsia="Arial" w:hAnsi="Arial"/>
          <w:sz w:val="18"/>
          <w:szCs w:val="18"/>
          <w:color w:val="auto"/>
        </w:rPr>
        <w:t>Subject to the terms and conditions of this Subscription Agreement, the Company shall issue at Closing to V-Sciences a total of 4’150 Series E Preferred Shares with a nominal value of CHF 5.00 each.</w:t>
      </w:r>
    </w:p>
    <w:p>
      <w:pPr>
        <w:spacing w:after="0" w:line="62" w:lineRule="exact"/>
        <w:rPr>
          <w:sz w:val="20"/>
          <w:szCs w:val="20"/>
          <w:color w:val="auto"/>
        </w:rPr>
      </w:pPr>
    </w:p>
    <w:p>
      <w:pPr>
        <w:ind w:left="700" w:right="80"/>
        <w:spacing w:after="0" w:line="257" w:lineRule="auto"/>
        <w:rPr>
          <w:sz w:val="20"/>
          <w:szCs w:val="20"/>
          <w:color w:val="auto"/>
        </w:rPr>
      </w:pPr>
      <w:r>
        <w:rPr>
          <w:rFonts w:ascii="Arial" w:cs="Arial" w:eastAsia="Arial" w:hAnsi="Arial"/>
          <w:sz w:val="18"/>
          <w:szCs w:val="18"/>
          <w:color w:val="auto"/>
        </w:rPr>
        <w:t>Subject to the terms and conditions of this Subscription Agreement, each Investor agrees, severally and not jointly, to subscribe Series E Preferred Shares at the signing of this Subscription Agreement, for an amount of USD 2’409.06 (in words: two thousand four hundred and nine point zero six U.S. Dollars) for each Series E Preferred Share (“</w:t>
      </w:r>
      <w:r>
        <w:rPr>
          <w:rFonts w:ascii="Arial" w:cs="Arial" w:eastAsia="Arial" w:hAnsi="Arial"/>
          <w:sz w:val="18"/>
          <w:szCs w:val="18"/>
          <w:b w:val="1"/>
          <w:bCs w:val="1"/>
          <w:color w:val="auto"/>
        </w:rPr>
        <w:t>Series E Original Issue Price</w:t>
      </w:r>
      <w:r>
        <w:rPr>
          <w:rFonts w:ascii="Arial" w:cs="Arial" w:eastAsia="Arial" w:hAnsi="Arial"/>
          <w:sz w:val="18"/>
          <w:szCs w:val="18"/>
          <w:color w:val="auto"/>
        </w:rPr>
        <w:t>”). The amount of USD 2’409.06 per share shall be payable at Closing whereby the amount exceeding the nominal value of the new Series E shares shall be booked as reserves from capital paid in (</w:t>
      </w:r>
      <w:r>
        <w:rPr>
          <w:rFonts w:ascii="Arial" w:cs="Arial" w:eastAsia="Arial" w:hAnsi="Arial"/>
          <w:sz w:val="18"/>
          <w:szCs w:val="18"/>
          <w:i w:val="1"/>
          <w:iCs w:val="1"/>
          <w:color w:val="auto"/>
        </w:rPr>
        <w:t>Kapitaleinlagereserven</w:t>
      </w:r>
      <w:r>
        <w:rPr>
          <w:rFonts w:ascii="Arial" w:cs="Arial" w:eastAsia="Arial" w:hAnsi="Arial"/>
          <w:sz w:val="18"/>
          <w:szCs w:val="18"/>
          <w:color w:val="auto"/>
        </w:rPr>
        <w:t>). The commitment by each Investor shall be as follows:</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Party</w:t>
            </w:r>
          </w:p>
        </w:tc>
        <w:tc>
          <w:tcPr>
            <w:tcW w:w="33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Series E</w:t>
            </w:r>
          </w:p>
        </w:tc>
        <w:tc>
          <w:tcPr>
            <w:tcW w:w="5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Subscription amount</w:t>
            </w:r>
          </w:p>
        </w:tc>
        <w:tc>
          <w:tcPr>
            <w:tcW w:w="0" w:type="dxa"/>
            <w:vAlign w:val="bottom"/>
          </w:tcPr>
          <w:p>
            <w:pPr>
              <w:spacing w:after="0"/>
              <w:rPr>
                <w:sz w:val="1"/>
                <w:szCs w:val="1"/>
                <w:color w:val="auto"/>
              </w:rPr>
            </w:pPr>
          </w:p>
        </w:tc>
      </w:tr>
      <w:tr>
        <w:trPr>
          <w:trHeight w:val="178"/>
        </w:trPr>
        <w:tc>
          <w:tcPr>
            <w:tcW w:w="3180" w:type="dxa"/>
            <w:vAlign w:val="bottom"/>
            <w:gridSpan w:val="3"/>
            <w:vMerge w:val="continue"/>
          </w:tcPr>
          <w:p>
            <w:pPr>
              <w:spacing w:after="0"/>
              <w:rPr>
                <w:sz w:val="15"/>
                <w:szCs w:val="15"/>
                <w:color w:val="auto"/>
              </w:rPr>
            </w:pPr>
          </w:p>
        </w:tc>
        <w:tc>
          <w:tcPr>
            <w:tcW w:w="2100" w:type="dxa"/>
            <w:vAlign w:val="bottom"/>
          </w:tcPr>
          <w:p>
            <w:pPr>
              <w:spacing w:after="0"/>
              <w:rPr>
                <w:sz w:val="15"/>
                <w:szCs w:val="15"/>
                <w:color w:val="auto"/>
              </w:rPr>
            </w:pPr>
          </w:p>
        </w:tc>
        <w:tc>
          <w:tcPr>
            <w:tcW w:w="1200" w:type="dxa"/>
            <w:vAlign w:val="bottom"/>
          </w:tcPr>
          <w:p>
            <w:pPr>
              <w:jc w:val="right"/>
              <w:ind w:right="34"/>
              <w:spacing w:after="0" w:line="158" w:lineRule="exact"/>
              <w:rPr>
                <w:sz w:val="20"/>
                <w:szCs w:val="20"/>
                <w:color w:val="auto"/>
              </w:rPr>
            </w:pPr>
            <w:r>
              <w:rPr>
                <w:rFonts w:ascii="Arial" w:cs="Arial" w:eastAsia="Arial" w:hAnsi="Arial"/>
                <w:sz w:val="14"/>
                <w:szCs w:val="14"/>
                <w:b w:val="1"/>
                <w:bCs w:val="1"/>
                <w:color w:val="auto"/>
              </w:rPr>
              <w:t>Preferred Share</w:t>
            </w:r>
          </w:p>
        </w:tc>
        <w:tc>
          <w:tcPr>
            <w:tcW w:w="500" w:type="dxa"/>
            <w:vAlign w:val="bottom"/>
          </w:tcPr>
          <w:p>
            <w:pPr>
              <w:spacing w:after="0"/>
              <w:rPr>
                <w:sz w:val="15"/>
                <w:szCs w:val="15"/>
                <w:color w:val="auto"/>
              </w:rPr>
            </w:pP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Closing (in USD)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V-Sciences</w:t>
            </w:r>
          </w:p>
        </w:tc>
        <w:tc>
          <w:tcPr>
            <w:tcW w:w="228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4’150</w:t>
            </w:r>
          </w:p>
        </w:tc>
        <w:tc>
          <w:tcPr>
            <w:tcW w:w="5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9’997’599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Other investors</w:t>
            </w:r>
          </w:p>
        </w:tc>
        <w:tc>
          <w:tcPr>
            <w:tcW w:w="2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Up to 16’386</w:t>
            </w:r>
          </w:p>
        </w:tc>
        <w:tc>
          <w:tcPr>
            <w:tcW w:w="5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Up to 39’474’857.16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overall</w:t>
            </w:r>
          </w:p>
        </w:tc>
        <w:tc>
          <w:tcPr>
            <w:tcW w:w="2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Up to 20’536</w:t>
            </w:r>
          </w:p>
        </w:tc>
        <w:tc>
          <w:tcPr>
            <w:tcW w:w="5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Up to 49’472’456.16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700" w:right="100"/>
        <w:spacing w:after="0" w:line="282" w:lineRule="auto"/>
        <w:rPr>
          <w:sz w:val="20"/>
          <w:szCs w:val="20"/>
          <w:color w:val="auto"/>
        </w:rPr>
      </w:pPr>
      <w:r>
        <w:rPr>
          <w:rFonts w:ascii="Arial" w:cs="Arial" w:eastAsia="Arial" w:hAnsi="Arial"/>
          <w:sz w:val="18"/>
          <w:szCs w:val="18"/>
          <w:color w:val="auto"/>
        </w:rPr>
        <w:t xml:space="preserve">Each Investor other than V-Sciences shall indicate the commitment by such Investor in an adherence declaration substantially in the form of </w:t>
      </w:r>
      <w:r>
        <w:rPr>
          <w:rFonts w:ascii="Arial" w:cs="Arial" w:eastAsia="Arial" w:hAnsi="Arial"/>
          <w:sz w:val="18"/>
          <w:szCs w:val="18"/>
          <w:b w:val="1"/>
          <w:bCs w:val="1"/>
          <w:color w:val="auto"/>
        </w:rPr>
        <w:t>Annex</w:t>
      </w:r>
      <w:r>
        <w:rPr>
          <w:rFonts w:ascii="Arial" w:cs="Arial" w:eastAsia="Arial" w:hAnsi="Arial"/>
          <w:sz w:val="18"/>
          <w:szCs w:val="18"/>
          <w:color w:val="auto"/>
        </w:rPr>
        <w:t xml:space="preserve"> </w:t>
      </w:r>
      <w:r>
        <w:rPr>
          <w:rFonts w:ascii="Arial" w:cs="Arial" w:eastAsia="Arial" w:hAnsi="Arial"/>
          <w:sz w:val="18"/>
          <w:szCs w:val="18"/>
          <w:b w:val="1"/>
          <w:bCs w:val="1"/>
          <w:color w:val="auto"/>
        </w:rPr>
        <w:t>3.1</w:t>
      </w:r>
    </w:p>
    <w:p>
      <w:pPr>
        <w:spacing w:after="0" w:line="31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Payment Undertaking at Closing</w:t>
      </w:r>
    </w:p>
    <w:p>
      <w:pPr>
        <w:spacing w:after="0" w:line="117"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 xml:space="preserve">In implementation of the subscription in cash undertaking, each Investor hereby undertakes to execute and deliver to the Company on or prior to the Closing a subscription form as required by Swiss corporate law substantially in the form attached hereto as </w:t>
      </w:r>
      <w:r>
        <w:rPr>
          <w:rFonts w:ascii="Arial" w:cs="Arial" w:eastAsia="Arial" w:hAnsi="Arial"/>
          <w:sz w:val="18"/>
          <w:szCs w:val="18"/>
          <w:b w:val="1"/>
          <w:bCs w:val="1"/>
          <w:color w:val="auto"/>
        </w:rPr>
        <w:t>Annex 3.2 (</w:t>
      </w:r>
      <w:r>
        <w:rPr>
          <w:rFonts w:ascii="Arial" w:cs="Arial" w:eastAsia="Arial" w:hAnsi="Arial"/>
          <w:sz w:val="18"/>
          <w:szCs w:val="18"/>
          <w:color w:val="auto"/>
        </w:rPr>
        <w:t>“</w:t>
      </w:r>
      <w:r>
        <w:rPr>
          <w:rFonts w:ascii="Arial" w:cs="Arial" w:eastAsia="Arial" w:hAnsi="Arial"/>
          <w:sz w:val="18"/>
          <w:szCs w:val="18"/>
          <w:b w:val="1"/>
          <w:bCs w:val="1"/>
          <w:color w:val="auto"/>
        </w:rPr>
        <w:t>Subscription Form</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pay the corresponding subscription amount to the following blocked capital account in the name of the Company (“</w:t>
      </w:r>
      <w:r>
        <w:rPr>
          <w:rFonts w:ascii="Arial" w:cs="Arial" w:eastAsia="Arial" w:hAnsi="Arial"/>
          <w:sz w:val="18"/>
          <w:szCs w:val="18"/>
          <w:b w:val="1"/>
          <w:bCs w:val="1"/>
          <w:color w:val="auto"/>
        </w:rPr>
        <w:t>Blocked Capital Account</w:t>
      </w:r>
      <w:r>
        <w:rPr>
          <w:rFonts w:ascii="Arial" w:cs="Arial" w:eastAsia="Arial" w:hAnsi="Arial"/>
          <w:sz w:val="18"/>
          <w:szCs w:val="18"/>
          <w:color w:val="auto"/>
        </w:rPr>
        <w:t xml:space="preserve">”; </w:t>
      </w:r>
      <w:r>
        <w:rPr>
          <w:rFonts w:ascii="Arial" w:cs="Arial" w:eastAsia="Arial" w:hAnsi="Arial"/>
          <w:sz w:val="18"/>
          <w:szCs w:val="18"/>
          <w:i w:val="1"/>
          <w:iCs w:val="1"/>
          <w:color w:val="auto"/>
        </w:rPr>
        <w:t>Kapitaleinzahlungssperrkonto / compte de consignation</w:t>
      </w:r>
      <w:r>
        <w:rPr>
          <w:rFonts w:ascii="Arial" w:cs="Arial" w:eastAsia="Arial" w:hAnsi="Arial"/>
          <w:sz w:val="18"/>
          <w:szCs w:val="18"/>
          <w:color w:val="auto"/>
        </w:rPr>
        <w:t>):</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Please send cash (USD) to the following bank:</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Bank of New York Mellon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One Wall Street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US-New York</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ABA 021000018</w:t>
      </w:r>
    </w:p>
    <w:p>
      <w:pPr>
        <w:sectPr>
          <w:pgSz w:w="11900" w:h="16838" w:orient="portrait"/>
          <w:cols w:equalWidth="0" w:num="1">
            <w:col w:w="11420"/>
          </w:cols>
          <w:pgMar w:left="240" w:top="275" w:right="239" w:bottom="1440" w:gutter="0" w:footer="0" w:header="0"/>
        </w:sectPr>
      </w:pPr>
    </w:p>
    <w:bookmarkStart w:id="653" w:name="page654"/>
    <w:bookmarkEnd w:id="653"/>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b w:val="1"/>
          <w:bCs w:val="1"/>
          <w:color w:val="auto"/>
        </w:rPr>
        <w:t>Swift-Code (BIC):</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IRVTUS3NXXX</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 further credit to (Field 57):</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A/C-Nr: 8033342099</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Credit Suisse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CH-8070 Zurich</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 MT103 to:</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CRESCHZZ80A</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Beneficiary’s name (Field 59):</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 Immune SA, Lausanne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Beneficiary’s IBAN (A/C No) (Field 59):</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CH72 0483 5173 7769 4200 7</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Reference:</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Share Capital Increase of AC Immune SA</w:t>
      </w:r>
    </w:p>
    <w:p>
      <w:pPr>
        <w:spacing w:after="0" w:line="3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Resolution passed by the Extraordinary General Meeting</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resolution shall be passed at the Extraordinary General Meeting on the Closing:</w:t>
      </w:r>
    </w:p>
    <w:p>
      <w:pPr>
        <w:spacing w:after="0" w:line="131" w:lineRule="exact"/>
        <w:rPr>
          <w:sz w:val="20"/>
          <w:szCs w:val="20"/>
          <w:color w:val="auto"/>
        </w:rPr>
      </w:pPr>
    </w:p>
    <w:p>
      <w:pPr>
        <w:ind w:left="1120" w:right="60" w:hanging="437"/>
        <w:spacing w:after="0" w:line="276" w:lineRule="auto"/>
        <w:tabs>
          <w:tab w:leader="none" w:pos="1120" w:val="left"/>
        </w:tabs>
        <w:numPr>
          <w:ilvl w:val="0"/>
          <w:numId w:val="509"/>
        </w:numPr>
        <w:rPr>
          <w:rFonts w:ascii="Arial" w:cs="Arial" w:eastAsia="Arial" w:hAnsi="Arial"/>
          <w:sz w:val="17"/>
          <w:szCs w:val="17"/>
          <w:color w:val="auto"/>
        </w:rPr>
      </w:pPr>
      <w:r>
        <w:rPr>
          <w:rFonts w:ascii="Arial" w:cs="Arial" w:eastAsia="Arial" w:hAnsi="Arial"/>
          <w:sz w:val="17"/>
          <w:szCs w:val="17"/>
          <w:color w:val="auto"/>
        </w:rPr>
        <w:t>to increase the nominal statutory share capital of the Company by the total amount of the Series E Original Issue Price of all Series E Preferred Shares validly subscriped for pursuant to Section 3.2 of this Subscription Agreement through the issuance of the number of Series E Preferred Shares validly subscribed for pursuant to Section 3.2 of this Subscription Agreement but by the aggregate amount of a maximum of CHF 102’680 to up to CHF 956’580 through the issuance of a maximum of 20’536 new Series E Preferred Shares with a nominal value of CHF 5.00 each at the subscription amount to be determined by the Board; and</w:t>
      </w:r>
    </w:p>
    <w:p>
      <w:pPr>
        <w:spacing w:after="0" w:line="73" w:lineRule="exact"/>
        <w:rPr>
          <w:rFonts w:ascii="Arial" w:cs="Arial" w:eastAsia="Arial" w:hAnsi="Arial"/>
          <w:sz w:val="17"/>
          <w:szCs w:val="17"/>
          <w:color w:val="auto"/>
        </w:rPr>
      </w:pPr>
    </w:p>
    <w:p>
      <w:pPr>
        <w:ind w:left="1120" w:hanging="437"/>
        <w:spacing w:after="0"/>
        <w:tabs>
          <w:tab w:leader="none" w:pos="1120" w:val="left"/>
        </w:tabs>
        <w:numPr>
          <w:ilvl w:val="0"/>
          <w:numId w:val="509"/>
        </w:numPr>
        <w:rPr>
          <w:rFonts w:ascii="Arial" w:cs="Arial" w:eastAsia="Arial" w:hAnsi="Arial"/>
          <w:sz w:val="16"/>
          <w:szCs w:val="16"/>
          <w:color w:val="auto"/>
        </w:rPr>
      </w:pPr>
      <w:r>
        <w:rPr>
          <w:rFonts w:ascii="Arial" w:cs="Arial" w:eastAsia="Arial" w:hAnsi="Arial"/>
          <w:sz w:val="16"/>
          <w:szCs w:val="16"/>
          <w:color w:val="auto"/>
        </w:rPr>
        <w:t xml:space="preserve">to adopt the Revised Articles of Association in </w:t>
      </w:r>
      <w:r>
        <w:rPr>
          <w:rFonts w:ascii="Arial" w:cs="Arial" w:eastAsia="Arial" w:hAnsi="Arial"/>
          <w:sz w:val="16"/>
          <w:szCs w:val="16"/>
          <w:b w:val="1"/>
          <w:bCs w:val="1"/>
          <w:color w:val="auto"/>
        </w:rPr>
        <w:t>Annex 3.3</w:t>
      </w:r>
      <w:r>
        <w:rPr>
          <w:rFonts w:ascii="Arial" w:cs="Arial" w:eastAsia="Arial" w:hAnsi="Arial"/>
          <w:sz w:val="16"/>
          <w:szCs w:val="16"/>
          <w:color w:val="auto"/>
        </w:rPr>
        <w:t xml:space="preserve"> as to all items except the share capital and the numbers of Series E Preferred Shares</w:t>
      </w:r>
    </w:p>
    <w:p>
      <w:pPr>
        <w:spacing w:after="0" w:line="200" w:lineRule="exact"/>
        <w:rPr>
          <w:sz w:val="20"/>
          <w:szCs w:val="20"/>
          <w:color w:val="auto"/>
        </w:rPr>
      </w:pP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Resolution of the Board</w:t>
      </w:r>
    </w:p>
    <w:p>
      <w:pPr>
        <w:spacing w:after="0" w:line="117"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 xml:space="preserve">The Company undertakes to procure that the Board of Directors of the Company will prior to Closing approve the issuance of the Series E Preferred Shares at the Series E Original Issue Price (execution resolution, </w:t>
      </w:r>
      <w:r>
        <w:rPr>
          <w:rFonts w:ascii="Arial" w:cs="Arial" w:eastAsia="Arial" w:hAnsi="Arial"/>
          <w:sz w:val="18"/>
          <w:szCs w:val="18"/>
          <w:i w:val="1"/>
          <w:iCs w:val="1"/>
          <w:color w:val="auto"/>
        </w:rPr>
        <w:t>Durchführungsbeschluss</w:t>
      </w:r>
      <w:r>
        <w:rPr>
          <w:rFonts w:ascii="Arial" w:cs="Arial" w:eastAsia="Arial" w:hAnsi="Arial"/>
          <w:sz w:val="18"/>
          <w:szCs w:val="18"/>
          <w:color w:val="auto"/>
        </w:rPr>
        <w:t>).</w:t>
      </w:r>
    </w:p>
    <w:p>
      <w:pPr>
        <w:spacing w:after="0" w:line="315" w:lineRule="exact"/>
        <w:rPr>
          <w:sz w:val="20"/>
          <w:szCs w:val="20"/>
          <w:color w:val="auto"/>
        </w:rPr>
      </w:pPr>
    </w:p>
    <w:p>
      <w:pPr>
        <w:ind w:left="680" w:hanging="672"/>
        <w:spacing w:after="0"/>
        <w:tabs>
          <w:tab w:leader="none" w:pos="680"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STRUCTURE AFTER SERIES E FINANCING ROUND</w:t>
      </w:r>
    </w:p>
    <w:p>
      <w:pPr>
        <w:spacing w:after="0" w:line="121" w:lineRule="exact"/>
        <w:rPr>
          <w:rFonts w:ascii="Arial" w:cs="Arial" w:eastAsia="Arial" w:hAnsi="Arial"/>
          <w:sz w:val="18"/>
          <w:szCs w:val="18"/>
          <w:b w:val="1"/>
          <w:bCs w:val="1"/>
          <w:color w:val="auto"/>
        </w:rPr>
      </w:pPr>
    </w:p>
    <w:p>
      <w:pPr>
        <w:ind w:left="7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Prior and after completion of the initial closing of the Series E Financing Round, the ownership structure of the Company shall be as specified in the capitalization table set forth in </w:t>
      </w:r>
      <w:r>
        <w:rPr>
          <w:rFonts w:ascii="Arial" w:cs="Arial" w:eastAsia="Arial" w:hAnsi="Arial"/>
          <w:sz w:val="18"/>
          <w:szCs w:val="18"/>
          <w:b w:val="1"/>
          <w:bCs w:val="1"/>
          <w:color w:val="auto"/>
        </w:rPr>
        <w:t>Annex 4</w:t>
      </w:r>
      <w:r>
        <w:rPr>
          <w:rFonts w:ascii="Arial" w:cs="Arial" w:eastAsia="Arial" w:hAnsi="Arial"/>
          <w:sz w:val="18"/>
          <w:szCs w:val="18"/>
          <w:color w:val="auto"/>
        </w:rPr>
        <w:t>.</w:t>
      </w:r>
    </w:p>
    <w:p>
      <w:pPr>
        <w:sectPr>
          <w:pgSz w:w="11900" w:h="16838" w:orient="portrait"/>
          <w:cols w:equalWidth="0" w:num="1">
            <w:col w:w="11420"/>
          </w:cols>
          <w:pgMar w:left="240" w:top="273" w:right="239" w:bottom="1440" w:gutter="0" w:footer="0" w:header="0"/>
        </w:sectPr>
      </w:pPr>
    </w:p>
    <w:bookmarkStart w:id="654" w:name="page655"/>
    <w:bookmarkEnd w:id="654"/>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0" w:hanging="672"/>
        <w:spacing w:after="0"/>
        <w:tabs>
          <w:tab w:leader="none" w:pos="680" w:val="left"/>
        </w:tabs>
        <w:numPr>
          <w:ilvl w:val="0"/>
          <w:numId w:val="511"/>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Place and Date of Closing</w:t>
      </w:r>
    </w:p>
    <w:p>
      <w:pPr>
        <w:spacing w:after="0" w:line="113" w:lineRule="exact"/>
        <w:rPr>
          <w:sz w:val="20"/>
          <w:szCs w:val="20"/>
          <w:color w:val="auto"/>
        </w:rPr>
      </w:pPr>
    </w:p>
    <w:p>
      <w:pPr>
        <w:ind w:left="700" w:right="80"/>
        <w:spacing w:after="0" w:line="313" w:lineRule="auto"/>
        <w:rPr>
          <w:sz w:val="20"/>
          <w:szCs w:val="20"/>
          <w:color w:val="auto"/>
        </w:rPr>
      </w:pPr>
      <w:r>
        <w:rPr>
          <w:rFonts w:ascii="Arial" w:cs="Arial" w:eastAsia="Arial" w:hAnsi="Arial"/>
          <w:sz w:val="17"/>
          <w:szCs w:val="17"/>
          <w:color w:val="auto"/>
        </w:rPr>
        <w:t>The closing of the Series E Financing (“</w:t>
      </w:r>
      <w:r>
        <w:rPr>
          <w:rFonts w:ascii="Arial" w:cs="Arial" w:eastAsia="Arial" w:hAnsi="Arial"/>
          <w:sz w:val="17"/>
          <w:szCs w:val="17"/>
          <w:b w:val="1"/>
          <w:bCs w:val="1"/>
          <w:color w:val="auto"/>
        </w:rPr>
        <w:t>Closing</w:t>
      </w:r>
      <w:r>
        <w:rPr>
          <w:rFonts w:ascii="Arial" w:cs="Arial" w:eastAsia="Arial" w:hAnsi="Arial"/>
          <w:sz w:val="17"/>
          <w:szCs w:val="17"/>
          <w:color w:val="auto"/>
        </w:rPr>
        <w:t>”) shall take place on or around October 21, 2015, at 11.a.m. Swiss time at the offices of VISCHER AG, Aeschenvorstadt 4, 4010 Basel, Switzerland, or such other date or place as the Company and V-Sciences mutually agree.</w:t>
      </w: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Conditions Precedent to Closing</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color w:val="auto"/>
        </w:rPr>
        <w:t>Conditions in favor of V-Sciences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Closing shall be subject to the prior fulfillment of each of the following conditions precedent in favor of V-Sciences unless otherwise waived:</w:t>
      </w:r>
    </w:p>
    <w:p>
      <w:pPr>
        <w:spacing w:after="0" w:line="154" w:lineRule="exact"/>
        <w:rPr>
          <w:sz w:val="20"/>
          <w:szCs w:val="20"/>
          <w:color w:val="auto"/>
        </w:rPr>
      </w:pPr>
    </w:p>
    <w:p>
      <w:pPr>
        <w:ind w:left="1120" w:right="80" w:hanging="437"/>
        <w:spacing w:after="0" w:line="342" w:lineRule="auto"/>
        <w:tabs>
          <w:tab w:leader="none" w:pos="112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contained in Section 7.1 shall be true and correct in all material respects as of the Closing (except that representations and warranties qualified by materiality or a Material Adverse Effect shall be true and correct in all respects).</w:t>
      </w:r>
    </w:p>
    <w:p>
      <w:pPr>
        <w:spacing w:after="0" w:line="29" w:lineRule="exact"/>
        <w:rPr>
          <w:rFonts w:ascii="Arial" w:cs="Arial" w:eastAsia="Arial" w:hAnsi="Arial"/>
          <w:sz w:val="16"/>
          <w:szCs w:val="16"/>
          <w:color w:val="auto"/>
        </w:rPr>
      </w:pPr>
    </w:p>
    <w:p>
      <w:pPr>
        <w:ind w:left="1120" w:right="240" w:hanging="437"/>
        <w:spacing w:after="0" w:line="277" w:lineRule="auto"/>
        <w:tabs>
          <w:tab w:leader="none" w:pos="11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The Company shall have performed and complied with all covenants, agreements, obligations and conditions contained in this Subscription Agreement that are required to be performed or complied with by the Company on or before such Closing.</w:t>
      </w:r>
    </w:p>
    <w:p>
      <w:pPr>
        <w:spacing w:after="0" w:line="75" w:lineRule="exact"/>
        <w:rPr>
          <w:rFonts w:ascii="Arial" w:cs="Arial" w:eastAsia="Arial" w:hAnsi="Arial"/>
          <w:sz w:val="18"/>
          <w:szCs w:val="18"/>
          <w:color w:val="auto"/>
        </w:rPr>
      </w:pPr>
    </w:p>
    <w:p>
      <w:pPr>
        <w:ind w:left="1120" w:right="400" w:hanging="437"/>
        <w:spacing w:after="0" w:line="342" w:lineRule="auto"/>
        <w:tabs>
          <w:tab w:leader="none" w:pos="112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All authorizations, approvals or permits, if any, of any governmental authority or regulatory body that are required in connection with the lawful issuance and sale of the Shares pursuant to this Subscription Agreement shall be obtained and effective as of such Closing.</w:t>
      </w:r>
    </w:p>
    <w:p>
      <w:pPr>
        <w:spacing w:after="0" w:line="29" w:lineRule="exact"/>
        <w:rPr>
          <w:rFonts w:ascii="Arial" w:cs="Arial" w:eastAsia="Arial" w:hAnsi="Arial"/>
          <w:sz w:val="16"/>
          <w:szCs w:val="16"/>
          <w:color w:val="auto"/>
        </w:rPr>
      </w:pPr>
    </w:p>
    <w:p>
      <w:pPr>
        <w:ind w:left="1120" w:right="340" w:hanging="437"/>
        <w:spacing w:after="0" w:line="286" w:lineRule="auto"/>
        <w:tabs>
          <w:tab w:leader="none" w:pos="112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 xml:space="preserve">The Company, V-Sciences, any other investor participating in the Series E Round and the other shareholders of the Company representing 85% of all outstanding Shares prior to the Closing of the Series E Financing Round shall have executed and delivered the Shareholders’ Agreement (or a joinder agreement thereto), in substantially the form of </w:t>
      </w:r>
      <w:r>
        <w:rPr>
          <w:rFonts w:ascii="Arial" w:cs="Arial" w:eastAsia="Arial" w:hAnsi="Arial"/>
          <w:sz w:val="17"/>
          <w:szCs w:val="17"/>
          <w:b w:val="1"/>
          <w:bCs w:val="1"/>
          <w:color w:val="auto"/>
        </w:rPr>
        <w:t>Annex 0</w:t>
      </w:r>
      <w:r>
        <w:rPr>
          <w:rFonts w:ascii="Arial" w:cs="Arial" w:eastAsia="Arial" w:hAnsi="Arial"/>
          <w:sz w:val="17"/>
          <w:szCs w:val="17"/>
          <w:color w:val="auto"/>
        </w:rPr>
        <w:t xml:space="preserve"> hereto.</w:t>
      </w:r>
    </w:p>
    <w:p>
      <w:pPr>
        <w:spacing w:after="0" w:line="70" w:lineRule="exact"/>
        <w:rPr>
          <w:rFonts w:ascii="Arial" w:cs="Arial" w:eastAsia="Arial" w:hAnsi="Arial"/>
          <w:sz w:val="17"/>
          <w:szCs w:val="17"/>
          <w:color w:val="auto"/>
        </w:rPr>
      </w:pPr>
    </w:p>
    <w:p>
      <w:pPr>
        <w:ind w:left="1120" w:right="20" w:hanging="437"/>
        <w:spacing w:after="0" w:line="342" w:lineRule="auto"/>
        <w:tabs>
          <w:tab w:leader="none" w:pos="112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 xml:space="preserve">The Company, V-Sciences, any other Investor requesting so and the other shareholders of the Company named as parties thereto shall have executed and delivered the Registration Rights Agreement (or a joinder agreement thereto), in substantially the form of </w:t>
      </w:r>
      <w:r>
        <w:rPr>
          <w:rFonts w:ascii="Arial" w:cs="Arial" w:eastAsia="Arial" w:hAnsi="Arial"/>
          <w:sz w:val="16"/>
          <w:szCs w:val="16"/>
          <w:b w:val="1"/>
          <w:bCs w:val="1"/>
          <w:color w:val="auto"/>
        </w:rPr>
        <w:t>Annex 5.2.1(e)</w:t>
      </w:r>
      <w:r>
        <w:rPr>
          <w:rFonts w:ascii="Arial" w:cs="Arial" w:eastAsia="Arial" w:hAnsi="Arial"/>
          <w:sz w:val="16"/>
          <w:szCs w:val="16"/>
          <w:color w:val="auto"/>
        </w:rPr>
        <w:t xml:space="preserve"> hereto.</w:t>
      </w:r>
    </w:p>
    <w:p>
      <w:pPr>
        <w:spacing w:after="0" w:line="29" w:lineRule="exact"/>
        <w:rPr>
          <w:rFonts w:ascii="Arial" w:cs="Arial" w:eastAsia="Arial" w:hAnsi="Arial"/>
          <w:sz w:val="16"/>
          <w:szCs w:val="16"/>
          <w:color w:val="auto"/>
        </w:rPr>
      </w:pPr>
    </w:p>
    <w:p>
      <w:pPr>
        <w:ind w:left="1120" w:hanging="437"/>
        <w:spacing w:after="0" w:line="277" w:lineRule="auto"/>
        <w:tabs>
          <w:tab w:leader="none" w:pos="11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 xml:space="preserve">V-Sciences and any other Investor requesting so shall have received from VISCHER AG, counsel for the Company, an opinion, dated as of the date of such Closing, in substantially the form </w:t>
      </w:r>
      <w:r>
        <w:rPr>
          <w:rFonts w:ascii="Arial" w:cs="Arial" w:eastAsia="Arial" w:hAnsi="Arial"/>
          <w:sz w:val="18"/>
          <w:szCs w:val="18"/>
          <w:b w:val="1"/>
          <w:bCs w:val="1"/>
          <w:color w:val="auto"/>
        </w:rPr>
        <w:t>Annex 5.2.1(f)</w:t>
      </w:r>
      <w:r>
        <w:rPr>
          <w:rFonts w:ascii="Arial" w:cs="Arial" w:eastAsia="Arial" w:hAnsi="Arial"/>
          <w:sz w:val="18"/>
          <w:szCs w:val="18"/>
          <w:color w:val="auto"/>
        </w:rPr>
        <w:t xml:space="preserve"> attached to this Subscription Agreement.</w:t>
      </w:r>
    </w:p>
    <w:p>
      <w:pPr>
        <w:spacing w:after="0" w:line="75" w:lineRule="exact"/>
        <w:rPr>
          <w:rFonts w:ascii="Arial" w:cs="Arial" w:eastAsia="Arial" w:hAnsi="Arial"/>
          <w:sz w:val="18"/>
          <w:szCs w:val="18"/>
          <w:color w:val="auto"/>
        </w:rPr>
      </w:pPr>
    </w:p>
    <w:p>
      <w:pPr>
        <w:ind w:left="1120" w:right="340" w:hanging="437"/>
        <w:spacing w:after="0" w:line="259" w:lineRule="auto"/>
        <w:tabs>
          <w:tab w:leader="none" w:pos="11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 xml:space="preserve">Legal counsel shall have delivered to V-Sciences and any other Investor requesting so a certificate, dated as of the date of such Closing, certifying (i) the resolutions of the Board of Directors of the Company approving the Subscription Agreement and the transactions contemplated under such Agreement, and (ii) resolutions of the shareholders of the Company approving the issuance of Series E Preferred Shares and the Revised Articles of Association in </w:t>
      </w:r>
      <w:r>
        <w:rPr>
          <w:rFonts w:ascii="Arial" w:cs="Arial" w:eastAsia="Arial" w:hAnsi="Arial"/>
          <w:sz w:val="18"/>
          <w:szCs w:val="18"/>
          <w:b w:val="1"/>
          <w:bCs w:val="1"/>
          <w:color w:val="auto"/>
        </w:rPr>
        <w:t>Annex 3.3</w:t>
      </w:r>
    </w:p>
    <w:p>
      <w:pPr>
        <w:spacing w:after="0" w:line="92" w:lineRule="exact"/>
        <w:rPr>
          <w:rFonts w:ascii="Arial" w:cs="Arial" w:eastAsia="Arial" w:hAnsi="Arial"/>
          <w:sz w:val="18"/>
          <w:szCs w:val="18"/>
          <w:color w:val="auto"/>
        </w:rPr>
      </w:pPr>
    </w:p>
    <w:p>
      <w:pPr>
        <w:jc w:val="both"/>
        <w:ind w:left="1120" w:right="40" w:hanging="437"/>
        <w:spacing w:after="0" w:line="264" w:lineRule="auto"/>
        <w:tabs>
          <w:tab w:leader="none" w:pos="112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All corporate and other proceedings in connection with the transactions contemplated at such Closing and all documents incident thereto shall be reasonably satisfactory in form and substance to V-Sciences and the Investors shall have received all such counterpart original and certified or other copies of such documents as reasonably requested.</w:t>
      </w:r>
    </w:p>
    <w:p>
      <w:pPr>
        <w:sectPr>
          <w:pgSz w:w="11900" w:h="16838" w:orient="portrait"/>
          <w:cols w:equalWidth="0" w:num="1">
            <w:col w:w="11420"/>
          </w:cols>
          <w:pgMar w:left="240" w:top="274" w:right="239" w:bottom="1440" w:gutter="0" w:footer="0" w:header="0"/>
        </w:sectPr>
      </w:pPr>
    </w:p>
    <w:bookmarkStart w:id="655" w:name="page656"/>
    <w:bookmarkEnd w:id="655"/>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Conditions in favor of Company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Closing shall be subject to the prior fulfillment of each of the following conditions precedent in favor of the Company, unless otherwise waived:</w:t>
      </w:r>
    </w:p>
    <w:p>
      <w:pPr>
        <w:spacing w:after="0" w:line="154" w:lineRule="exact"/>
        <w:rPr>
          <w:sz w:val="20"/>
          <w:szCs w:val="20"/>
          <w:color w:val="auto"/>
        </w:rPr>
      </w:pPr>
    </w:p>
    <w:p>
      <w:pPr>
        <w:ind w:left="1120" w:hanging="437"/>
        <w:spacing w:after="0"/>
        <w:tabs>
          <w:tab w:leader="none" w:pos="112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The representations and warranties of each Investor contained in Section 7.2 shall be true and correct in all respects as of such Closing.</w:t>
      </w:r>
    </w:p>
    <w:p>
      <w:pPr>
        <w:spacing w:after="0" w:line="142" w:lineRule="exact"/>
        <w:rPr>
          <w:rFonts w:ascii="Arial" w:cs="Arial" w:eastAsia="Arial" w:hAnsi="Arial"/>
          <w:sz w:val="17"/>
          <w:szCs w:val="17"/>
          <w:color w:val="auto"/>
        </w:rPr>
      </w:pPr>
    </w:p>
    <w:p>
      <w:pPr>
        <w:ind w:left="1120" w:right="280" w:hanging="437"/>
        <w:spacing w:after="0" w:line="277" w:lineRule="auto"/>
        <w:tabs>
          <w:tab w:leader="none" w:pos="112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Investors shall have performed and complied with all covenants, agreements, obligations and conditions contained in this Subscription Agreement that are required to be performed or complied with by them on or before such Closing.</w:t>
      </w:r>
    </w:p>
    <w:p>
      <w:pPr>
        <w:spacing w:after="0" w:line="75" w:lineRule="exact"/>
        <w:rPr>
          <w:rFonts w:ascii="Arial" w:cs="Arial" w:eastAsia="Arial" w:hAnsi="Arial"/>
          <w:sz w:val="18"/>
          <w:szCs w:val="18"/>
          <w:color w:val="auto"/>
        </w:rPr>
      </w:pPr>
    </w:p>
    <w:p>
      <w:pPr>
        <w:ind w:left="1120" w:right="400" w:hanging="437"/>
        <w:spacing w:after="0" w:line="342" w:lineRule="auto"/>
        <w:tabs>
          <w:tab w:leader="none" w:pos="112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All authorizations, approvals or permits, if any, of any governmental authority or regulatory body that are required in connection with the lawful issuance and sale of the Shares pursuant to this Subscription Agreement shall be obtained and effective as of such Closing.</w:t>
      </w:r>
    </w:p>
    <w:p>
      <w:pPr>
        <w:spacing w:after="0" w:line="29" w:lineRule="exact"/>
        <w:rPr>
          <w:rFonts w:ascii="Arial" w:cs="Arial" w:eastAsia="Arial" w:hAnsi="Arial"/>
          <w:sz w:val="16"/>
          <w:szCs w:val="16"/>
          <w:color w:val="auto"/>
        </w:rPr>
      </w:pPr>
    </w:p>
    <w:p>
      <w:pPr>
        <w:ind w:left="1120" w:right="120" w:hanging="437"/>
        <w:spacing w:after="0" w:line="264" w:lineRule="auto"/>
        <w:tabs>
          <w:tab w:leader="none" w:pos="112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 xml:space="preserve">The Company, V-Sciences, any other Investor and the other shareholders of the Company representing 85% of all outstanding Shares prior to the Closing of the Series E Financing Round shall have executed and delivered the Shareholders’ Agreement, in substantially the form of </w:t>
      </w:r>
      <w:r>
        <w:rPr>
          <w:rFonts w:ascii="Arial" w:cs="Arial" w:eastAsia="Arial" w:hAnsi="Arial"/>
          <w:sz w:val="18"/>
          <w:szCs w:val="18"/>
          <w:b w:val="1"/>
          <w:bCs w:val="1"/>
          <w:color w:val="auto"/>
        </w:rPr>
        <w:t xml:space="preserve">Annex 0 </w:t>
      </w:r>
      <w:r>
        <w:rPr>
          <w:rFonts w:ascii="Arial" w:cs="Arial" w:eastAsia="Arial" w:hAnsi="Arial"/>
          <w:sz w:val="18"/>
          <w:szCs w:val="18"/>
          <w:color w:val="auto"/>
        </w:rPr>
        <w:t>hereto.</w:t>
      </w:r>
    </w:p>
    <w:p>
      <w:pPr>
        <w:spacing w:after="0" w:line="82" w:lineRule="exact"/>
        <w:rPr>
          <w:rFonts w:ascii="Arial" w:cs="Arial" w:eastAsia="Arial" w:hAnsi="Arial"/>
          <w:sz w:val="18"/>
          <w:szCs w:val="18"/>
          <w:color w:val="auto"/>
        </w:rPr>
      </w:pPr>
    </w:p>
    <w:p>
      <w:pPr>
        <w:ind w:left="1120" w:hanging="437"/>
        <w:spacing w:after="0"/>
        <w:tabs>
          <w:tab w:leader="none" w:pos="1120" w:val="left"/>
        </w:tabs>
        <w:numPr>
          <w:ilvl w:val="0"/>
          <w:numId w:val="513"/>
        </w:numPr>
        <w:rPr>
          <w:rFonts w:ascii="Arial" w:cs="Arial" w:eastAsia="Arial" w:hAnsi="Arial"/>
          <w:sz w:val="16"/>
          <w:szCs w:val="16"/>
          <w:color w:val="auto"/>
        </w:rPr>
      </w:pPr>
      <w:r>
        <w:rPr>
          <w:rFonts w:ascii="Arial" w:cs="Arial" w:eastAsia="Arial" w:hAnsi="Arial"/>
          <w:sz w:val="16"/>
          <w:szCs w:val="16"/>
          <w:color w:val="auto"/>
        </w:rPr>
        <w:t xml:space="preserve">The Investors requesting so shall have executed and delivered the Registration Rights Agreement substantially in the form of </w:t>
      </w:r>
      <w:r>
        <w:rPr>
          <w:rFonts w:ascii="Arial" w:cs="Arial" w:eastAsia="Arial" w:hAnsi="Arial"/>
          <w:sz w:val="16"/>
          <w:szCs w:val="16"/>
          <w:b w:val="1"/>
          <w:bCs w:val="1"/>
          <w:color w:val="auto"/>
        </w:rPr>
        <w:t>Annex 5.2.1(f).</w:t>
      </w:r>
    </w:p>
    <w:p>
      <w:pPr>
        <w:spacing w:after="0" w:line="157" w:lineRule="exact"/>
        <w:rPr>
          <w:rFonts w:ascii="Arial" w:cs="Arial" w:eastAsia="Arial" w:hAnsi="Arial"/>
          <w:sz w:val="16"/>
          <w:szCs w:val="16"/>
          <w:color w:val="auto"/>
        </w:rPr>
      </w:pPr>
    </w:p>
    <w:p>
      <w:pPr>
        <w:ind w:left="1120" w:right="440" w:hanging="437"/>
        <w:spacing w:after="0" w:line="277" w:lineRule="auto"/>
        <w:tabs>
          <w:tab w:leader="none" w:pos="112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No action is pending or threatened which seeks to enjoin, restrain or prohibit the consummation of the subscriptions contemplated by the Subscription Agreement.</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Closing Actions for Closing</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At Closing, the relevant Party shall deliver the following documents, duly executed and in form and substance satisfactory to the Company and V-</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Sciences:</w:t>
      </w:r>
    </w:p>
    <w:p>
      <w:pPr>
        <w:spacing w:after="0" w:line="116" w:lineRule="exact"/>
        <w:rPr>
          <w:sz w:val="20"/>
          <w:szCs w:val="20"/>
          <w:color w:val="auto"/>
        </w:rPr>
      </w:pPr>
    </w:p>
    <w:p>
      <w:pPr>
        <w:ind w:left="1120" w:right="620" w:hanging="437"/>
        <w:spacing w:after="0" w:line="277" w:lineRule="auto"/>
        <w:tabs>
          <w:tab w:leader="none" w:pos="112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 xml:space="preserve">a bring-down certificate of the Company confirming that the conditions precedent set out in Section 5.1 are satisfied as of the Closing, substantially in the form attached hereto in </w:t>
      </w:r>
      <w:r>
        <w:rPr>
          <w:rFonts w:ascii="Arial" w:cs="Arial" w:eastAsia="Arial" w:hAnsi="Arial"/>
          <w:sz w:val="18"/>
          <w:szCs w:val="18"/>
          <w:b w:val="1"/>
          <w:bCs w:val="1"/>
          <w:color w:val="auto"/>
        </w:rPr>
        <w:t>Annex 5.3(a)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514"/>
        </w:numPr>
        <w:rPr>
          <w:rFonts w:ascii="Arial" w:cs="Arial" w:eastAsia="Arial" w:hAnsi="Arial"/>
          <w:sz w:val="16"/>
          <w:szCs w:val="16"/>
          <w:color w:val="auto"/>
        </w:rPr>
      </w:pPr>
      <w:r>
        <w:rPr>
          <w:rFonts w:ascii="Arial" w:cs="Arial" w:eastAsia="Arial" w:hAnsi="Arial"/>
          <w:sz w:val="16"/>
          <w:szCs w:val="16"/>
          <w:color w:val="auto"/>
        </w:rPr>
        <w:t>a duly signed application to the Register of Commerce regarding the increase of the share capital to reflect the Series E Financing Round;</w:t>
      </w:r>
    </w:p>
    <w:p>
      <w:pPr>
        <w:spacing w:after="0" w:line="153" w:lineRule="exact"/>
        <w:rPr>
          <w:rFonts w:ascii="Arial" w:cs="Arial" w:eastAsia="Arial" w:hAnsi="Arial"/>
          <w:sz w:val="16"/>
          <w:szCs w:val="16"/>
          <w:color w:val="auto"/>
        </w:rPr>
      </w:pPr>
    </w:p>
    <w:p>
      <w:pPr>
        <w:ind w:left="1120" w:right="200" w:hanging="437"/>
        <w:spacing w:after="0" w:line="277" w:lineRule="auto"/>
        <w:tabs>
          <w:tab w:leader="none" w:pos="112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confirmation from Credit Suisse, in Basel, evidencing that the amount of at least USD 9’997’599 (plus any amount required to be paid in by the Investors other than V-Sciences) has been paid in cash and fully credited to the Blocked Capital Account; and</w:t>
      </w:r>
    </w:p>
    <w:p>
      <w:pPr>
        <w:spacing w:after="0" w:line="75" w:lineRule="exact"/>
        <w:rPr>
          <w:rFonts w:ascii="Arial" w:cs="Arial" w:eastAsia="Arial" w:hAnsi="Arial"/>
          <w:sz w:val="18"/>
          <w:szCs w:val="18"/>
          <w:color w:val="auto"/>
        </w:rPr>
      </w:pPr>
    </w:p>
    <w:p>
      <w:pPr>
        <w:ind w:left="1120" w:right="440" w:hanging="437"/>
        <w:spacing w:after="0" w:line="342" w:lineRule="auto"/>
        <w:tabs>
          <w:tab w:leader="none" w:pos="1120" w:val="left"/>
        </w:tabs>
        <w:numPr>
          <w:ilvl w:val="0"/>
          <w:numId w:val="514"/>
        </w:numPr>
        <w:rPr>
          <w:rFonts w:ascii="Arial" w:cs="Arial" w:eastAsia="Arial" w:hAnsi="Arial"/>
          <w:sz w:val="16"/>
          <w:szCs w:val="16"/>
          <w:color w:val="auto"/>
        </w:rPr>
      </w:pPr>
      <w:r>
        <w:rPr>
          <w:rFonts w:ascii="Arial" w:cs="Arial" w:eastAsia="Arial" w:hAnsi="Arial"/>
          <w:sz w:val="16"/>
          <w:szCs w:val="16"/>
          <w:color w:val="auto"/>
        </w:rPr>
        <w:t>circular resolutions or minutes evidencing the Board resolution regarding registration of the Investors as owners with voting rights of the relevant number of Series E Preferred Shares subscribed by the Investors in the Company’s share register upon Full Consummation.</w:t>
      </w:r>
    </w:p>
    <w:p>
      <w:pPr>
        <w:sectPr>
          <w:pgSz w:w="11900" w:h="16838" w:orient="portrait"/>
          <w:cols w:equalWidth="0" w:num="1">
            <w:col w:w="11420"/>
          </w:cols>
          <w:pgMar w:left="240" w:top="275" w:right="239" w:bottom="1440" w:gutter="0" w:footer="0" w:header="0"/>
        </w:sectPr>
      </w:pPr>
    </w:p>
    <w:bookmarkStart w:id="656" w:name="page657"/>
    <w:bookmarkEnd w:id="656"/>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Upon the delivery of these documents, the following actions shall be performed:</w:t>
      </w:r>
    </w:p>
    <w:p>
      <w:pPr>
        <w:spacing w:after="0" w:line="127" w:lineRule="exact"/>
        <w:rPr>
          <w:sz w:val="20"/>
          <w:szCs w:val="20"/>
          <w:color w:val="auto"/>
        </w:rPr>
      </w:pPr>
    </w:p>
    <w:p>
      <w:pPr>
        <w:ind w:left="1120" w:hanging="437"/>
        <w:spacing w:after="0" w:line="282" w:lineRule="auto"/>
        <w:tabs>
          <w:tab w:leader="none" w:pos="112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xml:space="preserve">Each Investor shall deliver its duly signed Subscription Form (as original or at least as PDF copy) substantially in the form as set out in </w:t>
      </w:r>
      <w:r>
        <w:rPr>
          <w:rFonts w:ascii="Arial" w:cs="Arial" w:eastAsia="Arial" w:hAnsi="Arial"/>
          <w:sz w:val="18"/>
          <w:szCs w:val="18"/>
          <w:b w:val="1"/>
          <w:bCs w:val="1"/>
          <w:color w:val="auto"/>
        </w:rPr>
        <w:t>Annex</w:t>
      </w:r>
      <w:r>
        <w:rPr>
          <w:rFonts w:ascii="Arial" w:cs="Arial" w:eastAsia="Arial" w:hAnsi="Arial"/>
          <w:sz w:val="18"/>
          <w:szCs w:val="18"/>
          <w:color w:val="auto"/>
        </w:rPr>
        <w:t xml:space="preserve"> </w:t>
      </w:r>
      <w:r>
        <w:rPr>
          <w:rFonts w:ascii="Arial" w:cs="Arial" w:eastAsia="Arial" w:hAnsi="Arial"/>
          <w:sz w:val="18"/>
          <w:szCs w:val="18"/>
          <w:b w:val="1"/>
          <w:bCs w:val="1"/>
          <w:color w:val="auto"/>
        </w:rPr>
        <w:t>3.2.</w:t>
      </w:r>
    </w:p>
    <w:p>
      <w:pPr>
        <w:spacing w:after="0" w:line="71" w:lineRule="exact"/>
        <w:rPr>
          <w:rFonts w:ascii="Arial" w:cs="Arial" w:eastAsia="Arial" w:hAnsi="Arial"/>
          <w:sz w:val="18"/>
          <w:szCs w:val="18"/>
          <w:color w:val="auto"/>
        </w:rPr>
      </w:pPr>
    </w:p>
    <w:p>
      <w:pPr>
        <w:ind w:left="1120" w:right="140" w:hanging="437"/>
        <w:spacing w:after="0" w:line="286" w:lineRule="auto"/>
        <w:tabs>
          <w:tab w:leader="none" w:pos="112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The Board shall issue its report on the capital increase (</w:t>
      </w:r>
      <w:r>
        <w:rPr>
          <w:rFonts w:ascii="Arial" w:cs="Arial" w:eastAsia="Arial" w:hAnsi="Arial"/>
          <w:sz w:val="17"/>
          <w:szCs w:val="17"/>
          <w:i w:val="1"/>
          <w:iCs w:val="1"/>
          <w:color w:val="auto"/>
        </w:rPr>
        <w:t>Kapitalerhöhungsbericht / rapport d’augmentation</w:t>
      </w:r>
      <w:r>
        <w:rPr>
          <w:rFonts w:ascii="Arial" w:cs="Arial" w:eastAsia="Arial" w:hAnsi="Arial"/>
          <w:sz w:val="17"/>
          <w:szCs w:val="17"/>
          <w:color w:val="auto"/>
        </w:rPr>
        <w:t>), take the resolutions on the implementation of the Series E Financing (</w:t>
      </w:r>
      <w:r>
        <w:rPr>
          <w:rFonts w:ascii="Arial" w:cs="Arial" w:eastAsia="Arial" w:hAnsi="Arial"/>
          <w:sz w:val="17"/>
          <w:szCs w:val="17"/>
          <w:i w:val="1"/>
          <w:iCs w:val="1"/>
          <w:color w:val="auto"/>
        </w:rPr>
        <w:t>Feststellungsbeschluss / decision de constatation</w:t>
      </w:r>
      <w:r>
        <w:rPr>
          <w:rFonts w:ascii="Arial" w:cs="Arial" w:eastAsia="Arial" w:hAnsi="Arial"/>
          <w:sz w:val="17"/>
          <w:szCs w:val="17"/>
          <w:color w:val="auto"/>
        </w:rPr>
        <w:t xml:space="preserve">) in the presence of a public notary and adopt the Revised Articles of Association in </w:t>
      </w:r>
      <w:r>
        <w:rPr>
          <w:rFonts w:ascii="Arial" w:cs="Arial" w:eastAsia="Arial" w:hAnsi="Arial"/>
          <w:sz w:val="17"/>
          <w:szCs w:val="17"/>
          <w:b w:val="1"/>
          <w:bCs w:val="1"/>
          <w:color w:val="auto"/>
        </w:rPr>
        <w:t>Annex 3.3</w:t>
      </w:r>
      <w:r>
        <w:rPr>
          <w:rFonts w:ascii="Arial" w:cs="Arial" w:eastAsia="Arial" w:hAnsi="Arial"/>
          <w:sz w:val="17"/>
          <w:szCs w:val="17"/>
          <w:color w:val="auto"/>
        </w:rPr>
        <w:t xml:space="preserve"> including the final share capital and the numbers of Series E Preferred Shares.</w:t>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shall file the application with the Register of Commerce immediately after receipt of the above executed documents.</w:t>
      </w:r>
    </w:p>
    <w:p>
      <w:pPr>
        <w:spacing w:after="0" w:line="370" w:lineRule="exact"/>
        <w:rPr>
          <w:sz w:val="20"/>
          <w:szCs w:val="20"/>
          <w:color w:val="auto"/>
        </w:rPr>
      </w:pPr>
    </w:p>
    <w:p>
      <w:pPr>
        <w:ind w:left="680" w:hanging="672"/>
        <w:spacing w:after="0"/>
        <w:tabs>
          <w:tab w:leader="none" w:pos="680" w:val="left"/>
        </w:tabs>
        <w:numPr>
          <w:ilvl w:val="0"/>
          <w:numId w:val="51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AND RECISSION</w:t>
      </w:r>
    </w:p>
    <w:p>
      <w:pPr>
        <w:spacing w:after="0" w:line="121" w:lineRule="exact"/>
        <w:rPr>
          <w:rFonts w:ascii="Arial" w:cs="Arial" w:eastAsia="Arial" w:hAnsi="Arial"/>
          <w:sz w:val="18"/>
          <w:szCs w:val="18"/>
          <w:b w:val="1"/>
          <w:bCs w:val="1"/>
          <w:color w:val="auto"/>
        </w:rPr>
      </w:pPr>
    </w:p>
    <w:p>
      <w:pPr>
        <w:ind w:left="700"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no Full Consummation of the Series E Financing occurs until the later of 20 calendar days after the Closing or 40 calendar days after the date of this Subscription Agreement, if the Investor did not cause such delay by a breach of any of its material obligations under this Subscription Agreement, the Investor shall have the right (but not the obligation) to terminate and rescind this Subscription Agreement and any documents, instruments or deeds executed by the Investor (including, but not limited to, the Subscription Forms) with immediate effect by written notice to all other Parties.</w:t>
      </w:r>
    </w:p>
    <w:p>
      <w:pPr>
        <w:spacing w:after="0" w:line="80"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If notice of termination and rescission is made in accordance with the terms of the preceding paragraph:</w:t>
      </w:r>
    </w:p>
    <w:p>
      <w:pPr>
        <w:spacing w:after="0" w:line="130" w:lineRule="exact"/>
        <w:rPr>
          <w:rFonts w:ascii="Arial" w:cs="Arial" w:eastAsia="Arial" w:hAnsi="Arial"/>
          <w:sz w:val="18"/>
          <w:szCs w:val="18"/>
          <w:b w:val="1"/>
          <w:bCs w:val="1"/>
          <w:color w:val="auto"/>
        </w:rPr>
      </w:pPr>
    </w:p>
    <w:p>
      <w:pPr>
        <w:ind w:left="1120" w:right="480" w:hanging="437"/>
        <w:spacing w:after="0" w:line="342" w:lineRule="auto"/>
        <w:tabs>
          <w:tab w:leader="none" w:pos="1120" w:val="left"/>
        </w:tabs>
        <w:numPr>
          <w:ilvl w:val="1"/>
          <w:numId w:val="516"/>
        </w:numPr>
        <w:rPr>
          <w:rFonts w:ascii="Arial" w:cs="Arial" w:eastAsia="Arial" w:hAnsi="Arial"/>
          <w:sz w:val="16"/>
          <w:szCs w:val="16"/>
          <w:color w:val="auto"/>
        </w:rPr>
      </w:pPr>
      <w:r>
        <w:rPr>
          <w:rFonts w:ascii="Arial" w:cs="Arial" w:eastAsia="Arial" w:hAnsi="Arial"/>
          <w:sz w:val="16"/>
          <w:szCs w:val="16"/>
          <w:color w:val="auto"/>
        </w:rPr>
        <w:t>each of the Parties acknowledges and agrees that this Subscription Agreement and any documents, instruments or deeds executed by the Investor (including, but not limited to, the Subscription Forms) shall be deemed terminated and shall be without any further effect;</w:t>
      </w:r>
    </w:p>
    <w:p>
      <w:pPr>
        <w:spacing w:after="0" w:line="29" w:lineRule="exact"/>
        <w:rPr>
          <w:rFonts w:ascii="Arial" w:cs="Arial" w:eastAsia="Arial" w:hAnsi="Arial"/>
          <w:sz w:val="16"/>
          <w:szCs w:val="16"/>
          <w:color w:val="auto"/>
        </w:rPr>
      </w:pPr>
    </w:p>
    <w:p>
      <w:pPr>
        <w:ind w:left="1120" w:right="40" w:hanging="437"/>
        <w:spacing w:after="0" w:line="259" w:lineRule="auto"/>
        <w:tabs>
          <w:tab w:leader="none" w:pos="112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The Company hereby undertakes to the Investors to procure that the application to the Register of Commerce of the Series E Financing Round (if already filed) shall be withdrawn and instruct VISCHER AG, Attorneys at Law (or any other public notary appointed by the Parties) and the Company to return the respective subscription amount paid by the Investors for new Series E Preferred Shares to the Investors in cash out of the Blocked Capital Account.</w:t>
      </w:r>
    </w:p>
    <w:p>
      <w:pPr>
        <w:spacing w:after="0" w:line="79" w:lineRule="exact"/>
        <w:rPr>
          <w:sz w:val="20"/>
          <w:szCs w:val="20"/>
          <w:color w:val="auto"/>
        </w:rPr>
      </w:pPr>
    </w:p>
    <w:p>
      <w:pPr>
        <w:ind w:left="700" w:right="20"/>
        <w:spacing w:after="0" w:line="257" w:lineRule="auto"/>
        <w:rPr>
          <w:sz w:val="20"/>
          <w:szCs w:val="20"/>
          <w:color w:val="auto"/>
        </w:rPr>
      </w:pPr>
      <w:r>
        <w:rPr>
          <w:rFonts w:ascii="Arial" w:cs="Arial" w:eastAsia="Arial" w:hAnsi="Arial"/>
          <w:sz w:val="18"/>
          <w:szCs w:val="18"/>
          <w:color w:val="auto"/>
        </w:rPr>
        <w:t>If this Subscription Agreement is terminated pursuant to this Section, such termination shall be without liability of the Investors to the Company and vice versa; provided, however, that if such termination is the result of the willful misconduct or gross negligence of a Party failing to satisfy its respective obligations under Sections 3, 5 and 6, such Party shall be liable to the other Parties for any damage, loss, costs or expenses incurred or sustained as a result of such misconduct or breach. It shall be agreed and understood that, in addition to such liability, such other Parties shall have the right to request specific performance.</w:t>
      </w:r>
    </w:p>
    <w:p>
      <w:pPr>
        <w:spacing w:after="0" w:line="80"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If this Subscription Agreement is terminated by a Party (which is not the result of the willful misconduct or gross negligence of such Party to satisfy its respective obligations</w:t>
      </w:r>
    </w:p>
    <w:p>
      <w:pPr>
        <w:sectPr>
          <w:pgSz w:w="11900" w:h="16838" w:orient="portrait"/>
          <w:cols w:equalWidth="0" w:num="1">
            <w:col w:w="11420"/>
          </w:cols>
          <w:pgMar w:left="240" w:top="274" w:right="239" w:bottom="1440" w:gutter="0" w:footer="0" w:header="0"/>
        </w:sectPr>
      </w:pPr>
    </w:p>
    <w:bookmarkStart w:id="657" w:name="page658"/>
    <w:bookmarkEnd w:id="657"/>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00" w:right="740"/>
        <w:spacing w:after="0" w:line="277" w:lineRule="auto"/>
        <w:rPr>
          <w:sz w:val="20"/>
          <w:szCs w:val="20"/>
          <w:color w:val="auto"/>
        </w:rPr>
      </w:pPr>
      <w:r>
        <w:rPr>
          <w:rFonts w:ascii="Arial" w:cs="Arial" w:eastAsia="Arial" w:hAnsi="Arial"/>
          <w:sz w:val="18"/>
          <w:szCs w:val="18"/>
          <w:color w:val="auto"/>
        </w:rPr>
        <w:t>under Sections 3, 5 and 6), all provisions of this Subscription Agreement shall cease to be effective for such Party except for the preceding paragraph and Section 11 (Miscellaneous).</w:t>
      </w:r>
    </w:p>
    <w:p>
      <w:pPr>
        <w:spacing w:after="0" w:line="315" w:lineRule="exact"/>
        <w:rPr>
          <w:sz w:val="20"/>
          <w:szCs w:val="20"/>
          <w:color w:val="auto"/>
        </w:rPr>
      </w:pPr>
    </w:p>
    <w:p>
      <w:pPr>
        <w:ind w:left="680" w:hanging="672"/>
        <w:spacing w:after="0"/>
        <w:tabs>
          <w:tab w:leader="none" w:pos="680"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Representation and Warranties by the Company</w:t>
      </w:r>
    </w:p>
    <w:p>
      <w:pPr>
        <w:spacing w:after="0" w:line="113" w:lineRule="exact"/>
        <w:rPr>
          <w:sz w:val="20"/>
          <w:szCs w:val="20"/>
          <w:color w:val="auto"/>
        </w:rPr>
      </w:pPr>
    </w:p>
    <w:p>
      <w:pPr>
        <w:ind w:left="700" w:right="100"/>
        <w:spacing w:after="0" w:line="298" w:lineRule="auto"/>
        <w:rPr>
          <w:sz w:val="20"/>
          <w:szCs w:val="20"/>
          <w:color w:val="auto"/>
        </w:rPr>
      </w:pPr>
      <w:r>
        <w:rPr>
          <w:rFonts w:ascii="Arial" w:cs="Arial" w:eastAsia="Arial" w:hAnsi="Arial"/>
          <w:sz w:val="16"/>
          <w:szCs w:val="16"/>
          <w:color w:val="auto"/>
        </w:rPr>
        <w:t xml:space="preserve">Subject to the limitations set forth in this Section 7 (including </w:t>
      </w:r>
      <w:r>
        <w:rPr>
          <w:rFonts w:ascii="Arial" w:cs="Arial" w:eastAsia="Arial" w:hAnsi="Arial"/>
          <w:sz w:val="16"/>
          <w:szCs w:val="16"/>
          <w:b w:val="1"/>
          <w:bCs w:val="1"/>
          <w:color w:val="auto"/>
        </w:rPr>
        <w:t>Annex 7.1</w:t>
      </w:r>
      <w:r>
        <w:rPr>
          <w:rFonts w:ascii="Arial" w:cs="Arial" w:eastAsia="Arial" w:hAnsi="Arial"/>
          <w:sz w:val="16"/>
          <w:szCs w:val="16"/>
          <w:color w:val="auto"/>
        </w:rPr>
        <w:t xml:space="preserve">) and Section 8, the Company hereby represents and warrants in the sense of an independent guarantee as of the time of signing of this Subscription Agreement to the Investors, that the representations and warranties set forth in </w:t>
      </w:r>
      <w:r>
        <w:rPr>
          <w:rFonts w:ascii="Arial" w:cs="Arial" w:eastAsia="Arial" w:hAnsi="Arial"/>
          <w:sz w:val="16"/>
          <w:szCs w:val="16"/>
          <w:b w:val="1"/>
          <w:bCs w:val="1"/>
          <w:color w:val="auto"/>
        </w:rPr>
        <w:t>Annex 7.1</w:t>
      </w:r>
      <w:r>
        <w:rPr>
          <w:rFonts w:ascii="Arial" w:cs="Arial" w:eastAsia="Arial" w:hAnsi="Arial"/>
          <w:sz w:val="16"/>
          <w:szCs w:val="16"/>
          <w:color w:val="auto"/>
        </w:rPr>
        <w:t xml:space="preserve"> are in all material respects true, complete, correct and not misleading (or in the case of representations and warranties qualified by materiality or a Material Adverse Effect, in all respects true, complete, correct and not misleading) as of the date of this Subscription Agreement and as of the date of the Closing, except for those representations and warranties which are explicitly made as of a specific date.</w:t>
      </w:r>
    </w:p>
    <w:p>
      <w:pPr>
        <w:spacing w:after="0" w:line="30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Representation and Warranties by each Investor</w:t>
      </w:r>
    </w:p>
    <w:p>
      <w:pPr>
        <w:spacing w:after="0" w:line="113" w:lineRule="exact"/>
        <w:rPr>
          <w:sz w:val="20"/>
          <w:szCs w:val="20"/>
          <w:color w:val="auto"/>
        </w:rPr>
      </w:pPr>
    </w:p>
    <w:p>
      <w:pPr>
        <w:ind w:left="700" w:right="100"/>
        <w:spacing w:after="0" w:line="277" w:lineRule="auto"/>
        <w:rPr>
          <w:sz w:val="20"/>
          <w:szCs w:val="20"/>
          <w:color w:val="auto"/>
        </w:rPr>
      </w:pPr>
      <w:r>
        <w:rPr>
          <w:rFonts w:ascii="Arial" w:cs="Arial" w:eastAsia="Arial" w:hAnsi="Arial"/>
          <w:sz w:val="17"/>
          <w:szCs w:val="17"/>
          <w:color w:val="auto"/>
        </w:rPr>
        <w:t xml:space="preserve">Subject to the limitations set forth in this Section 7 (including </w:t>
      </w:r>
      <w:r>
        <w:rPr>
          <w:rFonts w:ascii="Arial" w:cs="Arial" w:eastAsia="Arial" w:hAnsi="Arial"/>
          <w:sz w:val="17"/>
          <w:szCs w:val="17"/>
          <w:b w:val="1"/>
          <w:bCs w:val="1"/>
          <w:color w:val="auto"/>
        </w:rPr>
        <w:t>Annex 7.2</w:t>
      </w:r>
      <w:r>
        <w:rPr>
          <w:rFonts w:ascii="Arial" w:cs="Arial" w:eastAsia="Arial" w:hAnsi="Arial"/>
          <w:sz w:val="17"/>
          <w:szCs w:val="17"/>
          <w:color w:val="auto"/>
        </w:rPr>
        <w:t xml:space="preserve">) and Section 8, each Investor hereby represents and warrants in the sense of an independent guarantee as of the time of signing of this Subscription Agreement to the Company, that the representations and warranties set forth in </w:t>
      </w:r>
      <w:r>
        <w:rPr>
          <w:rFonts w:ascii="Arial" w:cs="Arial" w:eastAsia="Arial" w:hAnsi="Arial"/>
          <w:sz w:val="17"/>
          <w:szCs w:val="17"/>
          <w:b w:val="1"/>
          <w:bCs w:val="1"/>
          <w:color w:val="auto"/>
        </w:rPr>
        <w:t>Annex 7.2</w:t>
      </w:r>
      <w:r>
        <w:rPr>
          <w:rFonts w:ascii="Arial" w:cs="Arial" w:eastAsia="Arial" w:hAnsi="Arial"/>
          <w:sz w:val="17"/>
          <w:szCs w:val="17"/>
          <w:color w:val="auto"/>
        </w:rPr>
        <w:t xml:space="preserve"> are in all material respects true, complete, correct and not misleading as of the date of this Subscription Agreement and as of the date of the Closing, except for those representations and warranties which are explicitly made as of a specific date. Each Investor agrees that Credit Suisse Investment Banking may rely on the representations and warranties set forth in </w:t>
      </w:r>
      <w:r>
        <w:rPr>
          <w:rFonts w:ascii="Arial" w:cs="Arial" w:eastAsia="Arial" w:hAnsi="Arial"/>
          <w:sz w:val="17"/>
          <w:szCs w:val="17"/>
          <w:b w:val="1"/>
          <w:bCs w:val="1"/>
          <w:color w:val="auto"/>
        </w:rPr>
        <w:t>Annex 7.2.</w:t>
      </w:r>
    </w:p>
    <w:p>
      <w:pPr>
        <w:spacing w:after="0" w:line="3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Exclusive Representations and Warranties</w:t>
      </w:r>
    </w:p>
    <w:p>
      <w:pPr>
        <w:spacing w:after="0" w:line="117" w:lineRule="exact"/>
        <w:rPr>
          <w:sz w:val="20"/>
          <w:szCs w:val="20"/>
          <w:color w:val="auto"/>
        </w:rPr>
      </w:pPr>
    </w:p>
    <w:p>
      <w:pPr>
        <w:ind w:left="700" w:right="100"/>
        <w:spacing w:after="0" w:line="290" w:lineRule="auto"/>
        <w:rPr>
          <w:sz w:val="20"/>
          <w:szCs w:val="20"/>
          <w:color w:val="auto"/>
        </w:rPr>
      </w:pPr>
      <w:r>
        <w:rPr>
          <w:rFonts w:ascii="Arial" w:cs="Arial" w:eastAsia="Arial" w:hAnsi="Arial"/>
          <w:sz w:val="16"/>
          <w:szCs w:val="16"/>
          <w:color w:val="auto"/>
        </w:rPr>
        <w:t xml:space="preserve">The Parties acknowledge that none of the Parties has made, and none of the Parties has relied upon, any representation or warranty, express or implied, pertaining to the subject matter of this Subscription Agreement other than as expressly provided in this Subscription Agreement. Without prejudice to the foregoing, the Company hereby acknowledges that each of the Investors has entered into this Subscription Agreement and is subscribing the Series E Preferred Shares in reliance on each of the representations and warranties set forth in this Section 7 (including </w:t>
      </w:r>
      <w:r>
        <w:rPr>
          <w:rFonts w:ascii="Arial" w:cs="Arial" w:eastAsia="Arial" w:hAnsi="Arial"/>
          <w:sz w:val="16"/>
          <w:szCs w:val="16"/>
          <w:b w:val="1"/>
          <w:bCs w:val="1"/>
          <w:color w:val="auto"/>
        </w:rPr>
        <w:t>Annex 7.1</w:t>
      </w:r>
      <w:r>
        <w:rPr>
          <w:rFonts w:ascii="Arial" w:cs="Arial" w:eastAsia="Arial" w:hAnsi="Arial"/>
          <w:sz w:val="16"/>
          <w:szCs w:val="16"/>
          <w:color w:val="auto"/>
        </w:rPr>
        <w:t>). Each Investor acknowledges that such Investor is not relying upon any person, other than the Company and its officers and directors, in making its investment or decision to invest in the Company. Each Investor agrees that neither any Investor nor its respective controlling persons, officers, directors, partners, agents, nor employees nor any partners or agents of such Investor shall be liable to any other Investor for any action taken or omitted to be taken by any of them in connection with this Subscription Agreement.</w:t>
      </w:r>
    </w:p>
    <w:p>
      <w:pPr>
        <w:sectPr>
          <w:pgSz w:w="11900" w:h="16838" w:orient="portrait"/>
          <w:cols w:equalWidth="0" w:num="1">
            <w:col w:w="11420"/>
          </w:cols>
          <w:pgMar w:left="240" w:top="274" w:right="239" w:bottom="1440" w:gutter="0" w:footer="0" w:header="0"/>
        </w:sectPr>
      </w:pPr>
    </w:p>
    <w:bookmarkStart w:id="658" w:name="page659"/>
    <w:bookmarkEnd w:id="658"/>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80" w:hanging="672"/>
        <w:spacing w:after="0"/>
        <w:tabs>
          <w:tab w:leader="none" w:pos="680" w:val="left"/>
        </w:tabs>
        <w:numPr>
          <w:ilvl w:val="0"/>
          <w:numId w:val="518"/>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REMEDIES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Notice of Breach (</w:t>
      </w:r>
      <w:r>
        <w:rPr>
          <w:rFonts w:ascii="Arial" w:cs="Arial" w:eastAsia="Arial" w:hAnsi="Arial"/>
          <w:sz w:val="16"/>
          <w:szCs w:val="16"/>
          <w:i w:val="1"/>
          <w:iCs w:val="1"/>
          <w:color w:val="auto"/>
        </w:rPr>
        <w:t>Rügefrist</w:t>
      </w:r>
      <w:r>
        <w:rPr>
          <w:rFonts w:ascii="Arial" w:cs="Arial" w:eastAsia="Arial" w:hAnsi="Arial"/>
          <w:sz w:val="16"/>
          <w:szCs w:val="16"/>
          <w:color w:val="auto"/>
        </w:rPr>
        <w:t>)</w:t>
      </w:r>
    </w:p>
    <w:p>
      <w:pPr>
        <w:spacing w:after="0" w:line="117" w:lineRule="exact"/>
        <w:rPr>
          <w:sz w:val="20"/>
          <w:szCs w:val="20"/>
          <w:color w:val="auto"/>
        </w:rPr>
      </w:pPr>
    </w:p>
    <w:p>
      <w:pPr>
        <w:ind w:left="700" w:right="260"/>
        <w:spacing w:after="0" w:line="259" w:lineRule="auto"/>
        <w:rPr>
          <w:sz w:val="20"/>
          <w:szCs w:val="20"/>
          <w:color w:val="auto"/>
        </w:rPr>
      </w:pPr>
      <w:r>
        <w:rPr>
          <w:rFonts w:ascii="Arial" w:cs="Arial" w:eastAsia="Arial" w:hAnsi="Arial"/>
          <w:sz w:val="18"/>
          <w:szCs w:val="18"/>
          <w:color w:val="auto"/>
        </w:rPr>
        <w:t>An Investor claiming a breach shall deliver to the Company a notice in writing describing the underlying facts of a claim for misrepresentation or breach of warranty in reasonable detail to the extent then known within sixty (60) calendar days after such Investor has obtained reasonable knowledge of the circumstances which are likely to give rise to a claim for misrepresentation or breach of warranty under this Subscription Agreement.</w:t>
      </w:r>
    </w:p>
    <w:p>
      <w:pPr>
        <w:spacing w:after="0" w:line="79" w:lineRule="exact"/>
        <w:rPr>
          <w:sz w:val="20"/>
          <w:szCs w:val="20"/>
          <w:color w:val="auto"/>
        </w:rPr>
      </w:pPr>
    </w:p>
    <w:p>
      <w:pPr>
        <w:ind w:left="700" w:right="280"/>
        <w:spacing w:after="0" w:line="259" w:lineRule="auto"/>
        <w:rPr>
          <w:sz w:val="20"/>
          <w:szCs w:val="20"/>
          <w:color w:val="auto"/>
        </w:rPr>
      </w:pPr>
      <w:r>
        <w:rPr>
          <w:rFonts w:ascii="Arial" w:cs="Arial" w:eastAsia="Arial" w:hAnsi="Arial"/>
          <w:sz w:val="18"/>
          <w:szCs w:val="18"/>
          <w:color w:val="auto"/>
        </w:rPr>
        <w:t>Failure to provide notice of claim consistent with this Section 8.1 shall not relieve the Company of any liability it may have under Section 7; provided, however, that the Company shall not be liable for any damage, loss, expense, or cost to the extent that the same is attributable to, or caused or aggravated by, or could not be remedied due to, that Investor’s failure to timely provide notice in accordance with this Section 8.1. The Parties explicitly waive the application of Article 201 CO.</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The rules in this Section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case the Company makes a claim towards an Investor.</w:t>
      </w:r>
    </w:p>
    <w:p>
      <w:pPr>
        <w:spacing w:after="0" w:line="37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Time Limitations on Claims (</w:t>
      </w:r>
      <w:r>
        <w:rPr>
          <w:rFonts w:ascii="Arial" w:cs="Arial" w:eastAsia="Arial" w:hAnsi="Arial"/>
          <w:sz w:val="16"/>
          <w:szCs w:val="16"/>
          <w:i w:val="1"/>
          <w:iCs w:val="1"/>
          <w:color w:val="auto"/>
        </w:rPr>
        <w:t>Verjährung / prescription</w:t>
      </w:r>
      <w:r>
        <w:rPr>
          <w:rFonts w:ascii="Arial" w:cs="Arial" w:eastAsia="Arial" w:hAnsi="Arial"/>
          <w:sz w:val="16"/>
          <w:szCs w:val="16"/>
          <w:color w:val="auto"/>
        </w:rPr>
        <w:t>)</w:t>
      </w:r>
    </w:p>
    <w:p>
      <w:pPr>
        <w:spacing w:after="0" w:line="113" w:lineRule="exact"/>
        <w:rPr>
          <w:sz w:val="20"/>
          <w:szCs w:val="20"/>
          <w:color w:val="auto"/>
        </w:rPr>
      </w:pPr>
    </w:p>
    <w:p>
      <w:pPr>
        <w:ind w:left="700" w:right="260"/>
        <w:spacing w:after="0" w:line="347" w:lineRule="auto"/>
        <w:rPr>
          <w:sz w:val="20"/>
          <w:szCs w:val="20"/>
          <w:color w:val="auto"/>
        </w:rPr>
      </w:pPr>
      <w:r>
        <w:rPr>
          <w:rFonts w:ascii="Arial" w:cs="Arial" w:eastAsia="Arial" w:hAnsi="Arial"/>
          <w:sz w:val="16"/>
          <w:szCs w:val="16"/>
          <w:color w:val="auto"/>
        </w:rPr>
        <w:t xml:space="preserve">The representations and warranties given by the Company as set forth in Section 7.1 and </w:t>
      </w:r>
      <w:r>
        <w:rPr>
          <w:rFonts w:ascii="Arial" w:cs="Arial" w:eastAsia="Arial" w:hAnsi="Arial"/>
          <w:sz w:val="16"/>
          <w:szCs w:val="16"/>
          <w:b w:val="1"/>
          <w:bCs w:val="1"/>
          <w:color w:val="auto"/>
        </w:rPr>
        <w:t>Annex 7.1</w:t>
      </w:r>
      <w:r>
        <w:rPr>
          <w:rFonts w:ascii="Arial" w:cs="Arial" w:eastAsia="Arial" w:hAnsi="Arial"/>
          <w:sz w:val="16"/>
          <w:szCs w:val="16"/>
          <w:color w:val="auto"/>
        </w:rPr>
        <w:t xml:space="preserve"> shall expire, and any claim of an Investor for misrepresentation or breach of warranty shall be time barred, forfeited and precluded from being made (</w:t>
      </w:r>
      <w:r>
        <w:rPr>
          <w:rFonts w:ascii="Arial" w:cs="Arial" w:eastAsia="Arial" w:hAnsi="Arial"/>
          <w:sz w:val="16"/>
          <w:szCs w:val="16"/>
          <w:i w:val="1"/>
          <w:iCs w:val="1"/>
          <w:color w:val="auto"/>
        </w:rPr>
        <w:t>Verjährung / prescription</w:t>
      </w:r>
      <w:r>
        <w:rPr>
          <w:rFonts w:ascii="Arial" w:cs="Arial" w:eastAsia="Arial" w:hAnsi="Arial"/>
          <w:sz w:val="16"/>
          <w:szCs w:val="16"/>
          <w:color w:val="auto"/>
        </w:rPr>
        <w:t>):</w:t>
      </w:r>
    </w:p>
    <w:p>
      <w:pPr>
        <w:spacing w:after="0" w:line="22" w:lineRule="exact"/>
        <w:rPr>
          <w:sz w:val="20"/>
          <w:szCs w:val="20"/>
          <w:color w:val="auto"/>
        </w:rPr>
      </w:pPr>
    </w:p>
    <w:p>
      <w:pPr>
        <w:ind w:left="1120" w:right="780" w:hanging="437"/>
        <w:spacing w:after="0" w:line="282" w:lineRule="auto"/>
        <w:tabs>
          <w:tab w:leader="none" w:pos="112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 xml:space="preserve">with respect to the representations and warranties made in </w:t>
      </w:r>
      <w:r>
        <w:rPr>
          <w:rFonts w:ascii="Arial" w:cs="Arial" w:eastAsia="Arial" w:hAnsi="Arial"/>
          <w:sz w:val="18"/>
          <w:szCs w:val="18"/>
          <w:b w:val="1"/>
          <w:bCs w:val="1"/>
          <w:color w:val="auto"/>
        </w:rPr>
        <w:t>Annex 7.1</w:t>
      </w:r>
      <w:r>
        <w:rPr>
          <w:rFonts w:ascii="Arial" w:cs="Arial" w:eastAsia="Arial" w:hAnsi="Arial"/>
          <w:sz w:val="18"/>
          <w:szCs w:val="18"/>
          <w:color w:val="auto"/>
        </w:rPr>
        <w:t xml:space="preserve"> Sections 1 (Incorporation and Authority), 2 (Capitalization), 3 (Authorization) and 4 (Valid Issuance of Shares) as of the tenth (10</w:t>
      </w:r>
      <w:r>
        <w:rPr>
          <w:rFonts w:ascii="Arial" w:cs="Arial" w:eastAsia="Arial" w:hAnsi="Arial"/>
          <w:sz w:val="15"/>
          <w:szCs w:val="15"/>
          <w:color w:val="auto"/>
        </w:rPr>
        <w:t>th</w:t>
      </w:r>
      <w:r>
        <w:rPr>
          <w:rFonts w:ascii="Arial" w:cs="Arial" w:eastAsia="Arial" w:hAnsi="Arial"/>
          <w:sz w:val="18"/>
          <w:szCs w:val="18"/>
          <w:color w:val="auto"/>
        </w:rPr>
        <w:t>) anniversary of the Closing;</w:t>
      </w:r>
    </w:p>
    <w:p>
      <w:pPr>
        <w:spacing w:after="0" w:line="67" w:lineRule="exact"/>
        <w:rPr>
          <w:rFonts w:ascii="Arial" w:cs="Arial" w:eastAsia="Arial" w:hAnsi="Arial"/>
          <w:sz w:val="18"/>
          <w:szCs w:val="18"/>
          <w:color w:val="auto"/>
        </w:rPr>
      </w:pPr>
    </w:p>
    <w:p>
      <w:pPr>
        <w:ind w:left="1120" w:right="120" w:hanging="437"/>
        <w:spacing w:after="0" w:line="261" w:lineRule="auto"/>
        <w:tabs>
          <w:tab w:leader="none" w:pos="112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 xml:space="preserve">with respect to the representations and warranties made in </w:t>
      </w:r>
      <w:r>
        <w:rPr>
          <w:rFonts w:ascii="Arial" w:cs="Arial" w:eastAsia="Arial" w:hAnsi="Arial"/>
          <w:sz w:val="18"/>
          <w:szCs w:val="18"/>
          <w:b w:val="1"/>
          <w:bCs w:val="1"/>
          <w:color w:val="auto"/>
        </w:rPr>
        <w:t>Annex 7.1</w:t>
      </w:r>
      <w:r>
        <w:rPr>
          <w:rFonts w:ascii="Arial" w:cs="Arial" w:eastAsia="Arial" w:hAnsi="Arial"/>
          <w:sz w:val="18"/>
          <w:szCs w:val="18"/>
          <w:color w:val="auto"/>
        </w:rPr>
        <w:t xml:space="preserve"> Sections 16 (Payments of Taxes) and 18 (Social Security and Pensions) on the earlier of: (i) six (6) months after the date on which the relevant Taxes have been finally assessed (</w:t>
      </w:r>
      <w:r>
        <w:rPr>
          <w:rFonts w:ascii="Arial" w:cs="Arial" w:eastAsia="Arial" w:hAnsi="Arial"/>
          <w:sz w:val="18"/>
          <w:szCs w:val="18"/>
          <w:i w:val="1"/>
          <w:iCs w:val="1"/>
          <w:color w:val="auto"/>
        </w:rPr>
        <w:t>veranlagt / taxées</w:t>
      </w:r>
      <w:r>
        <w:rPr>
          <w:rFonts w:ascii="Arial" w:cs="Arial" w:eastAsia="Arial" w:hAnsi="Arial"/>
          <w:sz w:val="18"/>
          <w:szCs w:val="18"/>
          <w:color w:val="auto"/>
        </w:rPr>
        <w:t>) and such assessment has become legally binding (</w:t>
      </w:r>
      <w:r>
        <w:rPr>
          <w:rFonts w:ascii="Arial" w:cs="Arial" w:eastAsia="Arial" w:hAnsi="Arial"/>
          <w:sz w:val="18"/>
          <w:szCs w:val="18"/>
          <w:i w:val="1"/>
          <w:iCs w:val="1"/>
          <w:color w:val="auto"/>
        </w:rPr>
        <w:t>rechtskräftig / définitivement jugées</w:t>
      </w:r>
      <w:r>
        <w:rPr>
          <w:rFonts w:ascii="Arial" w:cs="Arial" w:eastAsia="Arial" w:hAnsi="Arial"/>
          <w:sz w:val="18"/>
          <w:szCs w:val="18"/>
          <w:color w:val="auto"/>
        </w:rPr>
        <w:t>), or (ii) the date on which the statute of limitations for the relevant Taxes has expired; or</w:t>
      </w:r>
    </w:p>
    <w:p>
      <w:pPr>
        <w:spacing w:after="0" w:line="85" w:lineRule="exact"/>
        <w:rPr>
          <w:rFonts w:ascii="Arial" w:cs="Arial" w:eastAsia="Arial" w:hAnsi="Arial"/>
          <w:sz w:val="18"/>
          <w:szCs w:val="18"/>
          <w:color w:val="auto"/>
        </w:rPr>
      </w:pPr>
    </w:p>
    <w:p>
      <w:pPr>
        <w:ind w:left="1120" w:right="600" w:hanging="437"/>
        <w:spacing w:after="0" w:line="282" w:lineRule="auto"/>
        <w:tabs>
          <w:tab w:leader="none" w:pos="112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 xml:space="preserve">with respect to all other representations and warranties made in </w:t>
      </w:r>
      <w:r>
        <w:rPr>
          <w:rFonts w:ascii="Arial" w:cs="Arial" w:eastAsia="Arial" w:hAnsi="Arial"/>
          <w:sz w:val="18"/>
          <w:szCs w:val="18"/>
          <w:b w:val="1"/>
          <w:bCs w:val="1"/>
          <w:color w:val="auto"/>
        </w:rPr>
        <w:t>Annex 7.1</w:t>
      </w:r>
      <w:r>
        <w:rPr>
          <w:rFonts w:ascii="Arial" w:cs="Arial" w:eastAsia="Arial" w:hAnsi="Arial"/>
          <w:sz w:val="18"/>
          <w:szCs w:val="18"/>
          <w:color w:val="auto"/>
        </w:rPr>
        <w:t>, as of the expiry of a period of twelve (12) months from the Closing.</w:t>
      </w:r>
    </w:p>
    <w:p>
      <w:pPr>
        <w:spacing w:after="0" w:line="54" w:lineRule="exact"/>
        <w:rPr>
          <w:sz w:val="20"/>
          <w:szCs w:val="20"/>
          <w:color w:val="auto"/>
        </w:rPr>
      </w:pPr>
    </w:p>
    <w:p>
      <w:pPr>
        <w:jc w:val="both"/>
        <w:ind w:left="700" w:right="100"/>
        <w:spacing w:after="0" w:line="266" w:lineRule="auto"/>
        <w:rPr>
          <w:sz w:val="20"/>
          <w:szCs w:val="20"/>
          <w:color w:val="auto"/>
        </w:rPr>
      </w:pPr>
      <w:r>
        <w:rPr>
          <w:rFonts w:ascii="Arial" w:cs="Arial" w:eastAsia="Arial" w:hAnsi="Arial"/>
          <w:sz w:val="18"/>
          <w:szCs w:val="18"/>
          <w:color w:val="auto"/>
        </w:rPr>
        <w:t xml:space="preserve">The representations and warranties given by each Investor as set forth in Section 7.2 and </w:t>
      </w:r>
      <w:r>
        <w:rPr>
          <w:rFonts w:ascii="Arial" w:cs="Arial" w:eastAsia="Arial" w:hAnsi="Arial"/>
          <w:sz w:val="18"/>
          <w:szCs w:val="18"/>
          <w:b w:val="1"/>
          <w:bCs w:val="1"/>
          <w:color w:val="auto"/>
        </w:rPr>
        <w:t>Annex 7.2</w:t>
      </w:r>
      <w:r>
        <w:rPr>
          <w:rFonts w:ascii="Arial" w:cs="Arial" w:eastAsia="Arial" w:hAnsi="Arial"/>
          <w:sz w:val="18"/>
          <w:szCs w:val="18"/>
          <w:color w:val="auto"/>
        </w:rPr>
        <w:t xml:space="preserve"> shall expire, and any claim of the Company for misrepresentation or breach of warranty shall be time barred, forfeited and precluded from being made (</w:t>
      </w:r>
      <w:r>
        <w:rPr>
          <w:rFonts w:ascii="Arial" w:cs="Arial" w:eastAsia="Arial" w:hAnsi="Arial"/>
          <w:sz w:val="18"/>
          <w:szCs w:val="18"/>
          <w:i w:val="1"/>
          <w:iCs w:val="1"/>
          <w:color w:val="auto"/>
        </w:rPr>
        <w:t>Verjährung / prescription</w:t>
      </w:r>
      <w:r>
        <w:rPr>
          <w:rFonts w:ascii="Arial" w:cs="Arial" w:eastAsia="Arial" w:hAnsi="Arial"/>
          <w:sz w:val="18"/>
          <w:szCs w:val="18"/>
          <w:color w:val="auto"/>
        </w:rPr>
        <w:t>) as of the expiry of a period of twelve (12) months from the Closing.</w:t>
      </w:r>
    </w:p>
    <w:p>
      <w:pPr>
        <w:spacing w:after="0" w:line="72" w:lineRule="exact"/>
        <w:rPr>
          <w:sz w:val="20"/>
          <w:szCs w:val="20"/>
          <w:color w:val="auto"/>
        </w:rPr>
      </w:pPr>
    </w:p>
    <w:p>
      <w:pPr>
        <w:ind w:left="700" w:right="140"/>
        <w:spacing w:after="0" w:line="259" w:lineRule="auto"/>
        <w:rPr>
          <w:sz w:val="20"/>
          <w:szCs w:val="20"/>
          <w:color w:val="auto"/>
        </w:rPr>
      </w:pPr>
      <w:r>
        <w:rPr>
          <w:rFonts w:ascii="Arial" w:cs="Arial" w:eastAsia="Arial" w:hAnsi="Arial"/>
          <w:sz w:val="18"/>
          <w:szCs w:val="18"/>
          <w:color w:val="auto"/>
        </w:rPr>
        <w:t>An Investor shall be entitled to make a claim in respect of liability which is contingent or unascertained provided that written notice of the claim (giving as far as practical the amount and details of the claim) is given to the Company before the expiry of the relevant periods specified in this Section. Any notice of claim for misrepresentation or breach of warranty may be delivered to the Company on or by the applicable date set forth in the preceding paragraphs, in which case the resolution of such claim may be</w:t>
      </w:r>
    </w:p>
    <w:p>
      <w:pPr>
        <w:sectPr>
          <w:pgSz w:w="11900" w:h="16838" w:orient="portrait"/>
          <w:cols w:equalWidth="0" w:num="1">
            <w:col w:w="11420"/>
          </w:cols>
          <w:pgMar w:left="240" w:top="274" w:right="239" w:bottom="1440" w:gutter="0" w:footer="0" w:header="0"/>
        </w:sectPr>
      </w:pPr>
    </w:p>
    <w:bookmarkStart w:id="659" w:name="page660"/>
    <w:bookmarkEnd w:id="659"/>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00" w:right="160"/>
        <w:spacing w:after="0" w:line="259" w:lineRule="auto"/>
        <w:rPr>
          <w:sz w:val="20"/>
          <w:szCs w:val="20"/>
          <w:color w:val="auto"/>
        </w:rPr>
      </w:pPr>
      <w:r>
        <w:rPr>
          <w:rFonts w:ascii="Arial" w:cs="Arial" w:eastAsia="Arial" w:hAnsi="Arial"/>
          <w:sz w:val="18"/>
          <w:szCs w:val="18"/>
          <w:color w:val="auto"/>
        </w:rPr>
        <w:t>effected after such date; provided, however, that notwithstanding the foregoing, such Investor’s claim shall be time-barred, forfeited and precluded from being made (</w:t>
      </w:r>
      <w:r>
        <w:rPr>
          <w:rFonts w:ascii="Arial" w:cs="Arial" w:eastAsia="Arial" w:hAnsi="Arial"/>
          <w:sz w:val="18"/>
          <w:szCs w:val="18"/>
          <w:i w:val="1"/>
          <w:iCs w:val="1"/>
          <w:color w:val="auto"/>
        </w:rPr>
        <w:t>verjährt / prescrit)</w:t>
      </w:r>
      <w:r>
        <w:rPr>
          <w:rFonts w:ascii="Arial" w:cs="Arial" w:eastAsia="Arial" w:hAnsi="Arial"/>
          <w:sz w:val="18"/>
          <w:szCs w:val="18"/>
          <w:color w:val="auto"/>
        </w:rPr>
        <w:t xml:space="preserve"> unless such Investor initiates proceedings on the claim against the Company pursuant to Section 11.13 (Arbitration) within twelve (12) months from the date of such Investor’s notice of claim to the Company. The rules in this paragraph shall apply </w:t>
      </w:r>
      <w:r>
        <w:rPr>
          <w:rFonts w:ascii="Arial" w:cs="Arial" w:eastAsia="Arial" w:hAnsi="Arial"/>
          <w:sz w:val="18"/>
          <w:szCs w:val="18"/>
          <w:i w:val="1"/>
          <w:iCs w:val="1"/>
          <w:color w:val="auto"/>
        </w:rPr>
        <w:t xml:space="preserve">mutatis mutandis </w:t>
      </w:r>
      <w:r>
        <w:rPr>
          <w:rFonts w:ascii="Arial" w:cs="Arial" w:eastAsia="Arial" w:hAnsi="Arial"/>
          <w:sz w:val="18"/>
          <w:szCs w:val="18"/>
          <w:color w:val="auto"/>
        </w:rPr>
        <w:t>in case the Company makes a claim towards an Investor.</w:t>
      </w:r>
    </w:p>
    <w:p>
      <w:pPr>
        <w:spacing w:after="0" w:line="3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Remedies for the Investors</w:t>
      </w:r>
    </w:p>
    <w:p>
      <w:pPr>
        <w:spacing w:after="0" w:line="117" w:lineRule="exact"/>
        <w:rPr>
          <w:sz w:val="20"/>
          <w:szCs w:val="20"/>
          <w:color w:val="auto"/>
        </w:rPr>
      </w:pPr>
    </w:p>
    <w:p>
      <w:pPr>
        <w:ind w:left="700" w:right="100"/>
        <w:spacing w:after="0" w:line="257" w:lineRule="auto"/>
        <w:rPr>
          <w:sz w:val="20"/>
          <w:szCs w:val="20"/>
          <w:color w:val="auto"/>
        </w:rPr>
      </w:pPr>
      <w:r>
        <w:rPr>
          <w:rFonts w:ascii="Arial" w:cs="Arial" w:eastAsia="Arial" w:hAnsi="Arial"/>
          <w:sz w:val="18"/>
          <w:szCs w:val="18"/>
          <w:color w:val="auto"/>
        </w:rPr>
        <w:t>The Investors shall be indemnified for any and all direct costs, expenses, damages, claims, actions, demands, penalties or other liabilities including loss of Series E Original Issue Price but excluding any lost profits, resulting as a consequence of any inaccuracy or breach of any representation, warranty, covenant, undertaking, confirmation or obligation (the “</w:t>
      </w:r>
      <w:r>
        <w:rPr>
          <w:rFonts w:ascii="Arial" w:cs="Arial" w:eastAsia="Arial" w:hAnsi="Arial"/>
          <w:sz w:val="18"/>
          <w:szCs w:val="18"/>
          <w:b w:val="1"/>
          <w:bCs w:val="1"/>
          <w:color w:val="auto"/>
        </w:rPr>
        <w:t>Loss</w:t>
      </w:r>
      <w:r>
        <w:rPr>
          <w:rFonts w:ascii="Arial" w:cs="Arial" w:eastAsia="Arial" w:hAnsi="Arial"/>
          <w:sz w:val="18"/>
          <w:szCs w:val="18"/>
          <w:color w:val="auto"/>
        </w:rPr>
        <w:t>”), pursuant to the terms and conditions in this Section 8.3 thereby excluding any other remedy. The term Loss shall also include all duly documented external costs and reasonable expenses of the Investors claiming the Loss including reasonable attorneys’ fees.</w:t>
      </w:r>
    </w:p>
    <w:p>
      <w:pPr>
        <w:spacing w:after="0" w:line="80" w:lineRule="exact"/>
        <w:rPr>
          <w:sz w:val="20"/>
          <w:szCs w:val="20"/>
          <w:color w:val="auto"/>
        </w:rPr>
      </w:pPr>
    </w:p>
    <w:p>
      <w:pPr>
        <w:jc w:val="both"/>
        <w:ind w:left="700" w:right="240"/>
        <w:spacing w:after="0" w:line="264" w:lineRule="auto"/>
        <w:rPr>
          <w:sz w:val="20"/>
          <w:szCs w:val="20"/>
          <w:color w:val="auto"/>
        </w:rPr>
      </w:pPr>
      <w:r>
        <w:rPr>
          <w:rFonts w:ascii="Arial" w:cs="Arial" w:eastAsia="Arial" w:hAnsi="Arial"/>
          <w:sz w:val="18"/>
          <w:szCs w:val="18"/>
          <w:color w:val="auto"/>
        </w:rPr>
        <w:t>To the extent the claimed Loss is remedied in full by the Company immediately upon receiving notification of the Loss, or at the latest within one month after receiving the claim, and provided the Company has established the contractually due status, the claim shall lapse and be of no further effect.</w:t>
      </w:r>
    </w:p>
    <w:p>
      <w:pPr>
        <w:spacing w:after="0" w:line="73" w:lineRule="exact"/>
        <w:rPr>
          <w:sz w:val="20"/>
          <w:szCs w:val="20"/>
          <w:color w:val="auto"/>
        </w:rPr>
      </w:pPr>
    </w:p>
    <w:p>
      <w:pPr>
        <w:ind w:left="700" w:right="240"/>
        <w:spacing w:after="0" w:line="286" w:lineRule="auto"/>
        <w:rPr>
          <w:sz w:val="20"/>
          <w:szCs w:val="20"/>
          <w:color w:val="auto"/>
        </w:rPr>
      </w:pPr>
      <w:r>
        <w:rPr>
          <w:rFonts w:ascii="Arial" w:cs="Arial" w:eastAsia="Arial" w:hAnsi="Arial"/>
          <w:sz w:val="17"/>
          <w:szCs w:val="17"/>
          <w:color w:val="auto"/>
        </w:rPr>
        <w:t>Subject to Section 8.4 hereinafter and subject to the subsequent paragraph, the Loss shall be compensated in full by the Company by way of a compensatory capital increase of the Company’s share capital (“</w:t>
      </w:r>
      <w:r>
        <w:rPr>
          <w:rFonts w:ascii="Arial" w:cs="Arial" w:eastAsia="Arial" w:hAnsi="Arial"/>
          <w:sz w:val="17"/>
          <w:szCs w:val="17"/>
          <w:b w:val="1"/>
          <w:bCs w:val="1"/>
          <w:color w:val="auto"/>
        </w:rPr>
        <w:t>Compensatory Capital Increase</w:t>
      </w:r>
      <w:r>
        <w:rPr>
          <w:rFonts w:ascii="Arial" w:cs="Arial" w:eastAsia="Arial" w:hAnsi="Arial"/>
          <w:sz w:val="17"/>
          <w:szCs w:val="17"/>
          <w:color w:val="auto"/>
        </w:rPr>
        <w:t>”). The Compensatory Capital Increase shall be resolved and completed without undue delay after the demand by such Investor or Investors.</w:t>
      </w:r>
    </w:p>
    <w:p>
      <w:pPr>
        <w:spacing w:after="0" w:line="57" w:lineRule="exact"/>
        <w:rPr>
          <w:sz w:val="20"/>
          <w:szCs w:val="20"/>
          <w:color w:val="auto"/>
        </w:rPr>
      </w:pPr>
    </w:p>
    <w:p>
      <w:pPr>
        <w:ind w:left="700" w:right="100"/>
        <w:spacing w:after="0" w:line="297" w:lineRule="auto"/>
        <w:rPr>
          <w:sz w:val="20"/>
          <w:szCs w:val="20"/>
          <w:color w:val="auto"/>
        </w:rPr>
      </w:pPr>
      <w:r>
        <w:rPr>
          <w:rFonts w:ascii="Arial" w:cs="Arial" w:eastAsia="Arial" w:hAnsi="Arial"/>
          <w:sz w:val="16"/>
          <w:szCs w:val="16"/>
          <w:color w:val="auto"/>
        </w:rPr>
        <w:t>As part of the Compensatory Capital Increase, the Investors shall be invited, to the exclusion of the subscription rights of all other Shareholders, to subscribe to the number of Series E Preferred Shares at its nominal value (currently CHF 5.00) per share so that the Investors shall receive such participation in the Company’s share capital as if the Investors had invested the funds committed under this Subscription Agreement and the additional funds provided in the Compensatory Capital Increase from the start at the Reduced Valuation. The “Reduced Valuation” shall be equal to a pre-money valuation of the Company (i.e. before the Series E Financing Round) less the amount of all Losses.</w:t>
      </w:r>
    </w:p>
    <w:p>
      <w:pPr>
        <w:spacing w:after="0" w:line="50" w:lineRule="exact"/>
        <w:rPr>
          <w:sz w:val="20"/>
          <w:szCs w:val="20"/>
          <w:color w:val="auto"/>
        </w:rPr>
      </w:pPr>
    </w:p>
    <w:p>
      <w:pPr>
        <w:ind w:left="700" w:right="360"/>
        <w:spacing w:after="0" w:line="308" w:lineRule="auto"/>
        <w:rPr>
          <w:sz w:val="20"/>
          <w:szCs w:val="20"/>
          <w:color w:val="auto"/>
        </w:rPr>
      </w:pPr>
      <w:r>
        <w:rPr>
          <w:rFonts w:ascii="Arial" w:cs="Arial" w:eastAsia="Arial" w:hAnsi="Arial"/>
          <w:sz w:val="17"/>
          <w:szCs w:val="17"/>
          <w:color w:val="auto"/>
        </w:rPr>
        <w:t>To the extent that the Compensatory Capital Increase cannot be implemented, resolved or is blocked for whatever reason for a period of 90 days after the claim is due, the Company shall indemnify the Investors irrespective of fault for any Loss through a payment in cash.</w:t>
      </w:r>
    </w:p>
    <w:p>
      <w:pPr>
        <w:spacing w:after="0" w:line="38"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The remedies in this Section 8.3 for any misrepresentation or breach of warranty under this Subscription Agreement by the Company shall be in lieu of, and not in addition to, the remedies provided for under statutory law. All other remedies including, without limitation, the right to rescind this Subscription Agreement shall, subject to the right of termination and rescission in accordance with Section 6, not apply and are expressly excluded and waived.</w:t>
      </w:r>
    </w:p>
    <w:p>
      <w:pPr>
        <w:sectPr>
          <w:pgSz w:w="11900" w:h="16838" w:orient="portrait"/>
          <w:cols w:equalWidth="0" w:num="1">
            <w:col w:w="11420"/>
          </w:cols>
          <w:pgMar w:left="240" w:top="274" w:right="239" w:bottom="1440" w:gutter="0" w:footer="0" w:header="0"/>
        </w:sectPr>
      </w:pPr>
    </w:p>
    <w:bookmarkStart w:id="660" w:name="page661"/>
    <w:bookmarkEnd w:id="660"/>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Limitations on Liability by the Company</w:t>
      </w:r>
    </w:p>
    <w:p>
      <w:pPr>
        <w:spacing w:after="0" w:line="117" w:lineRule="exact"/>
        <w:rPr>
          <w:sz w:val="20"/>
          <w:szCs w:val="20"/>
          <w:color w:val="auto"/>
        </w:rPr>
      </w:pPr>
    </w:p>
    <w:p>
      <w:pPr>
        <w:ind w:left="700" w:right="20"/>
        <w:spacing w:after="0" w:line="255" w:lineRule="auto"/>
        <w:rPr>
          <w:sz w:val="20"/>
          <w:szCs w:val="20"/>
          <w:color w:val="auto"/>
        </w:rPr>
      </w:pPr>
      <w:r>
        <w:rPr>
          <w:rFonts w:ascii="Arial" w:cs="Arial" w:eastAsia="Arial" w:hAnsi="Arial"/>
          <w:sz w:val="18"/>
          <w:szCs w:val="18"/>
          <w:color w:val="auto"/>
        </w:rPr>
        <w:t>The liability of the Company and towards all Investors for misrepresentations or breaches of warranties under this Subscription Agreement shall be excluded if the aggregate amount of the claimed Basket Losses for all Investors does not exceed CHF 1’000’000; provided, however, in the case the total claimed Basket Losses exceed CHF 1’000’000, the entire Loss (and not only the amount above the claimed Basket Losses) is to be compensated. For purposes hereof, “Basket Losses” shall mean actual damages, claims, actions, demands, penalties or other liabilities including loss of Series E Original Issue Price but excluding any lost profits, resulting as a consequence of any inaccuracy or breach of any representation, warranty, covenant, undertaking, confirmation or obligation but excluding attorney’s fees and other external costs and expenses of the Investors claiming the Loss.</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Each Investor confirms not to be aware that the Company is in breach of any representation or warranty at the date of this Subscription Agreement.</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Parties explicitly exclude and waive Article 200 para 2 CO, if and to the extent applicable.</w:t>
      </w:r>
    </w:p>
    <w:p>
      <w:pPr>
        <w:spacing w:after="0" w:line="103"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The Company’s liability for misrepresentation or breach of warranty under this Subscription Agreement shall be excluded or reduced, as the case may be, if and to the extent that:</w:t>
      </w:r>
    </w:p>
    <w:p>
      <w:pPr>
        <w:spacing w:after="0" w:line="76" w:lineRule="exact"/>
        <w:rPr>
          <w:sz w:val="20"/>
          <w:szCs w:val="20"/>
          <w:color w:val="auto"/>
        </w:rPr>
      </w:pPr>
    </w:p>
    <w:p>
      <w:pPr>
        <w:ind w:left="1120" w:right="180" w:hanging="437"/>
        <w:spacing w:after="0" w:line="286" w:lineRule="auto"/>
        <w:tabs>
          <w:tab w:leader="none" w:pos="112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Such Investor or the Company has actually recovered or, using commercially reasonable best efforts, could recover or could have recovered, as the case may be, from any third person, including but not limited to an insurer, any sum in respect of any matter to which a claim made relates, after deduction of all duly documented costs and expenses incurred in making such recovery;</w:t>
      </w:r>
    </w:p>
    <w:p>
      <w:pPr>
        <w:spacing w:after="0" w:line="70" w:lineRule="exact"/>
        <w:rPr>
          <w:rFonts w:ascii="Arial" w:cs="Arial" w:eastAsia="Arial" w:hAnsi="Arial"/>
          <w:sz w:val="17"/>
          <w:szCs w:val="17"/>
          <w:color w:val="auto"/>
        </w:rPr>
      </w:pPr>
    </w:p>
    <w:p>
      <w:pPr>
        <w:jc w:val="both"/>
        <w:ind w:left="1120" w:right="140" w:hanging="437"/>
        <w:spacing w:after="0" w:line="342" w:lineRule="auto"/>
        <w:tabs>
          <w:tab w:leader="none" w:pos="112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a specific provision, reserve or valuation allowance has been or is made or included in the financial statements / management accounts of the Company as of 31 December 2014 with respect to the facts, matters or circumstances resulting in a misrepresentation of breach of warranty;</w:t>
      </w:r>
    </w:p>
    <w:p>
      <w:pPr>
        <w:spacing w:after="0" w:line="29" w:lineRule="exact"/>
        <w:rPr>
          <w:rFonts w:ascii="Arial" w:cs="Arial" w:eastAsia="Arial" w:hAnsi="Arial"/>
          <w:sz w:val="16"/>
          <w:szCs w:val="16"/>
          <w:color w:val="auto"/>
        </w:rPr>
      </w:pPr>
    </w:p>
    <w:p>
      <w:pPr>
        <w:ind w:left="1120" w:hanging="437"/>
        <w:spacing w:after="0"/>
        <w:tabs>
          <w:tab w:leader="none" w:pos="112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such Loss is attributable to any act, omission, Subscription or arrangement of the Company after the closing of this Subscription Agreement;</w:t>
      </w:r>
    </w:p>
    <w:p>
      <w:pPr>
        <w:spacing w:after="0" w:line="153" w:lineRule="exact"/>
        <w:rPr>
          <w:rFonts w:ascii="Arial" w:cs="Arial" w:eastAsia="Arial" w:hAnsi="Arial"/>
          <w:sz w:val="16"/>
          <w:szCs w:val="16"/>
          <w:color w:val="auto"/>
        </w:rPr>
      </w:pPr>
    </w:p>
    <w:p>
      <w:pPr>
        <w:ind w:left="1120" w:right="220" w:hanging="437"/>
        <w:spacing w:after="0" w:line="259" w:lineRule="auto"/>
        <w:tabs>
          <w:tab w:leader="none" w:pos="112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to the extent that such Loss arises only as a result of any change in the accounting bases or policies in accordance with which the Company values its assets or calculate its liabilities or any other change in accounting practice from the treatment or application of the same used in preparing the accounts (save to the extent that such changes are required to correct errors or because relevant generally accepted accounting principles have not been complied with);</w:t>
      </w:r>
    </w:p>
    <w:p>
      <w:pPr>
        <w:spacing w:after="0" w:line="92" w:lineRule="exact"/>
        <w:rPr>
          <w:rFonts w:ascii="Arial" w:cs="Arial" w:eastAsia="Arial" w:hAnsi="Arial"/>
          <w:sz w:val="18"/>
          <w:szCs w:val="18"/>
          <w:color w:val="auto"/>
        </w:rPr>
      </w:pPr>
    </w:p>
    <w:p>
      <w:pPr>
        <w:ind w:left="1120" w:hanging="437"/>
        <w:spacing w:after="0"/>
        <w:tabs>
          <w:tab w:leader="none" w:pos="1120" w:val="left"/>
        </w:tabs>
        <w:numPr>
          <w:ilvl w:val="0"/>
          <w:numId w:val="520"/>
        </w:numPr>
        <w:rPr>
          <w:rFonts w:ascii="Arial" w:cs="Arial" w:eastAsia="Arial" w:hAnsi="Arial"/>
          <w:sz w:val="17"/>
          <w:szCs w:val="17"/>
          <w:color w:val="auto"/>
        </w:rPr>
      </w:pPr>
      <w:r>
        <w:rPr>
          <w:rFonts w:ascii="Arial" w:cs="Arial" w:eastAsia="Arial" w:hAnsi="Arial"/>
          <w:sz w:val="17"/>
          <w:szCs w:val="17"/>
          <w:color w:val="auto"/>
        </w:rPr>
        <w:t>any tax payable by the Company is reduced as a result of a matter giving rise to a claim for misrepresentation or breach of warranty; and</w:t>
      </w:r>
    </w:p>
    <w:p>
      <w:pPr>
        <w:spacing w:after="0" w:line="142" w:lineRule="exact"/>
        <w:rPr>
          <w:rFonts w:ascii="Arial" w:cs="Arial" w:eastAsia="Arial" w:hAnsi="Arial"/>
          <w:sz w:val="17"/>
          <w:szCs w:val="17"/>
          <w:color w:val="auto"/>
        </w:rPr>
      </w:pPr>
    </w:p>
    <w:p>
      <w:pPr>
        <w:ind w:left="1120" w:right="20" w:hanging="437"/>
        <w:spacing w:after="0" w:line="302" w:lineRule="auto"/>
        <w:tabs>
          <w:tab w:leader="none" w:pos="1120" w:val="left"/>
        </w:tabs>
        <w:numPr>
          <w:ilvl w:val="0"/>
          <w:numId w:val="520"/>
        </w:numPr>
        <w:rPr>
          <w:rFonts w:ascii="Arial" w:cs="Arial" w:eastAsia="Arial" w:hAnsi="Arial"/>
          <w:sz w:val="16"/>
          <w:szCs w:val="16"/>
          <w:color w:val="auto"/>
        </w:rPr>
      </w:pPr>
      <w:r>
        <w:rPr>
          <w:rFonts w:ascii="Arial" w:cs="Arial" w:eastAsia="Arial" w:hAnsi="Arial"/>
          <w:sz w:val="16"/>
          <w:szCs w:val="16"/>
          <w:color w:val="auto"/>
        </w:rPr>
        <w:t>such claim arises or is increased as a result of any legislation, regulation, rule of law or practice not in force at the date hereof, or as a result of the withdrawal (which is not due to any act or omission of the Company) after Closing of any authorization, license or permit previously made by any relevant authority, or as a result of any change made or introduced on or after the date hereof in any legislation, regulation, rule of law or practice of any relevant authority, whether or not such change or withdrawal purports to be effective retrospectively in whole or part.</w:t>
      </w:r>
    </w:p>
    <w:p>
      <w:pPr>
        <w:sectPr>
          <w:pgSz w:w="11900" w:h="16838" w:orient="portrait"/>
          <w:cols w:equalWidth="0" w:num="1">
            <w:col w:w="11420"/>
          </w:cols>
          <w:pgMar w:left="240" w:top="274" w:right="239" w:bottom="1440" w:gutter="0" w:footer="0" w:header="0"/>
        </w:sectPr>
      </w:pPr>
    </w:p>
    <w:bookmarkStart w:id="661" w:name="page662"/>
    <w:bookmarkEnd w:id="661"/>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0" w:hanging="672"/>
        <w:spacing w:after="0"/>
        <w:tabs>
          <w:tab w:leader="none" w:pos="680"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Issuance of New Shares and Registration in the Share Register</w:t>
      </w:r>
    </w:p>
    <w:p>
      <w:pPr>
        <w:spacing w:after="0" w:line="117" w:lineRule="exact"/>
        <w:rPr>
          <w:sz w:val="20"/>
          <w:szCs w:val="20"/>
          <w:color w:val="auto"/>
        </w:rPr>
      </w:pPr>
    </w:p>
    <w:p>
      <w:pPr>
        <w:ind w:left="700" w:right="100"/>
        <w:spacing w:after="0" w:line="312" w:lineRule="auto"/>
        <w:rPr>
          <w:sz w:val="20"/>
          <w:szCs w:val="20"/>
          <w:color w:val="auto"/>
        </w:rPr>
      </w:pPr>
      <w:r>
        <w:rPr>
          <w:rFonts w:ascii="Arial" w:cs="Arial" w:eastAsia="Arial" w:hAnsi="Arial"/>
          <w:sz w:val="16"/>
          <w:szCs w:val="16"/>
          <w:color w:val="auto"/>
        </w:rPr>
        <w:t>Promptly following the receipt of the certified extract and/or express confirmation of the Register of Commerce evidencing the registration of the Series E capital increase and the respective adoption of the Revised Articles of Association the Company shall deliver to the Investors a copy of the updated share register of the Company evidencing each Investor as owner of the appropriate number of Series E Preferred Shares.</w:t>
      </w:r>
    </w:p>
    <w:p>
      <w:pPr>
        <w:spacing w:after="0" w:line="2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Information Rights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shall deliver to each Investor at a minimum,</w:t>
      </w:r>
    </w:p>
    <w:p>
      <w:pPr>
        <w:spacing w:after="0" w:line="131" w:lineRule="exact"/>
        <w:rPr>
          <w:sz w:val="20"/>
          <w:szCs w:val="20"/>
          <w:color w:val="auto"/>
        </w:rPr>
      </w:pPr>
    </w:p>
    <w:p>
      <w:pPr>
        <w:ind w:left="1120" w:hanging="437"/>
        <w:spacing w:after="0"/>
        <w:tabs>
          <w:tab w:leader="none" w:pos="11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audited financial statements within 90 days after the end of each fiscal year, prepared in accordance with IFRS;</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unaudited quarterly financial statements within 30 days from the end of each quarter; and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quarterly progress reports as determined by the Board</w:t>
      </w:r>
    </w:p>
    <w:p>
      <w:pPr>
        <w:spacing w:after="0" w:line="117" w:lineRule="exact"/>
        <w:rPr>
          <w:sz w:val="20"/>
          <w:szCs w:val="20"/>
          <w:color w:val="auto"/>
        </w:rPr>
      </w:pPr>
    </w:p>
    <w:p>
      <w:pPr>
        <w:ind w:left="700"/>
        <w:spacing w:after="0" w:line="312" w:lineRule="auto"/>
        <w:rPr>
          <w:sz w:val="20"/>
          <w:szCs w:val="20"/>
          <w:color w:val="auto"/>
        </w:rPr>
      </w:pPr>
      <w:r>
        <w:rPr>
          <w:rFonts w:ascii="Arial" w:cs="Arial" w:eastAsia="Arial" w:hAnsi="Arial"/>
          <w:sz w:val="16"/>
          <w:szCs w:val="16"/>
          <w:color w:val="auto"/>
        </w:rPr>
        <w:t>The Company shall promptly and accurately respond, and shall use its best efforts to cause its transfer agent to promptly respond, to requests for information made on behalf of any Investor or such Investor’s fund or account relating to accounting or securities law matters required in connection with its audit or the actual holdings of the Investor or of the Investor’s funds or accounts, including in relation to the total outstanding shares.</w:t>
      </w:r>
    </w:p>
    <w:p>
      <w:pPr>
        <w:spacing w:after="0" w:line="39"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All information rights shall expire once no Investor (or the Investor’s fund or account) holds any securities of the Company that are restricted under the Securities Act, as amended.</w:t>
      </w:r>
    </w:p>
    <w:p>
      <w:pPr>
        <w:spacing w:after="0" w:line="315" w:lineRule="exact"/>
        <w:rPr>
          <w:sz w:val="20"/>
          <w:szCs w:val="20"/>
          <w:color w:val="auto"/>
        </w:rPr>
      </w:pPr>
    </w:p>
    <w:p>
      <w:pPr>
        <w:ind w:left="680" w:hanging="672"/>
        <w:spacing w:after="0"/>
        <w:tabs>
          <w:tab w:leader="none" w:pos="680"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PARTIES’ RIGHTS AND OBLIGATIONS</w:t>
      </w:r>
    </w:p>
    <w:p>
      <w:pPr>
        <w:spacing w:after="0" w:line="121" w:lineRule="exact"/>
        <w:rPr>
          <w:rFonts w:ascii="Arial" w:cs="Arial" w:eastAsia="Arial" w:hAnsi="Arial"/>
          <w:sz w:val="18"/>
          <w:szCs w:val="18"/>
          <w:b w:val="1"/>
          <w:bCs w:val="1"/>
          <w:color w:val="auto"/>
        </w:rPr>
      </w:pPr>
    </w:p>
    <w:p>
      <w:pPr>
        <w:ind w:left="7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Except as specifically provided otherwise in this Subscription Agreement, the rights and obligations of the Parties hereunder shall be several (and not joint). Each Investor may exercise and enforce its rights hereunder in accordance with this Subscription Agreement, and the non-performance by the Company or a Shareholder (the “</w:t>
      </w:r>
      <w:r>
        <w:rPr>
          <w:rFonts w:ascii="Arial" w:cs="Arial" w:eastAsia="Arial" w:hAnsi="Arial"/>
          <w:sz w:val="18"/>
          <w:szCs w:val="18"/>
          <w:b w:val="1"/>
          <w:bCs w:val="1"/>
          <w:color w:val="auto"/>
        </w:rPr>
        <w:t>Defaulting Party</w:t>
      </w:r>
      <w:r>
        <w:rPr>
          <w:rFonts w:ascii="Arial" w:cs="Arial" w:eastAsia="Arial" w:hAnsi="Arial"/>
          <w:sz w:val="18"/>
          <w:szCs w:val="18"/>
          <w:color w:val="auto"/>
        </w:rPr>
        <w:t>”) shall neither relieve the Company nor any other Shareholder from performing its obligations under this Subscription Agreement, nor shall the Company (provided it is not the Defaulting Party) or any other Shareholder be liable for the non-performance by the Defaulting Party. Nothing in this Subscription Agreement is intended to or shall be construed as establishing or implying any partnership of any kind between the Parties.</w:t>
      </w:r>
    </w:p>
    <w:p>
      <w:pPr>
        <w:sectPr>
          <w:pgSz w:w="11900" w:h="16838" w:orient="portrait"/>
          <w:cols w:equalWidth="0" w:num="1">
            <w:col w:w="11420"/>
          </w:cols>
          <w:pgMar w:left="240" w:top="273" w:right="239" w:bottom="1440" w:gutter="0" w:footer="0" w:header="0"/>
        </w:sectPr>
      </w:pPr>
    </w:p>
    <w:bookmarkStart w:id="662" w:name="page663"/>
    <w:bookmarkEnd w:id="662"/>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80" w:hanging="672"/>
        <w:spacing w:after="0"/>
        <w:tabs>
          <w:tab w:leader="none" w:pos="680" w:val="left"/>
        </w:tabs>
        <w:numPr>
          <w:ilvl w:val="0"/>
          <w:numId w:val="52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Confidentiality</w:t>
      </w:r>
    </w:p>
    <w:p>
      <w:pPr>
        <w:spacing w:after="0" w:line="117" w:lineRule="exact"/>
        <w:rPr>
          <w:sz w:val="20"/>
          <w:szCs w:val="20"/>
          <w:color w:val="auto"/>
        </w:rPr>
      </w:pPr>
    </w:p>
    <w:p>
      <w:pPr>
        <w:ind w:left="700" w:right="40"/>
        <w:spacing w:after="0" w:line="268" w:lineRule="auto"/>
        <w:rPr>
          <w:sz w:val="20"/>
          <w:szCs w:val="20"/>
          <w:color w:val="auto"/>
        </w:rPr>
      </w:pPr>
      <w:r>
        <w:rPr>
          <w:rFonts w:ascii="Arial" w:cs="Arial" w:eastAsia="Arial" w:hAnsi="Arial"/>
          <w:sz w:val="17"/>
          <w:szCs w:val="17"/>
          <w:color w:val="auto"/>
        </w:rPr>
        <w:t xml:space="preserve">Unless disclosure is or has been approved by the Company and V-Sciences, the existence as well as the terms and conditions of this Subscription Agreement, and any information exchanged between the Parties (including their respective representatives or advisors) during the due diligence and the negotiation of the definitive agreements for the Series E Financing Round and/or pertaining to the business and the operation of the Company shall be kept strictly confidential by each Party as further outlined in the Shareholders’ Agreement, provided however, that the Company may confirm that an Investor is the investor in the Company following the public announcement of the Closing of the Series E Financing. Any Party may disclose the terms of this Subscription Agreement (i) to the extent required to comply with any governmental or regulatory inquiry or with applicable law, including the rules and regulations promulgated by the United States Securities and Exchange Commission or any equivalent governmental agency to which the Party is subject;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where it is practicable such Party will solicit and will reasonably consider the comments of the other Party regarding confidential treatment sought for such disclosure; (ii) to the extent required for the enforcement of such Party’s rights hereunder and/or under the Shareholders’ Agreement; and (iii) to its affiliated companies, advisors (including financial advisors, attorneys and accountants), actual or potential acquisition partners, financing sources or investors and underwriters on a need to know basis;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disclosure is covered by terms of confidentiality similar to those set forth herein (which may include professional ethical</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w:t>
      </w:r>
    </w:p>
    <w:p>
      <w:pPr>
        <w:spacing w:after="0" w:line="33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Successors and Assignment</w:t>
      </w:r>
    </w:p>
    <w:p>
      <w:pPr>
        <w:spacing w:after="0" w:line="117"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color w:val="auto"/>
        </w:rPr>
        <w:t>This Subscription Agreement shall be binding upon and shall inure to the benefit of the Parties hereto and their respective permitted successors and assigns.</w:t>
      </w:r>
    </w:p>
    <w:p>
      <w:pPr>
        <w:spacing w:after="0" w:line="62" w:lineRule="exact"/>
        <w:rPr>
          <w:sz w:val="20"/>
          <w:szCs w:val="20"/>
          <w:color w:val="auto"/>
        </w:rPr>
      </w:pPr>
    </w:p>
    <w:p>
      <w:pPr>
        <w:jc w:val="both"/>
        <w:ind w:left="700" w:right="40"/>
        <w:spacing w:after="0" w:line="312" w:lineRule="auto"/>
        <w:rPr>
          <w:sz w:val="20"/>
          <w:szCs w:val="20"/>
          <w:color w:val="auto"/>
        </w:rPr>
      </w:pPr>
      <w:r>
        <w:rPr>
          <w:rFonts w:ascii="Arial" w:cs="Arial" w:eastAsia="Arial" w:hAnsi="Arial"/>
          <w:sz w:val="16"/>
          <w:szCs w:val="16"/>
          <w:color w:val="auto"/>
        </w:rPr>
        <w:t>None of the Parties shall be entitled to assign all or any part of its rights and obligations under this Subscription Agreement without the prior written consent of the other Parties, except that post the Closing each Investor may assign its rights and obligations under this Subscription Agreement with the prior written consent of the Company in conjunction with a transfer of Shares pursuant to and in compliance with the Shareholders’ Agreement.</w:t>
      </w:r>
    </w:p>
    <w:p>
      <w:pPr>
        <w:spacing w:after="0" w:line="2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Costs and Expenses, Taxes</w:t>
      </w:r>
    </w:p>
    <w:p>
      <w:pPr>
        <w:spacing w:after="0" w:line="117" w:lineRule="exact"/>
        <w:rPr>
          <w:sz w:val="20"/>
          <w:szCs w:val="20"/>
          <w:color w:val="auto"/>
        </w:rPr>
      </w:pPr>
    </w:p>
    <w:p>
      <w:pPr>
        <w:ind w:left="700" w:right="60"/>
        <w:spacing w:after="0" w:line="279" w:lineRule="auto"/>
        <w:rPr>
          <w:sz w:val="20"/>
          <w:szCs w:val="20"/>
          <w:color w:val="auto"/>
        </w:rPr>
      </w:pPr>
      <w:r>
        <w:rPr>
          <w:rFonts w:ascii="Arial" w:cs="Arial" w:eastAsia="Arial" w:hAnsi="Arial"/>
          <w:sz w:val="17"/>
          <w:szCs w:val="17"/>
          <w:color w:val="auto"/>
        </w:rPr>
        <w:t>Provided the Series E Financing Round is closed, the Company shall pay the reasonable fees and out-of-pocket expenses of counsel for the several Investors, in an aggregate amount not to exceed USD 100’000 including any taxes. The Company shall also bear all Swiss issuance and stamp taxes arising out of the Series E Financing Round. Each Party shall bear any other costs and any other expenses arising out of or incurred, and any taxes imposed on it, in connection with this Subscription Agreement and all Subscriptions contemplated hereby.</w:t>
      </w:r>
    </w:p>
    <w:p>
      <w:pPr>
        <w:spacing w:after="0" w:line="3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Notices</w:t>
      </w:r>
    </w:p>
    <w:p>
      <w:pPr>
        <w:spacing w:after="0" w:line="117"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All notices and other communications made or to be made under this Subscription Agreement shall be effective upon receipt and shall be given in writing by courier, or</w:t>
      </w:r>
    </w:p>
    <w:p>
      <w:pPr>
        <w:sectPr>
          <w:pgSz w:w="11900" w:h="16838" w:orient="portrait"/>
          <w:cols w:equalWidth="0" w:num="1">
            <w:col w:w="11420"/>
          </w:cols>
          <w:pgMar w:left="240" w:top="275" w:right="239" w:bottom="1440" w:gutter="0" w:footer="0" w:header="0"/>
        </w:sectPr>
      </w:pPr>
    </w:p>
    <w:bookmarkStart w:id="663" w:name="page664"/>
    <w:bookmarkEnd w:id="663"/>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00" w:right="100"/>
        <w:spacing w:after="0" w:line="277" w:lineRule="auto"/>
        <w:rPr>
          <w:sz w:val="20"/>
          <w:szCs w:val="20"/>
          <w:color w:val="auto"/>
        </w:rPr>
      </w:pPr>
      <w:r>
        <w:rPr>
          <w:rFonts w:ascii="Arial" w:cs="Arial" w:eastAsia="Arial" w:hAnsi="Arial"/>
          <w:sz w:val="18"/>
          <w:szCs w:val="18"/>
          <w:color w:val="auto"/>
        </w:rPr>
        <w:t>registered mail to the addressees listed on the first page of this Subscription Agreement. Any notice to the Company shall be sent to the attention of the Chairman of the Board and to the attention of the CEO.</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notice to V-Sciences Investments Pte Ltd. shall be sent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Khoo Shih</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Temasek Holdings (Private) Limited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60B Orchard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#06-18 Tower 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Atrium@Orchard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Singapore 238891</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notice to the Company shall be sent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CEO</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EPFL Innovation Park, bâtiment B,</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 1015 Lausanne, Switzerland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Telephone: +41 21 693 91 21</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VISCHER AG</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Attn. Dr. Matthias Staehelin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 4010 Basel, Switzerland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Telephone: +41 58 211 33 00</w:t>
      </w:r>
    </w:p>
    <w:p>
      <w:pPr>
        <w:spacing w:after="0" w:line="103"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Each Party may change or amend the addresses given in this Subscription Agreement or designate additional addresses for the purposes of this Section by giving the other Parties written notice of the new address in the manner set forth in this Section.</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Entire Agreement</w:t>
      </w:r>
    </w:p>
    <w:p>
      <w:pPr>
        <w:spacing w:after="0" w:line="117" w:lineRule="exact"/>
        <w:rPr>
          <w:sz w:val="20"/>
          <w:szCs w:val="20"/>
          <w:color w:val="auto"/>
        </w:rPr>
      </w:pPr>
    </w:p>
    <w:p>
      <w:pPr>
        <w:ind w:left="700" w:right="20"/>
        <w:spacing w:after="0" w:line="286" w:lineRule="auto"/>
        <w:rPr>
          <w:sz w:val="20"/>
          <w:szCs w:val="20"/>
          <w:color w:val="auto"/>
        </w:rPr>
      </w:pPr>
      <w:r>
        <w:rPr>
          <w:rFonts w:ascii="Arial" w:cs="Arial" w:eastAsia="Arial" w:hAnsi="Arial"/>
          <w:sz w:val="17"/>
          <w:szCs w:val="17"/>
          <w:color w:val="auto"/>
        </w:rPr>
        <w:t>This Subscription Agreement (including its Appendices) and any written document executed in connection herewith constitutes the entire agreement between the Parties hereto with respect to the subject matter hereof and supersedes any agreement or understanding that may have been concluded with respect to the subject matter hereof between any of the Parties prior to the date of this Subscription Agreement.</w:t>
      </w:r>
    </w:p>
    <w:p>
      <w:pPr>
        <w:spacing w:after="0" w:line="31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Severability</w:t>
      </w:r>
    </w:p>
    <w:p>
      <w:pPr>
        <w:spacing w:after="0" w:line="117"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If at any time any provision of this Subscription Agreement or any part thereof is or becomes invalid or unenforceable, then neither the validity nor the enforceability of the remaining provisions or the remaining part of the provision shall in any way be affected or impaired thereby. The Parties agree to replace the invalid or unenforceable provision or part thereof by a valid or enforceable provision which shall best reflect the Parties’ original intention and shall to the extent possible achieve the same economic result.</w:t>
      </w:r>
    </w:p>
    <w:p>
      <w:pPr>
        <w:spacing w:after="0" w:line="3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Termination at IPO and Survival</w:t>
      </w:r>
    </w:p>
    <w:p>
      <w:pPr>
        <w:spacing w:after="0" w:line="117" w:lineRule="exact"/>
        <w:rPr>
          <w:sz w:val="20"/>
          <w:szCs w:val="20"/>
          <w:color w:val="auto"/>
        </w:rPr>
      </w:pPr>
    </w:p>
    <w:p>
      <w:pPr>
        <w:ind w:left="700" w:right="800"/>
        <w:spacing w:after="0" w:line="264" w:lineRule="auto"/>
        <w:rPr>
          <w:sz w:val="20"/>
          <w:szCs w:val="20"/>
          <w:color w:val="auto"/>
        </w:rPr>
      </w:pPr>
      <w:r>
        <w:rPr>
          <w:rFonts w:ascii="Arial" w:cs="Arial" w:eastAsia="Arial" w:hAnsi="Arial"/>
          <w:sz w:val="18"/>
          <w:szCs w:val="18"/>
          <w:color w:val="auto"/>
        </w:rPr>
        <w:t>This Subscription Agreement shall terminate at a firmly underwritten public offering of Common Shares of the Company for listing on an internationally recognized stock exchange at a pre-money valuation at the IPO date of not less than the Post Series E Valuation (USD 500’000’000.00 assuming the issuance of 20’755 Series E Preferred</w:t>
      </w:r>
    </w:p>
    <w:p>
      <w:pPr>
        <w:sectPr>
          <w:pgSz w:w="11900" w:h="16838" w:orient="portrait"/>
          <w:cols w:equalWidth="0" w:num="1">
            <w:col w:w="11420"/>
          </w:cols>
          <w:pgMar w:left="240" w:top="275" w:right="239" w:bottom="1440" w:gutter="0" w:footer="0" w:header="0"/>
        </w:sectPr>
      </w:pPr>
    </w:p>
    <w:bookmarkStart w:id="664" w:name="page665"/>
    <w:bookmarkEnd w:id="664"/>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700" w:right="80"/>
        <w:spacing w:after="0" w:line="302" w:lineRule="auto"/>
        <w:rPr>
          <w:sz w:val="20"/>
          <w:szCs w:val="20"/>
          <w:color w:val="auto"/>
        </w:rPr>
      </w:pPr>
      <w:r>
        <w:rPr>
          <w:rFonts w:ascii="Arial" w:cs="Arial" w:eastAsia="Arial" w:hAnsi="Arial"/>
          <w:sz w:val="16"/>
          <w:szCs w:val="16"/>
          <w:color w:val="auto"/>
        </w:rPr>
        <w:t>Shares) and with gross proceeds from the initial public offering of at least USD 50 million. Notwithstanding any termination and rescission of this Subscription Agreement (and the Shareholders’ Agreement and any documents, instruments or deeds executed by an Investor including, but not limited to, the Subscription Forms) pursuant to Section 6 above, it is acknowledged and agreed that Sections 6 (Termination and Recission) and this Section 11.7 shall survive any such termination and rescission and continue to be effective as if no such termination and rescission had occurred.</w:t>
      </w:r>
    </w:p>
    <w:p>
      <w:pPr>
        <w:spacing w:after="0" w:line="30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Amendments</w:t>
      </w:r>
    </w:p>
    <w:p>
      <w:pPr>
        <w:spacing w:after="0" w:line="117" w:lineRule="exact"/>
        <w:rPr>
          <w:sz w:val="20"/>
          <w:szCs w:val="20"/>
          <w:color w:val="auto"/>
        </w:rPr>
      </w:pPr>
    </w:p>
    <w:p>
      <w:pPr>
        <w:ind w:left="700" w:right="720"/>
        <w:spacing w:after="0" w:line="277" w:lineRule="auto"/>
        <w:rPr>
          <w:sz w:val="20"/>
          <w:szCs w:val="20"/>
          <w:color w:val="auto"/>
        </w:rPr>
      </w:pPr>
      <w:r>
        <w:rPr>
          <w:rFonts w:ascii="Arial" w:cs="Arial" w:eastAsia="Arial" w:hAnsi="Arial"/>
          <w:sz w:val="18"/>
          <w:szCs w:val="18"/>
          <w:color w:val="auto"/>
        </w:rPr>
        <w:t>This Subscription Agreement including this Section 11.8 may be amended only in writing by an instrument signed by the Company and all Investors.</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Waiver of Rights</w:t>
      </w:r>
    </w:p>
    <w:p>
      <w:pPr>
        <w:spacing w:after="0" w:line="117" w:lineRule="exact"/>
        <w:rPr>
          <w:sz w:val="20"/>
          <w:szCs w:val="20"/>
          <w:color w:val="auto"/>
        </w:rPr>
      </w:pPr>
    </w:p>
    <w:p>
      <w:pPr>
        <w:ind w:left="700" w:right="460"/>
        <w:spacing w:after="0" w:line="277" w:lineRule="auto"/>
        <w:rPr>
          <w:sz w:val="20"/>
          <w:szCs w:val="20"/>
          <w:color w:val="auto"/>
        </w:rPr>
      </w:pPr>
      <w:r>
        <w:rPr>
          <w:rFonts w:ascii="Arial" w:cs="Arial" w:eastAsia="Arial" w:hAnsi="Arial"/>
          <w:sz w:val="18"/>
          <w:szCs w:val="18"/>
          <w:color w:val="auto"/>
        </w:rPr>
        <w:t>No waiver by a Party of a failure of any other Party to perform any provision of this Subscription Agreement shall operate or be construed as a waiver in respect of any other or further failure whether of a similar or different character.</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Announcement</w:t>
      </w:r>
    </w:p>
    <w:p>
      <w:pPr>
        <w:spacing w:after="0" w:line="117" w:lineRule="exact"/>
        <w:rPr>
          <w:sz w:val="20"/>
          <w:szCs w:val="20"/>
          <w:color w:val="auto"/>
        </w:rPr>
      </w:pPr>
    </w:p>
    <w:p>
      <w:pPr>
        <w:ind w:left="700"/>
        <w:spacing w:after="0" w:line="312" w:lineRule="auto"/>
        <w:rPr>
          <w:sz w:val="20"/>
          <w:szCs w:val="20"/>
          <w:color w:val="auto"/>
        </w:rPr>
      </w:pPr>
      <w:r>
        <w:rPr>
          <w:rFonts w:ascii="Arial" w:cs="Arial" w:eastAsia="Arial" w:hAnsi="Arial"/>
          <w:sz w:val="16"/>
          <w:szCs w:val="16"/>
          <w:color w:val="auto"/>
        </w:rPr>
        <w:t>Each Investor shall consult with the Company, and the Company shall consult with such Investor, before issuing any press releases or otherwise making any public statements with respect to this Subscription Agreement and the matter contemplated hereby. The wording and timing of the initial public announcement of the acquisition of the equity participation in the Company shall be mutually agreed between the Company and V-Sciences.</w:t>
      </w:r>
    </w:p>
    <w:p>
      <w:pPr>
        <w:spacing w:after="0" w:line="29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Counterparts</w:t>
      </w:r>
    </w:p>
    <w:p>
      <w:pPr>
        <w:spacing w:after="0" w:line="117" w:lineRule="exact"/>
        <w:rPr>
          <w:sz w:val="20"/>
          <w:szCs w:val="20"/>
          <w:color w:val="auto"/>
        </w:rPr>
      </w:pPr>
    </w:p>
    <w:p>
      <w:pPr>
        <w:ind w:left="700" w:right="240"/>
        <w:spacing w:after="0" w:line="286" w:lineRule="auto"/>
        <w:rPr>
          <w:sz w:val="20"/>
          <w:szCs w:val="20"/>
          <w:color w:val="auto"/>
        </w:rPr>
      </w:pPr>
      <w:r>
        <w:rPr>
          <w:rFonts w:ascii="Arial" w:cs="Arial" w:eastAsia="Arial" w:hAnsi="Arial"/>
          <w:sz w:val="17"/>
          <w:szCs w:val="17"/>
          <w:color w:val="auto"/>
        </w:rPr>
        <w:t>This Subscription Agreement may be executed in so many counterparts as there are Parties to it, each of which shall constitute an original, and all counterparts shall constitute an original, and all counterparts shall together constitute one and the same instrument. Execution copies may be delivered by as PDF by e-mail (in which case original copies shall subsequently be sent by mail as soon as possible).</w:t>
      </w:r>
    </w:p>
    <w:p>
      <w:pPr>
        <w:spacing w:after="0" w:line="31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color w:val="auto"/>
        </w:rPr>
        <w:t>Applicable Law</w:t>
      </w:r>
    </w:p>
    <w:p>
      <w:pPr>
        <w:spacing w:after="0" w:line="117" w:lineRule="exact"/>
        <w:rPr>
          <w:sz w:val="20"/>
          <w:szCs w:val="20"/>
          <w:color w:val="auto"/>
        </w:rPr>
      </w:pPr>
    </w:p>
    <w:p>
      <w:pPr>
        <w:ind w:left="700" w:right="260"/>
        <w:spacing w:after="0" w:line="277" w:lineRule="auto"/>
        <w:rPr>
          <w:sz w:val="20"/>
          <w:szCs w:val="20"/>
          <w:color w:val="auto"/>
        </w:rPr>
      </w:pPr>
      <w:r>
        <w:rPr>
          <w:rFonts w:ascii="Arial" w:cs="Arial" w:eastAsia="Arial" w:hAnsi="Arial"/>
          <w:sz w:val="18"/>
          <w:szCs w:val="18"/>
          <w:color w:val="auto"/>
        </w:rPr>
        <w:t>This Subscription Agreement and all disputes including those concerning any statute of limitations, set-off claims, tort claims and interest claims, shall be governed by the substantive laws of Switzerland excluding its conflict of laws rules.</w:t>
      </w:r>
    </w:p>
    <w:p>
      <w:pPr>
        <w:spacing w:after="0" w:line="3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7"/>
          <w:szCs w:val="17"/>
          <w:color w:val="auto"/>
        </w:rPr>
        <w:t>Arbitration</w:t>
      </w:r>
    </w:p>
    <w:p>
      <w:pPr>
        <w:spacing w:after="0" w:line="117"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color w:val="auto"/>
        </w:rPr>
        <w:t>Any disputes, controversy or claim arising under, out of or relating to this Subscription Agreement (and sub-sequent amendments thereof), its valid conclusion, binding effect, interpretation, performance, breach or termination, including tort claims, shall be referred to and finally determined by arbitration in accordance with the Swiss Rules of International Arbitration of the Swiss Chambers of Commerce in force at the time when the arbitration is initiated. A panel of three arbitrators shall be appointed. The place of arbitration shall be Lausanne, Switzerland. The language to be used in the arbitration proceedings shall be English.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this page intentionally left blank]</w:t>
      </w:r>
    </w:p>
    <w:p>
      <w:pPr>
        <w:sectPr>
          <w:pgSz w:w="11900" w:h="16838" w:orient="portrait"/>
          <w:cols w:equalWidth="0" w:num="1">
            <w:col w:w="11420"/>
          </w:cols>
          <w:pgMar w:left="240" w:top="273" w:right="239" w:bottom="1440" w:gutter="0" w:footer="0" w:header="0"/>
        </w:sectPr>
      </w:pPr>
    </w:p>
    <w:bookmarkStart w:id="665" w:name="page666"/>
    <w:bookmarkEnd w:id="665"/>
    <w:tbl>
      <w:tblPr>
        <w:tblLayout w:type="fixed"/>
        <w:tblInd w:w="0" w:type="dxa"/>
        <w:tblCellMar>
          <w:top w:w="0" w:type="dxa"/>
          <w:left w:w="0" w:type="dxa"/>
          <w:bottom w:w="0" w:type="dxa"/>
          <w:right w:w="0" w:type="dxa"/>
        </w:tblCellMar>
      </w:tblPr>
      <w:tr>
        <w:trPr>
          <w:trHeight w:val="230"/>
        </w:trPr>
        <w:tc>
          <w:tcPr>
            <w:tcW w:w="1042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65"/>
        </w:trPr>
        <w:tc>
          <w:tcPr>
            <w:tcW w:w="10420" w:type="dxa"/>
            <w:vAlign w:val="bottom"/>
          </w:tcPr>
          <w:p>
            <w:pPr>
              <w:spacing w:after="0"/>
              <w:rPr>
                <w:sz w:val="20"/>
                <w:szCs w:val="20"/>
                <w:color w:val="auto"/>
              </w:rPr>
            </w:pPr>
            <w:r>
              <w:rPr>
                <w:rFonts w:ascii="Arial" w:cs="Arial" w:eastAsia="Arial" w:hAnsi="Arial"/>
                <w:sz w:val="18"/>
                <w:szCs w:val="18"/>
                <w:color w:val="auto"/>
                <w:w w:val="98"/>
              </w:rPr>
              <w:t>IN WITNESS WHEREOF the Parties have caused the Subscription Agreement to be duly executed as of the date first written above.</w:t>
            </w:r>
          </w:p>
        </w:tc>
        <w:tc>
          <w:tcPr>
            <w:tcW w:w="1000" w:type="dxa"/>
            <w:vAlign w:val="bottom"/>
          </w:tcPr>
          <w:p>
            <w:pPr>
              <w:spacing w:after="0"/>
              <w:rPr>
                <w:sz w:val="24"/>
                <w:szCs w:val="24"/>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Place/Date: Singapore / 16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6"/>
          </w:tcPr>
          <w:p>
            <w:pPr>
              <w:spacing w:after="0"/>
              <w:rPr>
                <w:sz w:val="20"/>
                <w:szCs w:val="20"/>
                <w:color w:val="auto"/>
              </w:rPr>
            </w:pPr>
            <w:r>
              <w:rPr>
                <w:rFonts w:ascii="Arial" w:cs="Arial" w:eastAsia="Arial" w:hAnsi="Arial"/>
                <w:sz w:val="18"/>
                <w:szCs w:val="18"/>
                <w:b w:val="1"/>
                <w:bCs w:val="1"/>
                <w:color w:val="auto"/>
              </w:rPr>
              <w:t>V-Sciences Investments Pte Ltd.</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432"/>
        </w:trPr>
        <w:tc>
          <w:tcPr>
            <w:tcW w:w="5380" w:type="dxa"/>
            <w:vAlign w:val="bottom"/>
            <w:gridSpan w:val="6"/>
          </w:tcPr>
          <w:p>
            <w:pPr>
              <w:spacing w:after="0"/>
              <w:rPr>
                <w:sz w:val="20"/>
                <w:szCs w:val="20"/>
                <w:color w:val="auto"/>
              </w:rPr>
            </w:pPr>
            <w:r>
              <w:rPr>
                <w:rFonts w:ascii="Arial" w:cs="Arial" w:eastAsia="Arial" w:hAnsi="Arial"/>
                <w:sz w:val="18"/>
                <w:szCs w:val="18"/>
                <w:color w:val="auto"/>
              </w:rPr>
              <w:t>Signature</w:t>
            </w:r>
          </w:p>
        </w:tc>
        <w:tc>
          <w:tcPr>
            <w:tcW w:w="6040" w:type="dxa"/>
            <w:vAlign w:val="bottom"/>
            <w:gridSpan w:val="3"/>
          </w:tcPr>
          <w:p>
            <w:pPr>
              <w:ind w:left="660"/>
              <w:spacing w:after="0"/>
              <w:rPr>
                <w:sz w:val="20"/>
                <w:szCs w:val="20"/>
                <w:color w:val="auto"/>
              </w:rPr>
            </w:pPr>
            <w:r>
              <w:rPr>
                <w:rFonts w:ascii="Arial" w:cs="Arial" w:eastAsia="Arial" w:hAnsi="Arial"/>
                <w:sz w:val="18"/>
                <w:szCs w:val="18"/>
                <w:color w:val="auto"/>
              </w:rPr>
              <w:t>Signature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Fidah Alsagoff</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Tan</w:t>
            </w:r>
          </w:p>
        </w:tc>
      </w:tr>
      <w:tr>
        <w:trPr>
          <w:trHeight w:val="331"/>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80" w:type="dxa"/>
            <w:vAlign w:val="bottom"/>
          </w:tcPr>
          <w:p>
            <w:pPr>
              <w:spacing w:after="0"/>
              <w:rPr>
                <w:sz w:val="24"/>
                <w:szCs w:val="24"/>
                <w:color w:val="auto"/>
              </w:rPr>
            </w:pPr>
          </w:p>
        </w:tc>
        <w:tc>
          <w:tcPr>
            <w:tcW w:w="4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Fidah Alsagoff</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Tan</w:t>
            </w:r>
          </w:p>
        </w:tc>
      </w:tr>
      <w:tr>
        <w:trPr>
          <w:trHeight w:val="331"/>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4"/>
                <w:szCs w:val="24"/>
                <w:color w:val="auto"/>
              </w:rPr>
            </w:pPr>
          </w:p>
        </w:tc>
        <w:tc>
          <w:tcPr>
            <w:tcW w:w="4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Authorised Signatory</w:t>
            </w:r>
          </w:p>
        </w:tc>
        <w:tc>
          <w:tcPr>
            <w:tcW w:w="1260" w:type="dxa"/>
            <w:vAlign w:val="bottom"/>
            <w:gridSpan w:val="2"/>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Witness</w:t>
            </w:r>
          </w:p>
        </w:tc>
      </w:tr>
      <w:tr>
        <w:trPr>
          <w:trHeight w:val="466"/>
        </w:trPr>
        <w:tc>
          <w:tcPr>
            <w:tcW w:w="1120" w:type="dxa"/>
            <w:vAlign w:val="bottom"/>
            <w:gridSpan w:val="3"/>
          </w:tcPr>
          <w:p>
            <w:pPr>
              <w:spacing w:after="0"/>
              <w:rPr>
                <w:sz w:val="20"/>
                <w:szCs w:val="20"/>
                <w:color w:val="auto"/>
              </w:rPr>
            </w:pPr>
            <w:r>
              <w:rPr>
                <w:rFonts w:ascii="Arial" w:cs="Arial" w:eastAsia="Arial" w:hAnsi="Arial"/>
                <w:sz w:val="18"/>
                <w:szCs w:val="18"/>
                <w:color w:val="auto"/>
              </w:rPr>
              <w:t>Place/Date:</w:t>
            </w:r>
          </w:p>
        </w:tc>
        <w:tc>
          <w:tcPr>
            <w:tcW w:w="3460" w:type="dxa"/>
            <w:vAlign w:val="bottom"/>
            <w:tcBorders>
              <w:bottom w:val="single" w:sz="8" w:color="auto"/>
            </w:tcBorders>
          </w:tcPr>
          <w:p>
            <w:pPr>
              <w:spacing w:after="0"/>
              <w:rPr>
                <w:sz w:val="24"/>
                <w:szCs w:val="24"/>
                <w:color w:val="auto"/>
              </w:rPr>
            </w:pPr>
          </w:p>
        </w:tc>
        <w:tc>
          <w:tcPr>
            <w:tcW w:w="80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66"/>
        </w:trPr>
        <w:tc>
          <w:tcPr>
            <w:tcW w:w="5380" w:type="dxa"/>
            <w:vAlign w:val="bottom"/>
            <w:gridSpan w:val="6"/>
          </w:tcPr>
          <w:p>
            <w:pPr>
              <w:spacing w:after="0"/>
              <w:rPr>
                <w:sz w:val="20"/>
                <w:szCs w:val="20"/>
                <w:color w:val="auto"/>
              </w:rPr>
            </w:pPr>
            <w:r>
              <w:rPr>
                <w:rFonts w:ascii="Arial" w:cs="Arial" w:eastAsia="Arial" w:hAnsi="Arial"/>
                <w:sz w:val="18"/>
                <w:szCs w:val="18"/>
                <w:b w:val="1"/>
                <w:bCs w:val="1"/>
                <w:color w:val="auto"/>
              </w:rPr>
              <w:t>AC Immune SA</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32"/>
        </w:trPr>
        <w:tc>
          <w:tcPr>
            <w:tcW w:w="5380" w:type="dxa"/>
            <w:vAlign w:val="bottom"/>
            <w:gridSpan w:val="6"/>
          </w:tcPr>
          <w:p>
            <w:pPr>
              <w:spacing w:after="0"/>
              <w:rPr>
                <w:sz w:val="20"/>
                <w:szCs w:val="20"/>
                <w:color w:val="auto"/>
              </w:rPr>
            </w:pPr>
            <w:r>
              <w:rPr>
                <w:rFonts w:ascii="Arial" w:cs="Arial" w:eastAsia="Arial" w:hAnsi="Arial"/>
                <w:sz w:val="18"/>
                <w:szCs w:val="18"/>
                <w:color w:val="auto"/>
              </w:rPr>
              <w:t>Signature</w:t>
            </w:r>
          </w:p>
        </w:tc>
        <w:tc>
          <w:tcPr>
            <w:tcW w:w="70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2"/>
        </w:trPr>
        <w:tc>
          <w:tcPr>
            <w:tcW w:w="5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4"/>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317"/>
        </w:trPr>
        <w:tc>
          <w:tcPr>
            <w:tcW w:w="52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gridSpan w:val="5"/>
          </w:tcPr>
          <w:p>
            <w:pPr>
              <w:ind w:left="40"/>
              <w:spacing w:after="0"/>
              <w:rPr>
                <w:sz w:val="20"/>
                <w:szCs w:val="20"/>
                <w:color w:val="auto"/>
              </w:rPr>
            </w:pPr>
            <w:r>
              <w:rPr>
                <w:rFonts w:ascii="Arial" w:cs="Arial" w:eastAsia="Arial" w:hAnsi="Arial"/>
                <w:sz w:val="18"/>
                <w:szCs w:val="18"/>
                <w:color w:val="auto"/>
              </w:rPr>
              <w:t>Martin Velasco</w:t>
            </w:r>
          </w:p>
        </w:tc>
        <w:tc>
          <w:tcPr>
            <w:tcW w:w="7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Matthias Staehelin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gridSpan w:val="5"/>
          </w:tcPr>
          <w:p>
            <w:pPr>
              <w:ind w:left="40"/>
              <w:spacing w:after="0"/>
              <w:rPr>
                <w:sz w:val="20"/>
                <w:szCs w:val="20"/>
                <w:color w:val="auto"/>
              </w:rPr>
            </w:pPr>
            <w:r>
              <w:rPr>
                <w:rFonts w:ascii="Arial" w:cs="Arial" w:eastAsia="Arial" w:hAnsi="Arial"/>
                <w:sz w:val="18"/>
                <w:szCs w:val="18"/>
                <w:color w:val="auto"/>
              </w:rPr>
              <w:t>Chairman of the Board</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Secretary of the Board (Non-Member)</w:t>
            </w:r>
          </w:p>
        </w:tc>
      </w:tr>
    </w:tbl>
    <w:p>
      <w:pPr>
        <w:sectPr>
          <w:pgSz w:w="11900" w:h="16838" w:orient="portrait"/>
          <w:cols w:equalWidth="0" w:num="1">
            <w:col w:w="11420"/>
          </w:cols>
          <w:pgMar w:left="240" w:top="275" w:right="239" w:bottom="1440" w:gutter="0" w:footer="0" w:header="0"/>
        </w:sectPr>
      </w:pPr>
    </w:p>
    <w:bookmarkStart w:id="666" w:name="page667"/>
    <w:bookmarkEnd w:id="6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the Subscription Agreement to be duly executed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Place/Date: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V-Sciences Investments Pte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Place/Date: Lausanne, 16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7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2"/>
        </w:trPr>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Martin Velasco</w:t>
            </w:r>
          </w:p>
        </w:tc>
        <w:tc>
          <w:tcPr>
            <w:tcW w:w="7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317"/>
        </w:trPr>
        <w:tc>
          <w:tcPr>
            <w:tcW w:w="500" w:type="dxa"/>
            <w:vAlign w:val="bottom"/>
          </w:tcPr>
          <w:p>
            <w:pPr>
              <w:spacing w:after="0"/>
              <w:rPr>
                <w:sz w:val="20"/>
                <w:szCs w:val="20"/>
                <w:color w:val="auto"/>
              </w:rPr>
            </w:pPr>
            <w:r>
              <w:rPr>
                <w:rFonts w:ascii="Arial" w:cs="Arial" w:eastAsia="Arial" w:hAnsi="Arial"/>
                <w:sz w:val="18"/>
                <w:szCs w:val="18"/>
                <w:color w:val="auto"/>
                <w:w w:val="99"/>
              </w:rPr>
              <w:t>Name</w:t>
            </w:r>
          </w:p>
        </w:tc>
        <w:tc>
          <w:tcPr>
            <w:tcW w:w="4840" w:type="dxa"/>
            <w:vAlign w:val="bottom"/>
          </w:tcPr>
          <w:p>
            <w:pPr>
              <w:ind w:left="60"/>
              <w:spacing w:after="0"/>
              <w:rPr>
                <w:sz w:val="20"/>
                <w:szCs w:val="20"/>
                <w:color w:val="auto"/>
              </w:rPr>
            </w:pPr>
            <w:r>
              <w:rPr>
                <w:rFonts w:ascii="Arial" w:cs="Arial" w:eastAsia="Arial" w:hAnsi="Arial"/>
                <w:sz w:val="18"/>
                <w:szCs w:val="18"/>
                <w:color w:val="auto"/>
              </w:rPr>
              <w:t>Martin Velasco</w:t>
            </w:r>
          </w:p>
        </w:tc>
        <w:tc>
          <w:tcPr>
            <w:tcW w:w="7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9"/>
              </w:rPr>
              <w:t>Name</w:t>
            </w:r>
          </w:p>
        </w:tc>
        <w:tc>
          <w:tcPr>
            <w:tcW w:w="4840" w:type="dxa"/>
            <w:vAlign w:val="bottom"/>
          </w:tcPr>
          <w:p>
            <w:pPr>
              <w:ind w:left="60"/>
              <w:spacing w:after="0"/>
              <w:rPr>
                <w:sz w:val="20"/>
                <w:szCs w:val="20"/>
                <w:color w:val="auto"/>
              </w:rPr>
            </w:pPr>
            <w:r>
              <w:rPr>
                <w:rFonts w:ascii="Arial" w:cs="Arial" w:eastAsia="Arial" w:hAnsi="Arial"/>
                <w:sz w:val="18"/>
                <w:szCs w:val="18"/>
                <w:color w:val="auto"/>
              </w:rPr>
              <w:t>Matthias Staehelin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ind w:left="60"/>
              <w:spacing w:after="0"/>
              <w:rPr>
                <w:sz w:val="20"/>
                <w:szCs w:val="20"/>
                <w:color w:val="auto"/>
              </w:rPr>
            </w:pPr>
            <w:r>
              <w:rPr>
                <w:rFonts w:ascii="Arial" w:cs="Arial" w:eastAsia="Arial" w:hAnsi="Arial"/>
                <w:sz w:val="18"/>
                <w:szCs w:val="18"/>
                <w:color w:val="auto"/>
              </w:rPr>
              <w:t>Chairman of the Board</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ind w:left="60"/>
              <w:spacing w:after="0"/>
              <w:rPr>
                <w:sz w:val="20"/>
                <w:szCs w:val="20"/>
                <w:color w:val="auto"/>
              </w:rPr>
            </w:pPr>
            <w:r>
              <w:rPr>
                <w:rFonts w:ascii="Arial" w:cs="Arial" w:eastAsia="Arial" w:hAnsi="Arial"/>
                <w:sz w:val="18"/>
                <w:szCs w:val="18"/>
                <w:color w:val="auto"/>
              </w:rPr>
              <w:t>Secretary of the Board (Non-Member)</w:t>
            </w:r>
          </w:p>
        </w:tc>
      </w:tr>
    </w:tbl>
    <w:p>
      <w:pPr>
        <w:sectPr>
          <w:pgSz w:w="11900" w:h="16838" w:orient="portrait"/>
          <w:cols w:equalWidth="0" w:num="1">
            <w:col w:w="11420"/>
          </w:cols>
          <w:pgMar w:left="240" w:top="274" w:right="239" w:bottom="1440" w:gutter="0" w:footer="0" w:header="0"/>
        </w:sectPr>
      </w:pPr>
    </w:p>
    <w:bookmarkStart w:id="667" w:name="page668"/>
    <w:bookmarkEnd w:id="6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31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the Subscription Agreement to be duly executed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Place/Date: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V-Sciences Investments Pte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Place/Date: Bangkok / 16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23241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AC Immune SA</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7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2"/>
        </w:trPr>
        <w:tc>
          <w:tcPr>
            <w:tcW w:w="5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Matthias Staehelin</w:t>
            </w:r>
          </w:p>
        </w:tc>
      </w:tr>
      <w:tr>
        <w:trPr>
          <w:trHeight w:val="317"/>
        </w:trPr>
        <w:tc>
          <w:tcPr>
            <w:tcW w:w="500" w:type="dxa"/>
            <w:vAlign w:val="bottom"/>
          </w:tcPr>
          <w:p>
            <w:pPr>
              <w:spacing w:after="0"/>
              <w:rPr>
                <w:sz w:val="20"/>
                <w:szCs w:val="20"/>
                <w:color w:val="auto"/>
              </w:rPr>
            </w:pPr>
            <w:r>
              <w:rPr>
                <w:rFonts w:ascii="Arial" w:cs="Arial" w:eastAsia="Arial" w:hAnsi="Arial"/>
                <w:sz w:val="18"/>
                <w:szCs w:val="18"/>
                <w:color w:val="auto"/>
                <w:w w:val="99"/>
              </w:rPr>
              <w:t>Name</w:t>
            </w:r>
          </w:p>
        </w:tc>
        <w:tc>
          <w:tcPr>
            <w:tcW w:w="4840" w:type="dxa"/>
            <w:vAlign w:val="bottom"/>
          </w:tcPr>
          <w:p>
            <w:pPr>
              <w:ind w:left="60"/>
              <w:spacing w:after="0"/>
              <w:rPr>
                <w:sz w:val="20"/>
                <w:szCs w:val="20"/>
                <w:color w:val="auto"/>
              </w:rPr>
            </w:pPr>
            <w:r>
              <w:rPr>
                <w:rFonts w:ascii="Arial" w:cs="Arial" w:eastAsia="Arial" w:hAnsi="Arial"/>
                <w:sz w:val="18"/>
                <w:szCs w:val="18"/>
                <w:color w:val="auto"/>
              </w:rPr>
              <w:t>Martin Velasco</w:t>
            </w:r>
          </w:p>
        </w:tc>
        <w:tc>
          <w:tcPr>
            <w:tcW w:w="7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9"/>
              </w:rPr>
              <w:t>Name</w:t>
            </w:r>
          </w:p>
        </w:tc>
        <w:tc>
          <w:tcPr>
            <w:tcW w:w="4840" w:type="dxa"/>
            <w:vAlign w:val="bottom"/>
          </w:tcPr>
          <w:p>
            <w:pPr>
              <w:ind w:left="60"/>
              <w:spacing w:after="0"/>
              <w:rPr>
                <w:sz w:val="20"/>
                <w:szCs w:val="20"/>
                <w:color w:val="auto"/>
              </w:rPr>
            </w:pPr>
            <w:r>
              <w:rPr>
                <w:rFonts w:ascii="Arial" w:cs="Arial" w:eastAsia="Arial" w:hAnsi="Arial"/>
                <w:sz w:val="18"/>
                <w:szCs w:val="18"/>
                <w:color w:val="auto"/>
              </w:rPr>
              <w:t>Matthias Staehelin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ind w:left="60"/>
              <w:spacing w:after="0"/>
              <w:rPr>
                <w:sz w:val="20"/>
                <w:szCs w:val="20"/>
                <w:color w:val="auto"/>
              </w:rPr>
            </w:pPr>
            <w:r>
              <w:rPr>
                <w:rFonts w:ascii="Arial" w:cs="Arial" w:eastAsia="Arial" w:hAnsi="Arial"/>
                <w:sz w:val="18"/>
                <w:szCs w:val="18"/>
                <w:color w:val="auto"/>
              </w:rPr>
              <w:t>Chairman of the Board</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ind w:left="60"/>
              <w:spacing w:after="0"/>
              <w:rPr>
                <w:sz w:val="20"/>
                <w:szCs w:val="20"/>
                <w:color w:val="auto"/>
              </w:rPr>
            </w:pPr>
            <w:r>
              <w:rPr>
                <w:rFonts w:ascii="Arial" w:cs="Arial" w:eastAsia="Arial" w:hAnsi="Arial"/>
                <w:sz w:val="18"/>
                <w:szCs w:val="18"/>
                <w:color w:val="auto"/>
              </w:rPr>
              <w:t>Secretary of the Board (Non-Member)</w:t>
            </w:r>
          </w:p>
        </w:tc>
      </w:tr>
    </w:tbl>
    <w:p>
      <w:pPr>
        <w:sectPr>
          <w:pgSz w:w="11900" w:h="16838" w:orient="portrait"/>
          <w:cols w:equalWidth="0" w:num="1">
            <w:col w:w="11420"/>
          </w:cols>
          <w:pgMar w:left="240" w:top="274" w:right="239" w:bottom="1440" w:gutter="0" w:footer="0" w:header="0"/>
        </w:sectPr>
      </w:pPr>
    </w:p>
    <w:bookmarkStart w:id="668" w:name="page669"/>
    <w:bookmarkEnd w:id="6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73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9800" w:type="dxa"/>
            <w:vAlign w:val="bottom"/>
            <w:gridSpan w:val="2"/>
          </w:tcPr>
          <w:p>
            <w:pPr>
              <w:spacing w:after="0"/>
              <w:rPr>
                <w:sz w:val="20"/>
                <w:szCs w:val="20"/>
                <w:color w:val="auto"/>
              </w:rPr>
            </w:pPr>
            <w:r>
              <w:rPr>
                <w:rFonts w:ascii="Arial" w:cs="Arial" w:eastAsia="Arial" w:hAnsi="Arial"/>
                <w:sz w:val="18"/>
                <w:szCs w:val="18"/>
                <w:color w:val="auto"/>
              </w:rPr>
              <w:t>Subscription Agreement regarding AC Immune SA as of 16 October 2015</w:t>
            </w: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2220" w:type="dxa"/>
            <w:vAlign w:val="bottom"/>
          </w:tcPr>
          <w:p>
            <w:pPr>
              <w:spacing w:after="0"/>
              <w:rPr>
                <w:sz w:val="20"/>
                <w:szCs w:val="20"/>
                <w:color w:val="auto"/>
              </w:rPr>
            </w:pPr>
            <w:r>
              <w:rPr>
                <w:rFonts w:ascii="Arial" w:cs="Arial" w:eastAsia="Arial" w:hAnsi="Arial"/>
                <w:sz w:val="18"/>
                <w:szCs w:val="18"/>
                <w:b w:val="1"/>
                <w:bCs w:val="1"/>
                <w:color w:val="auto"/>
              </w:rPr>
              <w:t>Annexes</w:t>
            </w:r>
          </w:p>
        </w:tc>
        <w:tc>
          <w:tcPr>
            <w:tcW w:w="75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59"/>
        </w:trPr>
        <w:tc>
          <w:tcPr>
            <w:tcW w:w="2220" w:type="dxa"/>
            <w:vAlign w:val="bottom"/>
          </w:tcPr>
          <w:p>
            <w:pPr>
              <w:spacing w:after="0"/>
              <w:rPr>
                <w:sz w:val="20"/>
                <w:szCs w:val="20"/>
                <w:color w:val="auto"/>
              </w:rPr>
            </w:pPr>
            <w:r>
              <w:rPr>
                <w:rFonts w:ascii="Arial" w:cs="Arial" w:eastAsia="Arial" w:hAnsi="Arial"/>
                <w:sz w:val="18"/>
                <w:szCs w:val="18"/>
                <w:color w:val="auto"/>
              </w:rPr>
              <w:t>Annex 0</w:t>
            </w:r>
          </w:p>
        </w:tc>
        <w:tc>
          <w:tcPr>
            <w:tcW w:w="7580" w:type="dxa"/>
            <w:vAlign w:val="bottom"/>
          </w:tcPr>
          <w:p>
            <w:pPr>
              <w:ind w:left="1120"/>
              <w:spacing w:after="0"/>
              <w:rPr>
                <w:sz w:val="20"/>
                <w:szCs w:val="20"/>
                <w:color w:val="auto"/>
              </w:rPr>
            </w:pPr>
            <w:r>
              <w:rPr>
                <w:rFonts w:ascii="Arial" w:cs="Arial" w:eastAsia="Arial" w:hAnsi="Arial"/>
                <w:sz w:val="18"/>
                <w:szCs w:val="18"/>
                <w:color w:val="auto"/>
              </w:rPr>
              <w:t>Shareholders’ Agreement dated 16 October 2015</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2.2</w:t>
            </w:r>
          </w:p>
        </w:tc>
        <w:tc>
          <w:tcPr>
            <w:tcW w:w="7580" w:type="dxa"/>
            <w:vAlign w:val="bottom"/>
          </w:tcPr>
          <w:p>
            <w:pPr>
              <w:ind w:left="1120"/>
              <w:spacing w:after="0"/>
              <w:rPr>
                <w:sz w:val="20"/>
                <w:szCs w:val="20"/>
                <w:color w:val="auto"/>
              </w:rPr>
            </w:pPr>
            <w:r>
              <w:rPr>
                <w:rFonts w:ascii="Arial" w:cs="Arial" w:eastAsia="Arial" w:hAnsi="Arial"/>
                <w:sz w:val="18"/>
                <w:szCs w:val="18"/>
                <w:color w:val="auto"/>
              </w:rPr>
              <w:t>Current Articles of Association of the Company as of 1 October 2015</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3.1</w:t>
            </w:r>
          </w:p>
        </w:tc>
        <w:tc>
          <w:tcPr>
            <w:tcW w:w="7580" w:type="dxa"/>
            <w:vAlign w:val="bottom"/>
          </w:tcPr>
          <w:p>
            <w:pPr>
              <w:ind w:left="1120"/>
              <w:spacing w:after="0"/>
              <w:rPr>
                <w:sz w:val="20"/>
                <w:szCs w:val="20"/>
                <w:color w:val="auto"/>
              </w:rPr>
            </w:pPr>
            <w:r>
              <w:rPr>
                <w:rFonts w:ascii="Arial" w:cs="Arial" w:eastAsia="Arial" w:hAnsi="Arial"/>
                <w:sz w:val="18"/>
                <w:szCs w:val="18"/>
                <w:color w:val="auto"/>
              </w:rPr>
              <w:t>Adherence Declaration</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3.2</w:t>
            </w:r>
          </w:p>
        </w:tc>
        <w:tc>
          <w:tcPr>
            <w:tcW w:w="7580" w:type="dxa"/>
            <w:vAlign w:val="bottom"/>
          </w:tcPr>
          <w:p>
            <w:pPr>
              <w:ind w:left="1120"/>
              <w:spacing w:after="0"/>
              <w:rPr>
                <w:sz w:val="20"/>
                <w:szCs w:val="20"/>
                <w:color w:val="auto"/>
              </w:rPr>
            </w:pPr>
            <w:r>
              <w:rPr>
                <w:rFonts w:ascii="Arial" w:cs="Arial" w:eastAsia="Arial" w:hAnsi="Arial"/>
                <w:sz w:val="18"/>
                <w:szCs w:val="18"/>
                <w:color w:val="auto"/>
              </w:rPr>
              <w:t>Subscription Form</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3.3</w:t>
            </w:r>
          </w:p>
        </w:tc>
        <w:tc>
          <w:tcPr>
            <w:tcW w:w="7580" w:type="dxa"/>
            <w:vAlign w:val="bottom"/>
          </w:tcPr>
          <w:p>
            <w:pPr>
              <w:ind w:left="1120"/>
              <w:spacing w:after="0"/>
              <w:rPr>
                <w:sz w:val="20"/>
                <w:szCs w:val="20"/>
                <w:color w:val="auto"/>
              </w:rPr>
            </w:pPr>
            <w:r>
              <w:rPr>
                <w:rFonts w:ascii="Arial" w:cs="Arial" w:eastAsia="Arial" w:hAnsi="Arial"/>
                <w:sz w:val="18"/>
                <w:szCs w:val="18"/>
                <w:color w:val="auto"/>
              </w:rPr>
              <w:t>Revised Articles of Association of the Company as of Closing</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4</w:t>
            </w:r>
          </w:p>
        </w:tc>
        <w:tc>
          <w:tcPr>
            <w:tcW w:w="7580" w:type="dxa"/>
            <w:vAlign w:val="bottom"/>
          </w:tcPr>
          <w:p>
            <w:pPr>
              <w:ind w:left="1120"/>
              <w:spacing w:after="0"/>
              <w:rPr>
                <w:sz w:val="20"/>
                <w:szCs w:val="20"/>
                <w:color w:val="auto"/>
              </w:rPr>
            </w:pPr>
            <w:r>
              <w:rPr>
                <w:rFonts w:ascii="Arial" w:cs="Arial" w:eastAsia="Arial" w:hAnsi="Arial"/>
                <w:sz w:val="18"/>
                <w:szCs w:val="18"/>
                <w:color w:val="auto"/>
              </w:rPr>
              <w:t>Capitalization Table of the Company Post Closing</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5.2.1(e)</w:t>
            </w:r>
          </w:p>
        </w:tc>
        <w:tc>
          <w:tcPr>
            <w:tcW w:w="7580" w:type="dxa"/>
            <w:vAlign w:val="bottom"/>
          </w:tcPr>
          <w:p>
            <w:pPr>
              <w:ind w:left="1120"/>
              <w:spacing w:after="0"/>
              <w:rPr>
                <w:sz w:val="20"/>
                <w:szCs w:val="20"/>
                <w:color w:val="auto"/>
              </w:rPr>
            </w:pPr>
            <w:r>
              <w:rPr>
                <w:rFonts w:ascii="Arial" w:cs="Arial" w:eastAsia="Arial" w:hAnsi="Arial"/>
                <w:sz w:val="18"/>
                <w:szCs w:val="18"/>
                <w:color w:val="auto"/>
              </w:rPr>
              <w:t>Registration Rights Agreement</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5.2.1(f)</w:t>
            </w:r>
          </w:p>
        </w:tc>
        <w:tc>
          <w:tcPr>
            <w:tcW w:w="7580" w:type="dxa"/>
            <w:vAlign w:val="bottom"/>
          </w:tcPr>
          <w:p>
            <w:pPr>
              <w:ind w:left="1120"/>
              <w:spacing w:after="0"/>
              <w:rPr>
                <w:sz w:val="20"/>
                <w:szCs w:val="20"/>
                <w:color w:val="auto"/>
              </w:rPr>
            </w:pPr>
            <w:r>
              <w:rPr>
                <w:rFonts w:ascii="Arial" w:cs="Arial" w:eastAsia="Arial" w:hAnsi="Arial"/>
                <w:sz w:val="18"/>
                <w:szCs w:val="18"/>
                <w:color w:val="auto"/>
              </w:rPr>
              <w:t>Legal Opinion VISCHER AG</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5.3(a)</w:t>
            </w:r>
          </w:p>
        </w:tc>
        <w:tc>
          <w:tcPr>
            <w:tcW w:w="7580" w:type="dxa"/>
            <w:vAlign w:val="bottom"/>
          </w:tcPr>
          <w:p>
            <w:pPr>
              <w:ind w:left="1120"/>
              <w:spacing w:after="0"/>
              <w:rPr>
                <w:sz w:val="20"/>
                <w:szCs w:val="20"/>
                <w:color w:val="auto"/>
              </w:rPr>
            </w:pPr>
            <w:r>
              <w:rPr>
                <w:rFonts w:ascii="Arial" w:cs="Arial" w:eastAsia="Arial" w:hAnsi="Arial"/>
                <w:sz w:val="18"/>
                <w:szCs w:val="18"/>
                <w:color w:val="auto"/>
              </w:rPr>
              <w:t>Certificates for fulfilled conditions precedent</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7.1</w:t>
            </w:r>
          </w:p>
        </w:tc>
        <w:tc>
          <w:tcPr>
            <w:tcW w:w="7580" w:type="dxa"/>
            <w:vAlign w:val="bottom"/>
          </w:tcPr>
          <w:p>
            <w:pPr>
              <w:ind w:left="1120"/>
              <w:spacing w:after="0"/>
              <w:rPr>
                <w:sz w:val="20"/>
                <w:szCs w:val="20"/>
                <w:color w:val="auto"/>
              </w:rPr>
            </w:pPr>
            <w:r>
              <w:rPr>
                <w:rFonts w:ascii="Arial" w:cs="Arial" w:eastAsia="Arial" w:hAnsi="Arial"/>
                <w:sz w:val="18"/>
                <w:szCs w:val="18"/>
                <w:color w:val="auto"/>
              </w:rPr>
              <w:t>Representation and Warranties by the Company</w:t>
            </w:r>
          </w:p>
        </w:tc>
        <w:tc>
          <w:tcPr>
            <w:tcW w:w="1620" w:type="dxa"/>
            <w:vAlign w:val="bottom"/>
          </w:tcPr>
          <w:p>
            <w:pPr>
              <w:spacing w:after="0"/>
              <w:rPr>
                <w:sz w:val="24"/>
                <w:szCs w:val="24"/>
                <w:color w:val="auto"/>
              </w:rPr>
            </w:pP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Annex 7.2</w:t>
            </w:r>
          </w:p>
        </w:tc>
        <w:tc>
          <w:tcPr>
            <w:tcW w:w="7580" w:type="dxa"/>
            <w:vAlign w:val="bottom"/>
          </w:tcPr>
          <w:p>
            <w:pPr>
              <w:ind w:left="1120"/>
              <w:spacing w:after="0"/>
              <w:rPr>
                <w:sz w:val="20"/>
                <w:szCs w:val="20"/>
                <w:color w:val="auto"/>
              </w:rPr>
            </w:pPr>
            <w:r>
              <w:rPr>
                <w:rFonts w:ascii="Arial" w:cs="Arial" w:eastAsia="Arial" w:hAnsi="Arial"/>
                <w:sz w:val="18"/>
                <w:szCs w:val="18"/>
                <w:color w:val="auto"/>
              </w:rPr>
              <w:t>Representation and Warranties by each Investor</w:t>
            </w:r>
          </w:p>
        </w:tc>
        <w:tc>
          <w:tcPr>
            <w:tcW w:w="1620" w:type="dxa"/>
            <w:vAlign w:val="bottom"/>
          </w:tcPr>
          <w:p>
            <w:pPr>
              <w:spacing w:after="0"/>
              <w:rPr>
                <w:sz w:val="24"/>
                <w:szCs w:val="24"/>
                <w:color w:val="auto"/>
              </w:rPr>
            </w:pPr>
          </w:p>
        </w:tc>
      </w:tr>
    </w:tbl>
    <w:p>
      <w:pPr>
        <w:sectPr>
          <w:pgSz w:w="11900" w:h="16838" w:orient="portrait"/>
          <w:cols w:equalWidth="0" w:num="1">
            <w:col w:w="11420"/>
          </w:cols>
          <w:pgMar w:left="240" w:top="275" w:right="239" w:bottom="1440" w:gutter="0" w:footer="0" w:header="0"/>
        </w:sectPr>
      </w:pPr>
    </w:p>
    <w:bookmarkStart w:id="669" w:name="page670"/>
    <w:bookmarkEnd w:id="6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Adherence Declaration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made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7"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(hereinafter “</w:t>
      </w:r>
      <w:r>
        <w:rPr>
          <w:rFonts w:ascii="Arial" w:cs="Arial" w:eastAsia="Arial" w:hAnsi="Arial"/>
          <w:sz w:val="16"/>
          <w:szCs w:val="16"/>
          <w:b w:val="1"/>
          <w:bCs w:val="1"/>
          <w:color w:val="auto"/>
        </w:rPr>
        <w:t>Investor</w:t>
      </w:r>
      <w:r>
        <w:rPr>
          <w:rFonts w:ascii="Arial" w:cs="Arial" w:eastAsia="Arial" w:hAnsi="Arial"/>
          <w:sz w:val="16"/>
          <w:szCs w:val="16"/>
          <w:color w:val="auto"/>
        </w:rPr>
        <w:t>”)</w:t>
      </w:r>
    </w:p>
    <w:p>
      <w:pPr>
        <w:spacing w:after="0" w:line="25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WHEREAS, the Subscription Agreement as of 16 October 2015 regarding AC Immune SA, a Swiss share company registered under the number CHE-109.878.825, EPFL Innovation Park, bâtiment B, 1015 Lausanne, Switzerland (the “</w:t>
      </w:r>
      <w:r>
        <w:rPr>
          <w:rFonts w:ascii="Arial" w:cs="Arial" w:eastAsia="Arial" w:hAnsi="Arial"/>
          <w:sz w:val="18"/>
          <w:szCs w:val="18"/>
          <w:b w:val="1"/>
          <w:bCs w:val="1"/>
          <w:color w:val="auto"/>
        </w:rPr>
        <w:t>Company</w:t>
      </w:r>
      <w:r>
        <w:rPr>
          <w:rFonts w:ascii="Arial" w:cs="Arial" w:eastAsia="Arial" w:hAnsi="Arial"/>
          <w:sz w:val="18"/>
          <w:szCs w:val="18"/>
          <w:color w:val="auto"/>
        </w:rPr>
        <w:t>”), was executed between the Company and [●]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enclosed as Appendix A to this adherence declaration);</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WHEREAS, pursuant to the Subscription Agreement existing shareholders and other investors may participate for up to USD 49’472’456.16 in the investment in the Company by way of adherence to the Subscription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the Investor is willing to invest in the Company or increase its investment in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Investor hereby declares and agrees to the following:</w:t>
      </w:r>
    </w:p>
    <w:p>
      <w:pPr>
        <w:spacing w:after="0" w:line="370" w:lineRule="exact"/>
        <w:rPr>
          <w:sz w:val="20"/>
          <w:szCs w:val="20"/>
          <w:color w:val="auto"/>
        </w:rPr>
      </w:pPr>
    </w:p>
    <w:p>
      <w:pPr>
        <w:ind w:left="460" w:hanging="452"/>
        <w:spacing w:after="0"/>
        <w:tabs>
          <w:tab w:leader="none" w:pos="460"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in this adherence declaration, all capitalized terms shall have the meaning according to the definition in the Subscription Agreement.</w:t>
      </w:r>
    </w:p>
    <w:p>
      <w:pPr>
        <w:spacing w:after="0" w:line="393" w:lineRule="exact"/>
        <w:rPr>
          <w:sz w:val="20"/>
          <w:szCs w:val="20"/>
          <w:color w:val="auto"/>
        </w:rPr>
      </w:pPr>
    </w:p>
    <w:p>
      <w:pPr>
        <w:ind w:left="460" w:hanging="452"/>
        <w:spacing w:after="0"/>
        <w:tabs>
          <w:tab w:leader="none" w:pos="460" w:val="left"/>
        </w:tabs>
        <w:numPr>
          <w:ilvl w:val="0"/>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t>ADHERENCE TO THE SUBSCRIPTION AGREEMENT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Investor hereby adheres to the Subscription Agreement as additional Investor and undertakes to invest a total amount of USD [AMOUNT] according to the terms in this adherence declaration and according to the terms of the Subscription Agreement.</w:t>
      </w:r>
    </w:p>
    <w:p>
      <w:pPr>
        <w:spacing w:after="0" w:line="315" w:lineRule="exact"/>
        <w:rPr>
          <w:sz w:val="20"/>
          <w:szCs w:val="20"/>
          <w:color w:val="auto"/>
        </w:rPr>
      </w:pPr>
    </w:p>
    <w:p>
      <w:pPr>
        <w:ind w:left="460" w:hanging="452"/>
        <w:spacing w:after="0"/>
        <w:tabs>
          <w:tab w:leader="none" w:pos="460"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 JURISDICTION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adherence declaration and all disputes including those concerning any statute of limitations, set-off claims, tort claims and interest claims, shall be governed by the substantive laws of Switzerland excluding its conflict of laws rules.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Any disputes, controversy or claim arising under, out of or relating to this adherence declaration (and sub-sequent amendments thereof), its valid conclusion, binding effect, interpretation, performance, breach or termination, including tort claims, shall be referred to and finally determined by arbitration in accordance with the Swiss Rules of International Arbitration of the Swiss Chambers of Commerce in force at the time when the arbitration is initiated. A panel of three arbitrators shall be appointed. The place of arbitration shall be Lausanne, Switzerland. The language to be used in the arbitration proceedings shall be English.</w:t>
      </w:r>
    </w:p>
    <w:p>
      <w:pPr>
        <w:sectPr>
          <w:pgSz w:w="11900" w:h="16838" w:orient="portrait"/>
          <w:cols w:equalWidth="0" w:num="1">
            <w:col w:w="11420"/>
          </w:cols>
          <w:pgMar w:left="240" w:top="274" w:right="239" w:bottom="1440" w:gutter="0" w:footer="0" w:header="0"/>
        </w:sectPr>
      </w:pPr>
    </w:p>
    <w:bookmarkStart w:id="670" w:name="page671"/>
    <w:bookmarkEnd w:id="6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Appendices</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Appendix A</w:t>
      </w:r>
      <w:r>
        <w:rPr>
          <w:sz w:val="20"/>
          <w:szCs w:val="20"/>
          <w:color w:val="auto"/>
        </w:rPr>
        <w:tab/>
      </w:r>
      <w:r>
        <w:rPr>
          <w:rFonts w:ascii="Arial" w:cs="Arial" w:eastAsia="Arial" w:hAnsi="Arial"/>
          <w:sz w:val="16"/>
          <w:szCs w:val="16"/>
          <w:color w:val="auto"/>
        </w:rPr>
        <w:t>Subscription Agreement 16 October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Investor has caused this adherence declaration to be duly executed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Place</w:t>
            </w:r>
          </w:p>
        </w:tc>
        <w:tc>
          <w:tcPr>
            <w:tcW w:w="4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Date</w:t>
            </w:r>
          </w:p>
        </w:tc>
      </w:tr>
      <w:tr>
        <w:trPr>
          <w:trHeight w:val="432"/>
        </w:trPr>
        <w:tc>
          <w:tcPr>
            <w:tcW w:w="5860" w:type="dxa"/>
            <w:vAlign w:val="bottom"/>
            <w:gridSpan w:val="4"/>
          </w:tcPr>
          <w:p>
            <w:pPr>
              <w:spacing w:after="0"/>
              <w:rPr>
                <w:sz w:val="20"/>
                <w:szCs w:val="20"/>
                <w:color w:val="auto"/>
              </w:rPr>
            </w:pPr>
            <w:r>
              <w:rPr>
                <w:rFonts w:ascii="Arial" w:cs="Arial" w:eastAsia="Arial" w:hAnsi="Arial"/>
                <w:sz w:val="18"/>
                <w:szCs w:val="18"/>
                <w:color w:val="auto"/>
              </w:rPr>
              <w:t>Cambridge MA USA</w:t>
            </w:r>
          </w:p>
        </w:tc>
        <w:tc>
          <w:tcPr>
            <w:tcW w:w="540" w:type="dxa"/>
            <w:vAlign w:val="bottom"/>
          </w:tcPr>
          <w:p>
            <w:pPr>
              <w:spacing w:after="0"/>
              <w:rPr>
                <w:sz w:val="24"/>
                <w:szCs w:val="24"/>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October 19, 2015</w:t>
            </w:r>
          </w:p>
        </w:tc>
      </w:tr>
      <w:tr>
        <w:trPr>
          <w:trHeight w:val="466"/>
        </w:trPr>
        <w:tc>
          <w:tcPr>
            <w:tcW w:w="58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Signature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Borders>
              <w:top w:val="single" w:sz="8" w:color="auto"/>
            </w:tcBorders>
          </w:tcPr>
          <w:p>
            <w:pPr>
              <w:spacing w:after="0"/>
              <w:rPr>
                <w:sz w:val="24"/>
                <w:szCs w:val="24"/>
                <w:color w:val="auto"/>
              </w:rPr>
            </w:pPr>
          </w:p>
        </w:tc>
      </w:tr>
      <w:tr>
        <w:trPr>
          <w:trHeight w:val="432"/>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Hansjoerg Wyss</w:t>
            </w:r>
          </w:p>
        </w:tc>
        <w:tc>
          <w:tcPr>
            <w:tcW w:w="128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317"/>
        </w:trPr>
        <w:tc>
          <w:tcPr>
            <w:tcW w:w="52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gridSpan w:val="3"/>
          </w:tcPr>
          <w:p>
            <w:pPr>
              <w:ind w:left="80"/>
              <w:spacing w:after="0"/>
              <w:rPr>
                <w:sz w:val="20"/>
                <w:szCs w:val="20"/>
                <w:color w:val="auto"/>
              </w:rPr>
            </w:pPr>
            <w:r>
              <w:rPr>
                <w:rFonts w:ascii="Arial" w:cs="Arial" w:eastAsia="Arial" w:hAnsi="Arial"/>
                <w:sz w:val="18"/>
                <w:szCs w:val="18"/>
                <w:color w:val="auto"/>
              </w:rPr>
              <w:t>Hansjoerg Wyss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gridSpan w:val="3"/>
          </w:tcPr>
          <w:p>
            <w:pPr>
              <w:ind w:left="80"/>
              <w:spacing w:after="0"/>
              <w:rPr>
                <w:sz w:val="20"/>
                <w:szCs w:val="20"/>
                <w:color w:val="auto"/>
              </w:rPr>
            </w:pPr>
            <w:r>
              <w:rPr>
                <w:rFonts w:ascii="Arial" w:cs="Arial" w:eastAsia="Arial" w:hAnsi="Arial"/>
                <w:sz w:val="18"/>
                <w:szCs w:val="18"/>
                <w:color w:val="auto"/>
              </w:rPr>
              <w:t>Trustee</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432"/>
        </w:trPr>
        <w:tc>
          <w:tcPr>
            <w:tcW w:w="5860" w:type="dxa"/>
            <w:vAlign w:val="bottom"/>
            <w:gridSpan w:val="4"/>
          </w:tcPr>
          <w:p>
            <w:pPr>
              <w:spacing w:after="0"/>
              <w:rPr>
                <w:sz w:val="20"/>
                <w:szCs w:val="20"/>
                <w:color w:val="auto"/>
              </w:rPr>
            </w:pPr>
            <w:r>
              <w:rPr>
                <w:rFonts w:ascii="Arial" w:cs="Arial" w:eastAsia="Arial" w:hAnsi="Arial"/>
                <w:sz w:val="18"/>
                <w:szCs w:val="18"/>
                <w:b w:val="1"/>
                <w:bCs w:val="1"/>
                <w:color w:val="auto"/>
              </w:rPr>
              <w:t>Accepted: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459"/>
        </w:trPr>
        <w:tc>
          <w:tcPr>
            <w:tcW w:w="5860" w:type="dxa"/>
            <w:vAlign w:val="bottom"/>
            <w:gridSpan w:val="4"/>
          </w:tcPr>
          <w:p>
            <w:pPr>
              <w:spacing w:after="0"/>
              <w:rPr>
                <w:sz w:val="20"/>
                <w:szCs w:val="20"/>
                <w:color w:val="auto"/>
              </w:rPr>
            </w:pPr>
            <w:r>
              <w:rPr>
                <w:rFonts w:ascii="Arial" w:cs="Arial" w:eastAsia="Arial" w:hAnsi="Arial"/>
                <w:sz w:val="18"/>
                <w:szCs w:val="18"/>
                <w:color w:val="auto"/>
              </w:rPr>
              <w:t>AC Immune SA</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432"/>
        </w:trPr>
        <w:tc>
          <w:tcPr>
            <w:tcW w:w="5860" w:type="dxa"/>
            <w:vAlign w:val="bottom"/>
            <w:gridSpan w:val="4"/>
          </w:tcPr>
          <w:p>
            <w:pPr>
              <w:spacing w:after="0"/>
              <w:rPr>
                <w:sz w:val="20"/>
                <w:szCs w:val="20"/>
                <w:color w:val="auto"/>
              </w:rPr>
            </w:pPr>
            <w:r>
              <w:rPr>
                <w:rFonts w:ascii="Arial" w:cs="Arial" w:eastAsia="Arial" w:hAnsi="Arial"/>
                <w:sz w:val="18"/>
                <w:szCs w:val="18"/>
                <w:color w:val="auto"/>
              </w:rPr>
              <w:t>Signature</w:t>
            </w:r>
          </w:p>
        </w:tc>
        <w:tc>
          <w:tcPr>
            <w:tcW w:w="5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2"/>
        </w:trPr>
        <w:tc>
          <w:tcPr>
            <w:tcW w:w="5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20" w:type="dxa"/>
            <w:vAlign w:val="bottom"/>
            <w:tcBorders>
              <w:bottom w:val="single" w:sz="8" w:color="auto"/>
            </w:tcBorders>
            <w:gridSpan w:val="2"/>
          </w:tcPr>
          <w:p>
            <w:pPr>
              <w:spacing w:after="0"/>
              <w:rPr>
                <w:sz w:val="24"/>
                <w:szCs w:val="24"/>
                <w:color w:val="auto"/>
              </w:rPr>
            </w:pPr>
          </w:p>
        </w:tc>
      </w:tr>
      <w:tr>
        <w:trPr>
          <w:trHeight w:val="317"/>
        </w:trPr>
        <w:tc>
          <w:tcPr>
            <w:tcW w:w="52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Title</w:t>
            </w:r>
          </w:p>
        </w:tc>
      </w:tr>
    </w:tbl>
    <w:p>
      <w:pPr>
        <w:sectPr>
          <w:pgSz w:w="11900" w:h="16838" w:orient="portrait"/>
          <w:cols w:equalWidth="0" w:num="1">
            <w:col w:w="11420"/>
          </w:cols>
          <w:pgMar w:left="240" w:top="274" w:right="239" w:bottom="1440" w:gutter="0" w:footer="0" w:header="0"/>
        </w:sectPr>
      </w:pPr>
    </w:p>
    <w:bookmarkStart w:id="671" w:name="page672"/>
    <w:bookmarkEnd w:id="6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169545</wp:posOffset>
            </wp:positionV>
            <wp:extent cx="2341245" cy="47180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34124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AND REGISTRATION FORM</w:t>
      </w:r>
    </w:p>
    <w:p>
      <w:pPr>
        <w:spacing w:after="0" w:line="225"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Subscription Rights and Shares may not be offered or sold, directly or indirectly, in or from any country or jurisdiction except under circumstances that will result in compliance with any applicable rules and regulations of any such country or jurisdiction. This security offering is in the United States solely addressed to accredited investors (as defined in Regulation D of the Securities Act) and in the European Union solely addressed to qualified investors or to special category of investors (as defined in article 2 section 1 E of the Prospectus Directive).</w:t>
      </w:r>
    </w:p>
    <w:p>
      <w:pPr>
        <w:spacing w:after="0" w:line="1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Making reference to the articles of association AC Immune SA, with registered seat in Lausanne, company number CHE-109.878.825 (the “Company”), as enacted the extraordinary general meeting held on October 1, 2015 and the resolutions of such meeting and a meeting of the Board of Directors to increase the share capital of the Company by the aggregate amount of CHF[102’680] from CHF [853’900] (amount registered in the register of commerce not taking into account the 502 options for common shares exercised in 2015) up to CHF [956’580] through the issuance of up to 20’536 new Series E Preferred Shares (the “Preferred Series E Shares” and each a “Preferred Series E Share”) with a nominal value of CHF 5.00 each at the subscription amount of USD 2’409.06, and the corresponding rights offering, offering such shares for a price of USD 2’409.06 per share in cash at issuance.</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My/Our commitment for the Series E Financing Round is USD</w:t>
      </w:r>
    </w:p>
    <w:p>
      <w:pPr>
        <w:spacing w:after="0" w:line="117" w:lineRule="exact"/>
        <w:rPr>
          <w:sz w:val="20"/>
          <w:szCs w:val="20"/>
          <w:color w:val="auto"/>
        </w:rPr>
      </w:pPr>
    </w:p>
    <w:p>
      <w:pPr>
        <w:ind w:left="460" w:right="660"/>
        <w:spacing w:after="0" w:line="277" w:lineRule="auto"/>
        <w:rPr>
          <w:sz w:val="20"/>
          <w:szCs w:val="20"/>
          <w:color w:val="auto"/>
        </w:rPr>
      </w:pPr>
      <w:r>
        <w:rPr>
          <w:rFonts w:ascii="Arial" w:cs="Arial" w:eastAsia="Arial" w:hAnsi="Arial"/>
          <w:sz w:val="18"/>
          <w:szCs w:val="18"/>
          <w:color w:val="auto"/>
        </w:rPr>
        <w:t>For my/our commitment I/we hereby unconditionally subscribe (in words ) Preferred Series E Shares with the irrevocable and unconditional undertaking to pay the issue price of USD 2’409.06 for each allotted Preferred Series E Share to the Company.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I/we grant power of attorney to each member of the board of directors of the Company to repeat the subscription of based on a signed copy of this form.</w:t>
      </w: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I/we confirm the following: (1) My/our overall commitment to investments that are not readily marketable is reasonable in relation to my/our net worth; (2) I am/we are willing and able to bear the economic risk of this investment; and (3) I am/we are purchasing the shares offered for my/our own account for investment purposes only and not with a view to distribution or resale.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I/we confirm that I/we have taken note of the contents of the Articles of Association of the Company as resolved on October 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I/we declare that I/we will acquire Preferred Series E Shares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my/our own name and for my/our own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893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trustee (nominee) for the following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893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32" w:lineRule="exact"/>
        <w:rPr>
          <w:sz w:val="20"/>
          <w:szCs w:val="20"/>
          <w:color w:val="auto"/>
        </w:rPr>
      </w:pPr>
    </w:p>
    <w:p>
      <w:pPr>
        <w:spacing w:after="0"/>
        <w:tabs>
          <w:tab w:leader="none" w:pos="2320" w:val="left"/>
          <w:tab w:leader="none" w:pos="3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 address</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273" w:right="239" w:bottom="1440" w:gutter="0" w:footer="0" w:header="0"/>
        </w:sectPr>
      </w:pPr>
    </w:p>
    <w:bookmarkStart w:id="672" w:name="page673"/>
    <w:bookmarkEnd w:id="6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4"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I /we confirm that I/we are not acquiring the Shares for the account or benefit of another person who is a U.S. person or resident in China, Australia, Canada, Taiwan or Japan.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I/we request that the Preferred Series E Shares be entered into the shareholders’ register of AC Immune SA under my/our name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Individuals</w:t>
      </w:r>
    </w:p>
    <w:p>
      <w:pPr>
        <w:spacing w:after="0" w:line="84" w:lineRule="exact"/>
        <w:rPr>
          <w:sz w:val="20"/>
          <w:szCs w:val="20"/>
          <w:color w:val="auto"/>
        </w:rPr>
      </w:pPr>
    </w:p>
    <w:p>
      <w:pPr>
        <w:spacing w:after="0" w:line="207" w:lineRule="exact"/>
        <w:tabs>
          <w:tab w:leader="none" w:pos="6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Mr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Ms/Mrs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First Name:</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Street, No.:</w:t>
            </w:r>
          </w:p>
        </w:tc>
        <w:tc>
          <w:tcPr>
            <w:tcW w:w="706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Postal Code, City:</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Country:</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Telefon, No.:</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Fax, No. or e-mail:</w:t>
            </w:r>
          </w:p>
        </w:tc>
      </w:tr>
      <w:tr>
        <w:trPr>
          <w:trHeight w:val="223"/>
        </w:trPr>
        <w:tc>
          <w:tcPr>
            <w:tcW w:w="4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Nationality:</w:t>
            </w:r>
          </w:p>
        </w:tc>
        <w:tc>
          <w:tcPr>
            <w:tcW w:w="7060" w:type="dxa"/>
            <w:vAlign w:val="bottom"/>
          </w:tcPr>
          <w:p>
            <w:pPr>
              <w:ind w:left="2140"/>
              <w:spacing w:after="0"/>
              <w:rPr>
                <w:sz w:val="20"/>
                <w:szCs w:val="20"/>
                <w:color w:val="auto"/>
              </w:rPr>
            </w:pPr>
            <w:r>
              <w:rPr>
                <w:rFonts w:ascii="Arial" w:cs="Arial" w:eastAsia="Arial" w:hAnsi="Arial"/>
                <w:sz w:val="18"/>
                <w:szCs w:val="18"/>
                <w:color w:val="auto"/>
              </w:rPr>
              <w:t>Date of Birth:</w:t>
            </w:r>
          </w:p>
        </w:tc>
      </w:tr>
      <w:tr>
        <w:trPr>
          <w:trHeight w:val="20"/>
        </w:trPr>
        <w:tc>
          <w:tcPr>
            <w:tcW w:w="480" w:type="dxa"/>
            <w:vAlign w:val="bottom"/>
            <w:gridSpan w:val="2"/>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7060" w:type="dxa"/>
            <w:vAlign w:val="bottom"/>
            <w:shd w:val="clear" w:color="auto" w:fill="000000"/>
          </w:tcPr>
          <w:p>
            <w:pPr>
              <w:spacing w:after="0" w:line="20" w:lineRule="exact"/>
              <w:rPr>
                <w:sz w:val="1"/>
                <w:szCs w:val="1"/>
                <w:color w:val="auto"/>
              </w:rPr>
            </w:pPr>
          </w:p>
        </w:tc>
      </w:tr>
      <w:tr>
        <w:trPr>
          <w:trHeight w:val="547"/>
        </w:trPr>
        <w:tc>
          <w:tcPr>
            <w:tcW w:w="3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Legal Entities</w:t>
            </w:r>
          </w:p>
        </w:tc>
        <w:tc>
          <w:tcPr>
            <w:tcW w:w="706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First Name:</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Street, No.:</w:t>
            </w:r>
          </w:p>
        </w:tc>
        <w:tc>
          <w:tcPr>
            <w:tcW w:w="7060" w:type="dxa"/>
            <w:vAlign w:val="bottom"/>
            <w:tcBorders>
              <w:bottom w:val="single" w:sz="8" w:color="auto"/>
            </w:tcBorders>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Postal Code, City:</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Country:</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Telefon, No.:</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Fax, No. or e-mail:</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Legal Status:</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Line of Business:</w:t>
            </w:r>
          </w:p>
        </w:tc>
      </w:tr>
      <w:tr>
        <w:trPr>
          <w:trHeight w:val="223"/>
        </w:trPr>
        <w:tc>
          <w:tcPr>
            <w:tcW w:w="460" w:type="dxa"/>
            <w:vAlign w:val="bottom"/>
          </w:tcPr>
          <w:p>
            <w:pPr>
              <w:spacing w:after="0"/>
              <w:rPr>
                <w:sz w:val="19"/>
                <w:szCs w:val="19"/>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Activity/Purpose:</w:t>
            </w:r>
          </w:p>
        </w:tc>
        <w:tc>
          <w:tcPr>
            <w:tcW w:w="706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Jurisdiction of Incorporation:</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Notices from AC Immune SA should be sent to:</w:t>
      </w:r>
    </w:p>
    <w:p>
      <w:pPr>
        <w:spacing w:after="0" w:line="252" w:lineRule="exact"/>
        <w:rPr>
          <w:sz w:val="20"/>
          <w:szCs w:val="20"/>
          <w:color w:val="auto"/>
        </w:rPr>
      </w:pPr>
    </w:p>
    <w:p>
      <w:pPr>
        <w:ind w:left="680" w:hanging="213"/>
        <w:spacing w:after="0"/>
        <w:tabs>
          <w:tab w:leader="none" w:pos="680" w:val="left"/>
        </w:tabs>
        <w:numPr>
          <w:ilvl w:val="0"/>
          <w:numId w:val="528"/>
        </w:numPr>
        <w:rPr>
          <w:rFonts w:ascii="MS PGothic" w:cs="MS PGothic" w:eastAsia="MS PGothic" w:hAnsi="MS PGothic"/>
          <w:sz w:val="18"/>
          <w:szCs w:val="18"/>
          <w:color w:val="auto"/>
        </w:rPr>
      </w:pPr>
      <w:r>
        <w:rPr>
          <w:rFonts w:ascii="Arial" w:cs="Arial" w:eastAsia="Arial" w:hAnsi="Arial"/>
          <w:sz w:val="18"/>
          <w:szCs w:val="18"/>
          <w:color w:val="auto"/>
        </w:rPr>
        <w:t>the above address</w:t>
      </w:r>
    </w:p>
    <w:p>
      <w:pPr>
        <w:spacing w:after="0" w:line="43" w:lineRule="exact"/>
        <w:rPr>
          <w:rFonts w:ascii="MS PGothic" w:cs="MS PGothic" w:eastAsia="MS PGothic" w:hAnsi="MS PGothic"/>
          <w:sz w:val="18"/>
          <w:szCs w:val="18"/>
          <w:color w:val="auto"/>
        </w:rPr>
      </w:pPr>
    </w:p>
    <w:p>
      <w:pPr>
        <w:ind w:left="680" w:hanging="213"/>
        <w:spacing w:after="0"/>
        <w:tabs>
          <w:tab w:leader="none" w:pos="680" w:val="left"/>
        </w:tabs>
        <w:numPr>
          <w:ilvl w:val="0"/>
          <w:numId w:val="528"/>
        </w:numPr>
        <w:rPr>
          <w:rFonts w:ascii="MS PGothic" w:cs="MS PGothic" w:eastAsia="MS PGothic" w:hAnsi="MS PGothic"/>
          <w:sz w:val="18"/>
          <w:szCs w:val="18"/>
          <w:color w:val="auto"/>
        </w:rPr>
      </w:pPr>
      <w:r>
        <w:rPr>
          <w:rFonts w:ascii="Arial" w:cs="Arial" w:eastAsia="Arial" w:hAnsi="Arial"/>
          <w:sz w:val="18"/>
          <w:szCs w:val="18"/>
          <w:color w:val="auto"/>
        </w:rPr>
        <w:t>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-143510</wp:posOffset>
            </wp:positionV>
            <wp:extent cx="66636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173355</wp:posOffset>
            </wp:positionV>
            <wp:extent cx="666369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If I am a U.S. Person as defined in Regulation S (see on the form below), I/we confirm I am/we are an accredited investor(s) as that term is defined in Regulation D of the Securities Act (see at the end of this form), the Preferred Series E Shares have not been offered for sale to me/us in the United States, and I am/we are not acquiring the Shares for the account or benefit of any other U.S. person.</w:t>
      </w:r>
    </w:p>
    <w:p>
      <w:pPr>
        <w:spacing w:after="0" w:line="15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If I am /we are a resident of a members state of the European Union, I/we understand that the offering is solely addressed to qualified investors or to special category of investors (as defined in article 2 section 1 E of the Prospectus Directive, see below) and that any subscription by another person may not be permitted and must be approved by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and Payment</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I/we will wire the amount of USD 2’409.06 for each Preferred Series E Shares allotted to me/us with value date October , 2015 to the following escrow bank account: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Name of bank: Credit Suisse AG, St. Alban-Graben 1-3, 4002 Basel/Switzerland, SWIFT CRESCHZZ80A Benificiary/Formal account holder: AC Immune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 EPFL Innovation Park, Building B, CH 1015 Lausanne, Suisse; Account Number USD: IBAN CH72 0483 5173 7769 4200 7</w:t>
      </w:r>
    </w:p>
    <w:p>
      <w:pPr>
        <w:sectPr>
          <w:pgSz w:w="11900" w:h="16838" w:orient="portrait"/>
          <w:cols w:equalWidth="0" w:num="1">
            <w:col w:w="11400"/>
          </w:cols>
          <w:pgMar w:left="240" w:top="274" w:right="259" w:bottom="1440" w:gutter="0" w:footer="0" w:header="0"/>
        </w:sectPr>
      </w:pPr>
    </w:p>
    <w:bookmarkStart w:id="673" w:name="page674"/>
    <w:bookmarkEnd w:id="6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Duties /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stamp tax (“Emissionsabgabe”) will be borne by AC Immune SA. The Shares are entitled to dividends starting with the business year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Arrangement of the Series E Preference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shares are subject to an escrow arrangement as laid out in Section D4 of the Shareholders’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I/We hereby declare that I/we have taken notice of and fully understood the content of the Shareholders’ Agreement dated 16 October 2015 and that I/we hereby unconditionally and irrevocably accede to the Shareholders’ Agreement and assume all rights and duties thereunder.</w:t>
      </w:r>
    </w:p>
    <w:p>
      <w:pPr>
        <w:spacing w:after="0" w:line="147"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This Subscription and Registration Form is subject to Swiss law. Any disputes, controversy or claim arising under, out of or relating to this Subscription Agreement (and subsequent amendments thereof), its valid conclusion, binding effect, interpretation, performance, breach or termination, including tort claims, shall be referred to and finally determined by arbitration in accordance with the Swiss Rules of International Arbitration of the Swiss Chambers of Commerce in force at the time when the arbitration is initiated. A panel of three arbitrators shall be appointed. The place of arbitration shall be Lausanne, Switzerland. The language to be used in the arbitration proceedings shall be English.</w:t>
      </w:r>
    </w:p>
    <w:p>
      <w:pPr>
        <w:spacing w:after="0" w:line="200"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Place/Date: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658622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[signature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need be notarized]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Securities Act of 1933: Definition of U.S. Person / Accredited Investor.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used in Regulation S, the term “U.S. person” means:</w:t>
      </w:r>
    </w:p>
    <w:p>
      <w:pPr>
        <w:spacing w:after="0" w:line="225" w:lineRule="exact"/>
        <w:rPr>
          <w:sz w:val="20"/>
          <w:szCs w:val="20"/>
          <w:color w:val="auto"/>
        </w:rPr>
      </w:pPr>
    </w:p>
    <w:p>
      <w:pPr>
        <w:ind w:left="220" w:hanging="212"/>
        <w:spacing w:after="0"/>
        <w:tabs>
          <w:tab w:leader="none" w:pos="22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any natural person resident in the United States;</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any partnership or corporation organized or incorporated under the laws of the United States;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any estate of which any executor or administrator is a U.S. person;</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any trust of which any trustee is a U.S. person;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any agency or branch of a foreign entity located in the United States;</w:t>
      </w:r>
    </w:p>
    <w:p>
      <w:pPr>
        <w:spacing w:after="0" w:line="225" w:lineRule="exact"/>
        <w:rPr>
          <w:rFonts w:ascii="Arial" w:cs="Arial" w:eastAsia="Arial" w:hAnsi="Arial"/>
          <w:sz w:val="18"/>
          <w:szCs w:val="18"/>
          <w:color w:val="auto"/>
        </w:rPr>
      </w:pPr>
    </w:p>
    <w:p>
      <w:pPr>
        <w:ind w:right="420" w:firstLine="8"/>
        <w:spacing w:after="0" w:line="277" w:lineRule="auto"/>
        <w:tabs>
          <w:tab w:leader="none" w:pos="305"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any non-discretionary account or similar account (other than an estate or trust) held by a dealer or other fiduciary for the benefit or account of a U.S. person;</w:t>
      </w:r>
    </w:p>
    <w:p>
      <w:pPr>
        <w:spacing w:after="0" w:line="170" w:lineRule="exact"/>
        <w:rPr>
          <w:rFonts w:ascii="Arial" w:cs="Arial" w:eastAsia="Arial" w:hAnsi="Arial"/>
          <w:sz w:val="18"/>
          <w:szCs w:val="18"/>
          <w:color w:val="auto"/>
        </w:rPr>
      </w:pPr>
    </w:p>
    <w:p>
      <w:pPr>
        <w:ind w:right="820" w:firstLine="8"/>
        <w:spacing w:after="0" w:line="277" w:lineRule="auto"/>
        <w:tabs>
          <w:tab w:leader="none" w:pos="355" w:val="left"/>
        </w:tabs>
        <w:numPr>
          <w:ilvl w:val="0"/>
          <w:numId w:val="529"/>
        </w:numPr>
        <w:rPr>
          <w:rFonts w:ascii="Arial" w:cs="Arial" w:eastAsia="Arial" w:hAnsi="Arial"/>
          <w:sz w:val="18"/>
          <w:szCs w:val="18"/>
          <w:color w:val="auto"/>
        </w:rPr>
      </w:pPr>
      <w:r>
        <w:rPr>
          <w:rFonts w:ascii="Arial" w:cs="Arial" w:eastAsia="Arial" w:hAnsi="Arial"/>
          <w:sz w:val="18"/>
          <w:szCs w:val="18"/>
          <w:color w:val="auto"/>
        </w:rPr>
        <w:t>any discretionary account or similar account (other than an estate or trust) held by a dealer or other fiduciary organized, incorporated, or (if an individual) resident in the United States; and</w:t>
      </w:r>
    </w:p>
    <w:p>
      <w:pPr>
        <w:spacing w:after="0" w:line="170" w:lineRule="exact"/>
        <w:rPr>
          <w:rFonts w:ascii="Arial" w:cs="Arial" w:eastAsia="Arial" w:hAnsi="Arial"/>
          <w:sz w:val="18"/>
          <w:szCs w:val="18"/>
          <w:color w:val="auto"/>
        </w:rPr>
      </w:pPr>
    </w:p>
    <w:p>
      <w:pPr>
        <w:ind w:right="60" w:firstLine="8"/>
        <w:spacing w:after="0" w:line="312" w:lineRule="auto"/>
        <w:tabs>
          <w:tab w:leader="none" w:pos="405" w:val="left"/>
        </w:tabs>
        <w:numPr>
          <w:ilvl w:val="0"/>
          <w:numId w:val="529"/>
        </w:numPr>
        <w:rPr>
          <w:rFonts w:ascii="Arial" w:cs="Arial" w:eastAsia="Arial" w:hAnsi="Arial"/>
          <w:sz w:val="16"/>
          <w:szCs w:val="16"/>
          <w:color w:val="auto"/>
        </w:rPr>
      </w:pPr>
      <w:r>
        <w:rPr>
          <w:rFonts w:ascii="Arial" w:cs="Arial" w:eastAsia="Arial" w:hAnsi="Arial"/>
          <w:sz w:val="16"/>
          <w:szCs w:val="16"/>
          <w:color w:val="auto"/>
        </w:rPr>
        <w:t>any partnership or corporation if: (A) organized or incorporated under the laws of any foreign jurisdiction; and (B) formed by a U.S. person principally for the purpose of investing in securities not registered under the Act, unless it is organized or incorporated, and owned, by accredited investors (as defined in Rule 501(a), which is codified in Title 17 of the US Code of Federal Regulations as § 230.501) who are not natural persons, estates or trusts.</w:t>
      </w:r>
    </w:p>
    <w:p>
      <w:pPr>
        <w:sectPr>
          <w:pgSz w:w="11900" w:h="16838" w:orient="portrait"/>
          <w:cols w:equalWidth="0" w:num="1">
            <w:col w:w="11420"/>
          </w:cols>
          <w:pgMar w:left="240" w:top="275" w:right="239" w:bottom="1440" w:gutter="0" w:footer="0" w:header="0"/>
        </w:sectPr>
      </w:pPr>
    </w:p>
    <w:bookmarkStart w:id="674" w:name="page675"/>
    <w:bookmarkEnd w:id="6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As used in Regulation D, </w:t>
      </w:r>
      <w:r>
        <w:rPr>
          <w:rFonts w:ascii="Arial" w:cs="Arial" w:eastAsia="Arial" w:hAnsi="Arial"/>
          <w:sz w:val="18"/>
          <w:szCs w:val="18"/>
          <w:i w:val="1"/>
          <w:iCs w:val="1"/>
          <w:color w:val="auto"/>
        </w:rPr>
        <w:t>accredited investor</w:t>
      </w:r>
      <w:r>
        <w:rPr>
          <w:rFonts w:ascii="Arial" w:cs="Arial" w:eastAsia="Arial" w:hAnsi="Arial"/>
          <w:sz w:val="18"/>
          <w:szCs w:val="18"/>
          <w:color w:val="auto"/>
        </w:rPr>
        <w:t xml:space="preserve"> shall mean any person who comes within any of the following categories, or who the issuer reasonably believes comes within any of the following categories, at the time of the sale of the securities to that person:</w:t>
      </w:r>
    </w:p>
    <w:p>
      <w:pPr>
        <w:spacing w:after="0" w:line="76" w:lineRule="exact"/>
        <w:rPr>
          <w:sz w:val="20"/>
          <w:szCs w:val="20"/>
          <w:color w:val="auto"/>
        </w:rPr>
      </w:pPr>
    </w:p>
    <w:p>
      <w:pPr>
        <w:ind w:left="900" w:hanging="446"/>
        <w:spacing w:after="0" w:line="288" w:lineRule="auto"/>
        <w:tabs>
          <w:tab w:leader="none" w:pos="900" w:val="left"/>
        </w:tabs>
        <w:numPr>
          <w:ilvl w:val="0"/>
          <w:numId w:val="530"/>
        </w:numPr>
        <w:rPr>
          <w:rFonts w:ascii="Arial" w:cs="Arial" w:eastAsia="Arial" w:hAnsi="Arial"/>
          <w:sz w:val="16"/>
          <w:szCs w:val="16"/>
          <w:color w:val="auto"/>
        </w:rPr>
      </w:pPr>
      <w:r>
        <w:rPr>
          <w:rFonts w:ascii="Arial" w:cs="Arial" w:eastAsia="Arial" w:hAnsi="Arial"/>
          <w:sz w:val="16"/>
          <w:szCs w:val="16"/>
          <w:color w:val="auto"/>
        </w:rPr>
        <w:t>Any bank as defined in section 3(a)(2) of the Act, or any savings and loan association or other institution as defined in section 3(a)(5)(A) of the Act whether acting in its individual or fiduciary capacity; any broker or dealer registered pursuant to section 15 of the Securities Exchange Act of 1934; any insurance company as defined in section 2(a)(13) of the Act; any investment company registered under the Investment Company Act of 1940 or a business development company as defined in section 2(a)(48) of that Act; any Small Business Investment Company licensed by the U.S. Small Business Administration under section 301(c) or (d) of the Small Business Investment Act of 1958; any plan established and maintained by a state, its political subdivisions, or any agency or instrumentality of a state or its political subdivisions, for the benefit of its employees, if such plan has total assets in excess of $5,000,000; 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74" w:lineRule="exact"/>
        <w:rPr>
          <w:rFonts w:ascii="Arial" w:cs="Arial" w:eastAsia="Arial" w:hAnsi="Arial"/>
          <w:sz w:val="16"/>
          <w:szCs w:val="16"/>
          <w:color w:val="auto"/>
        </w:rPr>
      </w:pPr>
    </w:p>
    <w:p>
      <w:pPr>
        <w:ind w:left="900" w:hanging="446"/>
        <w:spacing w:after="0"/>
        <w:tabs>
          <w:tab w:leader="none" w:pos="9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130" w:lineRule="exact"/>
        <w:rPr>
          <w:rFonts w:ascii="Arial" w:cs="Arial" w:eastAsia="Arial" w:hAnsi="Arial"/>
          <w:sz w:val="18"/>
          <w:szCs w:val="18"/>
          <w:color w:val="auto"/>
        </w:rPr>
      </w:pPr>
    </w:p>
    <w:p>
      <w:pPr>
        <w:ind w:left="900" w:right="860" w:hanging="446"/>
        <w:spacing w:after="0" w:line="342" w:lineRule="auto"/>
        <w:tabs>
          <w:tab w:leader="none" w:pos="900" w:val="left"/>
        </w:tabs>
        <w:numPr>
          <w:ilvl w:val="0"/>
          <w:numId w:val="530"/>
        </w:numPr>
        <w:rPr>
          <w:rFonts w:ascii="Arial" w:cs="Arial" w:eastAsia="Arial" w:hAnsi="Arial"/>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or partnership, not formed for the specific purpose of acquiring the securities offered, with total assets in excess of $5,000,000;</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Any director, executive officer, or general partner of the issuer of the securities being offered or sold, or any director, executive officer, or general partner of a general partner of that issuer;</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Any natural person whose individual net worth, or joint net worth with that person’s spouse, at the time of his purchase exceeds $1,000,000 excluding the value of the primary residence of such person;</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530"/>
        </w:numPr>
        <w:rPr>
          <w:rFonts w:ascii="Arial" w:cs="Arial" w:eastAsia="Arial" w:hAnsi="Arial"/>
          <w:sz w:val="18"/>
          <w:szCs w:val="18"/>
          <w:color w:val="auto"/>
        </w:rPr>
      </w:pPr>
      <w:r>
        <w:rPr>
          <w:rFonts w:ascii="Arial" w:cs="Arial" w:eastAsia="Arial" w:hAnsi="Arial"/>
          <w:sz w:val="18"/>
          <w:szCs w:val="18"/>
          <w:color w:val="auto"/>
        </w:rPr>
        <w:t>Except as provided in paragraph ii. below, for purposes of calculating net worth:</w:t>
      </w:r>
    </w:p>
    <w:p>
      <w:pPr>
        <w:spacing w:after="0" w:line="130" w:lineRule="exact"/>
        <w:rPr>
          <w:rFonts w:ascii="Arial" w:cs="Arial" w:eastAsia="Arial" w:hAnsi="Arial"/>
          <w:sz w:val="18"/>
          <w:szCs w:val="18"/>
          <w:color w:val="auto"/>
        </w:rPr>
      </w:pPr>
    </w:p>
    <w:p>
      <w:pPr>
        <w:ind w:left="2960" w:hanging="562"/>
        <w:spacing w:after="0"/>
        <w:tabs>
          <w:tab w:leader="none" w:pos="2960" w:val="left"/>
        </w:tabs>
        <w:numPr>
          <w:ilvl w:val="2"/>
          <w:numId w:val="530"/>
        </w:numPr>
        <w:rPr>
          <w:rFonts w:ascii="Arial" w:cs="Arial" w:eastAsia="Arial" w:hAnsi="Arial"/>
          <w:sz w:val="18"/>
          <w:szCs w:val="18"/>
          <w:color w:val="auto"/>
        </w:rPr>
      </w:pPr>
      <w:r>
        <w:rPr>
          <w:rFonts w:ascii="Arial" w:cs="Arial" w:eastAsia="Arial" w:hAnsi="Arial"/>
          <w:sz w:val="18"/>
          <w:szCs w:val="18"/>
          <w:color w:val="auto"/>
        </w:rPr>
        <w:t>The person’s primary residence shall not be included as an asset;</w:t>
      </w:r>
    </w:p>
    <w:p>
      <w:pPr>
        <w:spacing w:after="0" w:line="130" w:lineRule="exact"/>
        <w:rPr>
          <w:rFonts w:ascii="Arial" w:cs="Arial" w:eastAsia="Arial" w:hAnsi="Arial"/>
          <w:sz w:val="18"/>
          <w:szCs w:val="18"/>
          <w:color w:val="auto"/>
        </w:rPr>
      </w:pPr>
    </w:p>
    <w:p>
      <w:pPr>
        <w:ind w:left="2960" w:right="160" w:hanging="562"/>
        <w:spacing w:after="0" w:line="257" w:lineRule="auto"/>
        <w:tabs>
          <w:tab w:leader="none" w:pos="2960" w:val="left"/>
        </w:tabs>
        <w:numPr>
          <w:ilvl w:val="2"/>
          <w:numId w:val="530"/>
        </w:numPr>
        <w:rPr>
          <w:rFonts w:ascii="Arial" w:cs="Arial" w:eastAsia="Arial" w:hAnsi="Arial"/>
          <w:sz w:val="18"/>
          <w:szCs w:val="18"/>
          <w:color w:val="auto"/>
        </w:rPr>
      </w:pPr>
      <w:r>
        <w:rPr>
          <w:rFonts w:ascii="Arial" w:cs="Arial" w:eastAsia="Arial" w:hAnsi="Arial"/>
          <w:sz w:val="18"/>
          <w:szCs w:val="18"/>
          <w:color w:val="auto"/>
        </w:rPr>
        <w:t>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w:t>
      </w:r>
    </w:p>
    <w:p>
      <w:pPr>
        <w:spacing w:after="0" w:line="93" w:lineRule="exact"/>
        <w:rPr>
          <w:rFonts w:ascii="Arial" w:cs="Arial" w:eastAsia="Arial" w:hAnsi="Arial"/>
          <w:sz w:val="18"/>
          <w:szCs w:val="18"/>
          <w:color w:val="auto"/>
        </w:rPr>
      </w:pPr>
    </w:p>
    <w:p>
      <w:pPr>
        <w:ind w:left="2960" w:right="340" w:hanging="562"/>
        <w:spacing w:after="0" w:line="277" w:lineRule="auto"/>
        <w:tabs>
          <w:tab w:leader="none" w:pos="2960" w:val="left"/>
        </w:tabs>
        <w:numPr>
          <w:ilvl w:val="2"/>
          <w:numId w:val="530"/>
        </w:numPr>
        <w:rPr>
          <w:rFonts w:ascii="Arial" w:cs="Arial" w:eastAsia="Arial" w:hAnsi="Arial"/>
          <w:sz w:val="18"/>
          <w:szCs w:val="18"/>
          <w:color w:val="auto"/>
        </w:rPr>
      </w:pPr>
      <w:r>
        <w:rPr>
          <w:rFonts w:ascii="Arial" w:cs="Arial" w:eastAsia="Arial" w:hAnsi="Arial"/>
          <w:sz w:val="18"/>
          <w:szCs w:val="18"/>
          <w:color w:val="auto"/>
        </w:rPr>
        <w:t>Indebtedness that is secured by the person’s primary residence in excess of the estimated fair market value of the primary residence at the time of the sale of securities shall be included as a liability;</w:t>
      </w:r>
    </w:p>
    <w:p>
      <w:pPr>
        <w:spacing w:after="0" w:line="76" w:lineRule="exact"/>
        <w:rPr>
          <w:sz w:val="20"/>
          <w:szCs w:val="20"/>
          <w:color w:val="auto"/>
        </w:rPr>
      </w:pPr>
    </w:p>
    <w:p>
      <w:pPr>
        <w:ind w:left="1920" w:right="360" w:hanging="440"/>
        <w:spacing w:after="0" w:line="277" w:lineRule="auto"/>
        <w:tabs>
          <w:tab w:leader="none" w:pos="192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Paragraph i. above will not apply to any calculation of a person’s net worth made in connection with a purchase of securities in accordance with a right to purchase such securities, provided that:</w:t>
      </w:r>
    </w:p>
    <w:p>
      <w:pPr>
        <w:spacing w:after="0" w:line="75" w:lineRule="exact"/>
        <w:rPr>
          <w:rFonts w:ascii="Arial" w:cs="Arial" w:eastAsia="Arial" w:hAnsi="Arial"/>
          <w:sz w:val="18"/>
          <w:szCs w:val="18"/>
          <w:color w:val="auto"/>
        </w:rPr>
      </w:pPr>
    </w:p>
    <w:p>
      <w:pPr>
        <w:ind w:left="2960" w:hanging="562"/>
        <w:spacing w:after="0"/>
        <w:tabs>
          <w:tab w:leader="none" w:pos="296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Such right was held by the person on July 20, 2010;</w:t>
      </w:r>
    </w:p>
    <w:p>
      <w:pPr>
        <w:spacing w:after="0" w:line="130" w:lineRule="exact"/>
        <w:rPr>
          <w:rFonts w:ascii="Arial" w:cs="Arial" w:eastAsia="Arial" w:hAnsi="Arial"/>
          <w:sz w:val="18"/>
          <w:szCs w:val="18"/>
          <w:color w:val="auto"/>
        </w:rPr>
      </w:pPr>
    </w:p>
    <w:p>
      <w:pPr>
        <w:ind w:left="2960" w:right="260" w:hanging="562"/>
        <w:spacing w:after="0" w:line="277" w:lineRule="auto"/>
        <w:tabs>
          <w:tab w:leader="none" w:pos="296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The person qualified as an accredited investor on the basis of net worth at the time the person acquired such right; and</w:t>
      </w:r>
    </w:p>
    <w:p>
      <w:pPr>
        <w:spacing w:after="0" w:line="75" w:lineRule="exact"/>
        <w:rPr>
          <w:rFonts w:ascii="Arial" w:cs="Arial" w:eastAsia="Arial" w:hAnsi="Arial"/>
          <w:sz w:val="18"/>
          <w:szCs w:val="18"/>
          <w:color w:val="auto"/>
        </w:rPr>
      </w:pPr>
    </w:p>
    <w:p>
      <w:pPr>
        <w:ind w:left="2960" w:hanging="562"/>
        <w:spacing w:after="0"/>
        <w:tabs>
          <w:tab w:leader="none" w:pos="296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The person held securities of the same issuer, other than such right, on July 20, 2010.</w:t>
      </w:r>
    </w:p>
    <w:p>
      <w:pPr>
        <w:sectPr>
          <w:pgSz w:w="11900" w:h="16838" w:orient="portrait"/>
          <w:cols w:equalWidth="0" w:num="1">
            <w:col w:w="11420"/>
          </w:cols>
          <w:pgMar w:left="240" w:top="274" w:right="239" w:bottom="1440" w:gutter="0" w:footer="0" w:header="0"/>
        </w:sectPr>
      </w:pPr>
    </w:p>
    <w:bookmarkStart w:id="675" w:name="page676"/>
    <w:bookmarkEnd w:id="6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900" w:hanging="446"/>
        <w:spacing w:after="0" w:line="342" w:lineRule="auto"/>
        <w:tabs>
          <w:tab w:leader="none" w:pos="90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29" w:lineRule="exact"/>
        <w:rPr>
          <w:rFonts w:ascii="Arial" w:cs="Arial" w:eastAsia="Arial" w:hAnsi="Arial"/>
          <w:sz w:val="16"/>
          <w:szCs w:val="16"/>
          <w:color w:val="auto"/>
        </w:rPr>
      </w:pPr>
    </w:p>
    <w:p>
      <w:pPr>
        <w:ind w:left="900" w:right="160" w:hanging="446"/>
        <w:spacing w:after="0" w:line="277" w:lineRule="auto"/>
        <w:tabs>
          <w:tab w:leader="none" w:pos="9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Rule 506(b)(2)(ii)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Any entity in which all of the equity owners are accredited investors.</w:t>
      </w:r>
    </w:p>
    <w:p>
      <w:pPr>
        <w:sectPr>
          <w:pgSz w:w="11900" w:h="16838" w:orient="portrait"/>
          <w:cols w:equalWidth="0" w:num="1">
            <w:col w:w="11220"/>
          </w:cols>
          <w:pgMar w:left="240" w:top="275" w:right="439" w:bottom="1440" w:gutter="0" w:footer="0" w:header="0"/>
        </w:sectPr>
      </w:pPr>
    </w:p>
    <w:bookmarkStart w:id="676" w:name="page677"/>
    <w:bookmarkEnd w:id="6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Union: Prospectus Directive 2010/73/EU of 24 November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Article 2 –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 For the purposes of this Directive, the following definitions shall apply:</w:t>
      </w:r>
    </w:p>
    <w:p>
      <w:pPr>
        <w:spacing w:after="0" w:line="225" w:lineRule="exact"/>
        <w:rPr>
          <w:sz w:val="20"/>
          <w:szCs w:val="20"/>
          <w:color w:val="auto"/>
        </w:rPr>
      </w:pPr>
    </w:p>
    <w:p>
      <w:pPr>
        <w:ind w:left="260" w:hanging="252"/>
        <w:spacing w:after="0"/>
        <w:tabs>
          <w:tab w:leader="none" w:pos="2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 (d) […];</w:t>
      </w:r>
    </w:p>
    <w:p>
      <w:pPr>
        <w:spacing w:after="0" w:line="130" w:lineRule="exact"/>
        <w:rPr>
          <w:rFonts w:ascii="Arial" w:cs="Arial" w:eastAsia="Arial" w:hAnsi="Arial"/>
          <w:sz w:val="18"/>
          <w:szCs w:val="18"/>
          <w:color w:val="auto"/>
        </w:rPr>
      </w:pPr>
    </w:p>
    <w:p>
      <w:pPr>
        <w:ind w:left="1140" w:right="220" w:hanging="565"/>
        <w:spacing w:after="0" w:line="272" w:lineRule="auto"/>
        <w:tabs>
          <w:tab w:leader="none" w:pos="1140" w:val="left"/>
        </w:tabs>
        <w:numPr>
          <w:ilvl w:val="1"/>
          <w:numId w:val="533"/>
        </w:numPr>
        <w:rPr>
          <w:rFonts w:ascii="Arial" w:cs="Arial" w:eastAsia="Arial" w:hAnsi="Arial"/>
          <w:sz w:val="17"/>
          <w:szCs w:val="17"/>
          <w:color w:val="auto"/>
        </w:rPr>
      </w:pPr>
      <w:r>
        <w:rPr>
          <w:rFonts w:ascii="Arial" w:cs="Arial" w:eastAsia="Arial" w:hAnsi="Arial"/>
          <w:sz w:val="17"/>
          <w:szCs w:val="17"/>
          <w:color w:val="auto"/>
        </w:rPr>
        <w:t>‘qualified investors’ means persons or entities that are described in points (1) to (4) of Section I of Annex II to Directive 2004/39/EC of the European Parliament and of the Council of 21 April 2004 on markets in financial instruments</w:t>
      </w:r>
      <w:r>
        <w:rPr>
          <w:rFonts w:ascii="Arial" w:cs="Arial" w:eastAsia="Arial" w:hAnsi="Arial"/>
          <w:sz w:val="14"/>
          <w:szCs w:val="14"/>
          <w:color w:val="auto"/>
        </w:rPr>
        <w:t>1</w:t>
      </w:r>
      <w:r>
        <w:rPr>
          <w:rFonts w:ascii="Arial" w:cs="Arial" w:eastAsia="Arial" w:hAnsi="Arial"/>
          <w:sz w:val="17"/>
          <w:szCs w:val="17"/>
          <w:color w:val="auto"/>
        </w:rPr>
        <w:t>, and persons or entities who are, on request, treated as professional clients in accordance with Annex II to Directive 2004/39/EC</w:t>
      </w:r>
      <w:r>
        <w:rPr>
          <w:rFonts w:ascii="Arial" w:cs="Arial" w:eastAsia="Arial" w:hAnsi="Arial"/>
          <w:sz w:val="14"/>
          <w:szCs w:val="14"/>
          <w:color w:val="auto"/>
        </w:rPr>
        <w:t>2</w:t>
      </w:r>
      <w:r>
        <w:rPr>
          <w:rFonts w:ascii="Arial" w:cs="Arial" w:eastAsia="Arial" w:hAnsi="Arial"/>
          <w:sz w:val="17"/>
          <w:szCs w:val="17"/>
          <w:color w:val="auto"/>
        </w:rPr>
        <w:t>, or recognized as eligible counterparties in accordance with Article 24 of Directive 2004/39/EC unless they have requested that they be treated as non-professional clients. Investment firms and credit institutions shall communicate their classification on request to the issuer without prejudice to the relevant legislation on data protection. Investment firms authorized to continue considering existing professional clients as such in accordance with Article 71(6) of Directive 2004/39/EC shall be authorized to treat those clients as qualified investors under this Directive.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898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200" w:hanging="452"/>
        <w:spacing w:after="0" w:line="312" w:lineRule="auto"/>
        <w:tabs>
          <w:tab w:leader="none" w:pos="122" w:val="left"/>
        </w:tabs>
        <w:numPr>
          <w:ilvl w:val="0"/>
          <w:numId w:val="534"/>
        </w:numPr>
        <w:rPr>
          <w:rFonts w:ascii="Arial" w:cs="Arial" w:eastAsia="Arial" w:hAnsi="Arial"/>
          <w:sz w:val="14"/>
          <w:szCs w:val="14"/>
          <w:color w:val="auto"/>
        </w:rPr>
      </w:pPr>
      <w:r>
        <w:rPr>
          <w:rFonts w:ascii="Arial" w:cs="Arial" w:eastAsia="Arial" w:hAnsi="Arial"/>
          <w:sz w:val="16"/>
          <w:szCs w:val="16"/>
          <w:color w:val="auto"/>
        </w:rPr>
        <w:t>(1) Entities which are required to be authorised or regulated to operate in the financial markets. The list below should be understood as including all authorised entities carrying out the characteristic activities of the entities mentioned: entities authorised by a Member State under a Directive, entities authorised or regulated by a Member State without reference to a Directive, and entities authorised or regulated by a non-Member State:</w:t>
      </w:r>
    </w:p>
    <w:p>
      <w:pPr>
        <w:spacing w:after="0" w:line="52" w:lineRule="exact"/>
        <w:rPr>
          <w:rFonts w:ascii="Arial" w:cs="Arial" w:eastAsia="Arial" w:hAnsi="Arial"/>
          <w:sz w:val="14"/>
          <w:szCs w:val="14"/>
          <w:color w:val="auto"/>
        </w:rPr>
      </w:pPr>
    </w:p>
    <w:p>
      <w:pPr>
        <w:ind w:left="1480" w:hanging="567"/>
        <w:spacing w:after="0"/>
        <w:tabs>
          <w:tab w:leader="none" w:pos="148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Credit institutions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Investment firms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Other authorised or regulated financial institutions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Collective investment schemes and management companies of such schemes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Pension funds and management companies of such funds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Commodity and commodity derivatives dealers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Locals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Other institutional investors</w:t>
      </w:r>
    </w:p>
    <w:p>
      <w:pPr>
        <w:spacing w:after="0" w:line="131" w:lineRule="exact"/>
        <w:rPr>
          <w:sz w:val="20"/>
          <w:szCs w:val="20"/>
          <w:color w:val="auto"/>
        </w:rPr>
      </w:pPr>
    </w:p>
    <w:p>
      <w:pPr>
        <w:ind w:left="460" w:hanging="452"/>
        <w:spacing w:after="0"/>
        <w:tabs>
          <w:tab w:leader="none" w:pos="460" w:val="left"/>
        </w:tabs>
        <w:numPr>
          <w:ilvl w:val="0"/>
          <w:numId w:val="535"/>
        </w:numPr>
        <w:rPr>
          <w:rFonts w:ascii="Arial" w:cs="Arial" w:eastAsia="Arial" w:hAnsi="Arial"/>
          <w:sz w:val="15"/>
          <w:szCs w:val="15"/>
          <w:color w:val="auto"/>
        </w:rPr>
      </w:pPr>
      <w:r>
        <w:rPr>
          <w:rFonts w:ascii="Arial" w:cs="Arial" w:eastAsia="Arial" w:hAnsi="Arial"/>
          <w:sz w:val="18"/>
          <w:szCs w:val="18"/>
          <w:color w:val="auto"/>
        </w:rPr>
        <w:t>Large undertakings meeting two of the following size requirements on a company basis:</w:t>
      </w:r>
    </w:p>
    <w:p>
      <w:pPr>
        <w:spacing w:after="0" w:line="130" w:lineRule="exact"/>
        <w:rPr>
          <w:rFonts w:ascii="Arial" w:cs="Arial" w:eastAsia="Arial" w:hAnsi="Arial"/>
          <w:sz w:val="15"/>
          <w:szCs w:val="15"/>
          <w:color w:val="auto"/>
        </w:rPr>
      </w:pPr>
    </w:p>
    <w:p>
      <w:pPr>
        <w:ind w:left="900" w:hanging="325"/>
        <w:spacing w:after="0"/>
        <w:tabs>
          <w:tab w:leader="none" w:pos="90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balance sheet total: EUR 2 0 000 000,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net turnover: EUR 4 0 000 000,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own funds: EUR 2 000 000.</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35"/>
        </w:numPr>
        <w:rPr>
          <w:rFonts w:ascii="Arial" w:cs="Arial" w:eastAsia="Arial" w:hAnsi="Arial"/>
          <w:sz w:val="15"/>
          <w:szCs w:val="15"/>
          <w:color w:val="auto"/>
        </w:rPr>
      </w:pPr>
      <w:r>
        <w:rPr>
          <w:rFonts w:ascii="Arial" w:cs="Arial" w:eastAsia="Arial" w:hAnsi="Arial"/>
          <w:sz w:val="18"/>
          <w:szCs w:val="18"/>
          <w:color w:val="auto"/>
        </w:rPr>
        <w:t>National and regional governments, public bodies that manage public debt, Central Banks, international and supranational institutions such as the World Bank, the IMF, the ECB, the EIB and other similar international organisations.</w:t>
      </w:r>
    </w:p>
    <w:p>
      <w:pPr>
        <w:spacing w:after="0" w:line="75" w:lineRule="exact"/>
        <w:rPr>
          <w:rFonts w:ascii="Arial" w:cs="Arial" w:eastAsia="Arial" w:hAnsi="Arial"/>
          <w:sz w:val="15"/>
          <w:szCs w:val="15"/>
          <w:color w:val="auto"/>
        </w:rPr>
      </w:pPr>
    </w:p>
    <w:p>
      <w:pPr>
        <w:ind w:left="460" w:right="100" w:hanging="452"/>
        <w:spacing w:after="0" w:line="277" w:lineRule="auto"/>
        <w:tabs>
          <w:tab w:leader="none" w:pos="460" w:val="left"/>
        </w:tabs>
        <w:numPr>
          <w:ilvl w:val="0"/>
          <w:numId w:val="535"/>
        </w:numPr>
        <w:rPr>
          <w:rFonts w:ascii="Arial" w:cs="Arial" w:eastAsia="Arial" w:hAnsi="Arial"/>
          <w:sz w:val="15"/>
          <w:szCs w:val="15"/>
          <w:color w:val="auto"/>
        </w:rPr>
      </w:pPr>
      <w:r>
        <w:rPr>
          <w:rFonts w:ascii="Arial" w:cs="Arial" w:eastAsia="Arial" w:hAnsi="Arial"/>
          <w:sz w:val="18"/>
          <w:szCs w:val="18"/>
          <w:color w:val="auto"/>
        </w:rPr>
        <w:t>Other institutional investors whose main activity is to invest in financial instruments, including entities dedicated to the securitisation of assets or other financing transactions.</w:t>
      </w:r>
    </w:p>
    <w:p>
      <w:pPr>
        <w:spacing w:after="0" w:line="76" w:lineRule="exact"/>
        <w:rPr>
          <w:sz w:val="20"/>
          <w:szCs w:val="20"/>
          <w:color w:val="auto"/>
        </w:rPr>
      </w:pPr>
    </w:p>
    <w:p>
      <w:pPr>
        <w:ind w:left="460" w:right="20" w:hanging="452"/>
        <w:spacing w:after="0" w:line="289" w:lineRule="auto"/>
        <w:tabs>
          <w:tab w:leader="none" w:pos="460" w:val="left"/>
        </w:tabs>
        <w:numPr>
          <w:ilvl w:val="0"/>
          <w:numId w:val="536"/>
        </w:numPr>
        <w:rPr>
          <w:rFonts w:ascii="Arial" w:cs="Arial" w:eastAsia="Arial" w:hAnsi="Arial"/>
          <w:sz w:val="14"/>
          <w:szCs w:val="14"/>
          <w:color w:val="auto"/>
        </w:rPr>
      </w:pPr>
      <w:r>
        <w:rPr>
          <w:rFonts w:ascii="Arial" w:cs="Arial" w:eastAsia="Arial" w:hAnsi="Arial"/>
          <w:sz w:val="16"/>
          <w:szCs w:val="16"/>
          <w:color w:val="auto"/>
        </w:rPr>
        <w:t>Clients other than those mentioned in section I, including public sector bodies and private individual investors, may also be allowed to waive some of the protections afforded by the conduct of business rules. Investment firms should therefore be allowed to treat any of the above clients as professionals provided the relevant criteria and procedure mentioned below are fulfilled. These clients should not, however, be presumed to possess market knowledge and experience comparable to that of the categories listed in section I. Any such waiver of the protection afforded by the standard conduct of business regime shall be considered valid only if an adequate assessment of the expertise, experience and knowledge of the client, undertaken by the investment firm, gives reasonable assurance, in light of the nature of the transactions or services envisaged, that the client is capable of making his own investment decisions and understanding the risks involved. The fitness test applied to managers and directors of entities licensed under Directives in the financial field could be regarded as an example of the assessment of expertise and knowledge. In the case of small entities, the person subject to the above assessment should be the person authorised to carry out transactions on behalf of the entity.</w:t>
      </w:r>
    </w:p>
    <w:p>
      <w:pPr>
        <w:spacing w:after="0" w:line="58"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8"/>
          <w:szCs w:val="18"/>
          <w:color w:val="auto"/>
        </w:rPr>
        <w:t>In the course of the above assessment, as a minimum, two of the following criteria should be satisfied:</w:t>
      </w:r>
    </w:p>
    <w:p>
      <w:pPr>
        <w:spacing w:after="0" w:line="130" w:lineRule="exact"/>
        <w:rPr>
          <w:rFonts w:ascii="Arial" w:cs="Arial" w:eastAsia="Arial" w:hAnsi="Arial"/>
          <w:sz w:val="14"/>
          <w:szCs w:val="14"/>
          <w:color w:val="auto"/>
        </w:rPr>
      </w:pPr>
    </w:p>
    <w:p>
      <w:pPr>
        <w:ind w:left="1460" w:right="580" w:hanging="547"/>
        <w:spacing w:after="0" w:line="277" w:lineRule="auto"/>
        <w:tabs>
          <w:tab w:leader="none" w:pos="1460" w:val="left"/>
        </w:tabs>
        <w:numPr>
          <w:ilvl w:val="1"/>
          <w:numId w:val="536"/>
        </w:numPr>
        <w:rPr>
          <w:rFonts w:ascii="Arial" w:cs="Arial" w:eastAsia="Arial" w:hAnsi="Arial"/>
          <w:sz w:val="18"/>
          <w:szCs w:val="18"/>
          <w:color w:val="auto"/>
        </w:rPr>
      </w:pPr>
      <w:r>
        <w:rPr>
          <w:rFonts w:ascii="Arial" w:cs="Arial" w:eastAsia="Arial" w:hAnsi="Arial"/>
          <w:sz w:val="18"/>
          <w:szCs w:val="18"/>
          <w:color w:val="auto"/>
        </w:rPr>
        <w:t>the client has carried out transactions, in significant size, on the relevant market at an average frequency of 10 per quarter over the previous four quarters,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536"/>
        </w:numPr>
        <w:rPr>
          <w:rFonts w:ascii="Arial" w:cs="Arial" w:eastAsia="Arial" w:hAnsi="Arial"/>
          <w:sz w:val="16"/>
          <w:szCs w:val="16"/>
          <w:color w:val="auto"/>
        </w:rPr>
      </w:pPr>
      <w:r>
        <w:rPr>
          <w:rFonts w:ascii="Arial" w:cs="Arial" w:eastAsia="Arial" w:hAnsi="Arial"/>
          <w:sz w:val="16"/>
          <w:szCs w:val="16"/>
          <w:color w:val="auto"/>
        </w:rPr>
        <w:t>the size of the client’s financial instrument portfolio, defined as including cash deposits and financial instruments exceeds EUR 500 000,</w:t>
      </w:r>
    </w:p>
    <w:p>
      <w:pPr>
        <w:spacing w:after="0" w:line="153" w:lineRule="exact"/>
        <w:rPr>
          <w:rFonts w:ascii="Arial" w:cs="Arial" w:eastAsia="Arial" w:hAnsi="Arial"/>
          <w:sz w:val="16"/>
          <w:szCs w:val="16"/>
          <w:color w:val="auto"/>
        </w:rPr>
      </w:pPr>
    </w:p>
    <w:p>
      <w:pPr>
        <w:ind w:left="1460" w:right="360" w:hanging="547"/>
        <w:spacing w:after="0" w:line="277" w:lineRule="auto"/>
        <w:tabs>
          <w:tab w:leader="none" w:pos="1460" w:val="left"/>
        </w:tabs>
        <w:numPr>
          <w:ilvl w:val="1"/>
          <w:numId w:val="536"/>
        </w:numPr>
        <w:rPr>
          <w:rFonts w:ascii="Arial" w:cs="Arial" w:eastAsia="Arial" w:hAnsi="Arial"/>
          <w:sz w:val="18"/>
          <w:szCs w:val="18"/>
          <w:color w:val="auto"/>
        </w:rPr>
      </w:pPr>
      <w:r>
        <w:rPr>
          <w:rFonts w:ascii="Arial" w:cs="Arial" w:eastAsia="Arial" w:hAnsi="Arial"/>
          <w:sz w:val="18"/>
          <w:szCs w:val="18"/>
          <w:color w:val="auto"/>
        </w:rPr>
        <w:t>the client works or has worked in the financial sector for at least one year in a professional position, which requires knowledge of the transactions or services envisaged.</w:t>
      </w:r>
    </w:p>
    <w:p>
      <w:pPr>
        <w:sectPr>
          <w:pgSz w:w="11900" w:h="16838" w:orient="portrait"/>
          <w:cols w:equalWidth="0" w:num="1">
            <w:col w:w="11420"/>
          </w:cols>
          <w:pgMar w:left="240" w:top="274" w:right="239" w:bottom="1440" w:gutter="0" w:footer="0" w:header="0"/>
        </w:sectPr>
      </w:pPr>
    </w:p>
    <w:bookmarkStart w:id="677" w:name="page678"/>
    <w:bookmarkEnd w:id="6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5.3(a)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for fulfilled conditions precedent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V-Sciences Investments Pte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Confirmation regarding Closing and Instruction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reference to the Subscription Agreement dated 16 October 2015 (the “Subscription Agreement”) concluded by V-Sciences Investments Pte Ltd. and AC Immune SA (together the “Parties”), the undersigned AC Immune SA hereby confirms:</w:t>
      </w:r>
    </w:p>
    <w:p>
      <w:pPr>
        <w:spacing w:after="0" w:line="76" w:lineRule="exact"/>
        <w:rPr>
          <w:sz w:val="20"/>
          <w:szCs w:val="20"/>
          <w:color w:val="auto"/>
        </w:rPr>
      </w:pPr>
    </w:p>
    <w:p>
      <w:pPr>
        <w:ind w:left="460" w:right="200" w:hanging="452"/>
        <w:spacing w:after="0" w:line="308" w:lineRule="auto"/>
        <w:tabs>
          <w:tab w:leader="none" w:pos="46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contained in Section 7.1 are true and correct in all material respects as of the Closing (except that representations and warranties qualified by materiality or a Material Adverse Effect shall be true and correct in all respects).</w:t>
      </w:r>
    </w:p>
    <w:p>
      <w:pPr>
        <w:spacing w:after="0" w:line="51" w:lineRule="exact"/>
        <w:rPr>
          <w:rFonts w:ascii="Arial" w:cs="Arial" w:eastAsia="Arial" w:hAnsi="Arial"/>
          <w:sz w:val="17"/>
          <w:szCs w:val="17"/>
          <w:color w:val="auto"/>
        </w:rPr>
      </w:pPr>
    </w:p>
    <w:p>
      <w:pPr>
        <w:ind w:left="460" w:right="20" w:hanging="452"/>
        <w:spacing w:after="0" w:line="277" w:lineRule="auto"/>
        <w:tabs>
          <w:tab w:leader="none" w:pos="46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The Company has performed and complied with all covenants, agreements, obligations and conditions contained in the Subscription Agreement that are required to be performed or complied with by the Company on or before such Closing.</w:t>
      </w:r>
    </w:p>
    <w:p>
      <w:pPr>
        <w:spacing w:after="0" w:line="75" w:lineRule="exact"/>
        <w:rPr>
          <w:rFonts w:ascii="Arial" w:cs="Arial" w:eastAsia="Arial" w:hAnsi="Arial"/>
          <w:sz w:val="18"/>
          <w:szCs w:val="18"/>
          <w:color w:val="auto"/>
        </w:rPr>
      </w:pPr>
    </w:p>
    <w:p>
      <w:pPr>
        <w:ind w:left="460" w:right="580" w:hanging="452"/>
        <w:spacing w:after="0" w:line="308" w:lineRule="auto"/>
        <w:tabs>
          <w:tab w:leader="none" w:pos="460" w:val="left"/>
        </w:tabs>
        <w:numPr>
          <w:ilvl w:val="0"/>
          <w:numId w:val="537"/>
        </w:numPr>
        <w:rPr>
          <w:rFonts w:ascii="Arial" w:cs="Arial" w:eastAsia="Arial" w:hAnsi="Arial"/>
          <w:sz w:val="17"/>
          <w:szCs w:val="17"/>
          <w:color w:val="auto"/>
        </w:rPr>
      </w:pPr>
      <w:r>
        <w:rPr>
          <w:rFonts w:ascii="Arial" w:cs="Arial" w:eastAsia="Arial" w:hAnsi="Arial"/>
          <w:sz w:val="17"/>
          <w:szCs w:val="17"/>
          <w:color w:val="auto"/>
        </w:rPr>
        <w:t>All authorizations, approvals or permits, if any, of any governmental authority or regulatory body that are required in connection with the lawful issuance and sale of the Shares pursuant to the Subscription Agreement shall be obtained and effective as of such Closing.</w:t>
      </w:r>
    </w:p>
    <w:p>
      <w:pPr>
        <w:spacing w:after="0" w:line="51" w:lineRule="exact"/>
        <w:rPr>
          <w:rFonts w:ascii="Arial" w:cs="Arial" w:eastAsia="Arial" w:hAnsi="Arial"/>
          <w:sz w:val="17"/>
          <w:szCs w:val="17"/>
          <w:color w:val="auto"/>
        </w:rPr>
      </w:pPr>
    </w:p>
    <w:p>
      <w:pPr>
        <w:ind w:left="460" w:right="280" w:hanging="452"/>
        <w:spacing w:after="0" w:line="264" w:lineRule="auto"/>
        <w:tabs>
          <w:tab w:leader="none" w:pos="46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The Company, V-Sciences, any other Investor and the other shareholders of the Company representing 85% of all outstanding Shares prior to the Closing of the Series E Financing Round have executed and delivered the Shareholders’ Agreement Amendment (or a joinder agreement thereto), in substantially the form of </w:t>
      </w:r>
      <w:r>
        <w:rPr>
          <w:rFonts w:ascii="Arial" w:cs="Arial" w:eastAsia="Arial" w:hAnsi="Arial"/>
          <w:sz w:val="18"/>
          <w:szCs w:val="18"/>
          <w:b w:val="1"/>
          <w:bCs w:val="1"/>
          <w:color w:val="auto"/>
        </w:rPr>
        <w:t>Annex 0</w:t>
      </w:r>
      <w:r>
        <w:rPr>
          <w:rFonts w:ascii="Arial" w:cs="Arial" w:eastAsia="Arial" w:hAnsi="Arial"/>
          <w:sz w:val="18"/>
          <w:szCs w:val="18"/>
          <w:color w:val="auto"/>
        </w:rPr>
        <w:t xml:space="preserve"> of the Subscription Agreement.</w:t>
      </w:r>
    </w:p>
    <w:p>
      <w:pPr>
        <w:spacing w:after="0" w:line="86" w:lineRule="exact"/>
        <w:rPr>
          <w:rFonts w:ascii="Arial" w:cs="Arial" w:eastAsia="Arial" w:hAnsi="Arial"/>
          <w:sz w:val="18"/>
          <w:szCs w:val="18"/>
          <w:color w:val="auto"/>
        </w:rPr>
      </w:pPr>
    </w:p>
    <w:p>
      <w:pPr>
        <w:ind w:left="460" w:right="360" w:hanging="452"/>
        <w:spacing w:after="0" w:line="264" w:lineRule="auto"/>
        <w:tabs>
          <w:tab w:leader="none" w:pos="46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The Company, V-Sciences, any other Investor requesting so and the other shareholders of the Company named as parties thereto have executed and delivered the Registration Rights Agreement (or a joinder agreement thereto), in substantially the form of </w:t>
      </w:r>
      <w:r>
        <w:rPr>
          <w:rFonts w:ascii="Arial" w:cs="Arial" w:eastAsia="Arial" w:hAnsi="Arial"/>
          <w:sz w:val="18"/>
          <w:szCs w:val="18"/>
          <w:b w:val="1"/>
          <w:bCs w:val="1"/>
          <w:color w:val="auto"/>
        </w:rPr>
        <w:t>Annex 5.2.1(e)</w:t>
      </w:r>
      <w:r>
        <w:rPr>
          <w:rFonts w:ascii="Arial" w:cs="Arial" w:eastAsia="Arial" w:hAnsi="Arial"/>
          <w:sz w:val="18"/>
          <w:szCs w:val="18"/>
          <w:color w:val="auto"/>
        </w:rPr>
        <w:t xml:space="preserve"> of the Subscription Agreement.</w:t>
      </w:r>
    </w:p>
    <w:p>
      <w:pPr>
        <w:spacing w:after="0" w:line="86" w:lineRule="exact"/>
        <w:rPr>
          <w:rFonts w:ascii="Arial" w:cs="Arial" w:eastAsia="Arial" w:hAnsi="Arial"/>
          <w:sz w:val="18"/>
          <w:szCs w:val="18"/>
          <w:color w:val="auto"/>
        </w:rPr>
      </w:pPr>
    </w:p>
    <w:p>
      <w:pPr>
        <w:ind w:left="460" w:right="580" w:hanging="452"/>
        <w:spacing w:after="0" w:line="277" w:lineRule="auto"/>
        <w:tabs>
          <w:tab w:leader="none" w:pos="46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V-Sciences and any other Investor requesting have received from Vischer AG, counsel for the Company, an opinion, dated as of the date of such Closing, in substantially the form </w:t>
      </w:r>
      <w:r>
        <w:rPr>
          <w:rFonts w:ascii="Arial" w:cs="Arial" w:eastAsia="Arial" w:hAnsi="Arial"/>
          <w:sz w:val="18"/>
          <w:szCs w:val="18"/>
          <w:b w:val="1"/>
          <w:bCs w:val="1"/>
          <w:color w:val="auto"/>
        </w:rPr>
        <w:t>Annex 5.2.1(f)</w:t>
      </w:r>
      <w:r>
        <w:rPr>
          <w:rFonts w:ascii="Arial" w:cs="Arial" w:eastAsia="Arial" w:hAnsi="Arial"/>
          <w:sz w:val="18"/>
          <w:szCs w:val="18"/>
          <w:color w:val="auto"/>
        </w:rPr>
        <w:t xml:space="preserve"> of the Subscription Agreement.</w:t>
      </w:r>
    </w:p>
    <w:p>
      <w:pPr>
        <w:sectPr>
          <w:pgSz w:w="11900" w:h="16838" w:orient="portrait"/>
          <w:cols w:equalWidth="0" w:num="1">
            <w:col w:w="11420"/>
          </w:cols>
          <w:pgMar w:left="240" w:top="274" w:right="239" w:bottom="1440" w:gutter="0" w:footer="0" w:header="0"/>
        </w:sectPr>
      </w:pPr>
    </w:p>
    <w:bookmarkStart w:id="678" w:name="page679"/>
    <w:bookmarkEnd w:id="6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line="302" w:lineRule="auto"/>
        <w:tabs>
          <w:tab w:leader="none" w:pos="460" w:val="left"/>
        </w:tabs>
        <w:numPr>
          <w:ilvl w:val="0"/>
          <w:numId w:val="538"/>
        </w:numPr>
        <w:rPr>
          <w:rFonts w:ascii="Arial" w:cs="Arial" w:eastAsia="Arial" w:hAnsi="Arial"/>
          <w:sz w:val="16"/>
          <w:szCs w:val="16"/>
          <w:color w:val="auto"/>
        </w:rPr>
      </w:pPr>
      <w:r>
        <w:rPr>
          <w:rFonts w:ascii="Arial" w:cs="Arial" w:eastAsia="Arial" w:hAnsi="Arial"/>
          <w:sz w:val="16"/>
          <w:szCs w:val="16"/>
          <w:color w:val="auto"/>
        </w:rPr>
        <w:t xml:space="preserve">The Secretary of the Company has delivered to V-Sciences and any other Investor requesting so a certificate, dated as of the date of such Closing, certifying (i) the resolutions of the Board of Directors of the Company approving the Subscription Agreement and the transactions contemplated under such Agreement, and (ii) resolutions of the shareholders of the Company approving the issuance of Series E Preferred Shares and the Revised Articles of Association in </w:t>
      </w:r>
      <w:r>
        <w:rPr>
          <w:rFonts w:ascii="Arial" w:cs="Arial" w:eastAsia="Arial" w:hAnsi="Arial"/>
          <w:sz w:val="16"/>
          <w:szCs w:val="16"/>
          <w:b w:val="1"/>
          <w:bCs w:val="1"/>
          <w:color w:val="auto"/>
        </w:rPr>
        <w:t>Annex 3.3</w:t>
      </w:r>
      <w:r>
        <w:rPr>
          <w:rFonts w:ascii="Arial" w:cs="Arial" w:eastAsia="Arial" w:hAnsi="Arial"/>
          <w:sz w:val="16"/>
          <w:szCs w:val="16"/>
          <w:color w:val="auto"/>
        </w:rPr>
        <w:t xml:space="preserve"> of the Subscription Agreement as to all items except the share capital and the numbers of Series E Preferred Shares.</w:t>
      </w:r>
    </w:p>
    <w:p>
      <w:pPr>
        <w:spacing w:after="0" w:line="59" w:lineRule="exact"/>
        <w:rPr>
          <w:rFonts w:ascii="Arial" w:cs="Arial" w:eastAsia="Arial" w:hAnsi="Arial"/>
          <w:sz w:val="16"/>
          <w:szCs w:val="16"/>
          <w:color w:val="auto"/>
        </w:rPr>
      </w:pPr>
    </w:p>
    <w:p>
      <w:pPr>
        <w:ind w:left="460" w:right="220" w:hanging="452"/>
        <w:spacing w:after="0" w:line="264" w:lineRule="auto"/>
        <w:tabs>
          <w:tab w:leader="none" w:pos="4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All corporate and other proceedings in connection with the transactions contemplated at such Closing and all documents incident thereto shall be reasonably satisfactory in form and substance to V-Sciences and the Investors shall have received all such counterpart original and certified or other copies of such documents as reasonably requested.</w:t>
      </w:r>
    </w:p>
    <w:p>
      <w:pPr>
        <w:spacing w:after="0" w:line="86"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No action is pending or threatened which seeks to enjoin, restrain or prohibit the consummation of the Subscriptions contemplated by the Subscription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further confirms that the following documents are present:</w:t>
      </w:r>
    </w:p>
    <w:p>
      <w:pPr>
        <w:spacing w:after="0" w:line="131" w:lineRule="exact"/>
        <w:rPr>
          <w:sz w:val="20"/>
          <w:szCs w:val="20"/>
          <w:color w:val="auto"/>
        </w:rPr>
      </w:pPr>
    </w:p>
    <w:p>
      <w:pPr>
        <w:ind w:left="460" w:right="80" w:hanging="452"/>
        <w:spacing w:after="0" w:line="264" w:lineRule="auto"/>
        <w:tabs>
          <w:tab w:leader="none" w:pos="4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 xml:space="preserve">an application to the Register of Commerce regarding: (1) the increase of the share capital to reflect the Series E Financing Round, (2) the issuance of Series E Preferred Shares, (3) the adoption of the Revised Articles of Association substantially in the form of </w:t>
      </w:r>
      <w:r>
        <w:rPr>
          <w:rFonts w:ascii="Arial" w:cs="Arial" w:eastAsia="Arial" w:hAnsi="Arial"/>
          <w:sz w:val="18"/>
          <w:szCs w:val="18"/>
          <w:b w:val="1"/>
          <w:bCs w:val="1"/>
          <w:color w:val="auto"/>
        </w:rPr>
        <w:t>Annex 3.3</w:t>
      </w:r>
      <w:r>
        <w:rPr>
          <w:rFonts w:ascii="Arial" w:cs="Arial" w:eastAsia="Arial" w:hAnsi="Arial"/>
          <w:sz w:val="18"/>
          <w:szCs w:val="18"/>
          <w:color w:val="auto"/>
        </w:rPr>
        <w:t xml:space="preserve"> of the Subscription Agreement,</w:t>
      </w:r>
    </w:p>
    <w:p>
      <w:pPr>
        <w:spacing w:after="0" w:line="86"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confirmation from [Credit Suisse], in Basel, evidencing that the amount of USD [●] has been paid in cash and fully credited to the Blocked Capital Account; and]</w:t>
      </w:r>
    </w:p>
    <w:p>
      <w:pPr>
        <w:spacing w:after="0" w:line="75"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39"/>
        </w:numPr>
        <w:rPr>
          <w:rFonts w:ascii="Arial" w:cs="Arial" w:eastAsia="Arial" w:hAnsi="Arial"/>
          <w:sz w:val="17"/>
          <w:szCs w:val="17"/>
          <w:color w:val="auto"/>
        </w:rPr>
      </w:pPr>
      <w:r>
        <w:rPr>
          <w:rFonts w:ascii="Arial" w:cs="Arial" w:eastAsia="Arial" w:hAnsi="Arial"/>
          <w:sz w:val="17"/>
          <w:szCs w:val="17"/>
          <w:color w:val="auto"/>
        </w:rPr>
        <w:t>circular resolutions or minutes evidencing the Board resolution regarding registration of the Investor as owners with voting rights of the relevant number of Series E Preferred Shares subscribed by the Investor in the Company’s share register upon Full Consummation.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terms not defined herein shall have the meaning as defined in the Subscription Agreement.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further confirms that it accepts V-Sciences and the Investors listed in the Annex as a new shareholder and that it will upon registration of the shares amend the shareholders’ register accordingly.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Finally the Company confirms to have instructed VISCHER AG to file all Closing documents with the register of commerce in the canton of Vaud.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75"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ectPr>
          <w:pgSz w:w="11900" w:h="16838" w:orient="portrait"/>
          <w:cols w:equalWidth="0" w:num="2">
            <w:col w:w="5340" w:space="720"/>
            <w:col w:w="5260"/>
          </w:cols>
          <w:pgMar w:left="240" w:top="275" w:right="339" w:bottom="1440" w:gutter="0" w:footer="0" w:header="0"/>
          <w:type w:val="continuous"/>
        </w:sect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Title:</w:t>
      </w:r>
    </w:p>
    <w:p>
      <w:pPr>
        <w:sectPr>
          <w:pgSz w:w="11900" w:h="16838" w:orient="portrait"/>
          <w:cols w:equalWidth="0" w:num="2">
            <w:col w:w="5340" w:space="720"/>
            <w:col w:w="5260"/>
          </w:cols>
          <w:pgMar w:left="240" w:top="275" w:right="339" w:bottom="1440" w:gutter="0" w:footer="0" w:header="0"/>
          <w:type w:val="continuous"/>
        </w:sectPr>
      </w:pPr>
    </w:p>
    <w:bookmarkStart w:id="679" w:name="page680"/>
    <w:bookmarkEnd w:id="6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to Certificate for fulfilled conditions precedents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Adhering Investors accepted by the Company:</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640" w:type="dxa"/>
            <w:vAlign w:val="bottom"/>
            <w:gridSpan w:val="2"/>
            <w:vMerge w:val="restart"/>
          </w:tcPr>
          <w:p>
            <w:pPr>
              <w:ind w:left="2300"/>
              <w:spacing w:after="0"/>
              <w:rPr>
                <w:sz w:val="20"/>
                <w:szCs w:val="20"/>
                <w:color w:val="auto"/>
              </w:rPr>
            </w:pPr>
            <w:r>
              <w:rPr>
                <w:rFonts w:ascii="Arial" w:cs="Arial" w:eastAsia="Arial" w:hAnsi="Arial"/>
                <w:sz w:val="14"/>
                <w:szCs w:val="14"/>
                <w:b w:val="1"/>
                <w:bCs w:val="1"/>
                <w:color w:val="auto"/>
                <w:w w:val="92"/>
              </w:rPr>
              <w:t>Subscription Amount</w:t>
            </w:r>
          </w:p>
        </w:tc>
        <w:tc>
          <w:tcPr>
            <w:tcW w:w="2360" w:type="dxa"/>
            <w:vAlign w:val="bottom"/>
            <w:gridSpan w:val="2"/>
          </w:tcPr>
          <w:p>
            <w:pPr>
              <w:jc w:val="center"/>
              <w:ind w:left="1048"/>
              <w:spacing w:after="0"/>
              <w:rPr>
                <w:sz w:val="20"/>
                <w:szCs w:val="20"/>
                <w:color w:val="auto"/>
              </w:rPr>
            </w:pPr>
            <w:r>
              <w:rPr>
                <w:rFonts w:ascii="Arial" w:cs="Arial" w:eastAsia="Arial" w:hAnsi="Arial"/>
                <w:sz w:val="14"/>
                <w:szCs w:val="14"/>
                <w:b w:val="1"/>
                <w:bCs w:val="1"/>
                <w:color w:val="auto"/>
                <w:w w:val="92"/>
              </w:rPr>
              <w:t>Number of Series E</w:t>
            </w:r>
          </w:p>
        </w:tc>
        <w:tc>
          <w:tcPr>
            <w:tcW w:w="0" w:type="dxa"/>
            <w:vAlign w:val="bottom"/>
          </w:tcPr>
          <w:p>
            <w:pPr>
              <w:spacing w:after="0"/>
              <w:rPr>
                <w:sz w:val="1"/>
                <w:szCs w:val="1"/>
                <w:color w:val="auto"/>
              </w:rPr>
            </w:pPr>
          </w:p>
        </w:tc>
      </w:tr>
      <w:tr>
        <w:trPr>
          <w:trHeight w:val="165"/>
        </w:trPr>
        <w:tc>
          <w:tcPr>
            <w:tcW w:w="2680" w:type="dxa"/>
            <w:vAlign w:val="bottom"/>
            <w:gridSpan w:val="2"/>
            <w:vMerge w:val="continue"/>
          </w:tcPr>
          <w:p>
            <w:pPr>
              <w:spacing w:after="0"/>
              <w:rPr>
                <w:sz w:val="14"/>
                <w:szCs w:val="14"/>
                <w:color w:val="auto"/>
              </w:rPr>
            </w:pPr>
          </w:p>
        </w:tc>
        <w:tc>
          <w:tcPr>
            <w:tcW w:w="364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Preferred Shares</w:t>
            </w:r>
          </w:p>
        </w:tc>
        <w:tc>
          <w:tcPr>
            <w:tcW w:w="0" w:type="dxa"/>
            <w:vAlign w:val="bottom"/>
          </w:tcPr>
          <w:p>
            <w:pPr>
              <w:spacing w:after="0"/>
              <w:rPr>
                <w:sz w:val="1"/>
                <w:szCs w:val="1"/>
                <w:color w:val="auto"/>
              </w:rPr>
            </w:pPr>
          </w:p>
        </w:tc>
      </w:tr>
      <w:tr>
        <w:trPr>
          <w:trHeight w:val="203"/>
        </w:trPr>
        <w:tc>
          <w:tcPr>
            <w:tcW w:w="360" w:type="dxa"/>
            <w:vAlign w:val="bottom"/>
            <w:tcBorders>
              <w:top w:val="single" w:sz="8" w:color="auto"/>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4" w:right="1440" w:bottom="1440" w:gutter="0" w:footer="0" w:header="0"/>
        </w:sectPr>
      </w:pPr>
    </w:p>
    <w:bookmarkStart w:id="680" w:name="page681"/>
    <w:bookmarkEnd w:id="6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7.1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 and Warranties by the Company</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hereby represents and warrants to the Investor that the following representations are true and complete as of the date hereof, except as otherwise indicated.</w:t>
      </w:r>
    </w:p>
    <w:p>
      <w:pPr>
        <w:spacing w:after="0" w:line="319" w:lineRule="exact"/>
        <w:rPr>
          <w:sz w:val="20"/>
          <w:szCs w:val="20"/>
          <w:color w:val="auto"/>
        </w:rPr>
      </w:pPr>
    </w:p>
    <w:p>
      <w:pPr>
        <w:ind w:left="460" w:hanging="452"/>
        <w:spacing w:after="0"/>
        <w:tabs>
          <w:tab w:leader="none" w:pos="4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Incorporation and Authority</w:t>
      </w:r>
    </w:p>
    <w:p>
      <w:pPr>
        <w:spacing w:after="0" w:line="117" w:lineRule="exact"/>
        <w:rPr>
          <w:rFonts w:ascii="Arial" w:cs="Arial" w:eastAsia="Arial" w:hAnsi="Arial"/>
          <w:sz w:val="18"/>
          <w:szCs w:val="18"/>
          <w:color w:val="auto"/>
        </w:rPr>
      </w:pPr>
    </w:p>
    <w:p>
      <w:pPr>
        <w:ind w:left="460" w:right="160"/>
        <w:spacing w:after="0" w:line="264" w:lineRule="auto"/>
        <w:rPr>
          <w:rFonts w:ascii="Arial" w:cs="Arial" w:eastAsia="Arial" w:hAnsi="Arial"/>
          <w:sz w:val="18"/>
          <w:szCs w:val="18"/>
          <w:color w:val="auto"/>
        </w:rPr>
      </w:pPr>
      <w:r>
        <w:rPr>
          <w:rFonts w:ascii="Arial" w:cs="Arial" w:eastAsia="Arial" w:hAnsi="Arial"/>
          <w:sz w:val="18"/>
          <w:szCs w:val="18"/>
          <w:color w:val="auto"/>
        </w:rPr>
        <w:t>The Company has been duly incorporated and is existing under the laws of Switzerland, with power and authority (corporate and other) to own its properties and conduct its business as described in the disclosure documents (collectively, the “</w:t>
      </w:r>
      <w:r>
        <w:rPr>
          <w:rFonts w:ascii="Arial" w:cs="Arial" w:eastAsia="Arial" w:hAnsi="Arial"/>
          <w:sz w:val="18"/>
          <w:szCs w:val="18"/>
          <w:b w:val="1"/>
          <w:bCs w:val="1"/>
          <w:color w:val="auto"/>
        </w:rPr>
        <w:t>Disclosure Documents</w:t>
      </w:r>
      <w:r>
        <w:rPr>
          <w:rFonts w:ascii="Arial" w:cs="Arial" w:eastAsia="Arial" w:hAnsi="Arial"/>
          <w:sz w:val="18"/>
          <w:szCs w:val="18"/>
          <w:color w:val="auto"/>
        </w:rPr>
        <w:t>”) that are set forth in folder 16 of the data room prepared by the Company and made available to such Investor (the “</w:t>
      </w:r>
      <w:r>
        <w:rPr>
          <w:rFonts w:ascii="Arial" w:cs="Arial" w:eastAsia="Arial" w:hAnsi="Arial"/>
          <w:sz w:val="18"/>
          <w:szCs w:val="18"/>
          <w:b w:val="1"/>
          <w:bCs w:val="1"/>
          <w:color w:val="auto"/>
        </w:rPr>
        <w:t>Dataroom</w:t>
      </w:r>
      <w:r>
        <w:rPr>
          <w:rFonts w:ascii="Arial" w:cs="Arial" w:eastAsia="Arial" w:hAnsi="Arial"/>
          <w:sz w:val="18"/>
          <w:szCs w:val="18"/>
          <w:color w:val="auto"/>
        </w:rPr>
        <w:t>”).</w:t>
      </w:r>
    </w:p>
    <w:p>
      <w:pPr>
        <w:spacing w:after="0" w:line="329" w:lineRule="exact"/>
        <w:rPr>
          <w:rFonts w:ascii="Arial" w:cs="Arial" w:eastAsia="Arial" w:hAnsi="Arial"/>
          <w:sz w:val="18"/>
          <w:szCs w:val="18"/>
          <w:color w:val="auto"/>
        </w:rPr>
      </w:pPr>
    </w:p>
    <w:p>
      <w:pPr>
        <w:ind w:left="460" w:hanging="452"/>
        <w:spacing w:after="0"/>
        <w:tabs>
          <w:tab w:leader="none" w:pos="4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17" w:lineRule="exact"/>
        <w:rPr>
          <w:rFonts w:ascii="Arial" w:cs="Arial" w:eastAsia="Arial" w:hAnsi="Arial"/>
          <w:sz w:val="18"/>
          <w:szCs w:val="18"/>
          <w:color w:val="auto"/>
        </w:rPr>
      </w:pPr>
    </w:p>
    <w:p>
      <w:pPr>
        <w:ind w:left="460"/>
        <w:spacing w:after="0" w:line="273" w:lineRule="auto"/>
        <w:rPr>
          <w:rFonts w:ascii="Arial" w:cs="Arial" w:eastAsia="Arial" w:hAnsi="Arial"/>
          <w:sz w:val="18"/>
          <w:szCs w:val="18"/>
          <w:color w:val="auto"/>
        </w:rPr>
      </w:pPr>
      <w:r>
        <w:rPr>
          <w:rFonts w:ascii="Arial" w:cs="Arial" w:eastAsia="Arial" w:hAnsi="Arial"/>
          <w:sz w:val="17"/>
          <w:szCs w:val="17"/>
          <w:color w:val="auto"/>
        </w:rPr>
        <w:t>As at the date of this Subscription Agreement the Company has an issued statutory share capital in the nominal amount of CHF 856’410.00 divided into 34’914 Common Shares with a nominal value of CHF 5.00 each, 14’152 registered Series A Preferred Shares, 67’130 registered Series B Preferred Shares, 38’476 Series C Preferred Shares and 16’490 registered Series D Preferred Shares. In addition, the Company has a conditional share capital of CHF CHF 90’735 corresponding to up to 18’147 Common Shares for issuance to officers, directors, employees and consultants of the Company pursuant to equity incentive plans. The Company has made available to each Investor complete and accurate copies of the equity incentive plans forms of agreements used thereunder. The Company has no treasury shares.</w:t>
      </w:r>
    </w:p>
    <w:p>
      <w:pPr>
        <w:spacing w:after="0" w:line="70" w:lineRule="exact"/>
        <w:rPr>
          <w:rFonts w:ascii="Arial" w:cs="Arial" w:eastAsia="Arial" w:hAnsi="Arial"/>
          <w:sz w:val="18"/>
          <w:szCs w:val="18"/>
          <w:color w:val="auto"/>
        </w:rPr>
      </w:pPr>
    </w:p>
    <w:p>
      <w:pPr>
        <w:ind w:left="460" w:right="1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Prior and after completion of the Series E Financing Round, the ownership structure of the Company shall be as specified in the capitalization table set forth in </w:t>
      </w:r>
      <w:r>
        <w:rPr>
          <w:rFonts w:ascii="Arial" w:cs="Arial" w:eastAsia="Arial" w:hAnsi="Arial"/>
          <w:sz w:val="18"/>
          <w:szCs w:val="18"/>
          <w:b w:val="1"/>
          <w:bCs w:val="1"/>
          <w:color w:val="auto"/>
        </w:rPr>
        <w:t>Annex 4.</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Authorization</w:t>
      </w:r>
    </w:p>
    <w:p>
      <w:pPr>
        <w:spacing w:after="0" w:line="117" w:lineRule="exact"/>
        <w:rPr>
          <w:rFonts w:ascii="Arial" w:cs="Arial" w:eastAsia="Arial" w:hAnsi="Arial"/>
          <w:sz w:val="18"/>
          <w:szCs w:val="18"/>
          <w:color w:val="auto"/>
        </w:rPr>
      </w:pPr>
    </w:p>
    <w:p>
      <w:pPr>
        <w:ind w:left="460" w:right="80"/>
        <w:spacing w:after="0" w:line="288" w:lineRule="auto"/>
        <w:rPr>
          <w:rFonts w:ascii="Arial" w:cs="Arial" w:eastAsia="Arial" w:hAnsi="Arial"/>
          <w:sz w:val="18"/>
          <w:szCs w:val="18"/>
          <w:color w:val="auto"/>
        </w:rPr>
      </w:pPr>
      <w:r>
        <w:rPr>
          <w:rFonts w:ascii="Arial" w:cs="Arial" w:eastAsia="Arial" w:hAnsi="Arial"/>
          <w:sz w:val="16"/>
          <w:szCs w:val="16"/>
          <w:color w:val="auto"/>
        </w:rPr>
        <w:t>All corporate action required to be taken by the Company’s Board of Directors and shareholders in order to authorize the Company to enter into the Subscription Agreement and the other Transaction Documents, and to issue the Shares at the Closing has been taken or will be taken prior to such Closing. All action on the part of the officers of the Company necessary for the execution and delivery of the Subscription Agreement and the other Transaction Documents, the performance of all obligations of the Company under the Subscription Agreement and the other Transaction Documents to be performed as of the Closing, and the issuance and delivery of the Shares has been taken or will be taken prior to Closing. The Subscription Agreement and the other Transaction Documents, when executed and delivered by the Company, shall constitute valid and legally binding obligations of the Company, enforceable against the Company in accordance with their respective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Registration Rights Agreement may be limited by applicable federal or state securities laws.</w:t>
      </w:r>
    </w:p>
    <w:p>
      <w:pPr>
        <w:sectPr>
          <w:pgSz w:w="11900" w:h="16838" w:orient="portrait"/>
          <w:cols w:equalWidth="0" w:num="1">
            <w:col w:w="11420"/>
          </w:cols>
          <w:pgMar w:left="240" w:top="274" w:right="239" w:bottom="1440" w:gutter="0" w:footer="0" w:header="0"/>
        </w:sectPr>
      </w:pPr>
    </w:p>
    <w:bookmarkStart w:id="681" w:name="page682"/>
    <w:bookmarkEnd w:id="6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Valid Issuance of Shares</w:t>
      </w:r>
    </w:p>
    <w:p>
      <w:pPr>
        <w:spacing w:after="0" w:line="117" w:lineRule="exact"/>
        <w:rPr>
          <w:rFonts w:ascii="Arial" w:cs="Arial" w:eastAsia="Arial" w:hAnsi="Arial"/>
          <w:sz w:val="18"/>
          <w:szCs w:val="18"/>
          <w:color w:val="auto"/>
        </w:rPr>
      </w:pPr>
    </w:p>
    <w:p>
      <w:pPr>
        <w:ind w:left="460" w:right="40"/>
        <w:spacing w:after="0" w:line="257" w:lineRule="auto"/>
        <w:rPr>
          <w:rFonts w:ascii="Arial" w:cs="Arial" w:eastAsia="Arial" w:hAnsi="Arial"/>
          <w:sz w:val="18"/>
          <w:szCs w:val="18"/>
          <w:color w:val="auto"/>
        </w:rPr>
      </w:pPr>
      <w:r>
        <w:rPr>
          <w:rFonts w:ascii="Arial" w:cs="Arial" w:eastAsia="Arial" w:hAnsi="Arial"/>
          <w:sz w:val="18"/>
          <w:szCs w:val="18"/>
          <w:color w:val="auto"/>
        </w:rPr>
        <w:t>The Shares, when issued, sold and delivered in accordance with the terms and for the consideration set forth in this Subscription Agreement, will be validly issued, fully paid and non-assessable and free of restrictions on transfer other than restrictions on transfer under the Shareholders’ Agreement, applicable U.S. state and federal and non-U.S. securities laws and liens or encumbrances created by or imposed by the Investor. Assuming the accuracy of the representations of the Investor in Section 7.2 of this Subscription Agreement, the Shares will be issued in compliance with all applicable U.S. federal and U.S. state securities laws.</w:t>
      </w:r>
    </w:p>
    <w:p>
      <w:pPr>
        <w:spacing w:after="0" w:line="336" w:lineRule="exact"/>
        <w:rPr>
          <w:rFonts w:ascii="Arial" w:cs="Arial" w:eastAsia="Arial" w:hAnsi="Arial"/>
          <w:sz w:val="18"/>
          <w:szCs w:val="18"/>
          <w:color w:val="auto"/>
        </w:rPr>
      </w:pPr>
    </w:p>
    <w:p>
      <w:pPr>
        <w:ind w:left="460" w:hanging="452"/>
        <w:spacing w:after="0"/>
        <w:tabs>
          <w:tab w:leader="none" w:pos="46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No Subsidiary</w:t>
      </w:r>
    </w:p>
    <w:p>
      <w:pPr>
        <w:spacing w:after="0" w:line="117" w:lineRule="exact"/>
        <w:rPr>
          <w:rFonts w:ascii="Arial" w:cs="Arial" w:eastAsia="Arial" w:hAnsi="Arial"/>
          <w:sz w:val="18"/>
          <w:szCs w:val="18"/>
          <w:color w:val="auto"/>
        </w:rPr>
      </w:pPr>
    </w:p>
    <w:p>
      <w:pPr>
        <w:ind w:left="460" w:right="60"/>
        <w:spacing w:after="0" w:line="264" w:lineRule="auto"/>
        <w:rPr>
          <w:rFonts w:ascii="Arial" w:cs="Arial" w:eastAsia="Arial" w:hAnsi="Arial"/>
          <w:sz w:val="18"/>
          <w:szCs w:val="18"/>
          <w:color w:val="auto"/>
        </w:rPr>
      </w:pPr>
      <w:r>
        <w:rPr>
          <w:rFonts w:ascii="Arial" w:cs="Arial" w:eastAsia="Arial" w:hAnsi="Arial"/>
          <w:sz w:val="18"/>
          <w:szCs w:val="18"/>
          <w:color w:val="auto"/>
        </w:rPr>
        <w:t>The Company does not currently own or control, directly or indirectly, any interest in any other corporation, partnership, trust, joint venture, limited liability company, association, or other business entity, and the Company is not a participant in any joint venture, partnership or similar arrangement, in each case except as disclosed in the Disclosure Documents.</w:t>
      </w:r>
    </w:p>
    <w:p>
      <w:pPr>
        <w:spacing w:after="0" w:line="329" w:lineRule="exact"/>
        <w:rPr>
          <w:rFonts w:ascii="Arial" w:cs="Arial" w:eastAsia="Arial" w:hAnsi="Arial"/>
          <w:sz w:val="18"/>
          <w:szCs w:val="18"/>
          <w:color w:val="auto"/>
        </w:rPr>
      </w:pPr>
    </w:p>
    <w:p>
      <w:pPr>
        <w:ind w:left="460" w:hanging="452"/>
        <w:spacing w:after="0"/>
        <w:tabs>
          <w:tab w:leader="none" w:pos="46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Absence of Further Requirements</w:t>
      </w:r>
    </w:p>
    <w:p>
      <w:pPr>
        <w:spacing w:after="0" w:line="117" w:lineRule="exact"/>
        <w:rPr>
          <w:rFonts w:ascii="Arial" w:cs="Arial" w:eastAsia="Arial" w:hAnsi="Arial"/>
          <w:sz w:val="18"/>
          <w:szCs w:val="18"/>
          <w:color w:val="auto"/>
        </w:rPr>
      </w:pPr>
    </w:p>
    <w:p>
      <w:pPr>
        <w:jc w:val="both"/>
        <w:ind w:left="460" w:right="60"/>
        <w:spacing w:after="0" w:line="288" w:lineRule="auto"/>
        <w:rPr>
          <w:rFonts w:ascii="Arial" w:cs="Arial" w:eastAsia="Arial" w:hAnsi="Arial"/>
          <w:sz w:val="18"/>
          <w:szCs w:val="18"/>
          <w:color w:val="auto"/>
        </w:rPr>
      </w:pPr>
      <w:r>
        <w:rPr>
          <w:rFonts w:ascii="Arial" w:cs="Arial" w:eastAsia="Arial" w:hAnsi="Arial"/>
          <w:sz w:val="16"/>
          <w:szCs w:val="16"/>
          <w:color w:val="auto"/>
        </w:rPr>
        <w:t>Assuming the accuracy of the representations made by the Investor in Section 7.2 of this Subscription Agreement, no consent, approval, authorization, or order of, or filing or registration with, any person (including any governmental agency or body or any court) is required for the consummation of the Subscriptions contemplated by this Subscription Agreement in connection with the offering, issuance and sale of the Shares by the Company, except</w:t>
      </w:r>
    </w:p>
    <w:p>
      <w:pPr>
        <w:ind w:left="460" w:right="360"/>
        <w:spacing w:after="0" w:line="261" w:lineRule="auto"/>
        <w:rPr>
          <w:rFonts w:ascii="Arial" w:cs="Arial" w:eastAsia="Arial" w:hAnsi="Arial"/>
          <w:sz w:val="18"/>
          <w:szCs w:val="18"/>
          <w:color w:val="auto"/>
        </w:rPr>
      </w:pPr>
      <w:r>
        <w:rPr>
          <w:rFonts w:ascii="Arial" w:cs="Arial" w:eastAsia="Arial" w:hAnsi="Arial"/>
          <w:sz w:val="18"/>
          <w:szCs w:val="18"/>
          <w:color w:val="auto"/>
        </w:rPr>
        <w:t>(i) such as have been obtained or made or will be made on or prior to the Closing or (ii) such as may be required under applicable state or non-U.S. securities laws.</w:t>
      </w:r>
    </w:p>
    <w:p>
      <w:pPr>
        <w:spacing w:after="0" w:line="332" w:lineRule="exact"/>
        <w:rPr>
          <w:rFonts w:ascii="Arial" w:cs="Arial" w:eastAsia="Arial" w:hAnsi="Arial"/>
          <w:sz w:val="18"/>
          <w:szCs w:val="18"/>
          <w:color w:val="auto"/>
        </w:rPr>
      </w:pPr>
    </w:p>
    <w:p>
      <w:pPr>
        <w:ind w:left="460" w:hanging="452"/>
        <w:spacing w:after="0"/>
        <w:tabs>
          <w:tab w:leader="none" w:pos="46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Absence of Defaults and Conflicts Resulting from Subscriptions</w:t>
      </w:r>
    </w:p>
    <w:p>
      <w:pPr>
        <w:spacing w:after="0" w:line="117" w:lineRule="exact"/>
        <w:rPr>
          <w:rFonts w:ascii="Arial" w:cs="Arial" w:eastAsia="Arial" w:hAnsi="Arial"/>
          <w:sz w:val="18"/>
          <w:szCs w:val="18"/>
          <w:color w:val="auto"/>
        </w:rPr>
      </w:pPr>
    </w:p>
    <w:p>
      <w:pPr>
        <w:ind w:left="460"/>
        <w:spacing w:after="0" w:line="289" w:lineRule="auto"/>
        <w:rPr>
          <w:rFonts w:ascii="Arial" w:cs="Arial" w:eastAsia="Arial" w:hAnsi="Arial"/>
          <w:sz w:val="18"/>
          <w:szCs w:val="18"/>
          <w:color w:val="auto"/>
        </w:rPr>
      </w:pPr>
      <w:r>
        <w:rPr>
          <w:rFonts w:ascii="Arial" w:cs="Arial" w:eastAsia="Arial" w:hAnsi="Arial"/>
          <w:sz w:val="16"/>
          <w:szCs w:val="16"/>
          <w:color w:val="auto"/>
        </w:rPr>
        <w:t>The execution, delivery and performance of this Subscription Agreement, and the issuance and sale of the Shares, will not result in a breach or violation of any of the terms and provisions of, or constitute a default or a Debt Repayment Triggering Event (as defined below) under, or result in the imposition of any lien, charge or encumbrance upon any property or assets of the Company pursuant to, (i) the Articles of Association of the Company, (ii) any statute, rule, regulation or order of any governmental agency or body or any court, domestic or foreign, having jurisdiction over the Company or any of its properties, or (iii) any agreement or instrument to which the Company is a party or by which the Company is bound or to which any of the properties of the Company is subject except for purposes of clauses (ii) and (iii) where any such breach, violation, default, lien, charge or encumbrance would not reasonably be expected to have a Material Adverse Effect;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ectPr>
          <w:pgSz w:w="11900" w:h="16838" w:orient="portrait"/>
          <w:cols w:equalWidth="0" w:num="1">
            <w:col w:w="11420"/>
          </w:cols>
          <w:pgMar w:left="240" w:top="273" w:right="239" w:bottom="1440" w:gutter="0" w:footer="0" w:header="0"/>
        </w:sectPr>
      </w:pPr>
    </w:p>
    <w:bookmarkStart w:id="682" w:name="page683"/>
    <w:bookmarkEnd w:id="6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rFonts w:ascii="Arial" w:cs="Arial" w:eastAsia="Arial" w:hAnsi="Arial"/>
          <w:sz w:val="18"/>
          <w:szCs w:val="18"/>
          <w:color w:val="auto"/>
        </w:rPr>
      </w:pPr>
    </w:p>
    <w:p>
      <w:pPr>
        <w:ind w:left="460" w:right="20"/>
        <w:spacing w:after="0" w:line="291" w:lineRule="auto"/>
        <w:rPr>
          <w:rFonts w:ascii="Arial" w:cs="Arial" w:eastAsia="Arial" w:hAnsi="Arial"/>
          <w:sz w:val="18"/>
          <w:szCs w:val="18"/>
          <w:color w:val="auto"/>
        </w:rPr>
      </w:pPr>
      <w:r>
        <w:rPr>
          <w:rFonts w:ascii="Arial" w:cs="Arial" w:eastAsia="Arial" w:hAnsi="Arial"/>
          <w:sz w:val="16"/>
          <w:szCs w:val="16"/>
          <w:color w:val="auto"/>
        </w:rPr>
        <w:t>Except as disclosed in the Disclosure Documents and the document called “Crenezumab Patent Interference Proceeding” that is set forth in folder 10 of the Dataroom, there are no pending actions, suits or proceedings (including any inquiries made to the Company or, to the Company’s knowledge, investigations by any court or governmental agency or body, domestic or foreign) against or affecting the Company or any of its properties that, if determined adversely to the Company, would individually or in the aggregate reasonably be expected to have a Material Adverse Effect, or would reasonably be expected to affect the ability of the Company to perform its obligations under this Subscription Agreement, or which are otherwise material in the context of the sale of the Shares; and no such actions, suits or proceedings (including any inquiries or investigations by any court or governmental agency or body, domestic or foreign) are, to the Company’s knowledge, threatened or contemplated.</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17"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7"/>
          <w:szCs w:val="17"/>
          <w:color w:val="auto"/>
        </w:rPr>
        <w:t>Except as disclosed in the Disclosure Documents and the document called “Crenezumab Patent Interference Proceeding” that is set forth in folder 10 of the Dataroom and as would not, individually or in the aggregate, reasonably be expected to have a Material Adverse Effect, (i) the Company owns all trademarks, trade names, patent rights, copyrights, domain names, trade secrets, inventions, know-how and other intellectual property and similar proprietary rights, including registrations or grant and applications thereof for registration or grant (collectively,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disclosed in the Disclosed Information to such Investor; (ii) there is no pending or, to the knowledge of the Company, threatened action, suit, proceeding or claim by any third party against the Company (A) challenging the Company’s rights in, or the validity, enforceability or scope of, any of the Intellectual Property Rights owned by the Company, or (B) alleging that any activity by or on behalf of the Company infringes, misappropriates or otherwise violates any Intellectual Property Rights of such third party; (iii) there are no outstanding options, licenses or agreements relating to the Intellectual Property Rights owned by the Company, nor is the Company bound by or a party to any options, licenses or agreements of any kind with respect to the Intellectual Property Rights of any other person or entity other than such licenses or agreements arising from the purchase of “off the shelf” or standard products; (iv) none of the Intellectual Property Rights owned by the Company is subject to any outstanding judgment, decree, order, writ, award, injunction or determination of an arbitrator or court or other governmental authority affecting the rights of the Company with respect thereto; and (v) to the knowledge of the Company, the Company’s business as currently conducted does not violate any Intellectual Property Rights of any third party.</w:t>
      </w:r>
    </w:p>
    <w:p>
      <w:pPr>
        <w:spacing w:after="0" w:line="333" w:lineRule="exact"/>
        <w:rPr>
          <w:rFonts w:ascii="Arial" w:cs="Arial" w:eastAsia="Arial" w:hAnsi="Arial"/>
          <w:sz w:val="18"/>
          <w:szCs w:val="18"/>
          <w:color w:val="auto"/>
        </w:rPr>
      </w:pPr>
    </w:p>
    <w:p>
      <w:pPr>
        <w:ind w:left="460" w:hanging="452"/>
        <w:spacing w:after="0"/>
        <w:tabs>
          <w:tab w:leader="none" w:pos="4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Absence of Existing Defaults and Conflicts</w:t>
      </w:r>
    </w:p>
    <w:p>
      <w:pPr>
        <w:spacing w:after="0" w:line="117" w:lineRule="exact"/>
        <w:rPr>
          <w:rFonts w:ascii="Arial" w:cs="Arial" w:eastAsia="Arial" w:hAnsi="Arial"/>
          <w:sz w:val="18"/>
          <w:szCs w:val="18"/>
          <w:color w:val="auto"/>
        </w:rPr>
      </w:pPr>
    </w:p>
    <w:p>
      <w:pPr>
        <w:ind w:left="460"/>
        <w:spacing w:after="0" w:line="279" w:lineRule="auto"/>
        <w:rPr>
          <w:rFonts w:ascii="Arial" w:cs="Arial" w:eastAsia="Arial" w:hAnsi="Arial"/>
          <w:sz w:val="18"/>
          <w:szCs w:val="18"/>
          <w:color w:val="auto"/>
        </w:rPr>
      </w:pPr>
      <w:r>
        <w:rPr>
          <w:rFonts w:ascii="Arial" w:cs="Arial" w:eastAsia="Arial" w:hAnsi="Arial"/>
          <w:sz w:val="17"/>
          <w:szCs w:val="17"/>
          <w:color w:val="auto"/>
        </w:rPr>
        <w:t>The Company is not in violation of its articles of association or similar organizational documents or in default (or with the giving of notice or lapse of time would not be in default) under any existing obligation, agreement, covenant or condition contained in any indenture, loan agreement, mortgage, lease or other agreement or instrument to which it is a party or by which it is bound or to which any of its properties is subject, except such defaults that would not, individually or in the aggregate, reasonably be expected to result in a Material Adverse Effect.</w:t>
      </w:r>
    </w:p>
    <w:p>
      <w:pPr>
        <w:sectPr>
          <w:pgSz w:w="11900" w:h="16838" w:orient="portrait"/>
          <w:cols w:equalWidth="0" w:num="1">
            <w:col w:w="11400"/>
          </w:cols>
          <w:pgMar w:left="240" w:top="275" w:right="259" w:bottom="1440" w:gutter="0" w:footer="0" w:header="0"/>
        </w:sectPr>
      </w:pPr>
    </w:p>
    <w:bookmarkStart w:id="683" w:name="page684"/>
    <w:bookmarkEnd w:id="6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Registration Rights</w:t>
      </w:r>
    </w:p>
    <w:p>
      <w:pPr>
        <w:spacing w:after="0" w:line="117" w:lineRule="exact"/>
        <w:rPr>
          <w:rFonts w:ascii="Arial" w:cs="Arial" w:eastAsia="Arial" w:hAnsi="Arial"/>
          <w:sz w:val="18"/>
          <w:szCs w:val="18"/>
          <w:color w:val="auto"/>
        </w:rPr>
      </w:pPr>
    </w:p>
    <w:p>
      <w:pPr>
        <w:ind w:left="460" w:right="160"/>
        <w:spacing w:after="0" w:line="302" w:lineRule="auto"/>
        <w:rPr>
          <w:rFonts w:ascii="Arial" w:cs="Arial" w:eastAsia="Arial" w:hAnsi="Arial"/>
          <w:sz w:val="18"/>
          <w:szCs w:val="18"/>
          <w:color w:val="auto"/>
        </w:rPr>
      </w:pPr>
      <w:r>
        <w:rPr>
          <w:rFonts w:ascii="Arial" w:cs="Arial" w:eastAsia="Arial" w:hAnsi="Arial"/>
          <w:sz w:val="16"/>
          <w:szCs w:val="16"/>
          <w:color w:val="auto"/>
        </w:rPr>
        <w:t>Except as provided in the Registration Rights Agreement,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Securities Act.</w:t>
      </w:r>
    </w:p>
    <w:p>
      <w:pPr>
        <w:spacing w:after="0" w:line="302" w:lineRule="exact"/>
        <w:rPr>
          <w:rFonts w:ascii="Arial" w:cs="Arial" w:eastAsia="Arial" w:hAnsi="Arial"/>
          <w:sz w:val="18"/>
          <w:szCs w:val="18"/>
          <w:color w:val="auto"/>
        </w:rPr>
      </w:pPr>
    </w:p>
    <w:p>
      <w:pPr>
        <w:ind w:left="460" w:hanging="452"/>
        <w:spacing w:after="0"/>
        <w:tabs>
          <w:tab w:leader="none" w:pos="4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Title to Property</w:t>
      </w:r>
    </w:p>
    <w:p>
      <w:pPr>
        <w:spacing w:after="0" w:line="117" w:lineRule="exact"/>
        <w:rPr>
          <w:rFonts w:ascii="Arial" w:cs="Arial" w:eastAsia="Arial" w:hAnsi="Arial"/>
          <w:sz w:val="18"/>
          <w:szCs w:val="18"/>
          <w:color w:val="auto"/>
        </w:rPr>
      </w:pPr>
    </w:p>
    <w:p>
      <w:pPr>
        <w:ind w:left="460" w:right="240"/>
        <w:spacing w:after="0" w:line="259" w:lineRule="auto"/>
        <w:rPr>
          <w:rFonts w:ascii="Arial" w:cs="Arial" w:eastAsia="Arial" w:hAnsi="Arial"/>
          <w:sz w:val="18"/>
          <w:szCs w:val="18"/>
          <w:color w:val="auto"/>
        </w:rPr>
      </w:pPr>
      <w:r>
        <w:rPr>
          <w:rFonts w:ascii="Arial" w:cs="Arial" w:eastAsia="Arial" w:hAnsi="Arial"/>
          <w:sz w:val="18"/>
          <w:szCs w:val="18"/>
          <w:color w:val="auto"/>
        </w:rPr>
        <w:t>The Company does not own any real property. The Company has good and marketable title to all other properties and assets owned by it that are necessary and material to its business, in each case free from liens, charges, encumbrances and defects that would reasonably be expected to have a Material Adverse Effect, and the Company holds any leased real or personal property under valid and enforceable leases with no terms or provisions that would reasonably be expected to have a Material Adverse Effect.</w:t>
      </w:r>
    </w:p>
    <w:p>
      <w:pPr>
        <w:spacing w:after="0" w:line="335" w:lineRule="exact"/>
        <w:rPr>
          <w:rFonts w:ascii="Arial" w:cs="Arial" w:eastAsia="Arial" w:hAnsi="Arial"/>
          <w:sz w:val="18"/>
          <w:szCs w:val="18"/>
          <w:color w:val="auto"/>
        </w:rPr>
      </w:pPr>
    </w:p>
    <w:p>
      <w:pPr>
        <w:ind w:left="460" w:hanging="452"/>
        <w:spacing w:after="0"/>
        <w:tabs>
          <w:tab w:leader="none" w:pos="4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460" w:right="60"/>
        <w:spacing w:after="0" w:line="297" w:lineRule="auto"/>
        <w:rPr>
          <w:rFonts w:ascii="Arial" w:cs="Arial" w:eastAsia="Arial" w:hAnsi="Arial"/>
          <w:sz w:val="18"/>
          <w:szCs w:val="18"/>
          <w:color w:val="auto"/>
        </w:rPr>
      </w:pPr>
      <w:r>
        <w:rPr>
          <w:rFonts w:ascii="Arial" w:cs="Arial" w:eastAsia="Arial" w:hAnsi="Arial"/>
          <w:sz w:val="16"/>
          <w:szCs w:val="16"/>
          <w:color w:val="auto"/>
        </w:rPr>
        <w:t>The Company has delivered to the Investor its unaudited interim condensed financial statements as at, and for the six months ended, June 30, 2015 and June 30, 2014, and its audited financial statements as at, and for the fiscal years ended, December 31, 2014 and December 31, 2013 (collectively,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The Financial Statements present fairly in all material respects the financial position of the Company as of the dates shown and its results of operations and cash flows for the periods shown, and such financial statements have been prepared in conformity with International Financial Reporting Standards as issued by the International Accounting Standards Board applied on a consistent basis.</w:t>
      </w:r>
    </w:p>
    <w:p>
      <w:pPr>
        <w:spacing w:after="0" w:line="306" w:lineRule="exact"/>
        <w:rPr>
          <w:rFonts w:ascii="Arial" w:cs="Arial" w:eastAsia="Arial" w:hAnsi="Arial"/>
          <w:sz w:val="18"/>
          <w:szCs w:val="18"/>
          <w:color w:val="auto"/>
        </w:rPr>
      </w:pPr>
    </w:p>
    <w:p>
      <w:pPr>
        <w:ind w:left="460" w:hanging="452"/>
        <w:spacing w:after="0"/>
        <w:tabs>
          <w:tab w:leader="none" w:pos="4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No Material Adverse Event in Business</w:t>
      </w:r>
    </w:p>
    <w:p>
      <w:pPr>
        <w:spacing w:after="0" w:line="117" w:lineRule="exact"/>
        <w:rPr>
          <w:rFonts w:ascii="Arial" w:cs="Arial" w:eastAsia="Arial" w:hAnsi="Arial"/>
          <w:sz w:val="18"/>
          <w:szCs w:val="18"/>
          <w:color w:val="auto"/>
        </w:rPr>
      </w:pPr>
    </w:p>
    <w:p>
      <w:pPr>
        <w:ind w:left="460"/>
        <w:spacing w:after="0" w:line="257" w:lineRule="auto"/>
        <w:rPr>
          <w:rFonts w:ascii="Arial" w:cs="Arial" w:eastAsia="Arial" w:hAnsi="Arial"/>
          <w:sz w:val="18"/>
          <w:szCs w:val="18"/>
          <w:color w:val="auto"/>
        </w:rPr>
      </w:pPr>
      <w:r>
        <w:rPr>
          <w:rFonts w:ascii="Arial" w:cs="Arial" w:eastAsia="Arial" w:hAnsi="Arial"/>
          <w:sz w:val="18"/>
          <w:szCs w:val="18"/>
          <w:color w:val="auto"/>
        </w:rPr>
        <w:t>Except as disclosed in the Disclosure Documents, since the end of the period covered by the Financial Statements, (i) there has been no change, nor any development or event involving a prospective change, in the condition (financial or otherwise), results of operations, business or properties of the Company that is material and adverse, (ii) there has been no dividend or distribution of any kind declared, paid or made by the Company on any class of its capital stock and (iii) there has been no material adverse change in the capital stock, short-term indebtedness, long-term indebtedness, net current assets or net assets of the Company.</w:t>
      </w:r>
    </w:p>
    <w:p>
      <w:pPr>
        <w:spacing w:after="0" w:line="336" w:lineRule="exact"/>
        <w:rPr>
          <w:rFonts w:ascii="Arial" w:cs="Arial" w:eastAsia="Arial" w:hAnsi="Arial"/>
          <w:sz w:val="18"/>
          <w:szCs w:val="18"/>
          <w:color w:val="auto"/>
        </w:rPr>
      </w:pPr>
    </w:p>
    <w:p>
      <w:pPr>
        <w:ind w:left="460" w:hanging="452"/>
        <w:spacing w:after="0"/>
        <w:tabs>
          <w:tab w:leader="none" w:pos="4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Labor Disputes</w:t>
      </w:r>
    </w:p>
    <w:p>
      <w:pPr>
        <w:spacing w:after="0" w:line="117" w:lineRule="exact"/>
        <w:rPr>
          <w:rFonts w:ascii="Arial" w:cs="Arial" w:eastAsia="Arial" w:hAnsi="Arial"/>
          <w:sz w:val="18"/>
          <w:szCs w:val="18"/>
          <w:color w:val="auto"/>
        </w:rPr>
      </w:pPr>
    </w:p>
    <w:p>
      <w:pPr>
        <w:ind w:left="460" w:right="260"/>
        <w:spacing w:after="0" w:line="277" w:lineRule="auto"/>
        <w:rPr>
          <w:rFonts w:ascii="Arial" w:cs="Arial" w:eastAsia="Arial" w:hAnsi="Arial"/>
          <w:sz w:val="18"/>
          <w:szCs w:val="18"/>
          <w:color w:val="auto"/>
        </w:rPr>
      </w:pPr>
      <w:r>
        <w:rPr>
          <w:rFonts w:ascii="Arial" w:cs="Arial" w:eastAsia="Arial" w:hAnsi="Arial"/>
          <w:sz w:val="18"/>
          <w:szCs w:val="18"/>
          <w:color w:val="auto"/>
        </w:rPr>
        <w:t>No labor dispute with the employees of the Company exists or, to the knowledge of the Company, is imminent that would reasonably be expected to have a Material Adverse Effect.</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17" w:lineRule="exact"/>
        <w:rPr>
          <w:rFonts w:ascii="Arial" w:cs="Arial" w:eastAsia="Arial" w:hAnsi="Arial"/>
          <w:sz w:val="18"/>
          <w:szCs w:val="18"/>
          <w:color w:val="auto"/>
        </w:rPr>
      </w:pPr>
    </w:p>
    <w:p>
      <w:pPr>
        <w:ind w:left="460" w:right="40"/>
        <w:spacing w:after="0" w:line="277" w:lineRule="auto"/>
        <w:rPr>
          <w:rFonts w:ascii="Arial" w:cs="Arial" w:eastAsia="Arial" w:hAnsi="Arial"/>
          <w:sz w:val="18"/>
          <w:szCs w:val="18"/>
          <w:color w:val="auto"/>
        </w:rPr>
      </w:pPr>
      <w:r>
        <w:rPr>
          <w:rFonts w:ascii="Arial" w:cs="Arial" w:eastAsia="Arial" w:hAnsi="Arial"/>
          <w:sz w:val="18"/>
          <w:szCs w:val="18"/>
          <w:color w:val="auto"/>
        </w:rPr>
        <w:t>The preclinical and clinical studies conducted by the Company, and to the knowledge of the Company, the preclinical and clinical studies conducted on behalf of or sponsored by the Company, that are described in, or the results of which were referred to in, the</w:t>
      </w:r>
    </w:p>
    <w:p>
      <w:pPr>
        <w:sectPr>
          <w:pgSz w:w="11900" w:h="16838" w:orient="portrait"/>
          <w:cols w:equalWidth="0" w:num="1">
            <w:col w:w="11400"/>
          </w:cols>
          <w:pgMar w:left="240" w:top="274" w:right="259" w:bottom="1440" w:gutter="0" w:footer="0" w:header="0"/>
        </w:sectPr>
      </w:pPr>
    </w:p>
    <w:bookmarkStart w:id="684" w:name="page685"/>
    <w:bookmarkEnd w:id="6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40"/>
        <w:spacing w:after="0" w:line="269" w:lineRule="auto"/>
        <w:rPr>
          <w:sz w:val="20"/>
          <w:szCs w:val="20"/>
          <w:color w:val="auto"/>
        </w:rPr>
      </w:pPr>
      <w:r>
        <w:rPr>
          <w:rFonts w:ascii="Arial" w:cs="Arial" w:eastAsia="Arial" w:hAnsi="Arial"/>
          <w:sz w:val="17"/>
          <w:szCs w:val="17"/>
          <w:color w:val="auto"/>
        </w:rPr>
        <w:t>Disclosure Documents were and, if still pending, are being conducted in all material respects in accordance with protocols, procedures and controls filed with the appropriate regulatory authorities for each such test or trial, as the case may be, and with standard medical and scientific research procedures, except in each case where failure to so conduct would not reasonably be expected to have a Material Adverse Effect; each description of the results of such studies contained in the Disclosure Documents is accurate and complete in all material respects and fairly presents the data derived from such studies, and the Company has no knowledge of any other studies or tests the results of which are inconsistent with, or otherwise call into question, the results described or referred to in the Disclosure Documents; the Company has not received any notices or other correspondence from the from the U.S.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or any committee thereof or from any other U.S. or foreign government or drug or medical device regulatory agency (collectively, the “</w:t>
      </w:r>
      <w:r>
        <w:rPr>
          <w:rFonts w:ascii="Arial" w:cs="Arial" w:eastAsia="Arial" w:hAnsi="Arial"/>
          <w:sz w:val="17"/>
          <w:szCs w:val="17"/>
          <w:b w:val="1"/>
          <w:bCs w:val="1"/>
          <w:color w:val="auto"/>
        </w:rPr>
        <w:t>Regulatory Agencies</w:t>
      </w:r>
      <w:r>
        <w:rPr>
          <w:rFonts w:ascii="Arial" w:cs="Arial" w:eastAsia="Arial" w:hAnsi="Arial"/>
          <w:sz w:val="17"/>
          <w:szCs w:val="17"/>
          <w:color w:val="auto"/>
        </w:rPr>
        <w:t>”) requiring the termination, suspension or material modification of any clinical trials that are described or referred to in the materials made available to such Investor, other than ordinary course communications with respect to modifications in connection with the design and implementation of such trials; and the Company has operated and currently is in compliance in all respects with all applicable rules, regulations and policies of the Regulatory Agencies except as would not reasonably be expected to have a Material Adverse Effect.</w:t>
      </w:r>
    </w:p>
    <w:p>
      <w:pPr>
        <w:spacing w:after="0" w:line="329" w:lineRule="exact"/>
        <w:rPr>
          <w:sz w:val="20"/>
          <w:szCs w:val="20"/>
          <w:color w:val="auto"/>
        </w:rPr>
      </w:pPr>
    </w:p>
    <w:p>
      <w:pPr>
        <w:ind w:left="460" w:hanging="452"/>
        <w:spacing w:after="0"/>
        <w:tabs>
          <w:tab w:leader="none" w:pos="4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Payments of Taxes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Except as disclosed in the Disclosure Documents, the Company warrants that</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all notices, reports, accounts, computations, statements, assessments, registrations and any other necessary information which the Company was legally obliged to submit to any Tax Authority for the purposes of Taxation, have been filed by the Company within applicable time limits and were accurate and complete;</w:t>
      </w:r>
    </w:p>
    <w:p>
      <w:pPr>
        <w:spacing w:after="0" w:line="86" w:lineRule="exact"/>
        <w:rPr>
          <w:rFonts w:ascii="Arial" w:cs="Arial" w:eastAsia="Arial" w:hAnsi="Arial"/>
          <w:sz w:val="18"/>
          <w:szCs w:val="18"/>
          <w:color w:val="auto"/>
        </w:rPr>
      </w:pPr>
    </w:p>
    <w:p>
      <w:pPr>
        <w:ind w:left="900" w:right="320" w:hanging="446"/>
        <w:spacing w:after="0" w:line="277" w:lineRule="auto"/>
        <w:tabs>
          <w:tab w:leader="none" w:pos="90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all Taxes (whether of Switzerland or elsewhere), for which the Company has been liable or is liable to account for, have been duly and timely paid;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the Company has, in accordance with applicable time limits, maintained all records in relation to Taxes as required by law and such records are sufficient to enable the Company to accurately calculate its Tax liability;</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the Company has complied within applicable time limits with all notices lawfully served on it and any other requirements lawfully imposed on it by any Tax Authority;</w:t>
      </w:r>
    </w:p>
    <w:p>
      <w:pPr>
        <w:spacing w:after="0" w:line="75" w:lineRule="exact"/>
        <w:rPr>
          <w:rFonts w:ascii="Arial" w:cs="Arial" w:eastAsia="Arial" w:hAnsi="Arial"/>
          <w:sz w:val="18"/>
          <w:szCs w:val="18"/>
          <w:color w:val="auto"/>
        </w:rPr>
      </w:pPr>
    </w:p>
    <w:p>
      <w:pPr>
        <w:ind w:left="900" w:right="300" w:hanging="446"/>
        <w:spacing w:after="0" w:line="308" w:lineRule="auto"/>
        <w:tabs>
          <w:tab w:leader="none" w:pos="900" w:val="left"/>
        </w:tabs>
        <w:numPr>
          <w:ilvl w:val="1"/>
          <w:numId w:val="544"/>
        </w:numPr>
        <w:rPr>
          <w:rFonts w:ascii="Arial" w:cs="Arial" w:eastAsia="Arial" w:hAnsi="Arial"/>
          <w:sz w:val="17"/>
          <w:szCs w:val="17"/>
          <w:color w:val="auto"/>
        </w:rPr>
      </w:pPr>
      <w:r>
        <w:rPr>
          <w:rFonts w:ascii="Arial" w:cs="Arial" w:eastAsia="Arial" w:hAnsi="Arial"/>
          <w:sz w:val="17"/>
          <w:szCs w:val="17"/>
          <w:color w:val="auto"/>
        </w:rPr>
        <w:t>with respect to Taxes, the Company has not paid, within the time period starting on the date of its incorporation and ending on the date of this Subscription Agreement, and will not become liable to pay, any material penalty, fine, surcharge or interest charged;</w:t>
      </w:r>
    </w:p>
    <w:p>
      <w:pPr>
        <w:spacing w:after="0" w:line="51" w:lineRule="exact"/>
        <w:rPr>
          <w:rFonts w:ascii="Arial" w:cs="Arial" w:eastAsia="Arial" w:hAnsi="Arial"/>
          <w:sz w:val="17"/>
          <w:szCs w:val="17"/>
          <w:color w:val="auto"/>
        </w:rPr>
      </w:pPr>
    </w:p>
    <w:p>
      <w:pPr>
        <w:ind w:left="900" w:hanging="446"/>
        <w:spacing w:after="0" w:line="286" w:lineRule="auto"/>
        <w:tabs>
          <w:tab w:leader="none" w:pos="900" w:val="left"/>
        </w:tabs>
        <w:numPr>
          <w:ilvl w:val="1"/>
          <w:numId w:val="544"/>
        </w:numPr>
        <w:rPr>
          <w:rFonts w:ascii="Arial" w:cs="Arial" w:eastAsia="Arial" w:hAnsi="Arial"/>
          <w:sz w:val="17"/>
          <w:szCs w:val="17"/>
          <w:color w:val="auto"/>
        </w:rPr>
      </w:pPr>
      <w:r>
        <w:rPr>
          <w:rFonts w:ascii="Arial" w:cs="Arial" w:eastAsia="Arial" w:hAnsi="Arial"/>
          <w:sz w:val="17"/>
          <w:szCs w:val="17"/>
          <w:color w:val="auto"/>
        </w:rPr>
        <w:t>the Company is not involved in any dispute with or investigation by any Tax Authority and has not, within the past 12 months, been subject to any visit, audit, investigation, discovery or access order by any Tax Authority and is not aware of any circumstances existing which make it likely that a visit, audit, investigation, discovery or access order with respect to Taxes will be made in the next 12 months; and</w:t>
      </w:r>
    </w:p>
    <w:p>
      <w:pPr>
        <w:spacing w:after="0" w:line="70" w:lineRule="exact"/>
        <w:rPr>
          <w:rFonts w:ascii="Arial" w:cs="Arial" w:eastAsia="Arial" w:hAnsi="Arial"/>
          <w:sz w:val="17"/>
          <w:szCs w:val="17"/>
          <w:color w:val="auto"/>
        </w:rPr>
      </w:pPr>
    </w:p>
    <w:p>
      <w:pPr>
        <w:ind w:left="900" w:right="180" w:hanging="446"/>
        <w:spacing w:after="0" w:line="277" w:lineRule="auto"/>
        <w:tabs>
          <w:tab w:leader="none" w:pos="90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in the Financial Statements the Company has made full provision or reserve for any period ended on or before the relevant accounts date for all Taxation assessed or liable to be assessed on it;</w:t>
      </w:r>
    </w:p>
    <w:p>
      <w:pPr>
        <w:sectPr>
          <w:pgSz w:w="11900" w:h="16838" w:orient="portrait"/>
          <w:cols w:equalWidth="0" w:num="1">
            <w:col w:w="11400"/>
          </w:cols>
          <w:pgMar w:left="240" w:top="273" w:right="259" w:bottom="1440" w:gutter="0" w:footer="0" w:header="0"/>
        </w:sectPr>
      </w:pPr>
    </w:p>
    <w:bookmarkStart w:id="685" w:name="page686"/>
    <w:bookmarkEnd w:id="6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except for any such Taxes, assessments, fines or penalties currently being contested in good faith or as would not, individually or in the aggregate, reasonably be expected to have a Material Adverse Effect.</w:t>
      </w:r>
    </w:p>
    <w:p>
      <w:pPr>
        <w:spacing w:after="0" w:line="319" w:lineRule="exact"/>
        <w:rPr>
          <w:sz w:val="20"/>
          <w:szCs w:val="20"/>
          <w:color w:val="auto"/>
        </w:rPr>
      </w:pPr>
    </w:p>
    <w:p>
      <w:pPr>
        <w:ind w:left="460" w:hanging="452"/>
        <w:spacing w:after="0"/>
        <w:tabs>
          <w:tab w:leader="none" w:pos="46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rFonts w:ascii="Arial" w:cs="Arial" w:eastAsia="Arial" w:hAnsi="Arial"/>
          <w:sz w:val="18"/>
          <w:szCs w:val="18"/>
          <w:color w:val="auto"/>
        </w:rPr>
      </w:pPr>
    </w:p>
    <w:p>
      <w:pPr>
        <w:ind w:left="460" w:right="40"/>
        <w:spacing w:after="0" w:line="270" w:lineRule="auto"/>
        <w:rPr>
          <w:rFonts w:ascii="Arial" w:cs="Arial" w:eastAsia="Arial" w:hAnsi="Arial"/>
          <w:sz w:val="18"/>
          <w:szCs w:val="18"/>
          <w:color w:val="auto"/>
        </w:rPr>
      </w:pPr>
      <w:r>
        <w:rPr>
          <w:rFonts w:ascii="Arial" w:cs="Arial" w:eastAsia="Arial" w:hAnsi="Arial"/>
          <w:sz w:val="17"/>
          <w:szCs w:val="17"/>
          <w:color w:val="auto"/>
        </w:rPr>
        <w:t>The Company is insured by insurers with appropriately rated claims paying abilities against such losses and risks and in such amounts as the Company reasonably considers adequate for the businesses in which it is engaged; all material policies of insurance and fidelity or surety bonds insuring the Company or its business, asset, employees, officers and directors are in full force and effect; to the Company’s knowledge,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material insurance coverage sought or applied for; and the Company has no reason to believe that it will not be able to renew its existing insurance coverage as and when such coverage expires or to obtain similar coverage from similar insurers as the Company reasonably believes may be necessary to continue its business at a cost that would not reasonably be expected to have a Material Adverse Effect, except as set forth in or contemplated in the Disclosure Documents.</w:t>
      </w:r>
    </w:p>
    <w:p>
      <w:pPr>
        <w:spacing w:after="0" w:line="330" w:lineRule="exact"/>
        <w:rPr>
          <w:rFonts w:ascii="Arial" w:cs="Arial" w:eastAsia="Arial" w:hAnsi="Arial"/>
          <w:sz w:val="18"/>
          <w:szCs w:val="18"/>
          <w:color w:val="auto"/>
        </w:rPr>
      </w:pPr>
    </w:p>
    <w:p>
      <w:pPr>
        <w:ind w:left="460" w:hanging="452"/>
        <w:spacing w:after="0"/>
        <w:tabs>
          <w:tab w:leader="none" w:pos="46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Social Security and Pensions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Except as would not, individually or in the aggregate, reasonably be expected to have a Material Adverse Effect, the Company warrants that</w:t>
      </w:r>
    </w:p>
    <w:p>
      <w:pPr>
        <w:spacing w:after="0" w:line="142"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all benefit plans for any period ending before Closing have been fully paid, or, as regards employees of the Company, provided for in the relevant financial statements;</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545"/>
        </w:numPr>
        <w:rPr>
          <w:rFonts w:ascii="Arial" w:cs="Arial" w:eastAsia="Arial" w:hAnsi="Arial"/>
          <w:sz w:val="18"/>
          <w:szCs w:val="18"/>
          <w:color w:val="auto"/>
        </w:rPr>
      </w:pPr>
      <w:r>
        <w:rPr>
          <w:rFonts w:ascii="Arial" w:cs="Arial" w:eastAsia="Arial" w:hAnsi="Arial"/>
          <w:sz w:val="18"/>
          <w:szCs w:val="18"/>
          <w:color w:val="auto"/>
        </w:rPr>
        <w:t>all contributions required to be made under the terms of any such benefit plans until the Closing have been timely made or provided for in the relevant financial statements;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545"/>
        </w:numPr>
        <w:rPr>
          <w:rFonts w:ascii="Arial" w:cs="Arial" w:eastAsia="Arial" w:hAnsi="Arial"/>
          <w:sz w:val="16"/>
          <w:szCs w:val="16"/>
          <w:color w:val="auto"/>
        </w:rPr>
      </w:pPr>
      <w:r>
        <w:rPr>
          <w:rFonts w:ascii="Arial" w:cs="Arial" w:eastAsia="Arial" w:hAnsi="Arial"/>
          <w:sz w:val="16"/>
          <w:szCs w:val="16"/>
          <w:color w:val="auto"/>
        </w:rPr>
        <w:t>on the basis of and compared to the funding requirements of applicable law, none of the benefit plans has any accumulated funding deficiency;</w:t>
      </w:r>
    </w:p>
    <w:p>
      <w:pPr>
        <w:spacing w:after="0" w:line="140" w:lineRule="exact"/>
        <w:rPr>
          <w:sz w:val="20"/>
          <w:szCs w:val="20"/>
          <w:color w:val="auto"/>
        </w:rPr>
      </w:pPr>
    </w:p>
    <w:p>
      <w:pPr>
        <w:ind w:left="460" w:right="640"/>
        <w:spacing w:after="0" w:line="277" w:lineRule="auto"/>
        <w:rPr>
          <w:sz w:val="20"/>
          <w:szCs w:val="20"/>
          <w:color w:val="auto"/>
        </w:rPr>
      </w:pPr>
      <w:r>
        <w:rPr>
          <w:rFonts w:ascii="Arial" w:cs="Arial" w:eastAsia="Arial" w:hAnsi="Arial"/>
          <w:sz w:val="18"/>
          <w:szCs w:val="18"/>
          <w:color w:val="auto"/>
        </w:rPr>
        <w:t>except for any such contributions, assessments, fines or penalties currently being contested in good faith or as would not, individually or in the aggregate, reasonably be expected to have a Material Adverse Effect.</w:t>
      </w:r>
    </w:p>
    <w:p>
      <w:pPr>
        <w:sectPr>
          <w:pgSz w:w="11900" w:h="16838" w:orient="portrait"/>
          <w:cols w:equalWidth="0" w:num="1">
            <w:col w:w="11380"/>
          </w:cols>
          <w:pgMar w:left="240" w:top="275" w:right="279" w:bottom="1440" w:gutter="0" w:footer="0" w:header="0"/>
        </w:sectPr>
      </w:pPr>
    </w:p>
    <w:bookmarkStart w:id="686" w:name="page687"/>
    <w:bookmarkEnd w:id="6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hanging="452"/>
        <w:spacing w:after="0"/>
        <w:tabs>
          <w:tab w:leader="none" w:pos="46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Possession of Permits</w:t>
      </w:r>
    </w:p>
    <w:p>
      <w:pPr>
        <w:spacing w:after="0" w:line="117" w:lineRule="exact"/>
        <w:rPr>
          <w:rFonts w:ascii="Arial" w:cs="Arial" w:eastAsia="Arial" w:hAnsi="Arial"/>
          <w:sz w:val="18"/>
          <w:szCs w:val="18"/>
          <w:color w:val="auto"/>
        </w:rPr>
      </w:pPr>
    </w:p>
    <w:p>
      <w:pPr>
        <w:ind w:left="460" w:right="60"/>
        <w:spacing w:after="0" w:line="302" w:lineRule="auto"/>
        <w:rPr>
          <w:rFonts w:ascii="Arial" w:cs="Arial" w:eastAsia="Arial" w:hAnsi="Arial"/>
          <w:sz w:val="18"/>
          <w:szCs w:val="18"/>
          <w:color w:val="auto"/>
        </w:rPr>
      </w:pPr>
      <w:r>
        <w:rPr>
          <w:rFonts w:ascii="Arial" w:cs="Arial" w:eastAsia="Arial" w:hAnsi="Arial"/>
          <w:sz w:val="16"/>
          <w:szCs w:val="16"/>
          <w:color w:val="auto"/>
        </w:rPr>
        <w:t>The Company possesses, and is in compliance with the terms of, all adequate certificates, authorizations, franchises, licenses and permits, including, without limitation from the FDA and equivalent foreign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necessary or material to the conduct of the business now or proposed to be conducted by it and has not received any notice of proceedings relating to the revocation or modification of any Permits that, if determined adversely to the Company, would individually or in the aggregate reasonably be expected to have a Material Adverse Effect.</w:t>
      </w:r>
    </w:p>
    <w:p>
      <w:pPr>
        <w:spacing w:after="0" w:line="302" w:lineRule="exact"/>
        <w:rPr>
          <w:rFonts w:ascii="Arial" w:cs="Arial" w:eastAsia="Arial" w:hAnsi="Arial"/>
          <w:sz w:val="18"/>
          <w:szCs w:val="18"/>
          <w:color w:val="auto"/>
        </w:rPr>
      </w:pPr>
    </w:p>
    <w:p>
      <w:pPr>
        <w:ind w:left="460" w:hanging="452"/>
        <w:spacing w:after="0"/>
        <w:tabs>
          <w:tab w:leader="none" w:pos="46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Environmental Laws</w:t>
      </w:r>
    </w:p>
    <w:p>
      <w:pPr>
        <w:spacing w:after="0" w:line="117"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The Company is not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8"/>
          <w:szCs w:val="18"/>
          <w:b w:val="1"/>
          <w:bCs w:val="1"/>
          <w:color w:val="auto"/>
        </w:rPr>
        <w:t>Environmental Laws</w:t>
      </w:r>
      <w:r>
        <w:rPr>
          <w:rFonts w:ascii="Arial" w:cs="Arial" w:eastAsia="Arial" w:hAnsi="Arial"/>
          <w:sz w:val="18"/>
          <w:szCs w:val="18"/>
          <w:color w:val="auto"/>
        </w:rPr>
        <w:t>”). The Company (i) does not own or operate any real property contaminated with any substance that is subject to any Environmental Laws, (ii) is not liable for any off-site disposal or contamination pursuant to any Environmental Laws, and (iii) is not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w:t>
      </w:r>
    </w:p>
    <w:p>
      <w:pPr>
        <w:spacing w:after="0" w:line="337" w:lineRule="exact"/>
        <w:rPr>
          <w:rFonts w:ascii="Arial" w:cs="Arial" w:eastAsia="Arial" w:hAnsi="Arial"/>
          <w:sz w:val="18"/>
          <w:szCs w:val="18"/>
          <w:color w:val="auto"/>
        </w:rPr>
      </w:pPr>
    </w:p>
    <w:p>
      <w:pPr>
        <w:ind w:left="460" w:hanging="452"/>
        <w:spacing w:after="0"/>
        <w:tabs>
          <w:tab w:leader="none" w:pos="46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Foreign Corrupt Practices Act</w:t>
      </w:r>
    </w:p>
    <w:p>
      <w:pPr>
        <w:spacing w:after="0" w:line="117" w:lineRule="exact"/>
        <w:rPr>
          <w:rFonts w:ascii="Arial" w:cs="Arial" w:eastAsia="Arial" w:hAnsi="Arial"/>
          <w:sz w:val="18"/>
          <w:szCs w:val="18"/>
          <w:color w:val="auto"/>
        </w:rPr>
      </w:pPr>
    </w:p>
    <w:p>
      <w:pPr>
        <w:ind w:left="460"/>
        <w:spacing w:after="0" w:line="286" w:lineRule="auto"/>
        <w:rPr>
          <w:rFonts w:ascii="Arial" w:cs="Arial" w:eastAsia="Arial" w:hAnsi="Arial"/>
          <w:sz w:val="18"/>
          <w:szCs w:val="18"/>
          <w:color w:val="auto"/>
        </w:rPr>
      </w:pPr>
      <w:r>
        <w:rPr>
          <w:rFonts w:ascii="Arial" w:cs="Arial" w:eastAsia="Arial" w:hAnsi="Arial"/>
          <w:sz w:val="16"/>
          <w:szCs w:val="16"/>
          <w:color w:val="auto"/>
        </w:rPr>
        <w:t>The Company (including, to the knowledge of the Company, its employees, officers or directors), has not taken or failed to take any action that would cause it to be in violation of the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any rules or regulations thereunder, or any other applicable anti-corruption or anti-kickback law, including without limitation: (A) the making of any offer or promise to pay, payment of, or authorization of payment of, directly or indirectly, money or anything of value to any Official, for the purpose of influencing an official act or decision, inducing the doing or omission of any act in violation of a lawful duty, or securing an improper advantage; (B) use of any corporate funds for any illegal contributions, gifts, entertainment or other unlawful expenses relating to political activity; and (C) making of any bribe, unlawful rebate, payoff, influence payment, kickback or other unlawful payment of any nature. For purposes of this Subscription Agreement, (i) an “</w:t>
      </w:r>
      <w:r>
        <w:rPr>
          <w:rFonts w:ascii="Arial" w:cs="Arial" w:eastAsia="Arial" w:hAnsi="Arial"/>
          <w:sz w:val="16"/>
          <w:szCs w:val="16"/>
          <w:b w:val="1"/>
          <w:bCs w:val="1"/>
          <w:color w:val="auto"/>
        </w:rPr>
        <w:t>Official</w:t>
      </w:r>
      <w:r>
        <w:rPr>
          <w:rFonts w:ascii="Arial" w:cs="Arial" w:eastAsia="Arial" w:hAnsi="Arial"/>
          <w:sz w:val="16"/>
          <w:szCs w:val="16"/>
          <w:color w:val="auto"/>
        </w:rPr>
        <w:t>” shall include any appointed or elected official, any government employee, any political party, party official, or candidate for political office, or any officer, director or employee of any Governmental Authority or employees of state-owned or state-controlled businesses and (ii) a “</w:t>
      </w:r>
      <w:r>
        <w:rPr>
          <w:rFonts w:ascii="Arial" w:cs="Arial" w:eastAsia="Arial" w:hAnsi="Arial"/>
          <w:sz w:val="16"/>
          <w:szCs w:val="16"/>
          <w:b w:val="1"/>
          <w:bCs w:val="1"/>
          <w:color w:val="auto"/>
        </w:rPr>
        <w:t>Governmental Authority</w:t>
      </w:r>
      <w:r>
        <w:rPr>
          <w:rFonts w:ascii="Arial" w:cs="Arial" w:eastAsia="Arial" w:hAnsi="Arial"/>
          <w:sz w:val="16"/>
          <w:szCs w:val="16"/>
          <w:color w:val="auto"/>
        </w:rPr>
        <w:t>” shall include any transnational, national, federal, state, provincial, county, municipal or local government, foreign or domestic, or the government of any political subdivision of any of the foregoing, or any entity, authority, agency, ministry or other similar body exercising executive, legislative, judicial (including any court), regulatory, or administrative authority or functions of or pertaining to government, including any authority or other quasi-governmental entity established to perform any of such functions. The Company has in place adequate controls and systems designed to</w:t>
      </w:r>
    </w:p>
    <w:p>
      <w:pPr>
        <w:sectPr>
          <w:pgSz w:w="11900" w:h="16838" w:orient="portrait"/>
          <w:cols w:equalWidth="0" w:num="1">
            <w:col w:w="11360"/>
          </w:cols>
          <w:pgMar w:left="240" w:top="274" w:right="299" w:bottom="1440" w:gutter="0" w:footer="0" w:header="0"/>
        </w:sectPr>
      </w:pPr>
    </w:p>
    <w:bookmarkStart w:id="687" w:name="page688"/>
    <w:bookmarkEnd w:id="6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40"/>
        <w:spacing w:after="0" w:line="276" w:lineRule="auto"/>
        <w:rPr>
          <w:sz w:val="20"/>
          <w:szCs w:val="20"/>
          <w:color w:val="auto"/>
        </w:rPr>
      </w:pPr>
      <w:r>
        <w:rPr>
          <w:rFonts w:ascii="Arial" w:cs="Arial" w:eastAsia="Arial" w:hAnsi="Arial"/>
          <w:sz w:val="17"/>
          <w:szCs w:val="17"/>
          <w:color w:val="auto"/>
        </w:rPr>
        <w:t>ensure compliance with applicable laws pertaining to anti-corruption, including the FCPA, in each of the jurisdictions in which the Company currently does or in the past has done business, either directly or indirectly. The Company has not undergone or is not undergoing, any audit, review, inspection, investigation, survey or examination by a Governmental Authority relating to the FCPA, anti-corruption, or anti-kickback activity. To the knowledge of the Company, there are no threatened claims, nor presently existing facts or circumstances that would constitute a reasonable basis for any future claims, with respect the FCPA, anti-corruption, or anti-kickback activity by the Company.</w:t>
      </w:r>
    </w:p>
    <w:p>
      <w:pPr>
        <w:spacing w:after="0" w:line="321" w:lineRule="exact"/>
        <w:rPr>
          <w:sz w:val="20"/>
          <w:szCs w:val="20"/>
          <w:color w:val="auto"/>
        </w:rPr>
      </w:pPr>
    </w:p>
    <w:p>
      <w:pPr>
        <w:ind w:left="460" w:hanging="452"/>
        <w:spacing w:after="0"/>
        <w:tabs>
          <w:tab w:leader="none" w:pos="46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OFAC</w:t>
      </w:r>
    </w:p>
    <w:p>
      <w:pPr>
        <w:spacing w:after="0" w:line="117" w:lineRule="exact"/>
        <w:rPr>
          <w:rFonts w:ascii="Arial" w:cs="Arial" w:eastAsia="Arial" w:hAnsi="Arial"/>
          <w:sz w:val="18"/>
          <w:szCs w:val="18"/>
          <w:color w:val="auto"/>
        </w:rPr>
      </w:pPr>
    </w:p>
    <w:p>
      <w:pPr>
        <w:ind w:left="460" w:right="20"/>
        <w:spacing w:after="0" w:line="257" w:lineRule="auto"/>
        <w:rPr>
          <w:rFonts w:ascii="Arial" w:cs="Arial" w:eastAsia="Arial" w:hAnsi="Arial"/>
          <w:sz w:val="18"/>
          <w:szCs w:val="18"/>
          <w:color w:val="auto"/>
        </w:rPr>
      </w:pPr>
      <w:r>
        <w:rPr>
          <w:rFonts w:ascii="Arial" w:cs="Arial" w:eastAsia="Arial" w:hAnsi="Arial"/>
          <w:sz w:val="18"/>
          <w:szCs w:val="18"/>
          <w:color w:val="auto"/>
        </w:rPr>
        <w:t>Neither the Company nor to the Company’s knowledge any director, officer, affiliate, employee, agent or other person acting on behalf of the Company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336" w:lineRule="exact"/>
        <w:rPr>
          <w:rFonts w:ascii="Arial" w:cs="Arial" w:eastAsia="Arial" w:hAnsi="Arial"/>
          <w:sz w:val="18"/>
          <w:szCs w:val="18"/>
          <w:color w:val="auto"/>
        </w:rPr>
      </w:pPr>
    </w:p>
    <w:p>
      <w:pPr>
        <w:ind w:left="460" w:hanging="452"/>
        <w:spacing w:after="0"/>
        <w:tabs>
          <w:tab w:leader="none" w:pos="46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Capital Loss</w:t>
      </w:r>
    </w:p>
    <w:p>
      <w:pPr>
        <w:spacing w:after="0" w:line="117" w:lineRule="exact"/>
        <w:rPr>
          <w:rFonts w:ascii="Arial" w:cs="Arial" w:eastAsia="Arial" w:hAnsi="Arial"/>
          <w:sz w:val="18"/>
          <w:szCs w:val="18"/>
          <w:color w:val="auto"/>
        </w:rPr>
      </w:pPr>
    </w:p>
    <w:p>
      <w:pPr>
        <w:ind w:left="460" w:right="140"/>
        <w:spacing w:after="0" w:line="264" w:lineRule="auto"/>
        <w:rPr>
          <w:rFonts w:ascii="Arial" w:cs="Arial" w:eastAsia="Arial" w:hAnsi="Arial"/>
          <w:sz w:val="18"/>
          <w:szCs w:val="18"/>
          <w:color w:val="auto"/>
        </w:rPr>
      </w:pPr>
      <w:r>
        <w:rPr>
          <w:rFonts w:ascii="Arial" w:cs="Arial" w:eastAsia="Arial" w:hAnsi="Arial"/>
          <w:sz w:val="18"/>
          <w:szCs w:val="18"/>
          <w:color w:val="auto"/>
        </w:rPr>
        <w:t>The Company is not overindebted within the meaning of article 725 para 2 CO. The Company is not suffering from capital loss within the meaning of article 725 para 1 CO assuming that only share premium in excess of 50% of the nominal share capital is included in the calculation of such capital loss.</w:t>
      </w:r>
    </w:p>
    <w:p>
      <w:pPr>
        <w:spacing w:after="0" w:line="329" w:lineRule="exact"/>
        <w:rPr>
          <w:rFonts w:ascii="Arial" w:cs="Arial" w:eastAsia="Arial" w:hAnsi="Arial"/>
          <w:sz w:val="18"/>
          <w:szCs w:val="18"/>
          <w:color w:val="auto"/>
        </w:rPr>
      </w:pPr>
    </w:p>
    <w:p>
      <w:pPr>
        <w:ind w:left="460" w:hanging="452"/>
        <w:spacing w:after="0"/>
        <w:tabs>
          <w:tab w:leader="none" w:pos="46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Investment Company Act</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will not be an “investment company” as defined in the United States Investment Company Act of 1940, as amended.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Disclosure</w:t>
      </w:r>
    </w:p>
    <w:p>
      <w:pPr>
        <w:spacing w:after="0" w:line="117" w:lineRule="exact"/>
        <w:rPr>
          <w:rFonts w:ascii="Arial" w:cs="Arial" w:eastAsia="Arial" w:hAnsi="Arial"/>
          <w:sz w:val="18"/>
          <w:szCs w:val="18"/>
          <w:color w:val="auto"/>
        </w:rPr>
      </w:pPr>
    </w:p>
    <w:p>
      <w:pPr>
        <w:ind w:left="460" w:right="40"/>
        <w:spacing w:after="0" w:line="257" w:lineRule="auto"/>
        <w:rPr>
          <w:rFonts w:ascii="Arial" w:cs="Arial" w:eastAsia="Arial" w:hAnsi="Arial"/>
          <w:sz w:val="18"/>
          <w:szCs w:val="18"/>
          <w:color w:val="auto"/>
        </w:rPr>
      </w:pPr>
      <w:r>
        <w:rPr>
          <w:rFonts w:ascii="Arial" w:cs="Arial" w:eastAsia="Arial" w:hAnsi="Arial"/>
          <w:sz w:val="18"/>
          <w:szCs w:val="18"/>
          <w:color w:val="auto"/>
        </w:rPr>
        <w:t>The Company has made available to such Investor all the information reasonably available to the Company that the Investor has requested for deciding whether to acquire the Shares. No representation or warranty of the Company contained in this Subscription Agreement, and no certificate furnished or to be furnished to the Investor at the Closing, contains any untrue statement of a material fact or, to the Company’s knowledge, omits to state a material fact necessary in order to make the statements contained herein or therein, in the light of the circumstances under which they were made, not misleading.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bookmarkStart w:id="688" w:name="page689"/>
    <w:bookmarkEnd w:id="6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165" cy="381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Annex 7.2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 and Warranties by the Investor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Investor hereby represents and warrants to the Company, severally and not jointly, that:</w:t>
      </w:r>
    </w:p>
    <w:p>
      <w:pPr>
        <w:spacing w:after="0" w:line="374" w:lineRule="exact"/>
        <w:rPr>
          <w:sz w:val="20"/>
          <w:szCs w:val="20"/>
          <w:color w:val="auto"/>
        </w:rPr>
      </w:pPr>
    </w:p>
    <w:p>
      <w:pPr>
        <w:ind w:left="460" w:hanging="452"/>
        <w:spacing w:after="0"/>
        <w:tabs>
          <w:tab w:leader="none" w:pos="4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Authorization</w:t>
      </w:r>
    </w:p>
    <w:p>
      <w:pPr>
        <w:spacing w:after="0" w:line="117" w:lineRule="exact"/>
        <w:rPr>
          <w:rFonts w:ascii="Arial" w:cs="Arial" w:eastAsia="Arial" w:hAnsi="Arial"/>
          <w:sz w:val="18"/>
          <w:szCs w:val="18"/>
          <w:color w:val="auto"/>
        </w:rPr>
      </w:pPr>
    </w:p>
    <w:p>
      <w:pPr>
        <w:ind w:left="460"/>
        <w:spacing w:after="0" w:line="273" w:lineRule="auto"/>
        <w:rPr>
          <w:rFonts w:ascii="Arial" w:cs="Arial" w:eastAsia="Arial" w:hAnsi="Arial"/>
          <w:sz w:val="18"/>
          <w:szCs w:val="18"/>
          <w:color w:val="auto"/>
        </w:rPr>
      </w:pPr>
      <w:r>
        <w:rPr>
          <w:rFonts w:ascii="Arial" w:cs="Arial" w:eastAsia="Arial" w:hAnsi="Arial"/>
          <w:sz w:val="17"/>
          <w:szCs w:val="17"/>
          <w:color w:val="auto"/>
        </w:rPr>
        <w:t>Such Investor has full power and authority to enter into the Subscription Agreement and the other Transaction Documents. The Subscription Agreement and the other Transaction Documents to which such Investor is a party, when executed and delivered by such Investor, will constitute valid and legally binding obligations of such Investor, enforceable in accordance with their terms, except (a)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or (b) to the extent the indemnification provisions contained in the Registration Rights Agreement may be limited by applicable federal or state securities laws.</w:t>
      </w:r>
    </w:p>
    <w:p>
      <w:pPr>
        <w:spacing w:after="0" w:line="327" w:lineRule="exact"/>
        <w:rPr>
          <w:rFonts w:ascii="Arial" w:cs="Arial" w:eastAsia="Arial" w:hAnsi="Arial"/>
          <w:sz w:val="18"/>
          <w:szCs w:val="18"/>
          <w:color w:val="auto"/>
        </w:rPr>
      </w:pPr>
    </w:p>
    <w:p>
      <w:pPr>
        <w:ind w:left="460" w:hanging="452"/>
        <w:spacing w:after="0"/>
        <w:tabs>
          <w:tab w:leader="none" w:pos="4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Purchase Entirely for Own Account</w:t>
      </w:r>
    </w:p>
    <w:p>
      <w:pPr>
        <w:spacing w:after="0" w:line="117" w:lineRule="exact"/>
        <w:rPr>
          <w:rFonts w:ascii="Arial" w:cs="Arial" w:eastAsia="Arial" w:hAnsi="Arial"/>
          <w:sz w:val="18"/>
          <w:szCs w:val="18"/>
          <w:color w:val="auto"/>
        </w:rPr>
      </w:pPr>
    </w:p>
    <w:p>
      <w:pPr>
        <w:ind w:left="460" w:right="100"/>
        <w:spacing w:after="0" w:line="297" w:lineRule="auto"/>
        <w:rPr>
          <w:rFonts w:ascii="Arial" w:cs="Arial" w:eastAsia="Arial" w:hAnsi="Arial"/>
          <w:sz w:val="18"/>
          <w:szCs w:val="18"/>
          <w:color w:val="auto"/>
        </w:rPr>
      </w:pPr>
      <w:r>
        <w:rPr>
          <w:rFonts w:ascii="Arial" w:cs="Arial" w:eastAsia="Arial" w:hAnsi="Arial"/>
          <w:sz w:val="16"/>
          <w:szCs w:val="16"/>
          <w:color w:val="auto"/>
        </w:rPr>
        <w:t>This Subscription Agreement is made with such Investor in reliance upon its representation to the Company that the Shares to be acquired by such Investor will be acquired for investment for such Investor’s own account, not as a nominee or agent, and not with a view to the resale or distribution of any part thereof, and that such Investor has no present intention of selling, granting any participation in, or otherwise distributing the same. Such Investor does not presently have any contract, undertaking, agreement or arrangement with any person to sell, transfer or grant participations to such person or to any third person, with respect to any of the Shares. Such Investor has not been formed for the specific purpose of acquiring the Shares.</w:t>
      </w:r>
    </w:p>
    <w:p>
      <w:pPr>
        <w:spacing w:after="0" w:line="306" w:lineRule="exact"/>
        <w:rPr>
          <w:rFonts w:ascii="Arial" w:cs="Arial" w:eastAsia="Arial" w:hAnsi="Arial"/>
          <w:sz w:val="18"/>
          <w:szCs w:val="18"/>
          <w:color w:val="auto"/>
        </w:rPr>
      </w:pPr>
    </w:p>
    <w:p>
      <w:pPr>
        <w:ind w:left="460" w:hanging="452"/>
        <w:spacing w:after="0"/>
        <w:tabs>
          <w:tab w:leader="none" w:pos="4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Disclosure of Information</w:t>
      </w:r>
    </w:p>
    <w:p>
      <w:pPr>
        <w:spacing w:after="0" w:line="117" w:lineRule="exact"/>
        <w:rPr>
          <w:rFonts w:ascii="Arial" w:cs="Arial" w:eastAsia="Arial" w:hAnsi="Arial"/>
          <w:sz w:val="18"/>
          <w:szCs w:val="18"/>
          <w:color w:val="auto"/>
        </w:rPr>
      </w:pPr>
    </w:p>
    <w:p>
      <w:pPr>
        <w:ind w:left="460" w:right="40"/>
        <w:spacing w:after="0" w:line="259" w:lineRule="auto"/>
        <w:rPr>
          <w:rFonts w:ascii="Arial" w:cs="Arial" w:eastAsia="Arial" w:hAnsi="Arial"/>
          <w:sz w:val="18"/>
          <w:szCs w:val="18"/>
          <w:color w:val="auto"/>
        </w:rPr>
      </w:pPr>
      <w:r>
        <w:rPr>
          <w:rFonts w:ascii="Arial" w:cs="Arial" w:eastAsia="Arial" w:hAnsi="Arial"/>
          <w:sz w:val="18"/>
          <w:szCs w:val="18"/>
          <w:color w:val="auto"/>
        </w:rPr>
        <w:t>Such Investor has had an opportunity to discuss the Company’s business, management, financial affairs and the terms and conditions of the offering of the Shares with the Company’s management and has had an opportunity to review the Company’s facilities and the Dataroom. The foregoing, however, does not limit or modify the representations and warranties of the Company in Section 7 of this Subscription Agreement or the right of such Investor to rely thereon.</w:t>
      </w:r>
    </w:p>
    <w:p>
      <w:pPr>
        <w:spacing w:after="0" w:line="335" w:lineRule="exact"/>
        <w:rPr>
          <w:rFonts w:ascii="Arial" w:cs="Arial" w:eastAsia="Arial" w:hAnsi="Arial"/>
          <w:sz w:val="18"/>
          <w:szCs w:val="18"/>
          <w:color w:val="auto"/>
        </w:rPr>
      </w:pPr>
    </w:p>
    <w:p>
      <w:pPr>
        <w:ind w:left="460" w:hanging="452"/>
        <w:spacing w:after="0"/>
        <w:tabs>
          <w:tab w:leader="none" w:pos="4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Restricted Securities</w:t>
      </w:r>
    </w:p>
    <w:p>
      <w:pPr>
        <w:spacing w:after="0" w:line="117"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Such Investor understands that the Shares have not been, and will not be, registered under the Securities Act, by reason of a specific exemption from the registration provisions of the Securities Act which depends upon, among other things, the bona fide nature of the investment intent and the accuracy of such Investor’s representations as expressed herein. Such Investor (either alone or together with its advisors) has sufficient knowledge and experience in financial and business matters so as to be capable of evaluating the merits and risks of its investment in the Shares and is capable of bearing the economic risks of such investment. Such Investor understands that the Shares are “restricted securities” under applicable U.S. federal and state securities laws</w:t>
      </w:r>
    </w:p>
    <w:p>
      <w:pPr>
        <w:sectPr>
          <w:pgSz w:w="11900" w:h="16838" w:orient="portrait"/>
          <w:cols w:equalWidth="0" w:num="1">
            <w:col w:w="11420"/>
          </w:cols>
          <w:pgMar w:left="240" w:top="275" w:right="239" w:bottom="1440" w:gutter="0" w:footer="0" w:header="0"/>
        </w:sectPr>
      </w:pPr>
    </w:p>
    <w:bookmarkStart w:id="689" w:name="page690"/>
    <w:bookmarkEnd w:id="6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and that, pursuant to these laws, such Investor must hold the Shares indefinitely unless they are registered with the Securities and Exchange Commission and qualified by state authorities, or an exemption from such registration and qualification requirements is available. Such Investor acknowledges that the Company has no obligation to register or qualify the Shares, or the Common Stock into which it may be converted, for resale except as set forth in the Registration Rights Agreement. Such Investor further acknowledges that if an exemption from registration or qualification is available, it may be conditioned on various requirements including, but not limited to, the time and manner of sale, the holding period for the Shares, and on requirements relating to the Company which are outside of such Investor’s control, and which the Company is under no obligation and may not be able to satisfy.</w:t>
      </w:r>
    </w:p>
    <w:p>
      <w:pPr>
        <w:spacing w:after="0" w:line="338" w:lineRule="exact"/>
        <w:rPr>
          <w:sz w:val="20"/>
          <w:szCs w:val="20"/>
          <w:color w:val="auto"/>
        </w:rPr>
      </w:pPr>
    </w:p>
    <w:p>
      <w:pPr>
        <w:ind w:left="460" w:hanging="452"/>
        <w:spacing w:after="0"/>
        <w:tabs>
          <w:tab w:leader="none" w:pos="4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No Public Market</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Such Investor understands that no public market now exists for the Shares, and that the Company has made no assurances that a public market will ever exist for the Shares.</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Legends</w:t>
      </w:r>
    </w:p>
    <w:p>
      <w:pPr>
        <w:spacing w:after="0" w:line="117" w:lineRule="exact"/>
        <w:rPr>
          <w:rFonts w:ascii="Arial" w:cs="Arial" w:eastAsia="Arial" w:hAnsi="Arial"/>
          <w:sz w:val="18"/>
          <w:szCs w:val="18"/>
          <w:color w:val="auto"/>
        </w:rPr>
      </w:pPr>
    </w:p>
    <w:p>
      <w:pPr>
        <w:ind w:left="460" w:right="460"/>
        <w:spacing w:after="0" w:line="277" w:lineRule="auto"/>
        <w:rPr>
          <w:rFonts w:ascii="Arial" w:cs="Arial" w:eastAsia="Arial" w:hAnsi="Arial"/>
          <w:sz w:val="18"/>
          <w:szCs w:val="18"/>
          <w:color w:val="auto"/>
        </w:rPr>
      </w:pPr>
      <w:r>
        <w:rPr>
          <w:rFonts w:ascii="Arial" w:cs="Arial" w:eastAsia="Arial" w:hAnsi="Arial"/>
          <w:sz w:val="18"/>
          <w:szCs w:val="18"/>
          <w:color w:val="auto"/>
        </w:rPr>
        <w:t>Such Investor understands that the Shares and any securities issued in respect of or exchange for the Shares, may be notated with one or all of the following legends:</w:t>
      </w:r>
    </w:p>
    <w:p>
      <w:pPr>
        <w:spacing w:after="0" w:line="75" w:lineRule="exact"/>
        <w:rPr>
          <w:rFonts w:ascii="Arial" w:cs="Arial" w:eastAsia="Arial" w:hAnsi="Arial"/>
          <w:sz w:val="18"/>
          <w:szCs w:val="18"/>
          <w:color w:val="auto"/>
        </w:rPr>
      </w:pPr>
    </w:p>
    <w:p>
      <w:pPr>
        <w:ind w:left="900" w:right="20" w:hanging="446"/>
        <w:spacing w:after="0" w:line="257" w:lineRule="auto"/>
        <w:tabs>
          <w:tab w:leader="none" w:pos="900"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“THE SHARES REPRESENTED HEREBY HAVE NOT BEEN REGISTERED UNDER THE UNITED STATES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UNITED STATES SECURITIES ACT OF 1933.”</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1"/>
          <w:numId w:val="549"/>
        </w:numPr>
        <w:rPr>
          <w:rFonts w:ascii="Arial" w:cs="Arial" w:eastAsia="Arial" w:hAnsi="Arial"/>
          <w:sz w:val="18"/>
          <w:szCs w:val="18"/>
          <w:color w:val="auto"/>
        </w:rPr>
      </w:pPr>
      <w:r>
        <w:rPr>
          <w:rFonts w:ascii="Arial" w:cs="Arial" w:eastAsia="Arial" w:hAnsi="Arial"/>
          <w:sz w:val="18"/>
          <w:szCs w:val="18"/>
          <w:color w:val="auto"/>
        </w:rPr>
        <w:t>Any legend set forth in, or required by, the other Transaction Documents.</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1"/>
          <w:numId w:val="549"/>
        </w:numPr>
        <w:rPr>
          <w:rFonts w:ascii="Arial" w:cs="Arial" w:eastAsia="Arial" w:hAnsi="Arial"/>
          <w:sz w:val="18"/>
          <w:szCs w:val="18"/>
          <w:color w:val="auto"/>
        </w:rPr>
      </w:pPr>
      <w:r>
        <w:rPr>
          <w:rFonts w:ascii="Arial" w:cs="Arial" w:eastAsia="Arial" w:hAnsi="Arial"/>
          <w:sz w:val="18"/>
          <w:szCs w:val="18"/>
          <w:color w:val="auto"/>
        </w:rPr>
        <w:t>Any legend required by the securities laws of any state to the extent such laws are applicable to the Shares represented by the certificate, instrument, or book entry so legended.</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Accredited Investor or non-U.S. Person</w:t>
      </w:r>
    </w:p>
    <w:p>
      <w:pPr>
        <w:spacing w:after="0" w:line="117" w:lineRule="exact"/>
        <w:rPr>
          <w:rFonts w:ascii="Arial" w:cs="Arial" w:eastAsia="Arial" w:hAnsi="Arial"/>
          <w:sz w:val="18"/>
          <w:szCs w:val="18"/>
          <w:color w:val="auto"/>
        </w:rPr>
      </w:pPr>
    </w:p>
    <w:p>
      <w:pPr>
        <w:ind w:left="460" w:right="460"/>
        <w:spacing w:after="0" w:line="277" w:lineRule="auto"/>
        <w:rPr>
          <w:rFonts w:ascii="Arial" w:cs="Arial" w:eastAsia="Arial" w:hAnsi="Arial"/>
          <w:sz w:val="18"/>
          <w:szCs w:val="18"/>
          <w:color w:val="auto"/>
        </w:rPr>
      </w:pPr>
      <w:r>
        <w:rPr>
          <w:rFonts w:ascii="Arial" w:cs="Arial" w:eastAsia="Arial" w:hAnsi="Arial"/>
          <w:sz w:val="18"/>
          <w:szCs w:val="18"/>
          <w:color w:val="auto"/>
        </w:rPr>
        <w:t>Such Investor is either (i) an accredited investor as defined in Rule 501(a) of Regulation D promulgated under the Securities Act or (ii) not a U.S. Person within the meaning of Regulation S promulgated under the Securities Act.</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Foreign Investors</w:t>
      </w:r>
    </w:p>
    <w:p>
      <w:pPr>
        <w:spacing w:after="0" w:line="117" w:lineRule="exact"/>
        <w:rPr>
          <w:rFonts w:ascii="Arial" w:cs="Arial" w:eastAsia="Arial" w:hAnsi="Arial"/>
          <w:sz w:val="18"/>
          <w:szCs w:val="18"/>
          <w:color w:val="auto"/>
        </w:rPr>
      </w:pPr>
    </w:p>
    <w:p>
      <w:pPr>
        <w:ind w:left="460" w:right="240"/>
        <w:spacing w:after="0" w:line="276" w:lineRule="auto"/>
        <w:rPr>
          <w:rFonts w:ascii="Arial" w:cs="Arial" w:eastAsia="Arial" w:hAnsi="Arial"/>
          <w:sz w:val="18"/>
          <w:szCs w:val="18"/>
          <w:color w:val="auto"/>
        </w:rPr>
      </w:pPr>
      <w:r>
        <w:rPr>
          <w:rFonts w:ascii="Arial" w:cs="Arial" w:eastAsia="Arial" w:hAnsi="Arial"/>
          <w:sz w:val="17"/>
          <w:szCs w:val="17"/>
          <w:color w:val="auto"/>
        </w:rPr>
        <w:t>If such Investor is not a United States person (as defined by Section 7701(a)(30) of the United States Internal Revenue Code of 1986, as amended), such Investor hereby represents that it has satisfied itself as to the full observance of the laws of its jurisdiction in connection with any invitation to subscribe for the Shares or any use of this Subscription Agreement, including (i) the legal requirements within its jurisdiction for the purchase of the Shares, (ii) any foreign exchange restrictions applicable to such purchase, (iii) any governmental or other consents that may need to be obtained, and (iv) the income tax and other tax consequences, if any, that may be relevant to the</w:t>
      </w:r>
    </w:p>
    <w:p>
      <w:pPr>
        <w:sectPr>
          <w:pgSz w:w="11900" w:h="16838" w:orient="portrait"/>
          <w:cols w:equalWidth="0" w:num="1">
            <w:col w:w="11400"/>
          </w:cols>
          <w:pgMar w:left="240" w:top="274" w:right="259" w:bottom="1440" w:gutter="0" w:footer="0" w:header="0"/>
        </w:sectPr>
      </w:pPr>
    </w:p>
    <w:bookmarkStart w:id="690" w:name="page691"/>
    <w:bookmarkEnd w:id="6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Subscription Agreement regarding AC Immune SA as of 16 October 2015</w:t>
      </w:r>
    </w:p>
    <w:p>
      <w:pPr>
        <w:spacing w:after="0" w:line="158"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purchase, holding, redemption, sale, or transfer of the Shares. Such Investor’s subscription and payment for and continued beneficial ownership of the Shares will not violate any applicable securities or other laws of such Investor’s jurisdiction.</w:t>
      </w:r>
    </w:p>
    <w:p>
      <w:pPr>
        <w:spacing w:after="0" w:line="319" w:lineRule="exact"/>
        <w:rPr>
          <w:sz w:val="20"/>
          <w:szCs w:val="20"/>
          <w:color w:val="auto"/>
        </w:rPr>
      </w:pPr>
    </w:p>
    <w:p>
      <w:pPr>
        <w:ind w:left="460" w:hanging="452"/>
        <w:spacing w:after="0"/>
        <w:tabs>
          <w:tab w:leader="none" w:pos="4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No General Solicitation</w:t>
      </w:r>
    </w:p>
    <w:p>
      <w:pPr>
        <w:spacing w:after="0" w:line="117" w:lineRule="exact"/>
        <w:rPr>
          <w:rFonts w:ascii="Arial" w:cs="Arial" w:eastAsia="Arial" w:hAnsi="Arial"/>
          <w:sz w:val="18"/>
          <w:szCs w:val="18"/>
          <w:color w:val="auto"/>
        </w:rPr>
      </w:pPr>
    </w:p>
    <w:p>
      <w:pPr>
        <w:ind w:left="460"/>
        <w:spacing w:after="0" w:line="342" w:lineRule="auto"/>
        <w:rPr>
          <w:rFonts w:ascii="Arial" w:cs="Arial" w:eastAsia="Arial" w:hAnsi="Arial"/>
          <w:sz w:val="18"/>
          <w:szCs w:val="18"/>
          <w:color w:val="auto"/>
        </w:rPr>
      </w:pPr>
      <w:r>
        <w:rPr>
          <w:rFonts w:ascii="Arial" w:cs="Arial" w:eastAsia="Arial" w:hAnsi="Arial"/>
          <w:sz w:val="16"/>
          <w:szCs w:val="16"/>
          <w:color w:val="auto"/>
        </w:rPr>
        <w:t>Neither such Investor, nor any of its officers, directors, employees, agents, shareholders or partners has either directly or indirectly, including, through a broker or finder (a) engaged in any general solicitation, or (b) published any advertisement in connection with the offer and sale of the Shares.</w:t>
      </w:r>
    </w:p>
    <w:p>
      <w:pPr>
        <w:spacing w:after="0" w:line="272" w:lineRule="exact"/>
        <w:rPr>
          <w:rFonts w:ascii="Arial" w:cs="Arial" w:eastAsia="Arial" w:hAnsi="Arial"/>
          <w:sz w:val="18"/>
          <w:szCs w:val="18"/>
          <w:color w:val="auto"/>
        </w:rPr>
      </w:pPr>
    </w:p>
    <w:p>
      <w:pPr>
        <w:ind w:left="460" w:hanging="452"/>
        <w:spacing w:after="0"/>
        <w:tabs>
          <w:tab w:leader="none" w:pos="4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Residence</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Such Investor’s principal place of business is at its address set forth on the first page of this Subscription Agreement or in the Adherence Declaration.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274" w:right="279" w:bottom="1440" w:gutter="0" w:footer="0" w:header="0"/>
        </w:sectPr>
      </w:pPr>
    </w:p>
    <w:bookmarkStart w:id="691" w:name="page692"/>
    <w:bookmarkEnd w:id="69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April 21, 2016, in the Registration Statement on Form F-1 and related Preliminary Prospectus of AC Immune SA dated May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31, 2016</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6B3F6A"/>
    <w:multiLevelType w:val="hybridMultilevel"/>
    <w:lvl w:ilvl="0">
      <w:lvlJc w:val="left"/>
      <w:lvlText w:val="(%1)"/>
      <w:numFmt w:val="decimal"/>
      <w:start w:val="1"/>
    </w:lvl>
  </w:abstractNum>
  <w:abstractNum w:abstractNumId="1">
    <w:nsid w:val="3EB21819"/>
    <w:multiLevelType w:val="hybridMultilevel"/>
    <w:lvl w:ilvl="0">
      <w:lvlJc w:val="left"/>
      <w:lvlText w:val="(%1)"/>
      <w:numFmt w:val="decimal"/>
      <w:start w:val="1"/>
    </w:lvl>
  </w:abstractNum>
  <w:abstractNum w:abstractNumId="2">
    <w:nsid w:val="41531DED"/>
    <w:multiLevelType w:val="hybridMultilevel"/>
    <w:lvl w:ilvl="0">
      <w:lvlJc w:val="left"/>
      <w:lvlText w:val="•"/>
      <w:numFmt w:val="bullet"/>
      <w:start w:val="1"/>
    </w:lvl>
    <w:lvl w:ilvl="1">
      <w:lvlJc w:val="left"/>
      <w:lvlText w:val="•"/>
      <w:numFmt w:val="bullet"/>
      <w:start w:val="1"/>
    </w:lvl>
  </w:abstractNum>
  <w:abstractNum w:abstractNumId="3">
    <w:nsid w:val="6353CD2"/>
    <w:multiLevelType w:val="hybridMultilevel"/>
    <w:lvl w:ilvl="0">
      <w:lvlJc w:val="left"/>
      <w:lvlText w:val="•"/>
      <w:numFmt w:val="bullet"/>
      <w:start w:val="1"/>
    </w:lvl>
    <w:lvl w:ilvl="1">
      <w:lvlJc w:val="left"/>
      <w:lvlText w:val="•"/>
      <w:numFmt w:val="bullet"/>
      <w:start w:val="1"/>
    </w:lvl>
  </w:abstractNum>
  <w:abstractNum w:abstractNumId="4">
    <w:nsid w:val="683CAAD3"/>
    <w:multiLevelType w:val="hybridMultilevel"/>
    <w:lvl w:ilvl="0">
      <w:lvlJc w:val="left"/>
      <w:lvlText w:val="•"/>
      <w:numFmt w:val="bullet"/>
      <w:start w:val="1"/>
    </w:lvl>
  </w:abstractNum>
  <w:abstractNum w:abstractNumId="5">
    <w:nsid w:val="313C7C99"/>
    <w:multiLevelType w:val="hybridMultilevel"/>
    <w:lvl w:ilvl="0">
      <w:lvlJc w:val="left"/>
      <w:lvlText w:val="•"/>
      <w:numFmt w:val="bullet"/>
      <w:start w:val="1"/>
    </w:lvl>
  </w:abstractNum>
  <w:abstractNum w:abstractNumId="6">
    <w:nsid w:val="519EB94C"/>
    <w:multiLevelType w:val="hybridMultilevel"/>
    <w:lvl w:ilvl="0">
      <w:lvlJc w:val="left"/>
      <w:lvlText w:val="•"/>
      <w:numFmt w:val="bullet"/>
      <w:start w:val="1"/>
    </w:lvl>
  </w:abstractNum>
  <w:abstractNum w:abstractNumId="7">
    <w:nsid w:val="39DF2579"/>
    <w:multiLevelType w:val="hybridMultilevel"/>
    <w:lvl w:ilvl="0">
      <w:lvlJc w:val="left"/>
      <w:lvlText w:val="•"/>
      <w:numFmt w:val="bullet"/>
      <w:start w:val="1"/>
    </w:lvl>
  </w:abstractNum>
  <w:abstractNum w:abstractNumId="8">
    <w:nsid w:val="126E008B"/>
    <w:multiLevelType w:val="hybridMultilevel"/>
    <w:lvl w:ilvl="0">
      <w:lvlJc w:val="left"/>
      <w:lvlText w:val="•"/>
      <w:numFmt w:val="bullet"/>
      <w:start w:val="1"/>
    </w:lvl>
  </w:abstractNum>
  <w:abstractNum w:abstractNumId="9">
    <w:nsid w:val="34DFBC00"/>
    <w:multiLevelType w:val="hybridMultilevel"/>
    <w:lvl w:ilvl="0">
      <w:lvlJc w:val="left"/>
      <w:lvlText w:val="•"/>
      <w:numFmt w:val="bullet"/>
      <w:start w:val="1"/>
    </w:lvl>
  </w:abstractNum>
  <w:abstractNum w:abstractNumId="10">
    <w:nsid w:val="1F9EC322"/>
    <w:multiLevelType w:val="hybridMultilevel"/>
    <w:lvl w:ilvl="0">
      <w:lvlJc w:val="left"/>
      <w:lvlText w:val="(%1)"/>
      <w:numFmt w:val="lowerRoman"/>
      <w:start w:val="1"/>
    </w:lvl>
  </w:abstractNum>
  <w:abstractNum w:abstractNumId="11">
    <w:nsid w:val="3410ED56"/>
    <w:multiLevelType w:val="hybridMultilevel"/>
    <w:lvl w:ilvl="0">
      <w:lvlJc w:val="left"/>
      <w:lvlText w:val="(%1)"/>
      <w:numFmt w:val="lowerRoman"/>
      <w:start w:val="3"/>
    </w:lvl>
  </w:abstractNum>
  <w:abstractNum w:abstractNumId="12">
    <w:nsid w:val="23C049A"/>
    <w:multiLevelType w:val="hybridMultilevel"/>
    <w:lvl w:ilvl="0">
      <w:lvlJc w:val="left"/>
      <w:lvlText w:val="•"/>
      <w:numFmt w:val="bullet"/>
      <w:start w:val="1"/>
    </w:lvl>
  </w:abstractNum>
  <w:abstractNum w:abstractNumId="13">
    <w:nsid w:val="5BDA35D4"/>
    <w:multiLevelType w:val="hybridMultilevel"/>
    <w:lvl w:ilvl="0">
      <w:lvlJc w:val="left"/>
      <w:lvlText w:val="•"/>
      <w:numFmt w:val="bullet"/>
      <w:start w:val="1"/>
    </w:lvl>
  </w:abstractNum>
  <w:abstractNum w:abstractNumId="14">
    <w:nsid w:val="496FB218"/>
    <w:multiLevelType w:val="hybridMultilevel"/>
    <w:lvl w:ilvl="0">
      <w:lvlJc w:val="left"/>
      <w:lvlText w:val="(%1)"/>
      <w:numFmt w:val="decimal"/>
      <w:start w:val="1"/>
    </w:lvl>
  </w:abstractNum>
  <w:abstractNum w:abstractNumId="15">
    <w:nsid w:val="680EA5D1"/>
    <w:multiLevelType w:val="hybridMultilevel"/>
    <w:lvl w:ilvl="0">
      <w:lvlJc w:val="left"/>
      <w:lvlText w:val="(%1)"/>
      <w:numFmt w:val="decimal"/>
      <w:start w:val="1"/>
    </w:lvl>
  </w:abstractNum>
  <w:abstractNum w:abstractNumId="16">
    <w:nsid w:val="4A9554FE"/>
    <w:multiLevelType w:val="hybridMultilevel"/>
    <w:lvl w:ilvl="0">
      <w:lvlJc w:val="left"/>
      <w:lvlText w:val="•"/>
      <w:numFmt w:val="bullet"/>
      <w:start w:val="1"/>
    </w:lvl>
  </w:abstractNum>
  <w:abstractNum w:abstractNumId="17">
    <w:nsid w:val="392EDBE4"/>
    <w:multiLevelType w:val="hybridMultilevel"/>
    <w:lvl w:ilvl="0">
      <w:lvlJc w:val="left"/>
      <w:lvlText w:val="•"/>
      <w:numFmt w:val="bullet"/>
      <w:start w:val="1"/>
    </w:lvl>
  </w:abstractNum>
  <w:abstractNum w:abstractNumId="18">
    <w:nsid w:val="3D1A2DD9"/>
    <w:multiLevelType w:val="hybridMultilevel"/>
    <w:lvl w:ilvl="0">
      <w:lvlJc w:val="left"/>
      <w:lvlText w:val="•"/>
      <w:numFmt w:val="bullet"/>
      <w:start w:val="1"/>
    </w:lvl>
  </w:abstractNum>
  <w:abstractNum w:abstractNumId="19">
    <w:nsid w:val="7F618FCD"/>
    <w:multiLevelType w:val="hybridMultilevel"/>
    <w:lvl w:ilvl="0">
      <w:lvlJc w:val="left"/>
      <w:lvlText w:val="•"/>
      <w:numFmt w:val="bullet"/>
      <w:start w:val="1"/>
    </w:lvl>
  </w:abstractNum>
  <w:abstractNum w:abstractNumId="20">
    <w:nsid w:val="7843E45"/>
    <w:multiLevelType w:val="hybridMultilevel"/>
    <w:lvl w:ilvl="0">
      <w:lvlJc w:val="left"/>
      <w:lvlText w:val="•"/>
      <w:numFmt w:val="bullet"/>
      <w:start w:val="1"/>
    </w:lvl>
  </w:abstractNum>
  <w:abstractNum w:abstractNumId="21">
    <w:nsid w:val="9815DA3"/>
    <w:multiLevelType w:val="hybridMultilevel"/>
    <w:lvl w:ilvl="0">
      <w:lvlJc w:val="left"/>
      <w:lvlText w:val="•"/>
      <w:numFmt w:val="bullet"/>
      <w:start w:val="1"/>
    </w:lvl>
  </w:abstractNum>
  <w:abstractNum w:abstractNumId="22">
    <w:nsid w:val="5204A191"/>
    <w:multiLevelType w:val="hybridMultilevel"/>
    <w:lvl w:ilvl="0">
      <w:lvlJc w:val="left"/>
      <w:lvlText w:val="•"/>
      <w:numFmt w:val="bullet"/>
      <w:start w:val="1"/>
    </w:lvl>
  </w:abstractNum>
  <w:abstractNum w:abstractNumId="23">
    <w:nsid w:val="4C73A9C6"/>
    <w:multiLevelType w:val="hybridMultilevel"/>
    <w:lvl w:ilvl="0">
      <w:lvlJc w:val="left"/>
      <w:lvlText w:val="•"/>
      <w:numFmt w:val="bullet"/>
      <w:start w:val="1"/>
    </w:lvl>
  </w:abstractNum>
  <w:abstractNum w:abstractNumId="24">
    <w:nsid w:val="1C7E3C01"/>
    <w:multiLevelType w:val="hybridMultilevel"/>
    <w:lvl w:ilvl="0">
      <w:lvlJc w:val="left"/>
      <w:lvlText w:val="•"/>
      <w:numFmt w:val="bullet"/>
      <w:start w:val="1"/>
    </w:lvl>
  </w:abstractNum>
  <w:abstractNum w:abstractNumId="25">
    <w:nsid w:val="1C2201FF"/>
    <w:multiLevelType w:val="hybridMultilevel"/>
    <w:lvl w:ilvl="0">
      <w:lvlJc w:val="left"/>
      <w:lvlText w:val="•"/>
      <w:numFmt w:val="bullet"/>
      <w:start w:val="1"/>
    </w:lvl>
  </w:abstractNum>
  <w:abstractNum w:abstractNumId="26">
    <w:nsid w:val="50ABCEC9"/>
    <w:multiLevelType w:val="hybridMultilevel"/>
    <w:lvl w:ilvl="0">
      <w:lvlJc w:val="left"/>
      <w:lvlText w:val="•"/>
      <w:numFmt w:val="bullet"/>
      <w:start w:val="1"/>
    </w:lvl>
  </w:abstractNum>
  <w:abstractNum w:abstractNumId="27">
    <w:nsid w:val="7635AA2A"/>
    <w:multiLevelType w:val="hybridMultilevel"/>
    <w:lvl w:ilvl="0">
      <w:lvlJc w:val="left"/>
      <w:lvlText w:val="•"/>
      <w:numFmt w:val="bullet"/>
      <w:start w:val="1"/>
    </w:lvl>
  </w:abstractNum>
  <w:abstractNum w:abstractNumId="28">
    <w:nsid w:val="5E74C4D9"/>
    <w:multiLevelType w:val="hybridMultilevel"/>
    <w:lvl w:ilvl="0">
      <w:lvlJc w:val="left"/>
      <w:lvlText w:val="•"/>
      <w:numFmt w:val="bullet"/>
      <w:start w:val="1"/>
    </w:lvl>
  </w:abstractNum>
  <w:abstractNum w:abstractNumId="29">
    <w:nsid w:val="3B3EBE15"/>
    <w:multiLevelType w:val="hybridMultilevel"/>
    <w:lvl w:ilvl="0">
      <w:lvlJc w:val="left"/>
      <w:lvlText w:val="•"/>
      <w:numFmt w:val="bullet"/>
      <w:start w:val="1"/>
    </w:lvl>
  </w:abstractNum>
  <w:abstractNum w:abstractNumId="30">
    <w:nsid w:val="3822CB01"/>
    <w:multiLevelType w:val="hybridMultilevel"/>
    <w:lvl w:ilvl="0">
      <w:lvlJc w:val="left"/>
      <w:lvlText w:val="•"/>
      <w:numFmt w:val="bullet"/>
      <w:start w:val="1"/>
    </w:lvl>
  </w:abstractNum>
  <w:abstractNum w:abstractNumId="31">
    <w:nsid w:val="6CE00443"/>
    <w:multiLevelType w:val="hybridMultilevel"/>
    <w:lvl w:ilvl="0">
      <w:lvlJc w:val="left"/>
      <w:lvlText w:val="•"/>
      <w:numFmt w:val="bullet"/>
      <w:start w:val="1"/>
    </w:lvl>
  </w:abstractNum>
  <w:abstractNum w:abstractNumId="32">
    <w:nsid w:val="79F0D62F"/>
    <w:multiLevelType w:val="hybridMultilevel"/>
    <w:lvl w:ilvl="0">
      <w:lvlJc w:val="left"/>
      <w:lvlText w:val="•"/>
      <w:numFmt w:val="bullet"/>
      <w:start w:val="1"/>
    </w:lvl>
  </w:abstractNum>
  <w:abstractNum w:abstractNumId="33">
    <w:nsid w:val="7975E8EE"/>
    <w:multiLevelType w:val="hybridMultilevel"/>
    <w:lvl w:ilvl="0">
      <w:lvlJc w:val="left"/>
      <w:lvlText w:val="•"/>
      <w:numFmt w:val="bullet"/>
      <w:start w:val="1"/>
    </w:lvl>
  </w:abstractNum>
  <w:abstractNum w:abstractNumId="34">
    <w:nsid w:val="73154115"/>
    <w:multiLevelType w:val="hybridMultilevel"/>
    <w:lvl w:ilvl="0">
      <w:lvlJc w:val="left"/>
      <w:lvlText w:val="•"/>
      <w:numFmt w:val="bullet"/>
      <w:start w:val="1"/>
    </w:lvl>
  </w:abstractNum>
  <w:abstractNum w:abstractNumId="35">
    <w:nsid w:val="622D8102"/>
    <w:multiLevelType w:val="hybridMultilevel"/>
    <w:lvl w:ilvl="0">
      <w:lvlJc w:val="left"/>
      <w:lvlText w:val="•"/>
      <w:numFmt w:val="bullet"/>
      <w:start w:val="1"/>
    </w:lvl>
  </w:abstractNum>
  <w:abstractNum w:abstractNumId="36">
    <w:nsid w:val="2AB26587"/>
    <w:multiLevelType w:val="hybridMultilevel"/>
    <w:lvl w:ilvl="0">
      <w:lvlJc w:val="left"/>
      <w:lvlText w:val="%"/>
      <w:numFmt w:val="bullet"/>
      <w:start w:val="1"/>
    </w:lvl>
  </w:abstractNum>
  <w:abstractNum w:abstractNumId="37">
    <w:nsid w:val="44B3FA61"/>
    <w:multiLevelType w:val="hybridMultilevel"/>
    <w:lvl w:ilvl="0">
      <w:lvlJc w:val="left"/>
      <w:lvlText w:val="$"/>
      <w:numFmt w:val="bullet"/>
      <w:start w:val="1"/>
    </w:lvl>
  </w:abstractNum>
  <w:abstractNum w:abstractNumId="38">
    <w:nsid w:val="1C0CA67C"/>
    <w:multiLevelType w:val="hybridMultilevel"/>
    <w:lvl w:ilvl="0">
      <w:lvlJc w:val="left"/>
      <w:lvlText w:val="•"/>
      <w:numFmt w:val="bullet"/>
      <w:start w:val="1"/>
    </w:lvl>
  </w:abstractNum>
  <w:abstractNum w:abstractNumId="39">
    <w:nsid w:val="3D206613"/>
    <w:multiLevelType w:val="hybridMultilevel"/>
    <w:lvl w:ilvl="0">
      <w:lvlJc w:val="left"/>
      <w:lvlText w:val="(%1)"/>
      <w:numFmt w:val="lowerRoman"/>
      <w:start w:val="3"/>
    </w:lvl>
  </w:abstractNum>
  <w:abstractNum w:abstractNumId="40">
    <w:nsid w:val="7993B662"/>
    <w:multiLevelType w:val="hybridMultilevel"/>
    <w:lvl w:ilvl="0">
      <w:lvlJc w:val="left"/>
      <w:lvlText w:val="•"/>
      <w:numFmt w:val="bullet"/>
      <w:start w:val="1"/>
    </w:lvl>
  </w:abstractNum>
  <w:abstractNum w:abstractNumId="41">
    <w:nsid w:val="3BAB699E"/>
    <w:multiLevelType w:val="hybridMultilevel"/>
    <w:lvl w:ilvl="0">
      <w:lvlJc w:val="left"/>
      <w:lvlText w:val="$"/>
      <w:numFmt w:val="bullet"/>
      <w:start w:val="1"/>
    </w:lvl>
  </w:abstractNum>
  <w:abstractNum w:abstractNumId="42">
    <w:nsid w:val="71315369"/>
    <w:multiLevelType w:val="hybridMultilevel"/>
    <w:lvl w:ilvl="0">
      <w:lvlJc w:val="left"/>
      <w:lvlText w:val="•"/>
      <w:numFmt w:val="bullet"/>
      <w:start w:val="1"/>
    </w:lvl>
  </w:abstractNum>
  <w:abstractNum w:abstractNumId="43">
    <w:nsid w:val="7BCFBAFC"/>
    <w:multiLevelType w:val="hybridMultilevel"/>
    <w:lvl w:ilvl="0">
      <w:lvlJc w:val="left"/>
      <w:lvlText w:val="•"/>
      <w:numFmt w:val="bullet"/>
      <w:start w:val="1"/>
    </w:lvl>
  </w:abstractNum>
  <w:abstractNum w:abstractNumId="44">
    <w:nsid w:val="17859F72"/>
    <w:multiLevelType w:val="hybridMultilevel"/>
    <w:lvl w:ilvl="0">
      <w:lvlJc w:val="left"/>
      <w:lvlText w:val="•"/>
      <w:numFmt w:val="bullet"/>
      <w:start w:val="1"/>
    </w:lvl>
    <w:lvl w:ilvl="1">
      <w:lvlJc w:val="left"/>
      <w:lvlText w:val="(%2)"/>
      <w:numFmt w:val="lowerRoman"/>
      <w:start w:val="1"/>
    </w:lvl>
  </w:abstractNum>
  <w:abstractNum w:abstractNumId="45">
    <w:nsid w:val="3AA10581"/>
    <w:multiLevelType w:val="hybridMultilevel"/>
    <w:lvl w:ilvl="0">
      <w:lvlJc w:val="left"/>
      <w:lvlText w:val="•"/>
      <w:numFmt w:val="bullet"/>
      <w:start w:val="1"/>
    </w:lvl>
  </w:abstractNum>
  <w:abstractNum w:abstractNumId="46">
    <w:nsid w:val="63DE60CD"/>
    <w:multiLevelType w:val="hybridMultilevel"/>
    <w:lvl w:ilvl="0">
      <w:lvlJc w:val="left"/>
      <w:lvlText w:val="•"/>
      <w:numFmt w:val="bullet"/>
      <w:start w:val="1"/>
    </w:lvl>
  </w:abstractNum>
  <w:abstractNum w:abstractNumId="47">
    <w:nsid w:val="621AF471"/>
    <w:multiLevelType w:val="hybridMultilevel"/>
    <w:lvl w:ilvl="0">
      <w:lvlJc w:val="left"/>
      <w:lvlText w:val="(%1)"/>
      <w:numFmt w:val="decimal"/>
      <w:start w:val="1"/>
    </w:lvl>
  </w:abstractNum>
  <w:abstractNum w:abstractNumId="48">
    <w:nsid w:val="73CFE165"/>
    <w:multiLevelType w:val="hybridMultilevel"/>
    <w:lvl w:ilvl="0">
      <w:lvlJc w:val="left"/>
      <w:lvlText w:val="•"/>
      <w:numFmt w:val="bullet"/>
      <w:start w:val="1"/>
    </w:lvl>
  </w:abstractNum>
  <w:abstractNum w:abstractNumId="49">
    <w:nsid w:val="20F88EA6"/>
    <w:multiLevelType w:val="hybridMultilevel"/>
    <w:lvl w:ilvl="0">
      <w:lvlJc w:val="left"/>
      <w:lvlText w:val="•"/>
      <w:numFmt w:val="bullet"/>
      <w:start w:val="1"/>
    </w:lvl>
  </w:abstractNum>
  <w:abstractNum w:abstractNumId="50">
    <w:nsid w:val="617C843E"/>
    <w:multiLevelType w:val="hybridMultilevel"/>
    <w:lvl w:ilvl="0">
      <w:lvlJc w:val="left"/>
      <w:lvlText w:val="•"/>
      <w:numFmt w:val="bullet"/>
      <w:start w:val="1"/>
    </w:lvl>
  </w:abstractNum>
  <w:abstractNum w:abstractNumId="51">
    <w:nsid w:val="7B541FAB"/>
    <w:multiLevelType w:val="hybridMultilevel"/>
    <w:lvl w:ilvl="0">
      <w:lvlJc w:val="left"/>
      <w:lvlText w:val="(%1)"/>
      <w:numFmt w:val="lowerRoman"/>
      <w:start w:val="1"/>
    </w:lvl>
  </w:abstractNum>
  <w:abstractNum w:abstractNumId="52">
    <w:nsid w:val="2A79EC49"/>
    <w:multiLevelType w:val="hybridMultilevel"/>
    <w:lvl w:ilvl="0">
      <w:lvlJc w:val="left"/>
      <w:lvlText w:val="(%1)"/>
      <w:numFmt w:val="decimal"/>
      <w:start w:val="1"/>
    </w:lvl>
  </w:abstractNum>
  <w:abstractNum w:abstractNumId="53">
    <w:nsid w:val="338125CF"/>
    <w:multiLevelType w:val="hybridMultilevel"/>
    <w:lvl w:ilvl="0">
      <w:lvlJc w:val="left"/>
      <w:lvlText w:val="(%1)"/>
      <w:numFmt w:val="decimal"/>
      <w:start w:val="1"/>
    </w:lvl>
  </w:abstractNum>
  <w:abstractNum w:abstractNumId="54">
    <w:nsid w:val="47C7C971"/>
    <w:multiLevelType w:val="hybridMultilevel"/>
    <w:lvl w:ilvl="0">
      <w:lvlJc w:val="left"/>
      <w:lvlText w:val="(%1)"/>
      <w:numFmt w:val="lowerRoman"/>
      <w:start w:val="1"/>
    </w:lvl>
  </w:abstractNum>
  <w:abstractNum w:abstractNumId="55">
    <w:nsid w:val="46F8284B"/>
    <w:multiLevelType w:val="hybridMultilevel"/>
    <w:lvl w:ilvl="0">
      <w:lvlJc w:val="left"/>
      <w:lvlText w:val="(%1)"/>
      <w:numFmt w:val="decimal"/>
      <w:start w:val="1"/>
    </w:lvl>
  </w:abstractNum>
  <w:abstractNum w:abstractNumId="56">
    <w:nsid w:val="4FA327CE"/>
    <w:multiLevelType w:val="hybridMultilevel"/>
    <w:lvl w:ilvl="0">
      <w:lvlJc w:val="left"/>
      <w:lvlText w:val="•"/>
      <w:numFmt w:val="bullet"/>
      <w:start w:val="1"/>
    </w:lvl>
  </w:abstractNum>
  <w:abstractNum w:abstractNumId="57">
    <w:nsid w:val="1873983A"/>
    <w:multiLevelType w:val="hybridMultilevel"/>
    <w:lvl w:ilvl="0">
      <w:lvlJc w:val="left"/>
      <w:lvlText w:val="•"/>
      <w:numFmt w:val="bullet"/>
      <w:start w:val="1"/>
    </w:lvl>
  </w:abstractNum>
  <w:abstractNum w:abstractNumId="58">
    <w:nsid w:val="3D2DD275"/>
    <w:multiLevelType w:val="hybridMultilevel"/>
    <w:lvl w:ilvl="0">
      <w:lvlJc w:val="left"/>
      <w:lvlText w:val="•"/>
      <w:numFmt w:val="bullet"/>
      <w:start w:val="1"/>
    </w:lvl>
    <w:lvl w:ilvl="1">
      <w:lvlJc w:val="left"/>
      <w:lvlText w:val="•"/>
      <w:numFmt w:val="bullet"/>
      <w:start w:val="1"/>
    </w:lvl>
  </w:abstractNum>
  <w:abstractNum w:abstractNumId="59">
    <w:nsid w:val="2E17ECA7"/>
    <w:multiLevelType w:val="hybridMultilevel"/>
    <w:lvl w:ilvl="0">
      <w:lvlJc w:val="left"/>
      <w:lvlText w:val="•"/>
      <w:numFmt w:val="bullet"/>
      <w:start w:val="1"/>
    </w:lvl>
    <w:lvl w:ilvl="1">
      <w:lvlJc w:val="left"/>
      <w:lvlText w:val="•"/>
      <w:numFmt w:val="bullet"/>
      <w:start w:val="1"/>
    </w:lvl>
  </w:abstractNum>
  <w:abstractNum w:abstractNumId="60">
    <w:nsid w:val="53B2564F"/>
    <w:multiLevelType w:val="hybridMultilevel"/>
    <w:lvl w:ilvl="0">
      <w:lvlJc w:val="left"/>
      <w:lvlText w:val="•"/>
      <w:numFmt w:val="bullet"/>
      <w:start w:val="1"/>
    </w:lvl>
  </w:abstractNum>
  <w:abstractNum w:abstractNumId="61">
    <w:nsid w:val="75509D76"/>
    <w:multiLevelType w:val="hybridMultilevel"/>
    <w:lvl w:ilvl="0">
      <w:lvlJc w:val="left"/>
      <w:lvlText w:val="•"/>
      <w:numFmt w:val="bullet"/>
      <w:start w:val="1"/>
    </w:lvl>
  </w:abstractNum>
  <w:abstractNum w:abstractNumId="62">
    <w:nsid w:val="1AF7F0EA"/>
    <w:multiLevelType w:val="hybridMultilevel"/>
    <w:lvl w:ilvl="0">
      <w:lvlJc w:val="left"/>
      <w:lvlText w:val="•"/>
      <w:numFmt w:val="bullet"/>
      <w:start w:val="1"/>
    </w:lvl>
  </w:abstractNum>
  <w:abstractNum w:abstractNumId="63">
    <w:nsid w:val="4DA32C7E"/>
    <w:multiLevelType w:val="hybridMultilevel"/>
    <w:lvl w:ilvl="0">
      <w:lvlJc w:val="left"/>
      <w:lvlText w:val="•"/>
      <w:numFmt w:val="bullet"/>
      <w:start w:val="1"/>
    </w:lvl>
  </w:abstractNum>
  <w:abstractNum w:abstractNumId="64">
    <w:nsid w:val="6EC68664"/>
    <w:multiLevelType w:val="hybridMultilevel"/>
    <w:lvl w:ilvl="0">
      <w:lvlJc w:val="left"/>
      <w:lvlText w:val="•"/>
      <w:numFmt w:val="bullet"/>
      <w:start w:val="1"/>
    </w:lvl>
    <w:lvl w:ilvl="1">
      <w:lvlJc w:val="left"/>
      <w:lvlText w:val="•"/>
      <w:numFmt w:val="bullet"/>
      <w:start w:val="1"/>
    </w:lvl>
  </w:abstractNum>
  <w:abstractNum w:abstractNumId="65">
    <w:nsid w:val="E0D31FF"/>
    <w:multiLevelType w:val="hybridMultilevel"/>
    <w:lvl w:ilvl="0">
      <w:lvlJc w:val="left"/>
      <w:lvlText w:val="•"/>
      <w:numFmt w:val="bullet"/>
      <w:start w:val="1"/>
    </w:lvl>
  </w:abstractNum>
  <w:abstractNum w:abstractNumId="66">
    <w:nsid w:val="2FD0AD81"/>
    <w:multiLevelType w:val="hybridMultilevel"/>
    <w:lvl w:ilvl="0">
      <w:lvlJc w:val="left"/>
      <w:lvlText w:val="•"/>
      <w:numFmt w:val="bullet"/>
      <w:start w:val="1"/>
    </w:lvl>
  </w:abstractNum>
  <w:abstractNum w:abstractNumId="67">
    <w:nsid w:val="1978EBEB"/>
    <w:multiLevelType w:val="hybridMultilevel"/>
    <w:lvl w:ilvl="0">
      <w:lvlJc w:val="left"/>
      <w:lvlText w:val="•"/>
      <w:numFmt w:val="bullet"/>
      <w:start w:val="1"/>
    </w:lvl>
  </w:abstractNum>
  <w:abstractNum w:abstractNumId="68">
    <w:nsid w:val="52C12C61"/>
    <w:multiLevelType w:val="hybridMultilevel"/>
    <w:lvl w:ilvl="0">
      <w:lvlJc w:val="left"/>
      <w:lvlText w:val="•"/>
      <w:numFmt w:val="bullet"/>
      <w:start w:val="1"/>
    </w:lvl>
    <w:lvl w:ilvl="1">
      <w:lvlJc w:val="left"/>
      <w:lvlText w:val="•"/>
      <w:numFmt w:val="bullet"/>
      <w:start w:val="1"/>
    </w:lvl>
  </w:abstractNum>
  <w:abstractNum w:abstractNumId="69">
    <w:nsid w:val="4BDD53FD"/>
    <w:multiLevelType w:val="hybridMultilevel"/>
    <w:lvl w:ilvl="0">
      <w:lvlJc w:val="left"/>
      <w:lvlText w:val="•"/>
      <w:numFmt w:val="bullet"/>
      <w:start w:val="1"/>
    </w:lvl>
    <w:lvl w:ilvl="1">
      <w:lvlJc w:val="left"/>
      <w:lvlText w:val="•"/>
      <w:numFmt w:val="bullet"/>
      <w:start w:val="1"/>
    </w:lvl>
  </w:abstractNum>
  <w:abstractNum w:abstractNumId="70">
    <w:nsid w:val="569951FE"/>
    <w:multiLevelType w:val="hybridMultilevel"/>
    <w:lvl w:ilvl="0">
      <w:lvlJc w:val="left"/>
      <w:lvlText w:val="•"/>
      <w:numFmt w:val="bullet"/>
      <w:start w:val="1"/>
    </w:lvl>
  </w:abstractNum>
  <w:abstractNum w:abstractNumId="71">
    <w:nsid w:val="4C54E2C3"/>
    <w:multiLevelType w:val="hybridMultilevel"/>
    <w:lvl w:ilvl="0">
      <w:lvlJc w:val="left"/>
      <w:lvlText w:val="•"/>
      <w:numFmt w:val="bullet"/>
      <w:start w:val="1"/>
    </w:lvl>
  </w:abstractNum>
  <w:abstractNum w:abstractNumId="72">
    <w:nsid w:val="788BD9B"/>
    <w:multiLevelType w:val="hybridMultilevel"/>
    <w:lvl w:ilvl="0">
      <w:lvlJc w:val="left"/>
      <w:lvlText w:val="•"/>
      <w:numFmt w:val="bullet"/>
      <w:start w:val="1"/>
    </w:lvl>
  </w:abstractNum>
  <w:abstractNum w:abstractNumId="73">
    <w:nsid w:val="47CAA567"/>
    <w:multiLevelType w:val="hybridMultilevel"/>
    <w:lvl w:ilvl="0">
      <w:lvlJc w:val="left"/>
      <w:lvlText w:val="•"/>
      <w:numFmt w:val="bullet"/>
      <w:start w:val="1"/>
    </w:lvl>
  </w:abstractNum>
  <w:abstractNum w:abstractNumId="74">
    <w:nsid w:val="48249DBF"/>
    <w:multiLevelType w:val="hybridMultilevel"/>
    <w:lvl w:ilvl="0">
      <w:lvlJc w:val="left"/>
      <w:lvlText w:val="•"/>
      <w:numFmt w:val="bullet"/>
      <w:start w:val="1"/>
    </w:lvl>
  </w:abstractNum>
  <w:abstractNum w:abstractNumId="75">
    <w:nsid w:val="1F0E5D0D"/>
    <w:multiLevelType w:val="hybridMultilevel"/>
    <w:lvl w:ilvl="0">
      <w:lvlJc w:val="left"/>
      <w:lvlText w:val="•"/>
      <w:numFmt w:val="bullet"/>
      <w:start w:val="1"/>
    </w:lvl>
  </w:abstractNum>
  <w:abstractNum w:abstractNumId="76">
    <w:nsid w:val="26BAAE9"/>
    <w:multiLevelType w:val="hybridMultilevel"/>
    <w:lvl w:ilvl="0">
      <w:lvlJc w:val="left"/>
      <w:lvlText w:val="•"/>
      <w:numFmt w:val="bullet"/>
      <w:start w:val="1"/>
    </w:lvl>
  </w:abstractNum>
  <w:abstractNum w:abstractNumId="77">
    <w:nsid w:val="2C02FE8C"/>
    <w:multiLevelType w:val="hybridMultilevel"/>
    <w:lvl w:ilvl="0">
      <w:lvlJc w:val="left"/>
      <w:lvlText w:val="•"/>
      <w:numFmt w:val="bullet"/>
      <w:start w:val="1"/>
    </w:lvl>
  </w:abstractNum>
  <w:abstractNum w:abstractNumId="78">
    <w:nsid w:val="129517E"/>
    <w:multiLevelType w:val="hybridMultilevel"/>
    <w:lvl w:ilvl="0">
      <w:lvlJc w:val="left"/>
      <w:lvlText w:val="•"/>
      <w:numFmt w:val="bullet"/>
      <w:start w:val="1"/>
    </w:lvl>
  </w:abstractNum>
  <w:abstractNum w:abstractNumId="79">
    <w:nsid w:val="763B8C4E"/>
    <w:multiLevelType w:val="hybridMultilevel"/>
    <w:lvl w:ilvl="0">
      <w:lvlJc w:val="left"/>
      <w:lvlText w:val="•"/>
      <w:numFmt w:val="bullet"/>
      <w:start w:val="1"/>
    </w:lvl>
  </w:abstractNum>
  <w:abstractNum w:abstractNumId="80">
    <w:nsid w:val="4CFB8D32"/>
    <w:multiLevelType w:val="hybridMultilevel"/>
    <w:lvl w:ilvl="0">
      <w:lvlJc w:val="left"/>
      <w:lvlText w:val="•"/>
      <w:numFmt w:val="bullet"/>
      <w:start w:val="1"/>
    </w:lvl>
  </w:abstractNum>
  <w:abstractNum w:abstractNumId="81">
    <w:nsid w:val="62A5D5BD"/>
    <w:multiLevelType w:val="hybridMultilevel"/>
    <w:lvl w:ilvl="0">
      <w:lvlJc w:val="left"/>
      <w:lvlText w:val="•"/>
      <w:numFmt w:val="bullet"/>
      <w:start w:val="1"/>
    </w:lvl>
  </w:abstractNum>
  <w:abstractNum w:abstractNumId="82">
    <w:nsid w:val="718FABF9"/>
    <w:multiLevelType w:val="hybridMultilevel"/>
    <w:lvl w:ilvl="0">
      <w:lvlJc w:val="left"/>
      <w:lvlText w:val="&amp;"/>
      <w:numFmt w:val="bullet"/>
      <w:start w:val="1"/>
    </w:lvl>
  </w:abstractNum>
  <w:abstractNum w:abstractNumId="83">
    <w:nsid w:val="7775797C"/>
    <w:multiLevelType w:val="hybridMultilevel"/>
    <w:lvl w:ilvl="0">
      <w:lvlJc w:val="left"/>
      <w:lvlText w:val="•"/>
      <w:numFmt w:val="bullet"/>
      <w:start w:val="1"/>
    </w:lvl>
  </w:abstractNum>
  <w:abstractNum w:abstractNumId="84">
    <w:nsid w:val="1626FB8C"/>
    <w:multiLevelType w:val="hybridMultilevel"/>
    <w:lvl w:ilvl="0">
      <w:lvlJc w:val="left"/>
      <w:lvlText w:val="•"/>
      <w:numFmt w:val="bullet"/>
      <w:start w:val="1"/>
    </w:lvl>
  </w:abstractNum>
  <w:abstractNum w:abstractNumId="85">
    <w:nsid w:val="3957756A"/>
    <w:multiLevelType w:val="hybridMultilevel"/>
    <w:lvl w:ilvl="0">
      <w:lvlJc w:val="left"/>
      <w:lvlText w:val="•"/>
      <w:numFmt w:val="bullet"/>
      <w:start w:val="1"/>
    </w:lvl>
  </w:abstractNum>
  <w:abstractNum w:abstractNumId="86">
    <w:nsid w:val="3E6DA1C7"/>
    <w:multiLevelType w:val="hybridMultilevel"/>
    <w:lvl w:ilvl="0">
      <w:lvlJc w:val="left"/>
      <w:lvlText w:val="•"/>
      <w:numFmt w:val="bullet"/>
      <w:start w:val="1"/>
    </w:lvl>
  </w:abstractNum>
  <w:abstractNum w:abstractNumId="87">
    <w:nsid w:val="65CA235B"/>
    <w:multiLevelType w:val="hybridMultilevel"/>
    <w:lvl w:ilvl="0">
      <w:lvlJc w:val="left"/>
      <w:lvlText w:val="•"/>
      <w:numFmt w:val="bullet"/>
      <w:start w:val="1"/>
    </w:lvl>
  </w:abstractNum>
  <w:abstractNum w:abstractNumId="88">
    <w:nsid w:val="51CB0DA4"/>
    <w:multiLevelType w:val="hybridMultilevel"/>
    <w:lvl w:ilvl="0">
      <w:lvlJc w:val="left"/>
      <w:lvlText w:val="•"/>
      <w:numFmt w:val="bullet"/>
      <w:start w:val="1"/>
    </w:lvl>
  </w:abstractNum>
  <w:abstractNum w:abstractNumId="89">
    <w:nsid w:val="7B9B743C"/>
    <w:multiLevelType w:val="hybridMultilevel"/>
    <w:lvl w:ilvl="0">
      <w:lvlJc w:val="left"/>
      <w:lvlText w:val="•"/>
      <w:numFmt w:val="bullet"/>
      <w:start w:val="1"/>
    </w:lvl>
  </w:abstractNum>
  <w:abstractNum w:abstractNumId="90">
    <w:nsid w:val="13E21002"/>
    <w:multiLevelType w:val="hybridMultilevel"/>
    <w:lvl w:ilvl="0">
      <w:lvlJc w:val="left"/>
      <w:lvlText w:val="•"/>
      <w:numFmt w:val="bullet"/>
      <w:start w:val="1"/>
    </w:lvl>
  </w:abstractNum>
  <w:abstractNum w:abstractNumId="91">
    <w:nsid w:val="257D63F4"/>
    <w:multiLevelType w:val="hybridMultilevel"/>
    <w:lvl w:ilvl="0">
      <w:lvlJc w:val="left"/>
      <w:lvlText w:val="•"/>
      <w:numFmt w:val="bullet"/>
      <w:start w:val="1"/>
    </w:lvl>
  </w:abstractNum>
  <w:abstractNum w:abstractNumId="92">
    <w:nsid w:val="70EC11B2"/>
    <w:multiLevelType w:val="hybridMultilevel"/>
    <w:lvl w:ilvl="0">
      <w:lvlJc w:val="left"/>
      <w:lvlText w:val="•"/>
      <w:numFmt w:val="bullet"/>
      <w:start w:val="1"/>
    </w:lvl>
  </w:abstractNum>
  <w:abstractNum w:abstractNumId="93">
    <w:nsid w:val="2EDA00ED"/>
    <w:multiLevelType w:val="hybridMultilevel"/>
    <w:lvl w:ilvl="0">
      <w:lvlJc w:val="left"/>
      <w:lvlText w:val="•"/>
      <w:numFmt w:val="bullet"/>
      <w:start w:val="1"/>
    </w:lvl>
  </w:abstractNum>
  <w:abstractNum w:abstractNumId="94">
    <w:nsid w:val="73209072"/>
    <w:multiLevelType w:val="hybridMultilevel"/>
    <w:lvl w:ilvl="0">
      <w:lvlJc w:val="left"/>
      <w:lvlText w:val="*"/>
      <w:numFmt w:val="bullet"/>
      <w:start w:val="1"/>
    </w:lvl>
  </w:abstractNum>
  <w:abstractNum w:abstractNumId="95">
    <w:nsid w:val="5FB29816"/>
    <w:multiLevelType w:val="hybridMultilevel"/>
    <w:lvl w:ilvl="0">
      <w:lvlJc w:val="left"/>
      <w:lvlText w:val="(%1)"/>
      <w:numFmt w:val="decimal"/>
      <w:start w:val="1"/>
    </w:lvl>
  </w:abstractNum>
  <w:abstractNum w:abstractNumId="96">
    <w:nsid w:val="3CE732EC"/>
    <w:multiLevelType w:val="hybridMultilevel"/>
    <w:lvl w:ilvl="0">
      <w:lvlJc w:val="left"/>
      <w:lvlText w:val="(%1)"/>
      <w:numFmt w:val="decimal"/>
      <w:start w:val="1"/>
    </w:lvl>
  </w:abstractNum>
  <w:abstractNum w:abstractNumId="97">
    <w:nsid w:val="22F13DF3"/>
    <w:multiLevelType w:val="hybridMultilevel"/>
    <w:lvl w:ilvl="0">
      <w:lvlJc w:val="left"/>
      <w:lvlText w:val="%"/>
      <w:numFmt w:val="bullet"/>
      <w:start w:val="1"/>
    </w:lvl>
  </w:abstractNum>
  <w:abstractNum w:abstractNumId="98">
    <w:nsid w:val="792B8401"/>
    <w:multiLevelType w:val="hybridMultilevel"/>
    <w:lvl w:ilvl="0">
      <w:lvlJc w:val="left"/>
      <w:lvlText w:val="•"/>
      <w:numFmt w:val="bullet"/>
      <w:start w:val="1"/>
    </w:lvl>
  </w:abstractNum>
  <w:abstractNum w:abstractNumId="99">
    <w:nsid w:val="FA85F4D"/>
    <w:multiLevelType w:val="hybridMultilevel"/>
    <w:lvl w:ilvl="0">
      <w:lvlJc w:val="left"/>
      <w:lvlText w:val="•"/>
      <w:numFmt w:val="bullet"/>
      <w:start w:val="1"/>
    </w:lvl>
  </w:abstractNum>
  <w:abstractNum w:abstractNumId="100">
    <w:nsid w:val="6ECE91F0"/>
    <w:multiLevelType w:val="hybridMultilevel"/>
    <w:lvl w:ilvl="0">
      <w:lvlJc w:val="left"/>
      <w:lvlText w:val="•"/>
      <w:numFmt w:val="bullet"/>
      <w:start w:val="1"/>
    </w:lvl>
  </w:abstractNum>
  <w:abstractNum w:abstractNumId="101">
    <w:nsid w:val="4FC4D600"/>
    <w:multiLevelType w:val="hybridMultilevel"/>
    <w:lvl w:ilvl="0">
      <w:lvlJc w:val="left"/>
      <w:lvlText w:val="•"/>
      <w:numFmt w:val="bullet"/>
      <w:start w:val="1"/>
    </w:lvl>
  </w:abstractNum>
  <w:abstractNum w:abstractNumId="102">
    <w:nsid w:val="5BFD4210"/>
    <w:multiLevelType w:val="hybridMultilevel"/>
    <w:lvl w:ilvl="0">
      <w:lvlJc w:val="left"/>
      <w:lvlText w:val="•"/>
      <w:numFmt w:val="bullet"/>
      <w:start w:val="1"/>
    </w:lvl>
  </w:abstractNum>
  <w:abstractNum w:abstractNumId="103">
    <w:nsid w:val="76574F8B"/>
    <w:multiLevelType w:val="hybridMultilevel"/>
    <w:lvl w:ilvl="0">
      <w:lvlJc w:val="left"/>
      <w:lvlText w:val="•"/>
      <w:numFmt w:val="bullet"/>
      <w:start w:val="1"/>
    </w:lvl>
  </w:abstractNum>
  <w:abstractNum w:abstractNumId="104">
    <w:nsid w:val="178F7B67"/>
    <w:multiLevelType w:val="hybridMultilevel"/>
    <w:lvl w:ilvl="0">
      <w:lvlJc w:val="left"/>
      <w:lvlText w:val="•"/>
      <w:numFmt w:val="bullet"/>
      <w:start w:val="1"/>
    </w:lvl>
  </w:abstractNum>
  <w:abstractNum w:abstractNumId="105">
    <w:nsid w:val="2421DFCF"/>
    <w:multiLevelType w:val="hybridMultilevel"/>
    <w:lvl w:ilvl="0">
      <w:lvlJc w:val="left"/>
      <w:lvlText w:val="•"/>
      <w:numFmt w:val="bullet"/>
      <w:start w:val="1"/>
    </w:lvl>
  </w:abstractNum>
  <w:abstractNum w:abstractNumId="106">
    <w:nsid w:val="1565AC99"/>
    <w:multiLevelType w:val="hybridMultilevel"/>
    <w:lvl w:ilvl="0">
      <w:lvlJc w:val="left"/>
      <w:lvlText w:val="•"/>
      <w:numFmt w:val="bullet"/>
      <w:start w:val="1"/>
    </w:lvl>
  </w:abstractNum>
  <w:abstractNum w:abstractNumId="107">
    <w:nsid w:val="19FB2650"/>
    <w:multiLevelType w:val="hybridMultilevel"/>
    <w:lvl w:ilvl="0">
      <w:lvlJc w:val="left"/>
      <w:lvlText w:val="•"/>
      <w:numFmt w:val="bullet"/>
      <w:start w:val="1"/>
    </w:lvl>
  </w:abstractNum>
  <w:abstractNum w:abstractNumId="108">
    <w:nsid w:val="5024DE5B"/>
    <w:multiLevelType w:val="hybridMultilevel"/>
    <w:lvl w:ilvl="0">
      <w:lvlJc w:val="left"/>
      <w:lvlText w:val="•"/>
      <w:numFmt w:val="bullet"/>
      <w:start w:val="1"/>
    </w:lvl>
  </w:abstractNum>
  <w:abstractNum w:abstractNumId="109">
    <w:nsid w:val="168EFE17"/>
    <w:multiLevelType w:val="hybridMultilevel"/>
    <w:lvl w:ilvl="0">
      <w:lvlJc w:val="left"/>
      <w:lvlText w:val="•"/>
      <w:numFmt w:val="bullet"/>
      <w:start w:val="1"/>
    </w:lvl>
  </w:abstractNum>
  <w:abstractNum w:abstractNumId="110">
    <w:nsid w:val="1036B29F"/>
    <w:multiLevelType w:val="hybridMultilevel"/>
    <w:lvl w:ilvl="0">
      <w:lvlJc w:val="left"/>
      <w:lvlText w:val="•"/>
      <w:numFmt w:val="bullet"/>
      <w:start w:val="1"/>
    </w:lvl>
  </w:abstractNum>
  <w:abstractNum w:abstractNumId="111">
    <w:nsid w:val="1D206B8E"/>
    <w:multiLevelType w:val="hybridMultilevel"/>
    <w:lvl w:ilvl="0">
      <w:lvlJc w:val="left"/>
      <w:lvlText w:val="•"/>
      <w:numFmt w:val="bullet"/>
      <w:start w:val="1"/>
    </w:lvl>
  </w:abstractNum>
  <w:abstractNum w:abstractNumId="112">
    <w:nsid w:val="7934D3D4"/>
    <w:multiLevelType w:val="hybridMultilevel"/>
    <w:lvl w:ilvl="0">
      <w:lvlJc w:val="left"/>
      <w:lvlText w:val="•"/>
      <w:numFmt w:val="bullet"/>
      <w:start w:val="1"/>
    </w:lvl>
  </w:abstractNum>
  <w:abstractNum w:abstractNumId="113">
    <w:nsid w:val="1C65E98"/>
    <w:multiLevelType w:val="hybridMultilevel"/>
    <w:lvl w:ilvl="0">
      <w:lvlJc w:val="left"/>
      <w:lvlText w:val="•"/>
      <w:numFmt w:val="bullet"/>
      <w:start w:val="1"/>
    </w:lvl>
  </w:abstractNum>
  <w:abstractNum w:abstractNumId="114">
    <w:nsid w:val="1495E50A"/>
    <w:multiLevelType w:val="hybridMultilevel"/>
    <w:lvl w:ilvl="0">
      <w:lvlJc w:val="left"/>
      <w:lvlText w:val="•"/>
      <w:numFmt w:val="bullet"/>
      <w:start w:val="1"/>
    </w:lvl>
  </w:abstractNum>
  <w:abstractNum w:abstractNumId="115">
    <w:nsid w:val="F5BCF61"/>
    <w:multiLevelType w:val="hybridMultilevel"/>
    <w:lvl w:ilvl="0">
      <w:lvlJc w:val="left"/>
      <w:lvlText w:val="•"/>
      <w:numFmt w:val="bullet"/>
      <w:start w:val="1"/>
    </w:lvl>
  </w:abstractNum>
  <w:abstractNum w:abstractNumId="116">
    <w:nsid w:val="3B1DD403"/>
    <w:multiLevelType w:val="hybridMultilevel"/>
    <w:lvl w:ilvl="0">
      <w:lvlJc w:val="left"/>
      <w:lvlText w:val="•"/>
      <w:numFmt w:val="bullet"/>
      <w:start w:val="1"/>
    </w:lvl>
  </w:abstractNum>
  <w:abstractNum w:abstractNumId="117">
    <w:nsid w:val="530386D1"/>
    <w:multiLevelType w:val="hybridMultilevel"/>
    <w:lvl w:ilvl="0">
      <w:lvlJc w:val="left"/>
      <w:lvlText w:val="•"/>
      <w:numFmt w:val="bullet"/>
      <w:start w:val="1"/>
    </w:lvl>
  </w:abstractNum>
  <w:abstractNum w:abstractNumId="118">
    <w:nsid w:val="7525F2BC"/>
    <w:multiLevelType w:val="hybridMultilevel"/>
    <w:lvl w:ilvl="0">
      <w:lvlJc w:val="left"/>
      <w:lvlText w:val="•"/>
      <w:numFmt w:val="bullet"/>
      <w:start w:val="1"/>
    </w:lvl>
  </w:abstractNum>
  <w:abstractNum w:abstractNumId="119">
    <w:nsid w:val="CE8E1A7"/>
    <w:multiLevelType w:val="hybridMultilevel"/>
    <w:lvl w:ilvl="0">
      <w:lvlJc w:val="left"/>
      <w:lvlText w:val="•"/>
      <w:numFmt w:val="bullet"/>
      <w:start w:val="1"/>
    </w:lvl>
    <w:lvl w:ilvl="1">
      <w:lvlJc w:val="left"/>
      <w:lvlText w:val="•"/>
      <w:numFmt w:val="bullet"/>
      <w:start w:val="1"/>
    </w:lvl>
  </w:abstractNum>
  <w:abstractNum w:abstractNumId="120">
    <w:nsid w:val="4E9EFB0D"/>
    <w:multiLevelType w:val="hybridMultilevel"/>
    <w:lvl w:ilvl="0">
      <w:lvlJc w:val="left"/>
      <w:lvlText w:val="•"/>
      <w:numFmt w:val="bullet"/>
      <w:start w:val="1"/>
    </w:lvl>
    <w:lvl w:ilvl="1">
      <w:lvlJc w:val="left"/>
      <w:lvlText w:val="•"/>
      <w:numFmt w:val="bullet"/>
      <w:start w:val="1"/>
    </w:lvl>
  </w:abstractNum>
  <w:abstractNum w:abstractNumId="121">
    <w:nsid w:val="90802BE"/>
    <w:multiLevelType w:val="hybridMultilevel"/>
    <w:lvl w:ilvl="0">
      <w:lvlJc w:val="left"/>
      <w:lvlText w:val="•"/>
      <w:numFmt w:val="bullet"/>
      <w:start w:val="1"/>
    </w:lvl>
  </w:abstractNum>
  <w:abstractNum w:abstractNumId="122">
    <w:nsid w:val="3266459B"/>
    <w:multiLevelType w:val="hybridMultilevel"/>
    <w:lvl w:ilvl="0">
      <w:lvlJc w:val="left"/>
      <w:lvlText w:val="•"/>
      <w:numFmt w:val="bullet"/>
      <w:start w:val="1"/>
    </w:lvl>
  </w:abstractNum>
  <w:abstractNum w:abstractNumId="123">
    <w:nsid w:val="3F8B0CBF"/>
    <w:multiLevelType w:val="hybridMultilevel"/>
    <w:lvl w:ilvl="0">
      <w:lvlJc w:val="left"/>
      <w:lvlText w:val="•"/>
      <w:numFmt w:val="bullet"/>
      <w:start w:val="1"/>
    </w:lvl>
  </w:abstractNum>
  <w:abstractNum w:abstractNumId="124">
    <w:nsid w:val="37E203AB"/>
    <w:multiLevelType w:val="hybridMultilevel"/>
    <w:lvl w:ilvl="0">
      <w:lvlJc w:val="left"/>
      <w:lvlText w:val="•"/>
      <w:numFmt w:val="bullet"/>
      <w:start w:val="1"/>
    </w:lvl>
  </w:abstractNum>
  <w:abstractNum w:abstractNumId="125">
    <w:nsid w:val="2586D60E"/>
    <w:multiLevelType w:val="hybridMultilevel"/>
    <w:lvl w:ilvl="0">
      <w:lvlJc w:val="left"/>
      <w:lvlText w:val="•"/>
      <w:numFmt w:val="bullet"/>
      <w:start w:val="1"/>
    </w:lvl>
  </w:abstractNum>
  <w:abstractNum w:abstractNumId="126">
    <w:nsid w:val="1F3DA4D5"/>
    <w:multiLevelType w:val="hybridMultilevel"/>
    <w:lvl w:ilvl="0">
      <w:lvlJc w:val="left"/>
      <w:lvlText w:val="(%1)"/>
      <w:numFmt w:val="lowerRoman"/>
      <w:start w:val="1"/>
    </w:lvl>
  </w:abstractNum>
  <w:abstractNum w:abstractNumId="127">
    <w:nsid w:val="74C93698"/>
    <w:multiLevelType w:val="hybridMultilevel"/>
    <w:lvl w:ilvl="0">
      <w:lvlJc w:val="left"/>
      <w:lvlText w:val="•"/>
      <w:numFmt w:val="bullet"/>
      <w:start w:val="1"/>
    </w:lvl>
  </w:abstractNum>
  <w:abstractNum w:abstractNumId="128">
    <w:nsid w:val="48781401"/>
    <w:multiLevelType w:val="hybridMultilevel"/>
    <w:lvl w:ilvl="0">
      <w:lvlJc w:val="left"/>
      <w:lvlText w:val="•"/>
      <w:numFmt w:val="bullet"/>
      <w:start w:val="1"/>
    </w:lvl>
  </w:abstractNum>
  <w:abstractNum w:abstractNumId="129">
    <w:nsid w:val="186928D6"/>
    <w:multiLevelType w:val="hybridMultilevel"/>
    <w:lvl w:ilvl="0">
      <w:lvlJc w:val="left"/>
      <w:lvlText w:val="•"/>
      <w:numFmt w:val="bullet"/>
      <w:start w:val="1"/>
    </w:lvl>
  </w:abstractNum>
  <w:abstractNum w:abstractNumId="130">
    <w:nsid w:val="47195E5"/>
    <w:multiLevelType w:val="hybridMultilevel"/>
    <w:lvl w:ilvl="0">
      <w:lvlJc w:val="left"/>
      <w:lvlText w:val="%1."/>
      <w:numFmt w:val="decimal"/>
      <w:start w:val="1"/>
    </w:lvl>
  </w:abstractNum>
  <w:abstractNum w:abstractNumId="131">
    <w:nsid w:val="3746A5F2"/>
    <w:multiLevelType w:val="hybridMultilevel"/>
    <w:lvl w:ilvl="0">
      <w:lvlJc w:val="left"/>
      <w:lvlText w:val="%1."/>
      <w:numFmt w:val="decimal"/>
      <w:start w:val="2"/>
    </w:lvl>
  </w:abstractNum>
  <w:abstractNum w:abstractNumId="132">
    <w:nsid w:val="682DFED6"/>
    <w:multiLevelType w:val="hybridMultilevel"/>
    <w:lvl w:ilvl="0">
      <w:lvlJc w:val="left"/>
      <w:lvlText w:val="(%1)"/>
      <w:numFmt w:val="lowerRoman"/>
      <w:start w:val="1"/>
    </w:lvl>
  </w:abstractNum>
  <w:abstractNum w:abstractNumId="133">
    <w:nsid w:val="606ED7F6"/>
    <w:multiLevelType w:val="hybridMultilevel"/>
    <w:lvl w:ilvl="0">
      <w:lvlJc w:val="left"/>
      <w:lvlText w:val="%1."/>
      <w:numFmt w:val="decimal"/>
      <w:start w:val="4"/>
    </w:lvl>
  </w:abstractNum>
  <w:abstractNum w:abstractNumId="134">
    <w:nsid w:val="2D9DF57D"/>
    <w:multiLevelType w:val="hybridMultilevel"/>
    <w:lvl w:ilvl="0">
      <w:lvlJc w:val="left"/>
      <w:lvlText w:val="%1."/>
      <w:numFmt w:val="decimal"/>
      <w:start w:val="5"/>
    </w:lvl>
  </w:abstractNum>
  <w:abstractNum w:abstractNumId="135">
    <w:nsid w:val="7FBD7A3E"/>
    <w:multiLevelType w:val="hybridMultilevel"/>
    <w:lvl w:ilvl="0">
      <w:lvlJc w:val="left"/>
      <w:lvlText w:val="%1."/>
      <w:numFmt w:val="decimal"/>
      <w:start w:val="6"/>
    </w:lvl>
  </w:abstractNum>
  <w:abstractNum w:abstractNumId="136">
    <w:nsid w:val="490B7C5"/>
    <w:multiLevelType w:val="hybridMultilevel"/>
    <w:lvl w:ilvl="0">
      <w:lvlJc w:val="left"/>
      <w:lvlText w:val="%1."/>
      <w:numFmt w:val="decimal"/>
      <w:start w:val="7"/>
    </w:lvl>
  </w:abstractNum>
  <w:abstractNum w:abstractNumId="137">
    <w:nsid w:val="4303A216"/>
    <w:multiLevelType w:val="hybridMultilevel"/>
    <w:lvl w:ilvl="0">
      <w:lvlJc w:val="left"/>
      <w:lvlText w:val="%1."/>
      <w:numFmt w:val="decimal"/>
      <w:start w:val="8"/>
    </w:lvl>
  </w:abstractNum>
  <w:abstractNum w:abstractNumId="138">
    <w:nsid w:val="19B8A08E"/>
    <w:multiLevelType w:val="hybridMultilevel"/>
    <w:lvl w:ilvl="0">
      <w:lvlJc w:val="left"/>
      <w:lvlText w:val="%1."/>
      <w:numFmt w:val="decimal"/>
      <w:start w:val="1"/>
    </w:lvl>
  </w:abstractNum>
  <w:abstractNum w:abstractNumId="139">
    <w:nsid w:val="54B59621"/>
    <w:multiLevelType w:val="hybridMultilevel"/>
    <w:lvl w:ilvl="0">
      <w:lvlJc w:val="left"/>
      <w:lvlText w:val="%1."/>
      <w:numFmt w:val="decimal"/>
      <w:start w:val="2"/>
    </w:lvl>
  </w:abstractNum>
  <w:abstractNum w:abstractNumId="140">
    <w:nsid w:val="5992A02E"/>
    <w:multiLevelType w:val="hybridMultilevel"/>
    <w:lvl w:ilvl="0">
      <w:lvlJc w:val="left"/>
      <w:lvlText w:val="(%1)"/>
      <w:numFmt w:val="lowerRoman"/>
      <w:start w:val="1"/>
    </w:lvl>
  </w:abstractNum>
  <w:abstractNum w:abstractNumId="141">
    <w:nsid w:val="29EF532D"/>
    <w:multiLevelType w:val="hybridMultilevel"/>
    <w:lvl w:ilvl="0">
      <w:lvlJc w:val="left"/>
      <w:lvlText w:val="(%1)"/>
      <w:numFmt w:val="lowerRoman"/>
      <w:start w:val="3"/>
    </w:lvl>
  </w:abstractNum>
  <w:abstractNum w:abstractNumId="142">
    <w:nsid w:val="71D601AF"/>
    <w:multiLevelType w:val="hybridMultilevel"/>
    <w:lvl w:ilvl="0">
      <w:lvlJc w:val="left"/>
      <w:lvlText w:val="%1."/>
      <w:numFmt w:val="decimal"/>
      <w:start w:val="3"/>
    </w:lvl>
  </w:abstractNum>
  <w:abstractNum w:abstractNumId="143">
    <w:nsid w:val="52C77402"/>
    <w:multiLevelType w:val="hybridMultilevel"/>
    <w:lvl w:ilvl="0">
      <w:lvlJc w:val="left"/>
      <w:lvlText w:val="•"/>
      <w:numFmt w:val="bullet"/>
      <w:start w:val="1"/>
    </w:lvl>
  </w:abstractNum>
  <w:abstractNum w:abstractNumId="144">
    <w:nsid w:val="2BB5B1C6"/>
    <w:multiLevelType w:val="hybridMultilevel"/>
    <w:lvl w:ilvl="0">
      <w:lvlJc w:val="left"/>
      <w:lvlText w:val="%1."/>
      <w:numFmt w:val="decimal"/>
      <w:start w:val="6"/>
    </w:lvl>
  </w:abstractNum>
  <w:abstractNum w:abstractNumId="145">
    <w:nsid w:val="66BE6B9"/>
    <w:multiLevelType w:val="hybridMultilevel"/>
    <w:lvl w:ilvl="0">
      <w:lvlJc w:val="left"/>
      <w:lvlText w:val="%1."/>
      <w:numFmt w:val="decimal"/>
      <w:start w:val="9"/>
    </w:lvl>
  </w:abstractNum>
  <w:abstractNum w:abstractNumId="146">
    <w:nsid w:val="62234363"/>
    <w:multiLevelType w:val="hybridMultilevel"/>
    <w:lvl w:ilvl="0">
      <w:lvlJc w:val="left"/>
      <w:lvlText w:val="%1."/>
      <w:numFmt w:val="decimal"/>
      <w:start w:val="12"/>
    </w:lvl>
  </w:abstractNum>
  <w:abstractNum w:abstractNumId="147">
    <w:nsid w:val="66D385C9"/>
    <w:multiLevelType w:val="hybridMultilevel"/>
    <w:lvl w:ilvl="0">
      <w:lvlJc w:val="left"/>
      <w:lvlText w:val="%1."/>
      <w:numFmt w:val="decimal"/>
      <w:start w:val="13"/>
    </w:lvl>
  </w:abstractNum>
  <w:abstractNum w:abstractNumId="148">
    <w:nsid w:val="596F6D8A"/>
    <w:multiLevelType w:val="hybridMultilevel"/>
    <w:lvl w:ilvl="0">
      <w:lvlJc w:val="left"/>
      <w:lvlText w:val="%1."/>
      <w:numFmt w:val="decimal"/>
      <w:start w:val="15"/>
    </w:lvl>
  </w:abstractNum>
  <w:abstractNum w:abstractNumId="149">
    <w:nsid w:val="5749361F"/>
    <w:multiLevelType w:val="hybridMultilevel"/>
    <w:lvl w:ilvl="0">
      <w:lvlJc w:val="left"/>
      <w:lvlText w:val="%1."/>
      <w:numFmt w:val="decimal"/>
      <w:start w:val="16"/>
    </w:lvl>
  </w:abstractNum>
  <w:abstractNum w:abstractNumId="150">
    <w:nsid w:val="73BC6770"/>
    <w:multiLevelType w:val="hybridMultilevel"/>
    <w:lvl w:ilvl="0">
      <w:lvlJc w:val="left"/>
      <w:lvlText w:val="%1."/>
      <w:numFmt w:val="decimal"/>
      <w:start w:val="19"/>
    </w:lvl>
  </w:abstractNum>
  <w:abstractNum w:abstractNumId="151">
    <w:nsid w:val="280E6897"/>
    <w:multiLevelType w:val="hybridMultilevel"/>
    <w:lvl w:ilvl="0">
      <w:lvlJc w:val="left"/>
      <w:lvlText w:val="%1."/>
      <w:numFmt w:val="decimal"/>
      <w:start w:val="20"/>
    </w:lvl>
  </w:abstractNum>
  <w:abstractNum w:abstractNumId="152">
    <w:nsid w:val="605138DE"/>
    <w:multiLevelType w:val="hybridMultilevel"/>
    <w:lvl w:ilvl="0">
      <w:lvlJc w:val="left"/>
      <w:lvlText w:val="%1."/>
      <w:numFmt w:val="decimal"/>
      <w:start w:val="21"/>
    </w:lvl>
  </w:abstractNum>
  <w:abstractNum w:abstractNumId="153">
    <w:nsid w:val="2622AD0C"/>
    <w:multiLevelType w:val="hybridMultilevel"/>
    <w:lvl w:ilvl="0">
      <w:lvlJc w:val="left"/>
      <w:lvlText w:val="%1."/>
      <w:numFmt w:val="decimal"/>
      <w:start w:val="22"/>
    </w:lvl>
  </w:abstractNum>
  <w:abstractNum w:abstractNumId="154">
    <w:nsid w:val="67997556"/>
    <w:multiLevelType w:val="hybridMultilevel"/>
    <w:lvl w:ilvl="0">
      <w:lvlJc w:val="left"/>
      <w:lvlText w:val="%1."/>
      <w:numFmt w:val="decimal"/>
      <w:start w:val="23"/>
    </w:lvl>
  </w:abstractNum>
  <w:abstractNum w:abstractNumId="155">
    <w:nsid w:val="18333C89"/>
    <w:multiLevelType w:val="hybridMultilevel"/>
    <w:lvl w:ilvl="0">
      <w:lvlJc w:val="left"/>
      <w:lvlText w:val="%1."/>
      <w:numFmt w:val="decimal"/>
      <w:start w:val="1"/>
    </w:lvl>
  </w:abstractNum>
  <w:abstractNum w:abstractNumId="156">
    <w:nsid w:val="4BA9831A"/>
    <w:multiLevelType w:val="hybridMultilevel"/>
    <w:lvl w:ilvl="0">
      <w:lvlJc w:val="left"/>
      <w:lvlText w:val="%1."/>
      <w:numFmt w:val="decimal"/>
      <w:start w:val="7"/>
    </w:lvl>
  </w:abstractNum>
  <w:abstractNum w:abstractNumId="157">
    <w:nsid w:val="6D71A2B"/>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58">
    <w:nsid w:val="CFC7321"/>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59">
    <w:nsid w:val="1421971B"/>
    <w:multiLevelType w:val="hybridMultilevel"/>
    <w:lvl w:ilvl="0">
      <w:lvlJc w:val="left"/>
      <w:lvlText w:val="#"/>
      <w:numFmt w:val="bullet"/>
      <w:start w:val="1"/>
    </w:lvl>
  </w:abstractNum>
  <w:abstractNum w:abstractNumId="160">
    <w:nsid w:val="1F404301"/>
    <w:multiLevelType w:val="hybridMultilevel"/>
    <w:lvl w:ilvl="0">
      <w:lvlJc w:val="left"/>
      <w:lvlText w:val="%1."/>
      <w:numFmt w:val="decimal"/>
      <w:start w:val="1"/>
    </w:lvl>
    <w:lvl w:ilvl="1">
      <w:lvlJc w:val="left"/>
      <w:lvlText w:val="(%2)"/>
      <w:numFmt w:val="lowerLetter"/>
      <w:start w:val="1"/>
    </w:lvl>
  </w:abstractNum>
  <w:abstractNum w:abstractNumId="161">
    <w:nsid w:val="116E0907"/>
    <w:multiLevelType w:val="hybridMultilevel"/>
    <w:lvl w:ilvl="0">
      <w:lvlJc w:val="left"/>
      <w:lvlText w:val="%1"/>
      <w:numFmt w:val="lowerLetter"/>
      <w:start w:val="1"/>
    </w:lvl>
    <w:lvl w:ilvl="1">
      <w:lvlJc w:val="left"/>
      <w:lvlText w:val="(%2)"/>
      <w:numFmt w:val="lowerLetter"/>
      <w:start w:val="2"/>
    </w:lvl>
  </w:abstractNum>
  <w:abstractNum w:abstractNumId="162">
    <w:nsid w:val="4B683D0D"/>
    <w:multiLevelType w:val="hybridMultilevel"/>
    <w:lvl w:ilvl="0">
      <w:lvlJc w:val="left"/>
      <w:lvlText w:val="(%1)"/>
      <w:numFmt w:val="lowerLetter"/>
      <w:start w:val="9"/>
    </w:lvl>
    <w:lvl w:ilvl="1">
      <w:lvlJc w:val="left"/>
      <w:lvlText w:val="(%2)"/>
      <w:numFmt w:val="lowerLetter"/>
      <w:start w:val="3"/>
    </w:lvl>
  </w:abstractNum>
  <w:abstractNum w:abstractNumId="163">
    <w:nsid w:val="76E41D8"/>
    <w:multiLevelType w:val="hybridMultilevel"/>
    <w:lvl w:ilvl="0">
      <w:lvlJc w:val="left"/>
      <w:lvlText w:val="%1"/>
      <w:numFmt w:val="lowerLetter"/>
      <w:start w:val="1"/>
    </w:lvl>
    <w:lvl w:ilvl="1">
      <w:lvlJc w:val="left"/>
      <w:lvlText w:val="(%2)"/>
      <w:numFmt w:val="lowerLetter"/>
      <w:start w:val="5"/>
    </w:lvl>
  </w:abstractNum>
  <w:abstractNum w:abstractNumId="164">
    <w:nsid w:val="71DCE0FD"/>
    <w:multiLevelType w:val="hybridMultilevel"/>
    <w:lvl w:ilvl="0">
      <w:lvlJc w:val="left"/>
      <w:lvlText w:val="(%1)"/>
      <w:numFmt w:val="lowerLetter"/>
      <w:start w:val="35"/>
    </w:lvl>
    <w:lvl w:ilvl="1">
      <w:lvlJc w:val="left"/>
      <w:lvlText w:val="(%2)"/>
      <w:numFmt w:val="lowerLetter"/>
      <w:start w:val="6"/>
    </w:lvl>
  </w:abstractNum>
  <w:abstractNum w:abstractNumId="165">
    <w:nsid w:val="7906328B"/>
    <w:multiLevelType w:val="hybridMultilevel"/>
    <w:lvl w:ilvl="0">
      <w:lvlJc w:val="left"/>
      <w:lvlText w:val="(%1)"/>
      <w:numFmt w:val="lowerLetter"/>
      <w:start w:val="10"/>
    </w:lvl>
  </w:abstractNum>
  <w:abstractNum w:abstractNumId="166">
    <w:nsid w:val="72BBC16"/>
    <w:multiLevelType w:val="hybridMultilevel"/>
    <w:lvl w:ilvl="0">
      <w:lvlJc w:val="left"/>
      <w:lvlText w:val="%1"/>
      <w:numFmt w:val="lowerRoman"/>
      <w:start w:val="1"/>
    </w:lvl>
    <w:lvl w:ilvl="1">
      <w:lvlJc w:val="left"/>
      <w:lvlText w:val="(%2)"/>
      <w:numFmt w:val="lowerLetter"/>
      <w:start w:val="16"/>
    </w:lvl>
  </w:abstractNum>
  <w:abstractNum w:abstractNumId="167">
    <w:nsid w:val="766D98C2"/>
    <w:multiLevelType w:val="hybridMultilevel"/>
    <w:lvl w:ilvl="0">
      <w:lvlJc w:val="left"/>
      <w:lvlText w:val="(%1)"/>
      <w:numFmt w:val="lowerRoman"/>
      <w:start w:val="3"/>
    </w:lvl>
    <w:lvl w:ilvl="1">
      <w:lvlJc w:val="left"/>
      <w:lvlText w:val="%2"/>
      <w:numFmt w:val="lowerLetter"/>
      <w:start w:val="1"/>
    </w:lvl>
  </w:abstractNum>
  <w:abstractNum w:abstractNumId="168">
    <w:nsid w:val="3C09D4A1"/>
    <w:multiLevelType w:val="hybridMultilevel"/>
    <w:lvl w:ilvl="0">
      <w:lvlJc w:val="left"/>
      <w:lvlText w:val="(%1)"/>
      <w:numFmt w:val="lowerLetter"/>
      <w:start w:val="20"/>
    </w:lvl>
  </w:abstractNum>
  <w:abstractNum w:abstractNumId="169">
    <w:nsid w:val="20E45CA4"/>
    <w:multiLevelType w:val="hybridMultilevel"/>
    <w:lvl w:ilvl="0">
      <w:lvlJc w:val="left"/>
      <w:lvlText w:val="(%1)"/>
      <w:numFmt w:val="lowerLetter"/>
      <w:start w:val="25"/>
    </w:lvl>
  </w:abstractNum>
  <w:abstractNum w:abstractNumId="170">
    <w:nsid w:val="4B232EE3"/>
    <w:multiLevelType w:val="hybridMultilevel"/>
    <w:lvl w:ilvl="0">
      <w:lvlJc w:val="left"/>
      <w:lvlText w:val="(%1)"/>
      <w:numFmt w:val="lowerLetter"/>
      <w:start w:val="27"/>
    </w:lvl>
  </w:abstractNum>
  <w:abstractNum w:abstractNumId="171">
    <w:nsid w:val="159C74CF"/>
    <w:multiLevelType w:val="hybridMultilevel"/>
    <w:lvl w:ilvl="0">
      <w:lvlJc w:val="left"/>
      <w:lvlText w:val="(%1)"/>
      <w:numFmt w:val="lowerLetter"/>
      <w:start w:val="33"/>
    </w:lvl>
    <w:lvl w:ilvl="1">
      <w:lvlJc w:val="left"/>
      <w:lvlText w:val="(%2)"/>
      <w:numFmt w:val="lowerRoman"/>
      <w:start w:val="1"/>
    </w:lvl>
  </w:abstractNum>
  <w:abstractNum w:abstractNumId="172">
    <w:nsid w:val="4AD3AFD2"/>
    <w:multiLevelType w:val="hybridMultilevel"/>
    <w:lvl w:ilvl="0">
      <w:lvlJc w:val="left"/>
      <w:lvlText w:val="(%1)"/>
      <w:numFmt w:val="lowerLetter"/>
      <w:start w:val="36"/>
    </w:lvl>
  </w:abstractNum>
  <w:abstractNum w:abstractNumId="173">
    <w:nsid w:val="3CF93092"/>
    <w:multiLevelType w:val="hybridMultilevel"/>
    <w:lvl w:ilvl="0">
      <w:lvlJc w:val="left"/>
      <w:lvlText w:val="%1"/>
      <w:numFmt w:val="decimal"/>
      <w:start w:val="1"/>
    </w:lvl>
    <w:lvl w:ilvl="1">
      <w:lvlJc w:val="left"/>
      <w:lvlText w:val="(%2)"/>
      <w:numFmt w:val="lowerLetter"/>
      <w:start w:val="40"/>
    </w:lvl>
  </w:abstractNum>
  <w:abstractNum w:abstractNumId="174">
    <w:nsid w:val="6863E8D2"/>
    <w:multiLevelType w:val="hybridMultilevel"/>
    <w:lvl w:ilvl="0">
      <w:lvlJc w:val="left"/>
      <w:lvlText w:val="%1."/>
      <w:numFmt w:val="decimal"/>
      <w:start w:val="3"/>
    </w:lvl>
    <w:lvl w:ilvl="1">
      <w:lvlJc w:val="left"/>
      <w:lvlText w:val="%2"/>
      <w:numFmt w:val="lowerLetter"/>
      <w:start w:val="1"/>
    </w:lvl>
  </w:abstractNum>
  <w:abstractNum w:abstractNumId="175">
    <w:nsid w:val="7689619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6">
    <w:nsid w:val="4365174B"/>
    <w:multiLevelType w:val="hybridMultilevel"/>
    <w:lvl w:ilvl="0">
      <w:lvlJc w:val="left"/>
      <w:lvlText w:val="(%1)"/>
      <w:numFmt w:val="lowerRoman"/>
      <w:start w:val="2"/>
    </w:lvl>
  </w:abstractNum>
  <w:abstractNum w:abstractNumId="177">
    <w:nsid w:val="4A872C35"/>
    <w:multiLevelType w:val="hybridMultilevel"/>
    <w:lvl w:ilvl="0">
      <w:lvlJc w:val="left"/>
      <w:lvlText w:val="(%1)"/>
      <w:numFmt w:val="lowerLetter"/>
      <w:start w:val="4"/>
    </w:lvl>
    <w:lvl w:ilvl="1">
      <w:lvlJc w:val="left"/>
      <w:lvlText w:val="(%2)"/>
      <w:numFmt w:val="lowerRoman"/>
      <w:start w:val="1"/>
    </w:lvl>
  </w:abstractNum>
  <w:abstractNum w:abstractNumId="178">
    <w:nsid w:val="5D5CE761"/>
    <w:multiLevelType w:val="hybridMultilevel"/>
    <w:lvl w:ilvl="0">
      <w:lvlJc w:val="left"/>
      <w:lvlText w:val="%1."/>
      <w:numFmt w:val="decimal"/>
      <w:start w:val="5"/>
    </w:lvl>
  </w:abstractNum>
  <w:abstractNum w:abstractNumId="179">
    <w:nsid w:val="1CD484D5"/>
    <w:multiLevelType w:val="hybridMultilevel"/>
    <w:lvl w:ilvl="0">
      <w:lvlJc w:val="left"/>
      <w:lvlText w:val="(%1)"/>
      <w:numFmt w:val="lowerLetter"/>
      <w:start w:val="1"/>
    </w:lvl>
    <w:lvl w:ilvl="1">
      <w:lvlJc w:val="left"/>
      <w:lvlText w:val="(%2)"/>
      <w:numFmt w:val="lowerRoman"/>
      <w:start w:val="1"/>
    </w:lvl>
  </w:abstractNum>
  <w:abstractNum w:abstractNumId="180">
    <w:nsid w:val="21D06255"/>
    <w:multiLevelType w:val="hybridMultilevel"/>
    <w:lvl w:ilvl="0">
      <w:lvlJc w:val="left"/>
      <w:lvlText w:val="(%1)"/>
      <w:numFmt w:val="lowerLetter"/>
      <w:start w:val="3"/>
    </w:lvl>
    <w:lvl w:ilvl="1">
      <w:lvlJc w:val="left"/>
      <w:lvlText w:val="(%2)"/>
      <w:numFmt w:val="lowerRoman"/>
      <w:start w:val="1"/>
    </w:lvl>
  </w:abstractNum>
  <w:abstractNum w:abstractNumId="181">
    <w:nsid w:val="51194ED1"/>
    <w:multiLevelType w:val="hybridMultilevel"/>
    <w:lvl w:ilvl="0">
      <w:lvlJc w:val="left"/>
      <w:lvlText w:val="%1."/>
      <w:numFmt w:val="decimal"/>
      <w:start w:val="6"/>
    </w:lvl>
  </w:abstractNum>
  <w:abstractNum w:abstractNumId="182">
    <w:nsid w:val="44E2ED6C"/>
    <w:multiLevelType w:val="hybridMultilevel"/>
    <w:lvl w:ilvl="0">
      <w:lvlJc w:val="left"/>
      <w:lvlText w:val="(%1)"/>
      <w:numFmt w:val="lowerLetter"/>
      <w:start w:val="1"/>
    </w:lvl>
  </w:abstractNum>
  <w:abstractNum w:abstractNumId="183">
    <w:nsid w:val="2219B33"/>
    <w:multiLevelType w:val="hybridMultilevel"/>
    <w:lvl w:ilvl="0">
      <w:lvlJc w:val="left"/>
      <w:lvlText w:val="(%1)"/>
      <w:numFmt w:val="lowerLetter"/>
      <w:start w:val="4"/>
    </w:lvl>
  </w:abstractNum>
  <w:abstractNum w:abstractNumId="184">
    <w:nsid w:val="773BFBDD"/>
    <w:multiLevelType w:val="hybridMultilevel"/>
    <w:lvl w:ilvl="0">
      <w:lvlJc w:val="left"/>
      <w:lvlText w:val="(%1)"/>
      <w:numFmt w:val="lowerLetter"/>
      <w:start w:val="9"/>
    </w:lvl>
  </w:abstractNum>
  <w:abstractNum w:abstractNumId="185">
    <w:nsid w:val="2C7C62C2"/>
    <w:multiLevelType w:val="hybridMultilevel"/>
    <w:lvl w:ilvl="0">
      <w:lvlJc w:val="left"/>
      <w:lvlText w:val="(%1)"/>
      <w:numFmt w:val="lowerRoman"/>
      <w:start w:val="6"/>
    </w:lvl>
  </w:abstractNum>
  <w:abstractNum w:abstractNumId="186">
    <w:nsid w:val="1A54D7BC"/>
    <w:multiLevelType w:val="hybridMultilevel"/>
    <w:lvl w:ilvl="0">
      <w:lvlJc w:val="left"/>
      <w:lvlText w:val="%1"/>
      <w:numFmt w:val="decimal"/>
      <w:start w:val="1"/>
    </w:lvl>
    <w:lvl w:ilvl="1">
      <w:lvlJc w:val="left"/>
      <w:lvlText w:val="(%2)"/>
      <w:numFmt w:val="lowerLetter"/>
      <w:start w:val="12"/>
    </w:lvl>
  </w:abstractNum>
  <w:abstractNum w:abstractNumId="187">
    <w:nsid w:val="42E57EF7"/>
    <w:multiLevelType w:val="hybridMultilevel"/>
    <w:lvl w:ilvl="0">
      <w:lvlJc w:val="left"/>
      <w:lvlText w:val="%1."/>
      <w:numFmt w:val="decimal"/>
      <w:start w:val="8"/>
    </w:lvl>
    <w:lvl w:ilvl="1">
      <w:lvlJc w:val="left"/>
      <w:lvlText w:val="%2"/>
      <w:numFmt w:val="lowerLetter"/>
      <w:start w:val="1"/>
    </w:lvl>
  </w:abstractNum>
  <w:abstractNum w:abstractNumId="188">
    <w:nsid w:val="33537CED"/>
    <w:multiLevelType w:val="hybridMultilevel"/>
    <w:lvl w:ilvl="0">
      <w:lvlJc w:val="left"/>
      <w:lvlText w:val="%1."/>
      <w:numFmt w:val="decimal"/>
      <w:start w:val="9"/>
    </w:lvl>
    <w:lvl w:ilvl="1">
      <w:lvlJc w:val="left"/>
      <w:lvlText w:val="(%2)"/>
      <w:numFmt w:val="lowerLetter"/>
      <w:start w:val="1"/>
    </w:lvl>
  </w:abstractNum>
  <w:abstractNum w:abstractNumId="189">
    <w:nsid w:val="27514ADE"/>
    <w:multiLevelType w:val="hybridMultilevel"/>
    <w:lvl w:ilvl="0">
      <w:lvlJc w:val="left"/>
      <w:lvlText w:val="(%1)"/>
      <w:numFmt w:val="lowerLetter"/>
      <w:start w:val="7"/>
    </w:lvl>
  </w:abstractNum>
  <w:abstractNum w:abstractNumId="190">
    <w:nsid w:val="57071613"/>
    <w:multiLevelType w:val="hybridMultilevel"/>
    <w:lvl w:ilvl="0">
      <w:lvlJc w:val="left"/>
      <w:lvlText w:val="%1."/>
      <w:numFmt w:val="decimal"/>
      <w:start w:val="10"/>
    </w:lvl>
    <w:lvl w:ilvl="1">
      <w:lvlJc w:val="left"/>
      <w:lvlText w:val="(%2)"/>
      <w:numFmt w:val="lowerLetter"/>
      <w:start w:val="1"/>
    </w:lvl>
  </w:abstractNum>
  <w:abstractNum w:abstractNumId="191">
    <w:nsid w:val="5293BFEF"/>
    <w:multiLevelType w:val="hybridMultilevel"/>
    <w:lvl w:ilvl="0">
      <w:lvlJc w:val="left"/>
      <w:lvlText w:val="(%1)"/>
      <w:numFmt w:val="lowerLetter"/>
      <w:start w:val="2"/>
    </w:lvl>
  </w:abstractNum>
  <w:abstractNum w:abstractNumId="192">
    <w:nsid w:val="38BF53E5"/>
    <w:multiLevelType w:val="hybridMultilevel"/>
    <w:lvl w:ilvl="0">
      <w:lvlJc w:val="left"/>
      <w:lvlText w:val="(%1)"/>
      <w:numFmt w:val="lowerLetter"/>
      <w:start w:val="4"/>
    </w:lvl>
  </w:abstractNum>
  <w:abstractNum w:abstractNumId="193">
    <w:nsid w:val="226F5320"/>
    <w:multiLevelType w:val="hybridMultilevel"/>
    <w:lvl w:ilvl="0">
      <w:lvlJc w:val="left"/>
      <w:lvlText w:val="%1."/>
      <w:numFmt w:val="decimal"/>
      <w:start w:val="11"/>
    </w:lvl>
  </w:abstractNum>
  <w:abstractNum w:abstractNumId="194">
    <w:nsid w:val="5A0201C7"/>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95">
    <w:nsid w:val="2A9C34E2"/>
    <w:multiLevelType w:val="hybridMultilevel"/>
    <w:lvl w:ilvl="0">
      <w:lvlJc w:val="left"/>
      <w:lvlText w:val="%1"/>
      <w:numFmt w:val="lowerLetter"/>
      <w:start w:val="1"/>
    </w:lvl>
    <w:lvl w:ilvl="1">
      <w:lvlJc w:val="left"/>
      <w:lvlText w:val="(%2)"/>
      <w:numFmt w:val="lowerLetter"/>
      <w:start w:val="35"/>
    </w:lvl>
  </w:abstractNum>
  <w:abstractNum w:abstractNumId="196">
    <w:nsid w:val="1B7585AB"/>
    <w:multiLevelType w:val="hybridMultilevel"/>
    <w:lvl w:ilvl="0">
      <w:lvlJc w:val="left"/>
      <w:lvlText w:val="(%1)"/>
      <w:numFmt w:val="lowerLetter"/>
      <w:start w:val="4"/>
    </w:lvl>
    <w:lvl w:ilvl="1">
      <w:lvlJc w:val="left"/>
      <w:lvlText w:val="(%2)"/>
      <w:numFmt w:val="lowerLetter"/>
      <w:start w:val="9"/>
    </w:lvl>
  </w:abstractNum>
  <w:abstractNum w:abstractNumId="197">
    <w:nsid w:val="612DBDDD"/>
    <w:multiLevelType w:val="hybridMultilevel"/>
    <w:lvl w:ilvl="0">
      <w:lvlJc w:val="left"/>
      <w:lvlText w:val="%1"/>
      <w:numFmt w:val="lowerLetter"/>
      <w:start w:val="1"/>
    </w:lvl>
    <w:lvl w:ilvl="1">
      <w:lvlJc w:val="left"/>
      <w:lvlText w:val="(%2)"/>
      <w:numFmt w:val="lowerRoman"/>
      <w:start w:val="2"/>
    </w:lvl>
  </w:abstractNum>
  <w:abstractNum w:abstractNumId="198">
    <w:nsid w:val="2109CDA4"/>
    <w:multiLevelType w:val="hybridMultilevel"/>
    <w:lvl w:ilvl="0">
      <w:lvlJc w:val="left"/>
      <w:lvlText w:val="(%1)"/>
      <w:numFmt w:val="lowerLetter"/>
      <w:start w:val="5"/>
    </w:lvl>
    <w:lvl w:ilvl="1">
      <w:lvlJc w:val="left"/>
      <w:lvlText w:val="(%2)"/>
      <w:numFmt w:val="lowerRoman"/>
      <w:start w:val="1"/>
    </w:lvl>
  </w:abstractNum>
  <w:abstractNum w:abstractNumId="199">
    <w:nsid w:val="577F5A4D"/>
    <w:multiLevelType w:val="hybridMultilevel"/>
    <w:lvl w:ilvl="0">
      <w:lvlJc w:val="left"/>
      <w:lvlText w:val="%1"/>
      <w:numFmt w:val="lowerLetter"/>
      <w:start w:val="1"/>
    </w:lvl>
    <w:lvl w:ilvl="1">
      <w:lvlJc w:val="left"/>
      <w:lvlText w:val="(%2)"/>
      <w:numFmt w:val="lowerLetter"/>
      <w:start w:val="61"/>
    </w:lvl>
  </w:abstractNum>
  <w:abstractNum w:abstractNumId="200">
    <w:nsid w:val="2121A81"/>
    <w:multiLevelType w:val="hybridMultilevel"/>
    <w:lvl w:ilvl="0">
      <w:lvlJc w:val="left"/>
      <w:lvlText w:val="(%1)"/>
      <w:numFmt w:val="lowerLetter"/>
      <w:start w:val="6"/>
    </w:lvl>
    <w:lvl w:ilvl="1">
      <w:lvlJc w:val="left"/>
      <w:lvlText w:val="(%2)"/>
      <w:numFmt w:val="lowerLetter"/>
      <w:start w:val="9"/>
    </w:lvl>
  </w:abstractNum>
  <w:abstractNum w:abstractNumId="201">
    <w:nsid w:val="6C2CFC8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02">
    <w:nsid w:val="6D1BCF1C"/>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203">
    <w:nsid w:val="4CE5CA53"/>
    <w:multiLevelType w:val="hybridMultilevel"/>
    <w:lvl w:ilvl="0">
      <w:lvlJc w:val="left"/>
      <w:lvlText w:val="%1"/>
      <w:numFmt w:val="decimal"/>
      <w:start w:val="1"/>
    </w:lvl>
    <w:lvl w:ilvl="1">
      <w:lvlJc w:val="left"/>
      <w:lvlText w:val="(%2)"/>
      <w:numFmt w:val="lowerLetter"/>
      <w:start w:val="3"/>
    </w:lvl>
  </w:abstractNum>
  <w:abstractNum w:abstractNumId="204">
    <w:nsid w:val="29262D1A"/>
    <w:multiLevelType w:val="hybridMultilevel"/>
    <w:lvl w:ilvl="0">
      <w:lvlJc w:val="left"/>
      <w:lvlText w:val="%1."/>
      <w:numFmt w:val="decimal"/>
      <w:start w:val="20"/>
    </w:lvl>
    <w:lvl w:ilvl="1">
      <w:lvlJc w:val="left"/>
      <w:lvlText w:val="%2"/>
      <w:numFmt w:val="lowerLetter"/>
      <w:start w:val="1"/>
    </w:lvl>
  </w:abstractNum>
  <w:abstractNum w:abstractNumId="205">
    <w:nsid w:val="557FB7EE"/>
    <w:multiLevelType w:val="hybridMultilevel"/>
    <w:lvl w:ilvl="0">
      <w:lvlJc w:val="left"/>
      <w:lvlText w:val="%1."/>
      <w:numFmt w:val="decimal"/>
      <w:start w:val="21"/>
    </w:lvl>
  </w:abstractNum>
  <w:abstractNum w:abstractNumId="206">
    <w:nsid w:val="436F2BEB"/>
    <w:multiLevelType w:val="hybridMultilevel"/>
    <w:lvl w:ilvl="0">
      <w:lvlJc w:val="left"/>
      <w:lvlText w:val="%1."/>
      <w:numFmt w:val="decimal"/>
      <w:start w:val="1"/>
    </w:lvl>
    <w:lvl w:ilvl="1">
      <w:lvlJc w:val="left"/>
      <w:lvlText w:val="%2."/>
      <w:numFmt w:val="decimal"/>
      <w:start w:val="1"/>
    </w:lvl>
  </w:abstractNum>
  <w:abstractNum w:abstractNumId="207">
    <w:nsid w:val="6C8B4466"/>
    <w:multiLevelType w:val="hybridMultilevel"/>
    <w:lvl w:ilvl="0">
      <w:lvlJc w:val="left"/>
      <w:lvlText w:val="%1"/>
      <w:numFmt w:val="decimal"/>
      <w:start w:val="1"/>
    </w:lvl>
    <w:lvl w:ilvl="1">
      <w:lvlJc w:val="left"/>
      <w:lvlText w:val="%2."/>
      <w:numFmt w:val="decimal"/>
      <w:start w:val="2"/>
    </w:lvl>
  </w:abstractNum>
  <w:abstractNum w:abstractNumId="208">
    <w:nsid w:val="2006E424"/>
    <w:multiLevelType w:val="hybridMultilevel"/>
    <w:lvl w:ilvl="0">
      <w:lvlJc w:val="left"/>
      <w:lvlText w:val="(%1)"/>
      <w:numFmt w:val="lowerLetter"/>
      <w:start w:val="1"/>
    </w:lvl>
  </w:abstractNum>
  <w:abstractNum w:abstractNumId="209">
    <w:nsid w:val="20CC134C"/>
    <w:multiLevelType w:val="hybridMultilevel"/>
    <w:lvl w:ilvl="0">
      <w:lvlJc w:val="left"/>
      <w:lvlText w:val="(%1)"/>
      <w:numFmt w:val="lowerLetter"/>
      <w:start w:val="2"/>
    </w:lvl>
    <w:lvl w:ilvl="1">
      <w:lvlJc w:val="left"/>
      <w:lvlText w:val="(%2)"/>
      <w:numFmt w:val="lowerRoman"/>
      <w:start w:val="1"/>
    </w:lvl>
  </w:abstractNum>
  <w:abstractNum w:abstractNumId="210">
    <w:nsid w:val="95FC93B"/>
    <w:multiLevelType w:val="hybridMultilevel"/>
    <w:lvl w:ilvl="0">
      <w:lvlJc w:val="left"/>
      <w:lvlText w:val="(%1)"/>
      <w:numFmt w:val="lowerLetter"/>
      <w:start w:val="4"/>
    </w:lvl>
  </w:abstractNum>
  <w:abstractNum w:abstractNumId="211">
    <w:nsid w:val="41D74679"/>
    <w:multiLevelType w:val="hybridMultilevel"/>
    <w:lvl w:ilvl="0">
      <w:lvlJc w:val="left"/>
      <w:lvlText w:val="(%1)"/>
      <w:numFmt w:val="lowerLetter"/>
      <w:start w:val="1"/>
    </w:lvl>
  </w:abstractNum>
  <w:abstractNum w:abstractNumId="212">
    <w:nsid w:val="71E5621E"/>
    <w:multiLevelType w:val="hybridMultilevel"/>
    <w:lvl w:ilvl="0">
      <w:lvlJc w:val="left"/>
      <w:lvlText w:val="%1."/>
      <w:numFmt w:val="upperLetter"/>
      <w:start w:val="9"/>
    </w:lvl>
  </w:abstractNum>
  <w:abstractNum w:abstractNumId="213">
    <w:nsid w:val="4E42B6A8"/>
    <w:multiLevelType w:val="hybridMultilevel"/>
    <w:lvl w:ilvl="0">
      <w:lvlJc w:val="left"/>
      <w:lvlText w:val="%1."/>
      <w:numFmt w:val="upperLetter"/>
      <w:start w:val="9"/>
    </w:lvl>
  </w:abstractNum>
  <w:abstractNum w:abstractNumId="214">
    <w:nsid w:val="43F8E1AC"/>
    <w:multiLevelType w:val="hybridMultilevel"/>
    <w:lvl w:ilvl="0">
      <w:lvlJc w:val="left"/>
      <w:lvlText w:val="%1."/>
      <w:numFmt w:val="upperLetter"/>
      <w:start w:val="35"/>
    </w:lvl>
  </w:abstractNum>
  <w:abstractNum w:abstractNumId="215">
    <w:nsid w:val="69215DFB"/>
    <w:multiLevelType w:val="hybridMultilevel"/>
    <w:lvl w:ilvl="0">
      <w:lvlJc w:val="left"/>
      <w:lvlText w:val="%1."/>
      <w:numFmt w:val="upperLetter"/>
      <w:start w:val="35"/>
    </w:lvl>
  </w:abstractNum>
  <w:abstractNum w:abstractNumId="216">
    <w:nsid w:val="7ABF196A"/>
    <w:multiLevelType w:val="hybridMultilevel"/>
    <w:lvl w:ilvl="0">
      <w:lvlJc w:val="left"/>
      <w:lvlText w:val="%1)"/>
      <w:numFmt w:val="lowerLetter"/>
      <w:start w:val="1"/>
    </w:lvl>
  </w:abstractNum>
  <w:abstractNum w:abstractNumId="217">
    <w:nsid w:val="5E4DB968"/>
    <w:multiLevelType w:val="hybridMultilevel"/>
    <w:lvl w:ilvl="0">
      <w:lvlJc w:val="left"/>
      <w:lvlText w:val="%1)"/>
      <w:numFmt w:val="lowerLetter"/>
      <w:start w:val="1"/>
    </w:lvl>
  </w:abstractNum>
  <w:abstractNum w:abstractNumId="218">
    <w:nsid w:val="2C06DCF3"/>
    <w:multiLevelType w:val="hybridMultilevel"/>
    <w:lvl w:ilvl="0">
      <w:lvlJc w:val="left"/>
      <w:lvlText w:val="(%1)"/>
      <w:numFmt w:val="lowerLetter"/>
      <w:start w:val="1"/>
    </w:lvl>
    <w:lvl w:ilvl="1">
      <w:lvlJc w:val="left"/>
      <w:lvlText w:val="(%2)"/>
      <w:numFmt w:val="lowerRoman"/>
      <w:start w:val="1"/>
    </w:lvl>
  </w:abstractNum>
  <w:abstractNum w:abstractNumId="219">
    <w:nsid w:val="2E129658"/>
    <w:multiLevelType w:val="hybridMultilevel"/>
    <w:lvl w:ilvl="0">
      <w:lvlJc w:val="left"/>
      <w:lvlText w:val="(%1)"/>
      <w:numFmt w:val="lowerRoman"/>
      <w:start w:val="1"/>
    </w:lvl>
  </w:abstractNum>
  <w:abstractNum w:abstractNumId="220">
    <w:nsid w:val="59F0446"/>
    <w:multiLevelType w:val="hybridMultilevel"/>
    <w:lvl w:ilvl="0">
      <w:lvlJc w:val="left"/>
      <w:lvlText w:val="(%1)"/>
      <w:numFmt w:val="lowerLetter"/>
      <w:start w:val="1"/>
    </w:lvl>
    <w:lvl w:ilvl="1">
      <w:lvlJc w:val="left"/>
      <w:lvlText w:val="(%2)"/>
      <w:numFmt w:val="lowerRoman"/>
      <w:start w:val="1"/>
    </w:lvl>
  </w:abstractNum>
  <w:abstractNum w:abstractNumId="221">
    <w:nsid w:val="30DF306"/>
    <w:multiLevelType w:val="hybridMultilevel"/>
    <w:lvl w:ilvl="0">
      <w:lvlJc w:val="left"/>
      <w:lvlText w:val="(%1)"/>
      <w:numFmt w:val="upperLetter"/>
      <w:start w:val="4"/>
    </w:lvl>
  </w:abstractNum>
  <w:abstractNum w:abstractNumId="222">
    <w:nsid w:val="A65647"/>
    <w:multiLevelType w:val="hybridMultilevel"/>
    <w:lvl w:ilvl="0">
      <w:lvlJc w:val="left"/>
      <w:lvlText w:val="%1."/>
      <w:numFmt w:val="upperLetter"/>
      <w:start w:val="61"/>
    </w:lvl>
  </w:abstractNum>
  <w:abstractNum w:abstractNumId="223">
    <w:nsid w:val="3E5E582B"/>
    <w:multiLevelType w:val="hybridMultilevel"/>
    <w:lvl w:ilvl="0">
      <w:lvlJc w:val="left"/>
      <w:lvlText w:val="%1."/>
      <w:numFmt w:val="upperLetter"/>
      <w:start w:val="1"/>
    </w:lvl>
  </w:abstractNum>
  <w:abstractNum w:abstractNumId="224">
    <w:nsid w:val="257D4626"/>
    <w:multiLevelType w:val="hybridMultilevel"/>
    <w:lvl w:ilvl="0">
      <w:lvlJc w:val="left"/>
      <w:lvlText w:val="%1)"/>
      <w:numFmt w:val="lowerLetter"/>
      <w:start w:val="1"/>
    </w:lvl>
  </w:abstractNum>
  <w:abstractNum w:abstractNumId="225">
    <w:nsid w:val="5AA8580E"/>
    <w:multiLevelType w:val="hybridMultilevel"/>
    <w:lvl w:ilvl="0">
      <w:lvlJc w:val="left"/>
      <w:lvlText w:val="%1."/>
      <w:numFmt w:val="upperLetter"/>
      <w:start w:val="61"/>
    </w:lvl>
  </w:abstractNum>
  <w:abstractNum w:abstractNumId="226">
    <w:nsid w:val="68FA8D0D"/>
    <w:multiLevelType w:val="hybridMultilevel"/>
    <w:lvl w:ilvl="0">
      <w:lvlJc w:val="left"/>
      <w:lvlText w:val="%1."/>
      <w:numFmt w:val="upperLetter"/>
      <w:start w:val="1"/>
    </w:lvl>
  </w:abstractNum>
  <w:abstractNum w:abstractNumId="227">
    <w:nsid w:val="40F2CBD2"/>
    <w:multiLevelType w:val="hybridMultilevel"/>
    <w:lvl w:ilvl="0">
      <w:lvlJc w:val="left"/>
      <w:lvlText w:val="%1)"/>
      <w:numFmt w:val="lowerLetter"/>
      <w:start w:val="1"/>
    </w:lvl>
  </w:abstractNum>
  <w:abstractNum w:abstractNumId="228">
    <w:nsid w:val="3BD615EB"/>
    <w:multiLevelType w:val="hybridMultilevel"/>
    <w:lvl w:ilvl="0">
      <w:lvlJc w:val="left"/>
      <w:lvlText w:val="%1)"/>
      <w:numFmt w:val="lowerLetter"/>
      <w:start w:val="3"/>
    </w:lvl>
  </w:abstractNum>
  <w:abstractNum w:abstractNumId="229">
    <w:nsid w:val="A045AB2"/>
    <w:multiLevelType w:val="hybridMultilevel"/>
    <w:lvl w:ilvl="0">
      <w:lvlJc w:val="left"/>
      <w:lvlText w:val="%1)"/>
      <w:numFmt w:val="lowerLetter"/>
      <w:start w:val="3"/>
    </w:lvl>
  </w:abstractNum>
  <w:abstractNum w:abstractNumId="230">
    <w:nsid w:val="1872261F"/>
    <w:multiLevelType w:val="hybridMultilevel"/>
    <w:lvl w:ilvl="0">
      <w:lvlJc w:val="left"/>
      <w:lvlText w:val="(%1)"/>
      <w:numFmt w:val="lowerLetter"/>
      <w:start w:val="1"/>
    </w:lvl>
  </w:abstractNum>
  <w:abstractNum w:abstractNumId="231">
    <w:nsid w:val="3DE8306C"/>
    <w:multiLevelType w:val="hybridMultilevel"/>
    <w:lvl w:ilvl="0">
      <w:lvlJc w:val="left"/>
      <w:lvlText w:val="(%1)"/>
      <w:numFmt w:val="lowerRoman"/>
      <w:start w:val="1"/>
    </w:lvl>
  </w:abstractNum>
  <w:abstractNum w:abstractNumId="232">
    <w:nsid w:val="7631573A"/>
    <w:multiLevelType w:val="hybridMultilevel"/>
    <w:lvl w:ilvl="0">
      <w:lvlJc w:val="left"/>
      <w:lvlText w:val="(%1)"/>
      <w:numFmt w:val="lowerRoman"/>
      <w:start w:val="4"/>
    </w:lvl>
  </w:abstractNum>
  <w:abstractNum w:abstractNumId="233">
    <w:nsid w:val="58DF53B"/>
    <w:multiLevelType w:val="hybridMultilevel"/>
    <w:lvl w:ilvl="0">
      <w:lvlJc w:val="left"/>
      <w:lvlText w:val="%1)"/>
      <w:numFmt w:val="lowerLetter"/>
      <w:start w:val="1"/>
    </w:lvl>
    <w:lvl w:ilvl="1">
      <w:lvlJc w:val="left"/>
      <w:lvlText w:val="(%2)"/>
      <w:numFmt w:val="lowerRoman"/>
      <w:start w:val="1"/>
    </w:lvl>
  </w:abstractNum>
  <w:abstractNum w:abstractNumId="234">
    <w:nsid w:val="ACDFAC0"/>
    <w:multiLevelType w:val="hybridMultilevel"/>
    <w:lvl w:ilvl="0">
      <w:lvlJc w:val="left"/>
      <w:lvlText w:val="%1)"/>
      <w:numFmt w:val="lowerLetter"/>
      <w:start w:val="1"/>
    </w:lvl>
    <w:lvl w:ilvl="1">
      <w:lvlJc w:val="left"/>
      <w:lvlText w:val="(%2)"/>
      <w:numFmt w:val="lowerRoman"/>
      <w:start w:val="1"/>
    </w:lvl>
  </w:abstractNum>
  <w:abstractNum w:abstractNumId="235">
    <w:nsid w:val="1F578454"/>
    <w:multiLevelType w:val="hybridMultilevel"/>
    <w:lvl w:ilvl="0">
      <w:lvlJc w:val="left"/>
      <w:lvlText w:val="%1"/>
      <w:numFmt w:val="lowerLetter"/>
      <w:start w:val="1"/>
    </w:lvl>
    <w:lvl w:ilvl="1">
      <w:lvlJc w:val="left"/>
      <w:lvlText w:val="(%2)"/>
      <w:numFmt w:val="lowerRoman"/>
      <w:start w:val="5"/>
    </w:lvl>
  </w:abstractNum>
  <w:abstractNum w:abstractNumId="236">
    <w:nsid w:val="5B0DAD2A"/>
    <w:multiLevelType w:val="hybridMultilevel"/>
    <w:lvl w:ilvl="0">
      <w:lvlJc w:val="left"/>
      <w:lvlText w:val="%1)"/>
      <w:numFmt w:val="lowerLetter"/>
      <w:start w:val="2"/>
    </w:lvl>
    <w:lvl w:ilvl="1">
      <w:lvlJc w:val="left"/>
      <w:lvlText w:val="%2"/>
      <w:numFmt w:val="lowerRoman"/>
      <w:start w:val="1"/>
    </w:lvl>
  </w:abstractNum>
  <w:abstractNum w:abstractNumId="237">
    <w:nsid w:val="4E3D26AB"/>
    <w:multiLevelType w:val="hybridMultilevel"/>
    <w:lvl w:ilvl="0">
      <w:lvlJc w:val="left"/>
      <w:lvlText w:val="%1)"/>
      <w:numFmt w:val="lowerLetter"/>
      <w:start w:val="1"/>
    </w:lvl>
  </w:abstractNum>
  <w:abstractNum w:abstractNumId="238">
    <w:nsid w:val="BE2C8BA"/>
    <w:multiLevelType w:val="hybridMultilevel"/>
    <w:lvl w:ilvl="0">
      <w:lvlJc w:val="left"/>
      <w:lvlText w:val="%1"/>
      <w:numFmt w:val="lowerLetter"/>
      <w:start w:val="1"/>
    </w:lvl>
    <w:lvl w:ilvl="1">
      <w:lvlJc w:val="left"/>
      <w:lvlText w:val="(%2)"/>
      <w:numFmt w:val="lowerRoman"/>
      <w:start w:val="5"/>
    </w:lvl>
  </w:abstractNum>
  <w:abstractNum w:abstractNumId="239">
    <w:nsid w:val="7B14914E"/>
    <w:multiLevelType w:val="hybridMultilevel"/>
    <w:lvl w:ilvl="0">
      <w:lvlJc w:val="left"/>
      <w:lvlText w:val="%1)"/>
      <w:numFmt w:val="lowerLetter"/>
      <w:start w:val="2"/>
    </w:lvl>
    <w:lvl w:ilvl="1">
      <w:lvlJc w:val="left"/>
      <w:lvlText w:val="%2"/>
      <w:numFmt w:val="lowerRoman"/>
      <w:start w:val="1"/>
    </w:lvl>
  </w:abstractNum>
  <w:abstractNum w:abstractNumId="240">
    <w:nsid w:val="6F0939F8"/>
    <w:multiLevelType w:val="hybridMultilevel"/>
    <w:lvl w:ilvl="0">
      <w:lvlJc w:val="left"/>
      <w:lvlText w:val="%1)"/>
      <w:numFmt w:val="lowerLetter"/>
      <w:start w:val="1"/>
    </w:lvl>
  </w:abstractNum>
  <w:abstractNum w:abstractNumId="241">
    <w:nsid w:val="154291F6"/>
    <w:multiLevelType w:val="hybridMultilevel"/>
    <w:lvl w:ilvl="0">
      <w:lvlJc w:val="left"/>
      <w:lvlText w:val="%1."/>
      <w:numFmt w:val="upperLetter"/>
      <w:start w:val="22"/>
    </w:lvl>
  </w:abstractNum>
  <w:abstractNum w:abstractNumId="242">
    <w:nsid w:val="3CEBD7C7"/>
    <w:multiLevelType w:val="hybridMultilevel"/>
    <w:lvl w:ilvl="0">
      <w:lvlJc w:val="left"/>
      <w:lvlText w:val="%1."/>
      <w:numFmt w:val="upperLetter"/>
      <w:start w:val="22"/>
    </w:lvl>
  </w:abstractNum>
  <w:abstractNum w:abstractNumId="243">
    <w:nsid w:val="60EE9C16"/>
    <w:multiLevelType w:val="hybridMultilevel"/>
    <w:lvl w:ilvl="0">
      <w:lvlJc w:val="left"/>
      <w:lvlText w:val="%1)"/>
      <w:numFmt w:val="lowerLetter"/>
      <w:start w:val="1"/>
    </w:lvl>
  </w:abstractNum>
  <w:abstractNum w:abstractNumId="244">
    <w:nsid w:val="6385489E"/>
    <w:multiLevelType w:val="hybridMultilevel"/>
    <w:lvl w:ilvl="0">
      <w:lvlJc w:val="left"/>
      <w:lvlText w:val="%1)"/>
      <w:numFmt w:val="lowerLetter"/>
      <w:start w:val="1"/>
    </w:lvl>
  </w:abstractNum>
  <w:abstractNum w:abstractNumId="245">
    <w:nsid w:val="E4B973"/>
    <w:multiLevelType w:val="hybridMultilevel"/>
    <w:lvl w:ilvl="0">
      <w:lvlJc w:val="left"/>
      <w:lvlText w:val="%1)"/>
      <w:numFmt w:val="lowerLetter"/>
      <w:start w:val="1"/>
    </w:lvl>
  </w:abstractNum>
  <w:abstractNum w:abstractNumId="246">
    <w:nsid w:val="4A0FFA11"/>
    <w:multiLevelType w:val="hybridMultilevel"/>
    <w:lvl w:ilvl="0">
      <w:lvlJc w:val="left"/>
      <w:lvlText w:val="%1)"/>
      <w:numFmt w:val="lowerLetter"/>
      <w:start w:val="1"/>
    </w:lvl>
  </w:abstractNum>
  <w:abstractNum w:abstractNumId="247">
    <w:nsid w:val="5E446208"/>
    <w:multiLevelType w:val="hybridMultilevel"/>
    <w:lvl w:ilvl="0">
      <w:lvlJc w:val="left"/>
      <w:lvlText w:val="%1)"/>
      <w:numFmt w:val="lowerLetter"/>
      <w:start w:val="5"/>
    </w:lvl>
  </w:abstractNum>
  <w:abstractNum w:abstractNumId="248">
    <w:nsid w:val="5F3272DB"/>
    <w:multiLevelType w:val="hybridMultilevel"/>
    <w:lvl w:ilvl="0">
      <w:lvlJc w:val="left"/>
      <w:lvlText w:val="%1)"/>
      <w:numFmt w:val="lowerLetter"/>
      <w:start w:val="5"/>
    </w:lvl>
  </w:abstractNum>
  <w:abstractNum w:abstractNumId="249">
    <w:nsid w:val="7616D704"/>
    <w:multiLevelType w:val="hybridMultilevel"/>
    <w:lvl w:ilvl="0">
      <w:lvlJc w:val="left"/>
      <w:lvlText w:val="(%1)"/>
      <w:numFmt w:val="lowerLetter"/>
      <w:start w:val="3"/>
    </w:lvl>
  </w:abstractNum>
  <w:abstractNum w:abstractNumId="250">
    <w:nsid w:val="C56F860"/>
    <w:multiLevelType w:val="hybridMultilevel"/>
    <w:lvl w:ilvl="0">
      <w:lvlJc w:val="left"/>
      <w:lvlText w:val="%1)"/>
      <w:numFmt w:val="lowerLetter"/>
      <w:start w:val="1"/>
    </w:lvl>
  </w:abstractNum>
  <w:abstractNum w:abstractNumId="251">
    <w:nsid w:val="64D17722"/>
    <w:multiLevelType w:val="hybridMultilevel"/>
    <w:lvl w:ilvl="0">
      <w:lvlJc w:val="left"/>
      <w:lvlText w:val="%1)"/>
      <w:numFmt w:val="lowerLetter"/>
      <w:start w:val="1"/>
    </w:lvl>
  </w:abstractNum>
  <w:abstractNum w:abstractNumId="252">
    <w:nsid w:val="7924CA0A"/>
    <w:multiLevelType w:val="hybridMultilevel"/>
    <w:lvl w:ilvl="0">
      <w:lvlJc w:val="left"/>
      <w:lvlText w:val="%1)"/>
      <w:numFmt w:val="lowerLetter"/>
      <w:start w:val="1"/>
    </w:lvl>
  </w:abstractNum>
  <w:abstractNum w:abstractNumId="253">
    <w:nsid w:val="CFD4EA7"/>
    <w:multiLevelType w:val="hybridMultilevel"/>
    <w:lvl w:ilvl="0">
      <w:lvlJc w:val="left"/>
      <w:lvlText w:val="%1)"/>
      <w:numFmt w:val="lowerLetter"/>
      <w:start w:val="1"/>
    </w:lvl>
  </w:abstractNum>
  <w:abstractNum w:abstractNumId="254">
    <w:nsid w:val="232FCF4D"/>
    <w:multiLevelType w:val="hybridMultilevel"/>
    <w:lvl w:ilvl="0">
      <w:lvlJc w:val="left"/>
      <w:lvlText w:val="%1)"/>
      <w:numFmt w:val="lowerLetter"/>
      <w:start w:val="1"/>
    </w:lvl>
  </w:abstractNum>
  <w:abstractNum w:abstractNumId="255">
    <w:nsid w:val="1EA21031"/>
    <w:multiLevelType w:val="hybridMultilevel"/>
    <w:lvl w:ilvl="0">
      <w:lvlJc w:val="left"/>
      <w:lvlText w:val="%1)"/>
      <w:numFmt w:val="lowerLetter"/>
      <w:start w:val="1"/>
    </w:lvl>
  </w:abstractNum>
  <w:abstractNum w:abstractNumId="256">
    <w:nsid w:val="67A5A6B5"/>
    <w:multiLevelType w:val="hybridMultilevel"/>
    <w:lvl w:ilvl="0">
      <w:lvlJc w:val="left"/>
      <w:lvlText w:val="%1)"/>
      <w:numFmt w:val="lowerLetter"/>
      <w:start w:val="1"/>
    </w:lvl>
  </w:abstractNum>
  <w:abstractNum w:abstractNumId="257">
    <w:nsid w:val="C2A5C5B"/>
    <w:multiLevelType w:val="hybridMultilevel"/>
    <w:lvl w:ilvl="0">
      <w:lvlJc w:val="left"/>
      <w:lvlText w:val="%1)"/>
      <w:numFmt w:val="lowerLetter"/>
      <w:start w:val="1"/>
    </w:lvl>
  </w:abstractNum>
  <w:abstractNum w:abstractNumId="258">
    <w:nsid w:val="5F94DC03"/>
    <w:multiLevelType w:val="hybridMultilevel"/>
    <w:lvl w:ilvl="0">
      <w:lvlJc w:val="left"/>
      <w:lvlText w:val="%1)"/>
      <w:numFmt w:val="lowerLetter"/>
      <w:start w:val="1"/>
    </w:lvl>
  </w:abstractNum>
  <w:abstractNum w:abstractNumId="259">
    <w:nsid w:val="237BBCA0"/>
    <w:multiLevelType w:val="hybridMultilevel"/>
    <w:lvl w:ilvl="0">
      <w:lvlJc w:val="left"/>
      <w:lvlText w:val="%1)"/>
      <w:numFmt w:val="lowerLetter"/>
      <w:start w:val="1"/>
    </w:lvl>
  </w:abstractNum>
  <w:abstractNum w:abstractNumId="260">
    <w:nsid w:val="162EB70D"/>
    <w:multiLevelType w:val="hybridMultilevel"/>
    <w:lvl w:ilvl="0">
      <w:lvlJc w:val="left"/>
      <w:lvlText w:val="%1)"/>
      <w:numFmt w:val="lowerLetter"/>
      <w:start w:val="1"/>
    </w:lvl>
  </w:abstractNum>
  <w:abstractNum w:abstractNumId="261">
    <w:nsid w:val="78070222"/>
    <w:multiLevelType w:val="hybridMultilevel"/>
    <w:lvl w:ilvl="0">
      <w:lvlJc w:val="left"/>
      <w:lvlText w:val="%1)"/>
      <w:numFmt w:val="lowerLetter"/>
      <w:start w:val="1"/>
    </w:lvl>
  </w:abstractNum>
  <w:abstractNum w:abstractNumId="262">
    <w:nsid w:val="6163ED0D"/>
    <w:multiLevelType w:val="hybridMultilevel"/>
    <w:lvl w:ilvl="0">
      <w:lvlJc w:val="left"/>
      <w:lvlText w:val="%1)"/>
      <w:numFmt w:val="lowerLetter"/>
      <w:start w:val="1"/>
    </w:lvl>
  </w:abstractNum>
  <w:abstractNum w:abstractNumId="263">
    <w:nsid w:val="C600E47"/>
    <w:multiLevelType w:val="hybridMultilevel"/>
    <w:lvl w:ilvl="0">
      <w:lvlJc w:val="left"/>
      <w:lvlText w:val="À"/>
      <w:numFmt w:val="bullet"/>
      <w:start w:val="1"/>
    </w:lvl>
  </w:abstractNum>
  <w:abstractNum w:abstractNumId="264">
    <w:nsid w:val="7D94F75D"/>
    <w:multiLevelType w:val="hybridMultilevel"/>
    <w:lvl w:ilvl="0">
      <w:lvlJc w:val="left"/>
      <w:lvlText w:val="%1)"/>
      <w:numFmt w:val="lowerLetter"/>
      <w:start w:val="1"/>
    </w:lvl>
  </w:abstractNum>
  <w:abstractNum w:abstractNumId="265">
    <w:nsid w:val="6C31E7CD"/>
    <w:multiLevelType w:val="hybridMultilevel"/>
    <w:lvl w:ilvl="0">
      <w:lvlJc w:val="left"/>
      <w:lvlText w:val="%1)"/>
      <w:numFmt w:val="lowerLetter"/>
      <w:start w:val="5"/>
    </w:lvl>
  </w:abstractNum>
  <w:abstractNum w:abstractNumId="266">
    <w:nsid w:val="2BB7929B"/>
    <w:multiLevelType w:val="hybridMultilevel"/>
    <w:lvl w:ilvl="0">
      <w:lvlJc w:val="left"/>
      <w:lvlText w:val="%1)"/>
      <w:numFmt w:val="lowerLetter"/>
      <w:start w:val="5"/>
    </w:lvl>
  </w:abstractNum>
  <w:abstractNum w:abstractNumId="267">
    <w:nsid w:val="58A2A487"/>
    <w:multiLevelType w:val="hybridMultilevel"/>
    <w:lvl w:ilvl="0">
      <w:lvlJc w:val="left"/>
      <w:lvlText w:val="%1."/>
      <w:numFmt w:val="lowerLetter"/>
      <w:start w:val="45"/>
    </w:lvl>
  </w:abstractNum>
  <w:abstractNum w:abstractNumId="268">
    <w:nsid w:val="3A6F0E78"/>
    <w:multiLevelType w:val="hybridMultilevel"/>
    <w:lvl w:ilvl="0">
      <w:lvlJc w:val="left"/>
      <w:lvlText w:val="%1."/>
      <w:numFmt w:val="upperLetter"/>
      <w:start w:val="24"/>
    </w:lvl>
  </w:abstractNum>
  <w:abstractNum w:abstractNumId="269">
    <w:nsid w:val="379A5B56"/>
    <w:multiLevelType w:val="hybridMultilevel"/>
    <w:lvl w:ilvl="0">
      <w:lvlJc w:val="left"/>
      <w:lvlText w:val="%1."/>
      <w:numFmt w:val="upperLetter"/>
      <w:start w:val="24"/>
    </w:lvl>
  </w:abstractNum>
  <w:abstractNum w:abstractNumId="270">
    <w:nsid w:val="53B735D5"/>
    <w:multiLevelType w:val="hybridMultilevel"/>
    <w:lvl w:ilvl="0">
      <w:lvlJc w:val="left"/>
      <w:lvlText w:val="(%1)"/>
      <w:numFmt w:val="lowerRoman"/>
      <w:start w:val="3"/>
    </w:lvl>
  </w:abstractNum>
  <w:abstractNum w:abstractNumId="271">
    <w:nsid w:val="29784870"/>
    <w:multiLevelType w:val="hybridMultilevel"/>
    <w:lvl w:ilvl="0">
      <w:lvlJc w:val="left"/>
      <w:lvlText w:val="(%1)"/>
      <w:numFmt w:val="lowerRoman"/>
      <w:start w:val="1"/>
    </w:lvl>
  </w:abstractNum>
  <w:abstractNum w:abstractNumId="272">
    <w:nsid w:val="4CDCED4C"/>
    <w:multiLevelType w:val="hybridMultilevel"/>
    <w:lvl w:ilvl="0">
      <w:lvlJc w:val="left"/>
      <w:lvlText w:val="(%1)"/>
      <w:numFmt w:val="lowerLetter"/>
      <w:start w:val="2"/>
    </w:lvl>
  </w:abstractNum>
  <w:abstractNum w:abstractNumId="273">
    <w:nsid w:val="10A30D9C"/>
    <w:multiLevelType w:val="hybridMultilevel"/>
    <w:lvl w:ilvl="0">
      <w:lvlJc w:val="left"/>
      <w:lvlText w:val="(%1)"/>
      <w:numFmt w:val="lowerLetter"/>
      <w:start w:val="3"/>
    </w:lvl>
    <w:lvl w:ilvl="1">
      <w:lvlJc w:val="left"/>
      <w:lvlText w:val="(%2)"/>
      <w:numFmt w:val="lowerRoman"/>
      <w:start w:val="1"/>
    </w:lvl>
  </w:abstractNum>
  <w:abstractNum w:abstractNumId="274">
    <w:nsid w:val="A66E486"/>
    <w:multiLevelType w:val="hybridMultilevel"/>
    <w:lvl w:ilvl="0">
      <w:lvlJc w:val="left"/>
      <w:lvlText w:val="%1"/>
      <w:numFmt w:val="lowerLetter"/>
      <w:start w:val="1"/>
    </w:lvl>
    <w:lvl w:ilvl="1">
      <w:lvlJc w:val="left"/>
      <w:lvlText w:val="(%2)"/>
      <w:numFmt w:val="lowerLetter"/>
      <w:start w:val="35"/>
    </w:lvl>
  </w:abstractNum>
  <w:abstractNum w:abstractNumId="275">
    <w:nsid w:val="306235EA"/>
    <w:multiLevelType w:val="hybridMultilevel"/>
    <w:lvl w:ilvl="0">
      <w:lvlJc w:val="left"/>
      <w:lvlText w:val="(%1)"/>
      <w:numFmt w:val="lowerLetter"/>
      <w:start w:val="6"/>
    </w:lvl>
    <w:lvl w:ilvl="1">
      <w:lvlJc w:val="left"/>
      <w:lvlText w:val="%2"/>
      <w:numFmt w:val="lowerLetter"/>
      <w:start w:val="1"/>
    </w:lvl>
  </w:abstractNum>
  <w:abstractNum w:abstractNumId="276">
    <w:nsid w:val="1187C70F"/>
    <w:multiLevelType w:val="hybridMultilevel"/>
    <w:lvl w:ilvl="0">
      <w:lvlJc w:val="left"/>
      <w:lvlText w:val="(%1)"/>
      <w:numFmt w:val="lowerLetter"/>
      <w:start w:val="2"/>
    </w:lvl>
    <w:lvl w:ilvl="1">
      <w:lvlJc w:val="left"/>
      <w:lvlText w:val="(%2)"/>
      <w:numFmt w:val="lowerRoman"/>
      <w:start w:val="1"/>
    </w:lvl>
  </w:abstractNum>
  <w:abstractNum w:abstractNumId="277">
    <w:nsid w:val="5476DE98"/>
    <w:multiLevelType w:val="hybridMultilevel"/>
    <w:lvl w:ilvl="0">
      <w:lvlJc w:val="left"/>
      <w:lvlText w:val="(%1)"/>
      <w:numFmt w:val="lowerLetter"/>
      <w:start w:val="2"/>
    </w:lvl>
    <w:lvl w:ilvl="1">
      <w:lvlJc w:val="left"/>
      <w:lvlText w:val="(%2)"/>
      <w:numFmt w:val="lowerRoman"/>
      <w:start w:val="1"/>
    </w:lvl>
  </w:abstractNum>
  <w:abstractNum w:abstractNumId="278">
    <w:nsid w:val="EA697F2"/>
    <w:multiLevelType w:val="hybridMultilevel"/>
    <w:lvl w:ilvl="0">
      <w:lvlJc w:val="left"/>
      <w:lvlText w:val="(%1)"/>
      <w:numFmt w:val="lowerLetter"/>
      <w:start w:val="3"/>
    </w:lvl>
  </w:abstractNum>
  <w:abstractNum w:abstractNumId="279">
    <w:nsid w:val="70BA39EB"/>
    <w:multiLevelType w:val="hybridMultilevel"/>
    <w:lvl w:ilvl="0">
      <w:lvlJc w:val="left"/>
      <w:lvlText w:val="(%1)"/>
      <w:numFmt w:val="lowerRoman"/>
      <w:start w:val="1"/>
    </w:lvl>
  </w:abstractNum>
  <w:abstractNum w:abstractNumId="280">
    <w:nsid w:val="4A8DB59C"/>
    <w:multiLevelType w:val="hybridMultilevel"/>
    <w:lvl w:ilvl="0">
      <w:lvlJc w:val="left"/>
      <w:lvlText w:val="(%1)"/>
      <w:numFmt w:val="lowerLetter"/>
      <w:start w:val="1"/>
    </w:lvl>
  </w:abstractNum>
  <w:abstractNum w:abstractNumId="281">
    <w:nsid w:val="1AFD9053"/>
    <w:multiLevelType w:val="hybridMultilevel"/>
    <w:lvl w:ilvl="0">
      <w:lvlJc w:val="left"/>
      <w:lvlText w:val="(%1)"/>
      <w:numFmt w:val="upperLetter"/>
      <w:start w:val="3"/>
    </w:lvl>
    <w:lvl w:ilvl="1">
      <w:lvlJc w:val="left"/>
      <w:lvlText w:val="(%2)"/>
      <w:numFmt w:val="lowerLetter"/>
      <w:start w:val="5"/>
    </w:lvl>
  </w:abstractNum>
  <w:abstractNum w:abstractNumId="282">
    <w:nsid w:val="558BB10D"/>
    <w:multiLevelType w:val="hybridMultilevel"/>
    <w:lvl w:ilvl="0">
      <w:lvlJc w:val="left"/>
      <w:lvlText w:val="(%1)"/>
      <w:numFmt w:val="lowerLetter"/>
      <w:start w:val="9"/>
    </w:lvl>
  </w:abstractNum>
  <w:abstractNum w:abstractNumId="283">
    <w:nsid w:val="43B27FA7"/>
    <w:multiLevelType w:val="hybridMultilevel"/>
    <w:lvl w:ilvl="0">
      <w:lvlJc w:val="left"/>
      <w:lvlText w:val="%1"/>
      <w:numFmt w:val="lowerLetter"/>
      <w:start w:val="1"/>
    </w:lvl>
    <w:lvl w:ilvl="1">
      <w:lvlJc w:val="left"/>
      <w:lvlText w:val="(%2)"/>
      <w:numFmt w:val="lowerLetter"/>
      <w:start w:val="2"/>
    </w:lvl>
  </w:abstractNum>
  <w:abstractNum w:abstractNumId="284">
    <w:nsid w:val="27FADEFA"/>
    <w:multiLevelType w:val="hybridMultilevel"/>
    <w:lvl w:ilvl="0">
      <w:lvlJc w:val="left"/>
      <w:lvlText w:val="(%1)"/>
      <w:numFmt w:val="lowerLetter"/>
      <w:start w:val="61"/>
    </w:lvl>
    <w:lvl w:ilvl="1">
      <w:lvlJc w:val="left"/>
      <w:lvlText w:val="%2"/>
      <w:numFmt w:val="lowerLetter"/>
      <w:start w:val="1"/>
    </w:lvl>
  </w:abstractNum>
  <w:abstractNum w:abstractNumId="285">
    <w:nsid w:val="78BB805A"/>
    <w:multiLevelType w:val="hybridMultilevel"/>
    <w:lvl w:ilvl="0">
      <w:lvlJc w:val="left"/>
      <w:lvlText w:val="(%1)"/>
      <w:numFmt w:val="lowerLetter"/>
      <w:start w:val="3"/>
    </w:lvl>
  </w:abstractNum>
  <w:abstractNum w:abstractNumId="286">
    <w:nsid w:val="62548FD8"/>
    <w:multiLevelType w:val="hybridMultilevel"/>
    <w:lvl w:ilvl="0">
      <w:lvlJc w:val="left"/>
      <w:lvlText w:val="(%1)"/>
      <w:numFmt w:val="lowerLetter"/>
      <w:start w:val="2"/>
    </w:lvl>
  </w:abstractNum>
  <w:abstractNum w:abstractNumId="287">
    <w:nsid w:val="FA085B0"/>
    <w:multiLevelType w:val="hybridMultilevel"/>
    <w:lvl w:ilvl="0">
      <w:lvlJc w:val="left"/>
      <w:lvlText w:val="%1."/>
      <w:numFmt w:val="upperLetter"/>
      <w:start w:val="9"/>
    </w:lvl>
  </w:abstractNum>
  <w:abstractNum w:abstractNumId="288">
    <w:nsid w:val="4E5DCB5"/>
    <w:multiLevelType w:val="hybridMultilevel"/>
    <w:lvl w:ilvl="0">
      <w:lvlJc w:val="left"/>
      <w:lvlText w:val="%1)"/>
      <w:numFmt w:val="lowerLetter"/>
      <w:start w:val="1"/>
    </w:lvl>
  </w:abstractNum>
  <w:abstractNum w:abstractNumId="289">
    <w:nsid w:val="41E96BDB"/>
    <w:multiLevelType w:val="hybridMultilevel"/>
    <w:lvl w:ilvl="0">
      <w:lvlJc w:val="left"/>
      <w:lvlText w:val="%1)"/>
      <w:numFmt w:val="lowerLetter"/>
      <w:start w:val="3"/>
    </w:lvl>
  </w:abstractNum>
  <w:abstractNum w:abstractNumId="290">
    <w:nsid w:val="331C4250"/>
    <w:multiLevelType w:val="hybridMultilevel"/>
    <w:lvl w:ilvl="0">
      <w:lvlJc w:val="left"/>
      <w:lvlText w:val="%1)"/>
      <w:numFmt w:val="lowerLetter"/>
      <w:start w:val="1"/>
    </w:lvl>
  </w:abstractNum>
  <w:abstractNum w:abstractNumId="291">
    <w:nsid w:val="1B1493C2"/>
    <w:multiLevelType w:val="hybridMultilevel"/>
    <w:lvl w:ilvl="0">
      <w:lvlJc w:val="left"/>
      <w:lvlText w:val="%1)"/>
      <w:numFmt w:val="lowerLetter"/>
      <w:start w:val="1"/>
    </w:lvl>
    <w:lvl w:ilvl="1">
      <w:lvlJc w:val="left"/>
      <w:lvlText w:val="*"/>
      <w:numFmt w:val="bullet"/>
      <w:start w:val="1"/>
    </w:lvl>
  </w:abstractNum>
  <w:abstractNum w:abstractNumId="292">
    <w:nsid w:val="39F06DFD"/>
    <w:multiLevelType w:val="hybridMultilevel"/>
    <w:lvl w:ilvl="0">
      <w:lvlJc w:val="left"/>
      <w:lvlText w:val="%1."/>
      <w:numFmt w:val="upperLetter"/>
      <w:start w:val="9"/>
    </w:lvl>
  </w:abstractNum>
  <w:abstractNum w:abstractNumId="293">
    <w:nsid w:val="14802F5D"/>
    <w:multiLevelType w:val="hybridMultilevel"/>
    <w:lvl w:ilvl="0">
      <w:lvlJc w:val="left"/>
      <w:lvlText w:val="%1)"/>
      <w:numFmt w:val="lowerLetter"/>
      <w:start w:val="1"/>
    </w:lvl>
  </w:abstractNum>
  <w:abstractNum w:abstractNumId="294">
    <w:nsid w:val="2774A209"/>
    <w:multiLevelType w:val="hybridMultilevel"/>
    <w:lvl w:ilvl="0">
      <w:lvlJc w:val="left"/>
      <w:lvlText w:val="%1)"/>
      <w:numFmt w:val="lowerLetter"/>
      <w:start w:val="2"/>
    </w:lvl>
  </w:abstractNum>
  <w:abstractNum w:abstractNumId="295">
    <w:nsid w:val="3785655A"/>
    <w:multiLevelType w:val="hybridMultilevel"/>
    <w:lvl w:ilvl="0">
      <w:lvlJc w:val="left"/>
      <w:lvlText w:val="%1)"/>
      <w:numFmt w:val="lowerLetter"/>
      <w:start w:val="1"/>
    </w:lvl>
  </w:abstractNum>
  <w:abstractNum w:abstractNumId="296">
    <w:nsid w:val="B2172A"/>
    <w:multiLevelType w:val="hybridMultilevel"/>
    <w:lvl w:ilvl="0">
      <w:lvlJc w:val="left"/>
      <w:lvlText w:val="(%1)"/>
      <w:numFmt w:val="lowerLetter"/>
      <w:start w:val="61"/>
    </w:lvl>
  </w:abstractNum>
  <w:abstractNum w:abstractNumId="297">
    <w:nsid w:val="532C34A5"/>
    <w:multiLevelType w:val="hybridMultilevel"/>
    <w:lvl w:ilvl="0">
      <w:lvlJc w:val="left"/>
      <w:lvlText w:val="(%1)"/>
      <w:numFmt w:val="lowerLetter"/>
      <w:start w:val="3"/>
    </w:lvl>
  </w:abstractNum>
  <w:abstractNum w:abstractNumId="298">
    <w:nsid w:val="102809E2"/>
    <w:multiLevelType w:val="hybridMultilevel"/>
    <w:lvl w:ilvl="0">
      <w:lvlJc w:val="left"/>
      <w:lvlText w:val="(%1)"/>
      <w:numFmt w:val="lowerRoman"/>
      <w:start w:val="2"/>
    </w:lvl>
  </w:abstractNum>
  <w:abstractNum w:abstractNumId="299">
    <w:nsid w:val="3B2125A3"/>
    <w:multiLevelType w:val="hybridMultilevel"/>
    <w:lvl w:ilvl="0">
      <w:lvlJc w:val="left"/>
      <w:lvlText w:val="(%1)"/>
      <w:numFmt w:val="decimal"/>
      <w:start w:val="3"/>
    </w:lvl>
  </w:abstractNum>
  <w:abstractNum w:abstractNumId="300">
    <w:nsid w:val="AC68FFB"/>
    <w:multiLevelType w:val="hybridMultilevel"/>
    <w:lvl w:ilvl="0">
      <w:lvlJc w:val="left"/>
      <w:lvlText w:val="(%1)"/>
      <w:numFmt w:val="lowerRoman"/>
      <w:start w:val="1"/>
    </w:lvl>
  </w:abstractNum>
  <w:abstractNum w:abstractNumId="301">
    <w:nsid w:val="63DF3FB7"/>
    <w:multiLevelType w:val="hybridMultilevel"/>
    <w:lvl w:ilvl="0">
      <w:lvlJc w:val="left"/>
      <w:lvlText w:val="(%1)"/>
      <w:numFmt w:val="lowerRoman"/>
      <w:start w:val="2"/>
    </w:lvl>
  </w:abstractNum>
  <w:abstractNum w:abstractNumId="302">
    <w:nsid w:val="64996E13"/>
    <w:multiLevelType w:val="hybridMultilevel"/>
    <w:lvl w:ilvl="0">
      <w:lvlJc w:val="left"/>
      <w:lvlText w:val="(%1)"/>
      <w:numFmt w:val="lowerLetter"/>
      <w:start w:val="2"/>
    </w:lvl>
  </w:abstractNum>
  <w:abstractNum w:abstractNumId="303">
    <w:nsid w:val="57A37D47"/>
    <w:multiLevelType w:val="hybridMultilevel"/>
    <w:lvl w:ilvl="0">
      <w:lvlJc w:val="left"/>
      <w:lvlText w:val="(%1)"/>
      <w:numFmt w:val="lowerRoman"/>
      <w:start w:val="1"/>
    </w:lvl>
  </w:abstractNum>
  <w:abstractNum w:abstractNumId="304">
    <w:nsid w:val="74824D54"/>
    <w:multiLevelType w:val="hybridMultilevel"/>
    <w:lvl w:ilvl="0">
      <w:lvlJc w:val="left"/>
      <w:lvlText w:val="(%1)"/>
      <w:numFmt w:val="lowerRoman"/>
      <w:start w:val="2"/>
    </w:lvl>
  </w:abstractNum>
  <w:abstractNum w:abstractNumId="305">
    <w:nsid w:val="6F00529A"/>
    <w:multiLevelType w:val="hybridMultilevel"/>
    <w:lvl w:ilvl="0">
      <w:lvlJc w:val="left"/>
      <w:lvlText w:val="(%1)"/>
      <w:numFmt w:val="lowerRoman"/>
      <w:start w:val="7"/>
    </w:lvl>
  </w:abstractNum>
  <w:abstractNum w:abstractNumId="306">
    <w:nsid w:val="805B331"/>
    <w:multiLevelType w:val="hybridMultilevel"/>
    <w:lvl w:ilvl="0">
      <w:lvlJc w:val="left"/>
      <w:lvlText w:val="(%1)"/>
      <w:numFmt w:val="lowerRoman"/>
      <w:start w:val="1"/>
    </w:lvl>
  </w:abstractNum>
  <w:abstractNum w:abstractNumId="307">
    <w:nsid w:val="60A1463"/>
    <w:multiLevelType w:val="hybridMultilevel"/>
    <w:lvl w:ilvl="0">
      <w:lvlJc w:val="left"/>
      <w:lvlText w:val="(%1)"/>
      <w:numFmt w:val="lowerRoman"/>
      <w:start w:val="3"/>
    </w:lvl>
  </w:abstractNum>
  <w:abstractNum w:abstractNumId="308">
    <w:nsid w:val="43773132"/>
    <w:multiLevelType w:val="hybridMultilevel"/>
    <w:lvl w:ilvl="0">
      <w:lvlJc w:val="left"/>
      <w:lvlText w:val="(%1)"/>
      <w:numFmt w:val="lowerRoman"/>
      <w:start w:val="1"/>
    </w:lvl>
  </w:abstractNum>
  <w:abstractNum w:abstractNumId="309">
    <w:nsid w:val="16AC4B23"/>
    <w:multiLevelType w:val="hybridMultilevel"/>
    <w:lvl w:ilvl="0">
      <w:lvlJc w:val="left"/>
      <w:lvlText w:val="(%1)"/>
      <w:numFmt w:val="lowerRoman"/>
      <w:start w:val="3"/>
    </w:lvl>
  </w:abstractNum>
  <w:abstractNum w:abstractNumId="310">
    <w:nsid w:val="76C44E4E"/>
    <w:multiLevelType w:val="hybridMultilevel"/>
    <w:lvl w:ilvl="0">
      <w:lvlJc w:val="left"/>
      <w:lvlText w:val="(%1)"/>
      <w:numFmt w:val="lowerLetter"/>
      <w:start w:val="1"/>
    </w:lvl>
  </w:abstractNum>
  <w:abstractNum w:abstractNumId="311">
    <w:nsid w:val="E04E6CE"/>
    <w:multiLevelType w:val="hybridMultilevel"/>
    <w:lvl w:ilvl="0">
      <w:lvlJc w:val="left"/>
      <w:lvlText w:val="(%1)"/>
      <w:numFmt w:val="lowerLetter"/>
      <w:start w:val="4"/>
    </w:lvl>
  </w:abstractNum>
  <w:abstractNum w:abstractNumId="312">
    <w:nsid w:val="31A9DB76"/>
    <w:multiLevelType w:val="hybridMultilevel"/>
    <w:lvl w:ilvl="0">
      <w:lvlJc w:val="left"/>
      <w:lvlText w:val="(%1)"/>
      <w:numFmt w:val="lowerRoman"/>
      <w:start w:val="3"/>
    </w:lvl>
  </w:abstractNum>
  <w:abstractNum w:abstractNumId="313">
    <w:nsid w:val="4C4FFF5B"/>
    <w:multiLevelType w:val="hybridMultilevel"/>
    <w:lvl w:ilvl="0">
      <w:lvlJc w:val="left"/>
      <w:lvlText w:val="(%1)"/>
      <w:numFmt w:val="lowerRoman"/>
      <w:start w:val="1"/>
    </w:lvl>
  </w:abstractNum>
  <w:abstractNum w:abstractNumId="314">
    <w:nsid w:val="51B76675"/>
    <w:multiLevelType w:val="hybridMultilevel"/>
    <w:lvl w:ilvl="0">
      <w:lvlJc w:val="left"/>
      <w:lvlText w:val="(%1)"/>
      <w:numFmt w:val="lowerLetter"/>
      <w:start w:val="1"/>
    </w:lvl>
    <w:lvl w:ilvl="1">
      <w:lvlJc w:val="left"/>
      <w:lvlText w:val="(%2)"/>
      <w:numFmt w:val="lowerRoman"/>
      <w:start w:val="1"/>
    </w:lvl>
  </w:abstractNum>
  <w:abstractNum w:abstractNumId="315">
    <w:nsid w:val="59A4BA71"/>
    <w:multiLevelType w:val="hybridMultilevel"/>
    <w:lvl w:ilvl="0">
      <w:lvlJc w:val="left"/>
      <w:lvlText w:val="(%1)"/>
      <w:numFmt w:val="lowerLetter"/>
      <w:start w:val="1"/>
    </w:lvl>
  </w:abstractNum>
  <w:abstractNum w:abstractNumId="316">
    <w:nsid w:val="450B7FB6"/>
    <w:multiLevelType w:val="hybridMultilevel"/>
    <w:lvl w:ilvl="0">
      <w:lvlJc w:val="left"/>
      <w:lvlText w:val="(%1)"/>
      <w:numFmt w:val="lowerLetter"/>
      <w:start w:val="2"/>
    </w:lvl>
  </w:abstractNum>
  <w:abstractNum w:abstractNumId="317">
    <w:nsid w:val="340BF64D"/>
    <w:multiLevelType w:val="hybridMultilevel"/>
    <w:lvl w:ilvl="0">
      <w:lvlJc w:val="left"/>
      <w:lvlText w:val="(%1)"/>
      <w:numFmt w:val="lowerLetter"/>
      <w:start w:val="1"/>
    </w:lvl>
  </w:abstractNum>
  <w:abstractNum w:abstractNumId="318">
    <w:nsid w:val="69454021"/>
    <w:multiLevelType w:val="hybridMultilevel"/>
    <w:lvl w:ilvl="0">
      <w:lvlJc w:val="left"/>
      <w:lvlText w:val="(%1)"/>
      <w:numFmt w:val="lowerLetter"/>
      <w:start w:val="1"/>
    </w:lvl>
  </w:abstractNum>
  <w:abstractNum w:abstractNumId="319">
    <w:nsid w:val="49F15C6B"/>
    <w:multiLevelType w:val="hybridMultilevel"/>
    <w:lvl w:ilvl="0">
      <w:lvlJc w:val="left"/>
      <w:lvlText w:val="(%1)"/>
      <w:numFmt w:val="lowerLetter"/>
      <w:start w:val="1"/>
    </w:lvl>
  </w:abstractNum>
  <w:abstractNum w:abstractNumId="320">
    <w:nsid w:val="75F56228"/>
    <w:multiLevelType w:val="hybridMultilevel"/>
    <w:lvl w:ilvl="0">
      <w:lvlJc w:val="left"/>
      <w:lvlText w:val="(%1)"/>
      <w:numFmt w:val="lowerLetter"/>
      <w:start w:val="1"/>
    </w:lvl>
  </w:abstractNum>
  <w:abstractNum w:abstractNumId="321">
    <w:nsid w:val="1C618271"/>
    <w:multiLevelType w:val="hybridMultilevel"/>
    <w:lvl w:ilvl="0">
      <w:lvlJc w:val="left"/>
      <w:lvlText w:val="(%1)"/>
      <w:numFmt w:val="lowerRoman"/>
      <w:start w:val="1"/>
    </w:lvl>
  </w:abstractNum>
  <w:abstractNum w:abstractNumId="322">
    <w:nsid w:val="6505F02E"/>
    <w:multiLevelType w:val="hybridMultilevel"/>
    <w:lvl w:ilvl="0">
      <w:lvlJc w:val="left"/>
      <w:lvlText w:val="%1."/>
      <w:numFmt w:val="upperLetter"/>
      <w:start w:val="9"/>
    </w:lvl>
  </w:abstractNum>
  <w:abstractNum w:abstractNumId="323">
    <w:nsid w:val="2FE5D025"/>
    <w:multiLevelType w:val="hybridMultilevel"/>
    <w:lvl w:ilvl="0">
      <w:lvlJc w:val="left"/>
      <w:lvlText w:val="%1."/>
      <w:numFmt w:val="upperLetter"/>
      <w:start w:val="35"/>
    </w:lvl>
  </w:abstractNum>
  <w:abstractNum w:abstractNumId="324">
    <w:nsid w:val="30E1B1CF"/>
    <w:multiLevelType w:val="hybridMultilevel"/>
    <w:lvl w:ilvl="0">
      <w:lvlJc w:val="left"/>
      <w:lvlText w:val="%1."/>
      <w:numFmt w:val="upperLetter"/>
      <w:start w:val="1"/>
    </w:lvl>
  </w:abstractNum>
  <w:abstractNum w:abstractNumId="325">
    <w:nsid w:val="C7A9237"/>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1"/>
    </w:lvl>
  </w:abstractNum>
  <w:abstractNum w:abstractNumId="326">
    <w:nsid w:val="676B3580"/>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327">
    <w:nsid w:val="3193C8F9"/>
    <w:multiLevelType w:val="hybridMultilevel"/>
    <w:lvl w:ilvl="0">
      <w:lvlJc w:val="left"/>
      <w:lvlText w:val="%1."/>
      <w:numFmt w:val="upperLetter"/>
      <w:start w:val="22"/>
    </w:lvl>
  </w:abstractNum>
  <w:abstractNum w:abstractNumId="328">
    <w:nsid w:val="5FA6C6DC"/>
    <w:multiLevelType w:val="hybridMultilevel"/>
    <w:lvl w:ilvl="0">
      <w:lvlJc w:val="left"/>
      <w:lvlText w:val="%1."/>
      <w:numFmt w:val="upperLetter"/>
      <w:start w:val="24"/>
    </w:lvl>
  </w:abstractNum>
  <w:abstractNum w:abstractNumId="329">
    <w:nsid w:val="77933F62"/>
    <w:multiLevelType w:val="hybridMultilevel"/>
    <w:lvl w:ilvl="0">
      <w:lvlJc w:val="left"/>
      <w:lvlText w:val="(%1)"/>
      <w:numFmt w:val="lowerRoman"/>
      <w:start w:val="2"/>
    </w:lvl>
  </w:abstractNum>
  <w:abstractNum w:abstractNumId="330">
    <w:nsid w:val="6CB4EE9C"/>
    <w:multiLevelType w:val="hybridMultilevel"/>
    <w:lvl w:ilvl="0">
      <w:lvlJc w:val="left"/>
      <w:lvlText w:val="%1)"/>
      <w:numFmt w:val="lowerLetter"/>
      <w:start w:val="1"/>
    </w:lvl>
  </w:abstractNum>
  <w:abstractNum w:abstractNumId="331">
    <w:nsid w:val="6A6D56D7"/>
    <w:multiLevelType w:val="hybridMultilevel"/>
    <w:lvl w:ilvl="0">
      <w:lvlJc w:val="left"/>
      <w:lvlText w:val="(%1)"/>
      <w:numFmt w:val="lowerLetter"/>
      <w:start w:val="2"/>
    </w:lvl>
  </w:abstractNum>
  <w:abstractNum w:abstractNumId="332">
    <w:nsid w:val="5B727F19"/>
    <w:multiLevelType w:val="hybridMultilevel"/>
    <w:lvl w:ilvl="0">
      <w:lvlJc w:val="left"/>
      <w:lvlText w:val="(%1)"/>
      <w:numFmt w:val="lowerRoman"/>
      <w:start w:val="1"/>
    </w:lvl>
  </w:abstractNum>
  <w:abstractNum w:abstractNumId="333">
    <w:nsid w:val="514E5CB0"/>
    <w:multiLevelType w:val="hybridMultilevel"/>
    <w:lvl w:ilvl="0">
      <w:lvlJc w:val="left"/>
      <w:lvlText w:val="(%1)"/>
      <w:numFmt w:val="lowerRoman"/>
      <w:start w:val="4"/>
    </w:lvl>
  </w:abstractNum>
  <w:abstractNum w:abstractNumId="334">
    <w:nsid w:val="4210D41E"/>
    <w:multiLevelType w:val="hybridMultilevel"/>
    <w:lvl w:ilvl="0">
      <w:lvlJc w:val="left"/>
      <w:lvlText w:val="(%1)"/>
      <w:numFmt w:val="lowerLetter"/>
      <w:start w:val="1"/>
    </w:lvl>
  </w:abstractNum>
  <w:abstractNum w:abstractNumId="335">
    <w:nsid w:val="4FF4CC6D"/>
    <w:multiLevelType w:val="hybridMultilevel"/>
    <w:lvl w:ilvl="0">
      <w:lvlJc w:val="left"/>
      <w:lvlText w:val="%1"/>
      <w:numFmt w:val="lowerRoman"/>
      <w:start w:val="1"/>
    </w:lvl>
    <w:lvl w:ilvl="1">
      <w:lvlJc w:val="left"/>
      <w:lvlText w:val="(%2)"/>
      <w:numFmt w:val="lowerLetter"/>
      <w:start w:val="2"/>
    </w:lvl>
  </w:abstractNum>
  <w:abstractNum w:abstractNumId="336">
    <w:nsid w:val="404EAF4A"/>
    <w:multiLevelType w:val="hybridMultilevel"/>
    <w:lvl w:ilvl="0">
      <w:lvlJc w:val="left"/>
      <w:lvlText w:val="(%1)"/>
      <w:numFmt w:val="lowerRoman"/>
      <w:start w:val="1"/>
    </w:lvl>
    <w:lvl w:ilvl="1">
      <w:lvlJc w:val="left"/>
      <w:lvlText w:val="(%2)"/>
      <w:numFmt w:val="lowerLetter"/>
      <w:start w:val="4"/>
    </w:lvl>
  </w:abstractNum>
  <w:abstractNum w:abstractNumId="337">
    <w:nsid w:val="4A16874F"/>
    <w:multiLevelType w:val="hybridMultilevel"/>
    <w:lvl w:ilvl="0">
      <w:lvlJc w:val="left"/>
      <w:lvlText w:val="(%1)"/>
      <w:numFmt w:val="lowerRoman"/>
      <w:start w:val="1"/>
    </w:lvl>
  </w:abstractNum>
  <w:abstractNum w:abstractNumId="338">
    <w:nsid w:val="55FEE0D1"/>
    <w:multiLevelType w:val="hybridMultilevel"/>
    <w:lvl w:ilvl="0">
      <w:lvlJc w:val="left"/>
      <w:lvlText w:val="(%1)"/>
      <w:numFmt w:val="lowerRoman"/>
      <w:start w:val="3"/>
    </w:lvl>
  </w:abstractNum>
  <w:abstractNum w:abstractNumId="339">
    <w:nsid w:val="3C5E07C"/>
    <w:multiLevelType w:val="hybridMultilevel"/>
    <w:lvl w:ilvl="0">
      <w:lvlJc w:val="left"/>
      <w:lvlText w:val="(%1)"/>
      <w:numFmt w:val="lowerRoman"/>
      <w:start w:val="3"/>
    </w:lvl>
  </w:abstractNum>
  <w:abstractNum w:abstractNumId="340">
    <w:nsid w:val="60C2D273"/>
    <w:multiLevelType w:val="hybridMultilevel"/>
    <w:lvl w:ilvl="0">
      <w:lvlJc w:val="left"/>
      <w:lvlText w:val="(%1)"/>
      <w:numFmt w:val="lowerLetter"/>
      <w:start w:val="1"/>
    </w:lvl>
  </w:abstractNum>
  <w:abstractNum w:abstractNumId="341">
    <w:nsid w:val="4CC32F1F"/>
    <w:multiLevelType w:val="hybridMultilevel"/>
    <w:lvl w:ilvl="0">
      <w:lvlJc w:val="left"/>
      <w:lvlText w:val="(%1)"/>
      <w:numFmt w:val="lowerRoman"/>
      <w:start w:val="3"/>
    </w:lvl>
  </w:abstractNum>
  <w:abstractNum w:abstractNumId="342">
    <w:nsid w:val="11CAC74A"/>
    <w:multiLevelType w:val="hybridMultilevel"/>
    <w:lvl w:ilvl="0">
      <w:lvlJc w:val="left"/>
      <w:lvlText w:val="(%1)"/>
      <w:numFmt w:val="lowerLetter"/>
      <w:start w:val="1"/>
    </w:lvl>
    <w:lvl w:ilvl="1">
      <w:lvlJc w:val="left"/>
      <w:lvlText w:val="(%2)"/>
      <w:numFmt w:val="lowerRoman"/>
      <w:start w:val="1"/>
    </w:lvl>
  </w:abstractNum>
  <w:abstractNum w:abstractNumId="343">
    <w:nsid w:val="126CADE9"/>
    <w:multiLevelType w:val="hybridMultilevel"/>
    <w:lvl w:ilvl="0">
      <w:lvlJc w:val="left"/>
      <w:lvlText w:val="(%1)"/>
      <w:numFmt w:val="lowerLetter"/>
      <w:start w:val="1"/>
    </w:lvl>
  </w:abstractNum>
  <w:abstractNum w:abstractNumId="344">
    <w:nsid w:val="19132E7B"/>
    <w:multiLevelType w:val="hybridMultilevel"/>
    <w:lvl w:ilvl="0">
      <w:lvlJc w:val="left"/>
      <w:lvlText w:val="(%1)"/>
      <w:numFmt w:val="lowerLetter"/>
      <w:start w:val="3"/>
    </w:lvl>
  </w:abstractNum>
  <w:abstractNum w:abstractNumId="345">
    <w:nsid w:val="63822DC0"/>
    <w:multiLevelType w:val="hybridMultilevel"/>
    <w:lvl w:ilvl="0">
      <w:lvlJc w:val="left"/>
      <w:lvlText w:val="(%1)"/>
      <w:numFmt w:val="lowerLetter"/>
      <w:start w:val="2"/>
    </w:lvl>
  </w:abstractNum>
  <w:abstractNum w:abstractNumId="346">
    <w:nsid w:val="6C11685A"/>
    <w:multiLevelType w:val="hybridMultilevel"/>
    <w:lvl w:ilvl="0">
      <w:lvlJc w:val="left"/>
      <w:lvlText w:val="(%1)"/>
      <w:numFmt w:val="lowerLetter"/>
      <w:start w:val="1"/>
    </w:lvl>
  </w:abstractNum>
  <w:abstractNum w:abstractNumId="347">
    <w:nsid w:val="5E1EAE31"/>
    <w:multiLevelType w:val="hybridMultilevel"/>
    <w:lvl w:ilvl="0">
      <w:lvlJc w:val="left"/>
      <w:lvlText w:val="(%1)"/>
      <w:numFmt w:val="lowerLetter"/>
      <w:start w:val="1"/>
    </w:lvl>
  </w:abstractNum>
  <w:abstractNum w:abstractNumId="348">
    <w:nsid w:val="178E240D"/>
    <w:multiLevelType w:val="hybridMultilevel"/>
    <w:lvl w:ilvl="0">
      <w:lvlJc w:val="left"/>
      <w:lvlText w:val="(%1)"/>
      <w:numFmt w:val="lowerLetter"/>
      <w:start w:val="1"/>
    </w:lvl>
  </w:abstractNum>
  <w:abstractNum w:abstractNumId="349">
    <w:nsid w:val="5556A87B"/>
    <w:multiLevelType w:val="hybridMultilevel"/>
    <w:lvl w:ilvl="0">
      <w:lvlJc w:val="left"/>
      <w:lvlText w:val="(%1)"/>
      <w:numFmt w:val="lowerLetter"/>
      <w:start w:val="1"/>
    </w:lvl>
  </w:abstractNum>
  <w:abstractNum w:abstractNumId="350">
    <w:nsid w:val="28100A9C"/>
    <w:multiLevelType w:val="hybridMultilevel"/>
    <w:lvl w:ilvl="0">
      <w:lvlJc w:val="left"/>
      <w:lvlText w:val="(%1)"/>
      <w:numFmt w:val="lowerLetter"/>
      <w:start w:val="2"/>
    </w:lvl>
  </w:abstractNum>
  <w:abstractNum w:abstractNumId="351">
    <w:nsid w:val="D838636"/>
    <w:multiLevelType w:val="hybridMultilevel"/>
    <w:lvl w:ilvl="0">
      <w:lvlJc w:val="left"/>
      <w:lvlText w:val="(%1)"/>
      <w:numFmt w:val="lowerLetter"/>
      <w:start w:val="1"/>
    </w:lvl>
  </w:abstractNum>
  <w:abstractNum w:abstractNumId="352">
    <w:nsid w:val="71B82AED"/>
    <w:multiLevelType w:val="hybridMultilevel"/>
    <w:lvl w:ilvl="0">
      <w:lvlJc w:val="left"/>
      <w:lvlText w:val="(%1)"/>
      <w:numFmt w:val="lowerLetter"/>
      <w:start w:val="3"/>
    </w:lvl>
    <w:lvl w:ilvl="1">
      <w:lvlJc w:val="left"/>
      <w:lvlText w:val="(%2)"/>
      <w:numFmt w:val="lowerRoman"/>
      <w:start w:val="1"/>
    </w:lvl>
  </w:abstractNum>
  <w:abstractNum w:abstractNumId="353">
    <w:nsid w:val="D15FACA"/>
    <w:multiLevelType w:val="hybridMultilevel"/>
    <w:lvl w:ilvl="0">
      <w:lvlJc w:val="left"/>
      <w:lvlText w:val="(%1)"/>
      <w:numFmt w:val="lowerLetter"/>
      <w:start w:val="4"/>
    </w:lvl>
  </w:abstractNum>
  <w:abstractNum w:abstractNumId="354">
    <w:nsid w:val="3D69565B"/>
    <w:multiLevelType w:val="hybridMultilevel"/>
    <w:lvl w:ilvl="0">
      <w:lvlJc w:val="left"/>
      <w:lvlText w:val="(%1)"/>
      <w:numFmt w:val="lowerLetter"/>
      <w:start w:val="5"/>
    </w:lvl>
  </w:abstractNum>
  <w:abstractNum w:abstractNumId="355">
    <w:nsid w:val="2299DCBC"/>
    <w:multiLevelType w:val="hybridMultilevel"/>
    <w:lvl w:ilvl="0">
      <w:lvlJc w:val="left"/>
      <w:lvlText w:val="(%1)"/>
      <w:numFmt w:val="lowerLetter"/>
      <w:start w:val="1"/>
    </w:lvl>
  </w:abstractNum>
  <w:abstractNum w:abstractNumId="356">
    <w:nsid w:val="19908D02"/>
    <w:multiLevelType w:val="hybridMultilevel"/>
    <w:lvl w:ilvl="0">
      <w:lvlJc w:val="left"/>
      <w:lvlText w:val="(%1)"/>
      <w:numFmt w:val="lowerLetter"/>
      <w:start w:val="1"/>
    </w:lvl>
  </w:abstractNum>
  <w:abstractNum w:abstractNumId="357">
    <w:nsid w:val="24D48BDB"/>
    <w:multiLevelType w:val="hybridMultilevel"/>
    <w:lvl w:ilvl="0">
      <w:lvlJc w:val="left"/>
      <w:lvlText w:val="(%1)"/>
      <w:numFmt w:val="lowerLetter"/>
      <w:start w:val="2"/>
    </w:lvl>
  </w:abstractNum>
  <w:abstractNum w:abstractNumId="358">
    <w:nsid w:val="542DA5B5"/>
    <w:multiLevelType w:val="hybridMultilevel"/>
    <w:lvl w:ilvl="0">
      <w:lvlJc w:val="left"/>
      <w:lvlText w:val="(%1)"/>
      <w:numFmt w:val="lowerLetter"/>
      <w:start w:val="1"/>
    </w:lvl>
  </w:abstractNum>
  <w:abstractNum w:abstractNumId="359">
    <w:nsid w:val="793753DE"/>
    <w:multiLevelType w:val="hybridMultilevel"/>
    <w:lvl w:ilvl="0">
      <w:lvlJc w:val="left"/>
      <w:lvlText w:val="(%1)"/>
      <w:numFmt w:val="lowerLetter"/>
      <w:start w:val="1"/>
    </w:lvl>
  </w:abstractNum>
  <w:abstractNum w:abstractNumId="360">
    <w:nsid w:val="1C67CB3D"/>
    <w:multiLevelType w:val="hybridMultilevel"/>
    <w:lvl w:ilvl="0">
      <w:lvlJc w:val="left"/>
      <w:lvlText w:val="(%1)"/>
      <w:numFmt w:val="lowerLetter"/>
      <w:start w:val="2"/>
    </w:lvl>
  </w:abstractNum>
  <w:abstractNum w:abstractNumId="361">
    <w:nsid w:val="40E29452"/>
    <w:multiLevelType w:val="hybridMultilevel"/>
    <w:lvl w:ilvl="0">
      <w:lvlJc w:val="left"/>
      <w:lvlText w:val="(%1)"/>
      <w:numFmt w:val="lowerLetter"/>
      <w:start w:val="1"/>
    </w:lvl>
  </w:abstractNum>
  <w:abstractNum w:abstractNumId="362">
    <w:nsid w:val="63A4AAB6"/>
    <w:multiLevelType w:val="hybridMultilevel"/>
    <w:lvl w:ilvl="0">
      <w:lvlJc w:val="left"/>
      <w:lvlText w:val="(%1)"/>
      <w:numFmt w:val="lowerLetter"/>
      <w:start w:val="2"/>
    </w:lvl>
  </w:abstractNum>
  <w:abstractNum w:abstractNumId="363">
    <w:nsid w:val="77DA4A57"/>
    <w:multiLevelType w:val="hybridMultilevel"/>
    <w:lvl w:ilvl="0">
      <w:lvlJc w:val="left"/>
      <w:lvlText w:val="(%1)"/>
      <w:numFmt w:val="lowerLetter"/>
      <w:start w:val="1"/>
    </w:lvl>
  </w:abstractNum>
  <w:abstractNum w:abstractNumId="364">
    <w:nsid w:val="1230F102"/>
    <w:multiLevelType w:val="hybridMultilevel"/>
    <w:lvl w:ilvl="0">
      <w:lvlJc w:val="left"/>
      <w:lvlText w:val="(%1)"/>
      <w:numFmt w:val="lowerLetter"/>
      <w:start w:val="1"/>
    </w:lvl>
    <w:lvl w:ilvl="1">
      <w:lvlJc w:val="left"/>
      <w:lvlText w:val="(%2)"/>
      <w:numFmt w:val="lowerRoman"/>
      <w:start w:val="1"/>
    </w:lvl>
  </w:abstractNum>
  <w:abstractNum w:abstractNumId="365">
    <w:nsid w:val="25B57ED4"/>
    <w:multiLevelType w:val="hybridMultilevel"/>
    <w:lvl w:ilvl="0">
      <w:lvlJc w:val="left"/>
      <w:lvlText w:val="(%1)"/>
      <w:numFmt w:val="lowerLetter"/>
      <w:start w:val="1"/>
    </w:lvl>
  </w:abstractNum>
  <w:abstractNum w:abstractNumId="366">
    <w:nsid w:val="47CF16C4"/>
    <w:multiLevelType w:val="hybridMultilevel"/>
    <w:lvl w:ilvl="0">
      <w:lvlJc w:val="left"/>
      <w:lvlText w:val="(%1)"/>
      <w:numFmt w:val="lowerLetter"/>
      <w:start w:val="1"/>
    </w:lvl>
  </w:abstractNum>
  <w:abstractNum w:abstractNumId="367">
    <w:nsid w:val="527FA04C"/>
    <w:multiLevelType w:val="hybridMultilevel"/>
    <w:lvl w:ilvl="0">
      <w:lvlJc w:val="left"/>
      <w:lvlText w:val="(%1)"/>
      <w:numFmt w:val="lowerLetter"/>
      <w:start w:val="1"/>
    </w:lvl>
  </w:abstractNum>
  <w:abstractNum w:abstractNumId="368">
    <w:nsid w:val="6FCC0624"/>
    <w:multiLevelType w:val="hybridMultilevel"/>
    <w:lvl w:ilvl="0">
      <w:lvlJc w:val="left"/>
      <w:lvlText w:val="(%1)"/>
      <w:numFmt w:val="lowerLetter"/>
      <w:start w:val="1"/>
    </w:lvl>
  </w:abstractNum>
  <w:abstractNum w:abstractNumId="369">
    <w:nsid w:val="1DCDF795"/>
    <w:multiLevelType w:val="hybridMultilevel"/>
    <w:lvl w:ilvl="0">
      <w:lvlJc w:val="left"/>
      <w:lvlText w:val="(%1)"/>
      <w:numFmt w:val="lowerLetter"/>
      <w:start w:val="1"/>
    </w:lvl>
  </w:abstractNum>
  <w:abstractNum w:abstractNumId="370">
    <w:nsid w:val="564580C8"/>
    <w:multiLevelType w:val="hybridMultilevel"/>
    <w:lvl w:ilvl="0">
      <w:lvlJc w:val="left"/>
      <w:lvlText w:val="(%1)"/>
      <w:numFmt w:val="lowerLetter"/>
      <w:start w:val="1"/>
    </w:lvl>
  </w:abstractNum>
  <w:abstractNum w:abstractNumId="371">
    <w:nsid w:val="508ED897"/>
    <w:multiLevelType w:val="hybridMultilevel"/>
    <w:lvl w:ilvl="0">
      <w:lvlJc w:val="left"/>
      <w:lvlText w:val="(%1)"/>
      <w:numFmt w:val="lowerLetter"/>
      <w:start w:val="1"/>
    </w:lvl>
  </w:abstractNum>
  <w:abstractNum w:abstractNumId="372">
    <w:nsid w:val="6A9126B5"/>
    <w:multiLevelType w:val="hybridMultilevel"/>
    <w:lvl w:ilvl="0">
      <w:lvlJc w:val="left"/>
      <w:lvlText w:val="(%1)"/>
      <w:numFmt w:val="lowerLetter"/>
      <w:start w:val="1"/>
    </w:lvl>
  </w:abstractNum>
  <w:abstractNum w:abstractNumId="373">
    <w:nsid w:val="68104812"/>
    <w:multiLevelType w:val="hybridMultilevel"/>
    <w:lvl w:ilvl="0">
      <w:lvlJc w:val="left"/>
      <w:lvlText w:val="(%1)"/>
      <w:numFmt w:val="lowerLetter"/>
      <w:start w:val="4"/>
    </w:lvl>
  </w:abstractNum>
  <w:abstractNum w:abstractNumId="374">
    <w:nsid w:val="62FB8680"/>
    <w:multiLevelType w:val="hybridMultilevel"/>
    <w:lvl w:ilvl="0">
      <w:lvlJc w:val="left"/>
      <w:lvlText w:val="(%1)"/>
      <w:numFmt w:val="lowerLetter"/>
      <w:start w:val="1"/>
    </w:lvl>
  </w:abstractNum>
  <w:abstractNum w:abstractNumId="375">
    <w:nsid w:val="3A45530"/>
    <w:multiLevelType w:val="hybridMultilevel"/>
    <w:lvl w:ilvl="0">
      <w:lvlJc w:val="left"/>
      <w:lvlText w:val="(%1)"/>
      <w:numFmt w:val="lowerLetter"/>
      <w:start w:val="7"/>
    </w:lvl>
  </w:abstractNum>
  <w:abstractNum w:abstractNumId="376">
    <w:nsid w:val="4B9275D2"/>
    <w:multiLevelType w:val="hybridMultilevel"/>
    <w:lvl w:ilvl="0">
      <w:lvlJc w:val="left"/>
      <w:lvlText w:val="(%1)"/>
      <w:numFmt w:val="lowerLetter"/>
      <w:start w:val="1"/>
    </w:lvl>
  </w:abstractNum>
  <w:abstractNum w:abstractNumId="377">
    <w:nsid w:val="4F0CEEDB"/>
    <w:multiLevelType w:val="hybridMultilevel"/>
    <w:lvl w:ilvl="0">
      <w:lvlJc w:val="left"/>
      <w:lvlText w:val="(%1)"/>
      <w:numFmt w:val="lowerLetter"/>
      <w:start w:val="1"/>
    </w:lvl>
  </w:abstractNum>
  <w:abstractNum w:abstractNumId="378">
    <w:nsid w:val="61C30361"/>
    <w:multiLevelType w:val="hybridMultilevel"/>
    <w:lvl w:ilvl="0">
      <w:lvlJc w:val="left"/>
      <w:lvlText w:val="(%1)"/>
      <w:numFmt w:val="lowerLetter"/>
      <w:start w:val="1"/>
    </w:lvl>
  </w:abstractNum>
  <w:abstractNum w:abstractNumId="379">
    <w:nsid w:val="632099E0"/>
    <w:multiLevelType w:val="hybridMultilevel"/>
    <w:lvl w:ilvl="0">
      <w:lvlJc w:val="left"/>
      <w:lvlText w:val="(%1)"/>
      <w:numFmt w:val="lowerLetter"/>
      <w:start w:val="2"/>
    </w:lvl>
  </w:abstractNum>
  <w:abstractNum w:abstractNumId="380">
    <w:nsid w:val="24639756"/>
    <w:multiLevelType w:val="hybridMultilevel"/>
    <w:lvl w:ilvl="0">
      <w:lvlJc w:val="left"/>
      <w:lvlText w:val="(%1)"/>
      <w:numFmt w:val="lowerLetter"/>
      <w:start w:val="2"/>
    </w:lvl>
  </w:abstractNum>
  <w:abstractNum w:abstractNumId="381">
    <w:nsid w:val="9D30DFD"/>
    <w:multiLevelType w:val="hybridMultilevel"/>
    <w:lvl w:ilvl="0">
      <w:lvlJc w:val="left"/>
      <w:lvlText w:val="(%1)"/>
      <w:numFmt w:val="lowerRoman"/>
      <w:start w:val="1"/>
    </w:lvl>
  </w:abstractNum>
  <w:abstractNum w:abstractNumId="382">
    <w:nsid w:val="70A42016"/>
    <w:multiLevelType w:val="hybridMultilevel"/>
    <w:lvl w:ilvl="0">
      <w:lvlJc w:val="left"/>
      <w:lvlText w:val="(%1)"/>
      <w:numFmt w:val="lowerRoman"/>
      <w:start w:val="3"/>
    </w:lvl>
  </w:abstractNum>
  <w:abstractNum w:abstractNumId="383">
    <w:nsid w:val="161BC243"/>
    <w:multiLevelType w:val="hybridMultilevel"/>
    <w:lvl w:ilvl="0">
      <w:lvlJc w:val="left"/>
      <w:lvlText w:val="(%1)"/>
      <w:numFmt w:val="lowerRoman"/>
      <w:start w:val="1"/>
    </w:lvl>
  </w:abstractNum>
  <w:abstractNum w:abstractNumId="384">
    <w:nsid w:val="16E908C8"/>
    <w:multiLevelType w:val="hybridMultilevel"/>
    <w:lvl w:ilvl="0">
      <w:lvlJc w:val="left"/>
      <w:lvlText w:val="(%1)"/>
      <w:numFmt w:val="lowerRoman"/>
      <w:start w:val="4"/>
    </w:lvl>
  </w:abstractNum>
  <w:abstractNum w:abstractNumId="385">
    <w:nsid w:val="2E0D7671"/>
    <w:multiLevelType w:val="hybridMultilevel"/>
    <w:lvl w:ilvl="0">
      <w:lvlJc w:val="left"/>
      <w:lvlText w:val="%1)"/>
      <w:numFmt w:val="lowerLetter"/>
      <w:start w:val="1"/>
    </w:lvl>
  </w:abstractNum>
  <w:abstractNum w:abstractNumId="386">
    <w:nsid w:val="38B59EFF"/>
    <w:multiLevelType w:val="hybridMultilevel"/>
    <w:lvl w:ilvl="0">
      <w:lvlJc w:val="left"/>
      <w:lvlText w:val="(%1)"/>
      <w:numFmt w:val="lowerLetter"/>
      <w:start w:val="1"/>
    </w:lvl>
  </w:abstractNum>
  <w:abstractNum w:abstractNumId="387">
    <w:nsid w:val="307995CA"/>
    <w:multiLevelType w:val="hybridMultilevel"/>
    <w:lvl w:ilvl="0">
      <w:lvlJc w:val="left"/>
      <w:lvlText w:val="(%1)"/>
      <w:numFmt w:val="lowerLetter"/>
      <w:start w:val="3"/>
    </w:lvl>
  </w:abstractNum>
  <w:abstractNum w:abstractNumId="388">
    <w:nsid w:val="52E2024D"/>
    <w:multiLevelType w:val="hybridMultilevel"/>
    <w:lvl w:ilvl="0">
      <w:lvlJc w:val="left"/>
      <w:lvlText w:val="(%1)"/>
      <w:numFmt w:val="lowerLetter"/>
      <w:start w:val="1"/>
    </w:lvl>
  </w:abstractNum>
  <w:abstractNum w:abstractNumId="389">
    <w:nsid w:val="CE344B5"/>
    <w:multiLevelType w:val="hybridMultilevel"/>
    <w:lvl w:ilvl="0">
      <w:lvlJc w:val="left"/>
      <w:lvlText w:val="(%1)"/>
      <w:numFmt w:val="lowerLetter"/>
      <w:start w:val="2"/>
    </w:lvl>
  </w:abstractNum>
  <w:abstractNum w:abstractNumId="390">
    <w:nsid w:val="29B0E9A8"/>
    <w:multiLevelType w:val="hybridMultilevel"/>
    <w:lvl w:ilvl="0">
      <w:lvlJc w:val="left"/>
      <w:lvlText w:val="%1)"/>
      <w:numFmt w:val="decimal"/>
      <w:start w:val="2"/>
    </w:lvl>
  </w:abstractNum>
  <w:abstractNum w:abstractNumId="391">
    <w:nsid w:val="6F49CD8A"/>
    <w:multiLevelType w:val="hybridMultilevel"/>
    <w:lvl w:ilvl="0">
      <w:lvlJc w:val="left"/>
      <w:lvlText w:val="(%1)"/>
      <w:numFmt w:val="lowerLetter"/>
      <w:start w:val="1"/>
    </w:lvl>
  </w:abstractNum>
  <w:abstractNum w:abstractNumId="392">
    <w:nsid w:val="4DC5D907"/>
    <w:multiLevelType w:val="hybridMultilevel"/>
    <w:lvl w:ilvl="0">
      <w:lvlJc w:val="left"/>
      <w:lvlText w:val="(%1)"/>
      <w:numFmt w:val="lowerLetter"/>
      <w:start w:val="3"/>
    </w:lvl>
  </w:abstractNum>
  <w:abstractNum w:abstractNumId="393">
    <w:nsid w:val="D55945E"/>
    <w:multiLevelType w:val="hybridMultilevel"/>
    <w:lvl w:ilvl="0">
      <w:lvlJc w:val="left"/>
      <w:lvlText w:val="(%1)"/>
      <w:numFmt w:val="lowerRoman"/>
      <w:start w:val="4"/>
    </w:lvl>
  </w:abstractNum>
  <w:abstractNum w:abstractNumId="394">
    <w:nsid w:val="672417E1"/>
    <w:multiLevelType w:val="hybridMultilevel"/>
    <w:lvl w:ilvl="0">
      <w:lvlJc w:val="left"/>
      <w:lvlText w:val="(%1)"/>
      <w:numFmt w:val="lowerLetter"/>
      <w:start w:val="1"/>
    </w:lvl>
  </w:abstractNum>
  <w:abstractNum w:abstractNumId="395">
    <w:nsid w:val="5FF6CA09"/>
    <w:multiLevelType w:val="hybridMultilevel"/>
    <w:lvl w:ilvl="0">
      <w:lvlJc w:val="left"/>
      <w:lvlText w:val="(%1)"/>
      <w:numFmt w:val="lowerLetter"/>
      <w:start w:val="1"/>
    </w:lvl>
  </w:abstractNum>
  <w:abstractNum w:abstractNumId="396">
    <w:nsid w:val="330B1333"/>
    <w:multiLevelType w:val="hybridMultilevel"/>
    <w:lvl w:ilvl="0">
      <w:lvlJc w:val="left"/>
      <w:lvlText w:val="(%1)"/>
      <w:numFmt w:val="lowerRoman"/>
      <w:start w:val="1"/>
    </w:lvl>
  </w:abstractNum>
  <w:abstractNum w:abstractNumId="397">
    <w:nsid w:val="2EF32EA6"/>
    <w:multiLevelType w:val="hybridMultilevel"/>
    <w:lvl w:ilvl="0">
      <w:lvlJc w:val="left"/>
      <w:lvlText w:val="(%1)"/>
      <w:numFmt w:val="lowerLetter"/>
      <w:start w:val="1"/>
    </w:lvl>
  </w:abstractNum>
  <w:abstractNum w:abstractNumId="398">
    <w:nsid w:val="32766A55"/>
    <w:multiLevelType w:val="hybridMultilevel"/>
    <w:lvl w:ilvl="0">
      <w:lvlJc w:val="left"/>
      <w:lvlText w:val="•"/>
      <w:numFmt w:val="bullet"/>
      <w:start w:val="1"/>
    </w:lvl>
  </w:abstractNum>
  <w:abstractNum w:abstractNumId="399">
    <w:nsid w:val="22D71957"/>
    <w:multiLevelType w:val="hybridMultilevel"/>
    <w:lvl w:ilvl="0">
      <w:lvlJc w:val="left"/>
      <w:lvlText w:val="*"/>
      <w:numFmt w:val="bullet"/>
      <w:start w:val="1"/>
    </w:lvl>
  </w:abstractNum>
  <w:abstractNum w:abstractNumId="400">
    <w:nsid w:val="4CC1263B"/>
    <w:multiLevelType w:val="hybridMultilevel"/>
    <w:lvl w:ilvl="0">
      <w:lvlJc w:val="left"/>
      <w:lvlText w:val="**"/>
      <w:numFmt w:val="bullet"/>
      <w:start w:val="1"/>
    </w:lvl>
  </w:abstractNum>
  <w:abstractNum w:abstractNumId="401">
    <w:nsid w:val="8BBEB1D"/>
    <w:multiLevelType w:val="hybridMultilevel"/>
    <w:lvl w:ilvl="0">
      <w:lvlJc w:val="left"/>
      <w:lvlText w:val="%1."/>
      <w:numFmt w:val="decimal"/>
      <w:start w:val="1"/>
    </w:lvl>
  </w:abstractNum>
  <w:abstractNum w:abstractNumId="402">
    <w:nsid w:val="7365F1EE"/>
    <w:multiLevelType w:val="hybridMultilevel"/>
    <w:lvl w:ilvl="0">
      <w:lvlJc w:val="left"/>
      <w:lvlText w:val="%1)"/>
      <w:numFmt w:val="lowerLetter"/>
      <w:start w:val="1"/>
    </w:lvl>
  </w:abstractNum>
  <w:abstractNum w:abstractNumId="403">
    <w:nsid w:val="37524CF0"/>
    <w:multiLevelType w:val="hybridMultilevel"/>
    <w:lvl w:ilvl="0">
      <w:lvlJc w:val="left"/>
      <w:lvlText w:val="%1."/>
      <w:numFmt w:val="decimal"/>
      <w:start w:val="2"/>
    </w:lvl>
  </w:abstractNum>
  <w:abstractNum w:abstractNumId="404">
    <w:nsid w:val="70CC332F"/>
    <w:multiLevelType w:val="hybridMultilevel"/>
    <w:lvl w:ilvl="0">
      <w:lvlJc w:val="left"/>
      <w:lvlText w:val="%1."/>
      <w:numFmt w:val="decimal"/>
      <w:start w:val="3"/>
    </w:lvl>
  </w:abstractNum>
  <w:abstractNum w:abstractNumId="405">
    <w:nsid w:val="5661786E"/>
    <w:multiLevelType w:val="hybridMultilevel"/>
    <w:lvl w:ilvl="0">
      <w:lvlJc w:val="left"/>
      <w:lvlText w:val="%1)"/>
      <w:numFmt w:val="lowerLetter"/>
      <w:start w:val="1"/>
    </w:lvl>
  </w:abstractNum>
  <w:abstractNum w:abstractNumId="406">
    <w:nsid w:val="3AF6A220"/>
    <w:multiLevelType w:val="hybridMultilevel"/>
    <w:lvl w:ilvl="0">
      <w:lvlJc w:val="left"/>
      <w:lvlText w:val="%1."/>
      <w:numFmt w:val="decimal"/>
      <w:start w:val="4"/>
    </w:lvl>
  </w:abstractNum>
  <w:abstractNum w:abstractNumId="407">
    <w:nsid w:val="3C5EA902"/>
    <w:multiLevelType w:val="hybridMultilevel"/>
    <w:lvl w:ilvl="0">
      <w:lvlJc w:val="left"/>
      <w:lvlText w:val="%1."/>
      <w:numFmt w:val="decimal"/>
      <w:start w:val="5"/>
    </w:lvl>
  </w:abstractNum>
  <w:abstractNum w:abstractNumId="408">
    <w:nsid w:val="256E6749"/>
    <w:multiLevelType w:val="hybridMultilevel"/>
    <w:lvl w:ilvl="0">
      <w:lvlJc w:val="left"/>
      <w:lvlText w:val="%1)"/>
      <w:numFmt w:val="lowerLetter"/>
      <w:start w:val="1"/>
    </w:lvl>
  </w:abstractNum>
  <w:abstractNum w:abstractNumId="409">
    <w:nsid w:val="1CB9A581"/>
    <w:multiLevelType w:val="hybridMultilevel"/>
    <w:lvl w:ilvl="0">
      <w:lvlJc w:val="left"/>
      <w:lvlText w:val="%1)"/>
      <w:numFmt w:val="lowerLetter"/>
      <w:start w:val="4"/>
    </w:lvl>
  </w:abstractNum>
  <w:abstractNum w:abstractNumId="410">
    <w:nsid w:val="1F7F42E2"/>
    <w:multiLevelType w:val="hybridMultilevel"/>
    <w:lvl w:ilvl="0">
      <w:lvlJc w:val="left"/>
      <w:lvlText w:val="%1."/>
      <w:numFmt w:val="decimal"/>
      <w:start w:val="6"/>
    </w:lvl>
  </w:abstractNum>
  <w:abstractNum w:abstractNumId="411">
    <w:nsid w:val="49D1FEA0"/>
    <w:multiLevelType w:val="hybridMultilevel"/>
    <w:lvl w:ilvl="0">
      <w:lvlJc w:val="left"/>
      <w:lvlText w:val="%1."/>
      <w:numFmt w:val="decimal"/>
      <w:start w:val="7"/>
    </w:lvl>
  </w:abstractNum>
  <w:abstractNum w:abstractNumId="412">
    <w:nsid w:val="268CB37F"/>
    <w:multiLevelType w:val="hybridMultilevel"/>
    <w:lvl w:ilvl="0">
      <w:lvlJc w:val="left"/>
      <w:lvlText w:val="%1."/>
      <w:numFmt w:val="decimal"/>
      <w:start w:val="13"/>
    </w:lvl>
  </w:abstractNum>
  <w:abstractNum w:abstractNumId="413">
    <w:nsid w:val="102362F8"/>
    <w:multiLevelType w:val="hybridMultilevel"/>
    <w:lvl w:ilvl="0">
      <w:lvlJc w:val="left"/>
      <w:lvlText w:val="%1."/>
      <w:numFmt w:val="decimal"/>
      <w:start w:val="1"/>
    </w:lvl>
    <w:lvl w:ilvl="1">
      <w:lvlJc w:val="left"/>
      <w:lvlText w:val="(%2)"/>
      <w:numFmt w:val="lowerLetter"/>
      <w:start w:val="1"/>
    </w:lvl>
  </w:abstractNum>
  <w:abstractNum w:abstractNumId="414">
    <w:nsid w:val="5FEDC0E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415">
    <w:nsid w:val="3D75BC47"/>
    <w:multiLevelType w:val="hybridMultilevel"/>
    <w:lvl w:ilvl="0">
      <w:lvlJc w:val="left"/>
      <w:lvlText w:val="(%1)"/>
      <w:numFmt w:val="upperLetter"/>
      <w:start w:val="1"/>
    </w:lvl>
  </w:abstractNum>
  <w:abstractNum w:abstractNumId="416">
    <w:nsid w:val="3E30D969"/>
    <w:multiLevelType w:val="hybridMultilevel"/>
    <w:lvl w:ilvl="0">
      <w:lvlJc w:val="left"/>
      <w:lvlText w:val="%1"/>
      <w:numFmt w:val="decimal"/>
      <w:start w:val="1"/>
    </w:lvl>
    <w:lvl w:ilvl="1">
      <w:lvlJc w:val="left"/>
      <w:lvlText w:val="(%2)"/>
      <w:numFmt w:val="lowerRoman"/>
      <w:start w:val="2"/>
    </w:lvl>
  </w:abstractNum>
  <w:abstractNum w:abstractNumId="417">
    <w:nsid w:val="18A35FE3"/>
    <w:multiLevelType w:val="hybridMultilevel"/>
    <w:lvl w:ilvl="0">
      <w:lvlJc w:val="left"/>
      <w:lvlText w:val="(%1)"/>
      <w:numFmt w:val="decimal"/>
      <w:start w:val="2"/>
    </w:lvl>
    <w:lvl w:ilvl="1">
      <w:lvlJc w:val="left"/>
      <w:lvlText w:val="%2"/>
      <w:numFmt w:val="lowerRoman"/>
      <w:start w:val="1"/>
    </w:lvl>
  </w:abstractNum>
  <w:abstractNum w:abstractNumId="418">
    <w:nsid w:val="6DEF5211"/>
    <w:multiLevelType w:val="hybridMultilevel"/>
    <w:lvl w:ilvl="0">
      <w:lvlJc w:val="left"/>
      <w:lvlText w:val="-"/>
      <w:numFmt w:val="bullet"/>
      <w:start w:val="1"/>
    </w:lvl>
  </w:abstractNum>
  <w:abstractNum w:abstractNumId="419">
    <w:nsid w:val="1112DBB6"/>
    <w:multiLevelType w:val="hybridMultilevel"/>
    <w:lvl w:ilvl="0">
      <w:lvlJc w:val="left"/>
      <w:lvlText w:val="-"/>
      <w:numFmt w:val="bullet"/>
      <w:start w:val="1"/>
    </w:lvl>
  </w:abstractNum>
  <w:abstractNum w:abstractNumId="420">
    <w:nsid w:val="2586A4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421">
    <w:nsid w:val="17A03BB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22">
    <w:nsid w:val="5CA94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23">
    <w:nsid w:val="734C7D9F"/>
    <w:multiLevelType w:val="hybridMultilevel"/>
    <w:lvl w:ilvl="0">
      <w:lvlJc w:val="left"/>
      <w:lvlText w:val="(%1)"/>
      <w:numFmt w:val="lowerLetter"/>
      <w:start w:val="2"/>
    </w:lvl>
  </w:abstractNum>
  <w:abstractNum w:abstractNumId="424">
    <w:nsid w:val="24F5D018"/>
    <w:multiLevelType w:val="hybridMultilevel"/>
    <w:lvl w:ilvl="0">
      <w:lvlJc w:val="left"/>
      <w:lvlText w:val="%1."/>
      <w:numFmt w:val="decimal"/>
      <w:start w:val="4"/>
    </w:lvl>
  </w:abstractNum>
  <w:abstractNum w:abstractNumId="425">
    <w:nsid w:val="6780C122"/>
    <w:multiLevelType w:val="hybridMultilevel"/>
    <w:lvl w:ilvl="0">
      <w:lvlJc w:val="left"/>
      <w:lvlText w:val="(%1)"/>
      <w:numFmt w:val="lowerLetter"/>
      <w:start w:val="1"/>
    </w:lvl>
  </w:abstractNum>
  <w:abstractNum w:abstractNumId="426">
    <w:nsid w:val="534347A8"/>
    <w:multiLevelType w:val="hybridMultilevel"/>
    <w:lvl w:ilvl="0">
      <w:lvlJc w:val="left"/>
      <w:lvlText w:val="(%1)"/>
      <w:numFmt w:val="lowerLetter"/>
      <w:start w:val="3"/>
    </w:lvl>
  </w:abstractNum>
  <w:abstractNum w:abstractNumId="427">
    <w:nsid w:val="5800E34B"/>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428">
    <w:nsid w:val="1673EFC8"/>
    <w:multiLevelType w:val="hybridMultilevel"/>
    <w:lvl w:ilvl="0">
      <w:lvlJc w:val="left"/>
      <w:lvlText w:val="%1"/>
      <w:numFmt w:val="lowerLetter"/>
      <w:start w:val="1"/>
    </w:lvl>
    <w:lvl w:ilvl="1">
      <w:lvlJc w:val="left"/>
      <w:lvlText w:val="(%2)"/>
      <w:numFmt w:val="lowerRoman"/>
      <w:start w:val="2"/>
    </w:lvl>
  </w:abstractNum>
  <w:abstractNum w:abstractNumId="429">
    <w:nsid w:val="5B9B1FD"/>
    <w:multiLevelType w:val="hybridMultilevel"/>
    <w:lvl w:ilvl="0">
      <w:lvlJc w:val="left"/>
      <w:lvlText w:val="(%1)"/>
      <w:numFmt w:val="lowerLetter"/>
      <w:start w:val="6"/>
    </w:lvl>
    <w:lvl w:ilvl="1">
      <w:lvlJc w:val="left"/>
      <w:lvlText w:val="(%2)"/>
      <w:numFmt w:val="lowerRoman"/>
      <w:start w:val="1"/>
    </w:lvl>
  </w:abstractNum>
  <w:abstractNum w:abstractNumId="430">
    <w:nsid w:val="7AD7FCA2"/>
    <w:multiLevelType w:val="hybridMultilevel"/>
    <w:lvl w:ilvl="0">
      <w:lvlJc w:val="left"/>
      <w:lvlText w:val="(%1)"/>
      <w:numFmt w:val="lowerLetter"/>
      <w:start w:val="8"/>
    </w:lvl>
  </w:abstractNum>
  <w:abstractNum w:abstractNumId="431">
    <w:nsid w:val="63351604"/>
    <w:multiLevelType w:val="hybridMultilevel"/>
    <w:lvl w:ilvl="0">
      <w:lvlJc w:val="left"/>
      <w:lvlText w:val="%1."/>
      <w:numFmt w:val="decimal"/>
      <w:start w:val="5"/>
    </w:lvl>
  </w:abstractNum>
  <w:abstractNum w:abstractNumId="432">
    <w:nsid w:val="E759D1A"/>
    <w:multiLevelType w:val="hybridMultilevel"/>
    <w:lvl w:ilvl="0">
      <w:lvlJc w:val="left"/>
      <w:lvlText w:val="(%1)"/>
      <w:numFmt w:val="lowerLetter"/>
      <w:start w:val="1"/>
    </w:lvl>
    <w:lvl w:ilvl="1">
      <w:lvlJc w:val="left"/>
      <w:lvlText w:val="(%2)"/>
      <w:numFmt w:val="lowerRoman"/>
      <w:start w:val="1"/>
    </w:lvl>
  </w:abstractNum>
  <w:abstractNum w:abstractNumId="433">
    <w:nsid w:val="6E3DEE90"/>
    <w:multiLevelType w:val="hybridMultilevel"/>
    <w:lvl w:ilvl="0">
      <w:lvlJc w:val="left"/>
      <w:lvlText w:val="(%1)"/>
      <w:numFmt w:val="lowerLetter"/>
      <w:start w:val="3"/>
    </w:lvl>
  </w:abstractNum>
  <w:abstractNum w:abstractNumId="434">
    <w:nsid w:val="1A8762F4"/>
    <w:multiLevelType w:val="hybridMultilevel"/>
    <w:lvl w:ilvl="0">
      <w:lvlJc w:val="left"/>
      <w:lvlText w:val="%1"/>
      <w:numFmt w:val="decimal"/>
      <w:start w:val="1"/>
    </w:lvl>
    <w:lvl w:ilvl="1">
      <w:lvlJc w:val="left"/>
      <w:lvlText w:val="(%2)"/>
      <w:numFmt w:val="lowerLetter"/>
      <w:start w:val="4"/>
    </w:lvl>
  </w:abstractNum>
  <w:abstractNum w:abstractNumId="435">
    <w:nsid w:val="7F41D049"/>
    <w:multiLevelType w:val="hybridMultilevel"/>
    <w:lvl w:ilvl="0">
      <w:lvlJc w:val="left"/>
      <w:lvlText w:val="%1."/>
      <w:numFmt w:val="decimal"/>
      <w:start w:val="6"/>
    </w:lvl>
    <w:lvl w:ilvl="1">
      <w:lvlJc w:val="left"/>
      <w:lvlText w:val="(%2)"/>
      <w:numFmt w:val="lowerLetter"/>
      <w:start w:val="1"/>
    </w:lvl>
  </w:abstractNum>
  <w:abstractNum w:abstractNumId="436">
    <w:nsid w:val="449F66FE"/>
    <w:multiLevelType w:val="hybridMultilevel"/>
    <w:lvl w:ilvl="0">
      <w:lvlJc w:val="left"/>
      <w:lvlText w:val="%1."/>
      <w:numFmt w:val="decimal"/>
      <w:start w:val="7"/>
    </w:lvl>
    <w:lvl w:ilvl="1">
      <w:lvlJc w:val="left"/>
      <w:lvlText w:val="(%2)"/>
      <w:numFmt w:val="lowerLetter"/>
      <w:start w:val="1"/>
    </w:lvl>
  </w:abstractNum>
  <w:abstractNum w:abstractNumId="437">
    <w:nsid w:val="557E0515"/>
    <w:multiLevelType w:val="hybridMultilevel"/>
    <w:lvl w:ilvl="0">
      <w:lvlJc w:val="left"/>
      <w:lvlText w:val="(%1)"/>
      <w:numFmt w:val="lowerLetter"/>
      <w:start w:val="4"/>
    </w:lvl>
  </w:abstractNum>
  <w:abstractNum w:abstractNumId="438">
    <w:nsid w:val="3BA0794B"/>
    <w:multiLevelType w:val="hybridMultilevel"/>
    <w:lvl w:ilvl="0">
      <w:lvlJc w:val="left"/>
      <w:lvlText w:val="%1."/>
      <w:numFmt w:val="decimal"/>
      <w:start w:val="8"/>
    </w:lvl>
  </w:abstractNum>
  <w:abstractNum w:abstractNumId="439">
    <w:nsid w:val="6A0DCE48"/>
    <w:multiLevelType w:val="hybridMultilevel"/>
    <w:lvl w:ilvl="0">
      <w:lvlJc w:val="left"/>
      <w:lvlText w:val="(%1)"/>
      <w:numFmt w:val="lowerLetter"/>
      <w:start w:val="1"/>
    </w:lvl>
  </w:abstractNum>
  <w:abstractNum w:abstractNumId="440">
    <w:nsid w:val="7237AA96"/>
    <w:multiLevelType w:val="hybridMultilevel"/>
    <w:lvl w:ilvl="0">
      <w:lvlJc w:val="left"/>
      <w:lvlText w:val="(%1)"/>
      <w:numFmt w:val="lowerLetter"/>
      <w:start w:val="3"/>
    </w:lvl>
    <w:lvl w:ilvl="1">
      <w:lvlJc w:val="left"/>
      <w:lvlText w:val="(%2)"/>
      <w:numFmt w:val="lowerRoman"/>
      <w:start w:val="1"/>
    </w:lvl>
  </w:abstractNum>
  <w:abstractNum w:abstractNumId="441">
    <w:nsid w:val="5B1FBC2D"/>
    <w:multiLevelType w:val="hybridMultilevel"/>
    <w:lvl w:ilvl="0">
      <w:lvlJc w:val="left"/>
      <w:lvlText w:val="%1"/>
      <w:numFmt w:val="lowerLetter"/>
      <w:start w:val="1"/>
    </w:lvl>
    <w:lvl w:ilvl="1">
      <w:lvlJc w:val="left"/>
      <w:lvlText w:val="(%2)"/>
      <w:numFmt w:val="lowerRoman"/>
      <w:start w:val="3"/>
    </w:lvl>
  </w:abstractNum>
  <w:abstractNum w:abstractNumId="442">
    <w:nsid w:val="33DFCCE8"/>
    <w:multiLevelType w:val="hybridMultilevel"/>
    <w:lvl w:ilvl="0">
      <w:lvlJc w:val="left"/>
      <w:lvlText w:val="(%1)"/>
      <w:numFmt w:val="lowerLetter"/>
      <w:start w:val="4"/>
    </w:lvl>
    <w:lvl w:ilvl="1">
      <w:lvlJc w:val="left"/>
      <w:lvlText w:val="(%2)"/>
      <w:numFmt w:val="lowerRoman"/>
      <w:start w:val="1"/>
    </w:lvl>
  </w:abstractNum>
  <w:abstractNum w:abstractNumId="443">
    <w:nsid w:val="18C45E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44">
    <w:nsid w:val="6B431F25"/>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445">
    <w:nsid w:val="13CD8DCB"/>
    <w:multiLevelType w:val="hybridMultilevel"/>
    <w:lvl w:ilvl="0">
      <w:lvlJc w:val="left"/>
      <w:lvlText w:val="%1."/>
      <w:numFmt w:val="decimal"/>
      <w:start w:val="11"/>
    </w:lvl>
  </w:abstractNum>
  <w:abstractNum w:abstractNumId="446">
    <w:nsid w:val="563A1A5C"/>
    <w:multiLevelType w:val="hybridMultilevel"/>
    <w:lvl w:ilvl="0">
      <w:lvlJc w:val="left"/>
      <w:lvlText w:val="%1."/>
      <w:numFmt w:val="decimal"/>
      <w:start w:val="12"/>
    </w:lvl>
    <w:lvl w:ilvl="1">
      <w:lvlJc w:val="left"/>
      <w:lvlText w:val="(%2)"/>
      <w:numFmt w:val="lowerLetter"/>
      <w:start w:val="1"/>
    </w:lvl>
  </w:abstractNum>
  <w:abstractNum w:abstractNumId="447">
    <w:nsid w:val="2973F88F"/>
    <w:multiLevelType w:val="hybridMultilevel"/>
    <w:lvl w:ilvl="0">
      <w:lvlJc w:val="left"/>
      <w:lvlText w:val="(%1)"/>
      <w:numFmt w:val="lowerLetter"/>
      <w:start w:val="5"/>
    </w:lvl>
  </w:abstractNum>
  <w:abstractNum w:abstractNumId="448">
    <w:nsid w:val="2C70EDAE"/>
    <w:multiLevelType w:val="hybridMultilevel"/>
    <w:lvl w:ilvl="0">
      <w:lvlJc w:val="left"/>
      <w:lvlText w:val="%1"/>
      <w:numFmt w:val="lowerLetter"/>
      <w:start w:val="1"/>
    </w:lvl>
    <w:lvl w:ilvl="1">
      <w:lvlJc w:val="left"/>
      <w:lvlText w:val="(%2)"/>
      <w:numFmt w:val="lowerRoman"/>
      <w:start w:val="1"/>
    </w:lvl>
  </w:abstractNum>
  <w:abstractNum w:abstractNumId="449">
    <w:nsid w:val="44296C6D"/>
    <w:multiLevelType w:val="hybridMultilevel"/>
    <w:lvl w:ilvl="0">
      <w:lvlJc w:val="left"/>
      <w:lvlText w:val="(%1)"/>
      <w:numFmt w:val="lowerLetter"/>
      <w:start w:val="10"/>
    </w:lvl>
    <w:lvl w:ilvl="1">
      <w:lvlJc w:val="left"/>
      <w:lvlText w:val="(%2)"/>
      <w:numFmt w:val="lowerRoman"/>
      <w:start w:val="1"/>
    </w:lvl>
  </w:abstractNum>
  <w:abstractNum w:abstractNumId="450">
    <w:nsid w:val="3A86D445"/>
    <w:multiLevelType w:val="hybridMultilevel"/>
    <w:lvl w:ilvl="0">
      <w:lvlJc w:val="left"/>
      <w:lvlText w:val="%1"/>
      <w:numFmt w:val="lowerLetter"/>
      <w:start w:val="1"/>
    </w:lvl>
    <w:lvl w:ilvl="1">
      <w:lvlJc w:val="left"/>
      <w:lvlText w:val="(%2)"/>
      <w:numFmt w:val="lowerRoman"/>
      <w:start w:val="3"/>
    </w:lvl>
  </w:abstractNum>
  <w:abstractNum w:abstractNumId="451">
    <w:nsid w:val="51F79246"/>
    <w:multiLevelType w:val="hybridMultilevel"/>
    <w:lvl w:ilvl="0">
      <w:lvlJc w:val="left"/>
      <w:lvlText w:val="(%1)"/>
      <w:numFmt w:val="lowerLetter"/>
      <w:start w:val="17"/>
    </w:lvl>
    <w:lvl w:ilvl="1">
      <w:lvlJc w:val="left"/>
      <w:lvlText w:val="%2"/>
      <w:numFmt w:val="lowerRoman"/>
      <w:start w:val="1"/>
    </w:lvl>
  </w:abstractNum>
  <w:abstractNum w:abstractNumId="452">
    <w:nsid w:val="5BC9A827"/>
    <w:multiLevelType w:val="hybridMultilevel"/>
    <w:lvl w:ilvl="0">
      <w:lvlJc w:val="left"/>
      <w:lvlText w:val="(%1)"/>
      <w:numFmt w:val="lowerLetter"/>
      <w:start w:val="27"/>
    </w:lvl>
  </w:abstractNum>
  <w:abstractNum w:abstractNumId="453">
    <w:nsid w:val="3AE37D86"/>
    <w:multiLevelType w:val="hybridMultilevel"/>
    <w:lvl w:ilvl="0">
      <w:lvlJc w:val="left"/>
      <w:lvlText w:val="(%1)"/>
      <w:numFmt w:val="lowerLetter"/>
      <w:start w:val="28"/>
    </w:lvl>
  </w:abstractNum>
  <w:abstractNum w:abstractNumId="454">
    <w:nsid w:val="45440FE5"/>
    <w:multiLevelType w:val="hybridMultilevel"/>
    <w:lvl w:ilvl="0">
      <w:lvlJc w:val="left"/>
      <w:lvlText w:val="%1."/>
      <w:numFmt w:val="decimal"/>
      <w:start w:val="1"/>
    </w:lvl>
  </w:abstractNum>
  <w:abstractNum w:abstractNumId="455">
    <w:nsid w:val="BF783F"/>
    <w:multiLevelType w:val="hybridMultilevel"/>
    <w:lvl w:ilvl="0">
      <w:lvlJc w:val="left"/>
      <w:lvlText w:val="%1."/>
      <w:numFmt w:val="decimal"/>
      <w:start w:val="5"/>
    </w:lvl>
  </w:abstractNum>
  <w:abstractNum w:abstractNumId="456">
    <w:nsid w:val="22643EA9"/>
    <w:multiLevelType w:val="hybridMultilevel"/>
    <w:lvl w:ilvl="0">
      <w:lvlJc w:val="left"/>
      <w:lvlText w:val="%1."/>
      <w:numFmt w:val="decimal"/>
      <w:start w:val="6"/>
    </w:lvl>
  </w:abstractNum>
  <w:abstractNum w:abstractNumId="457">
    <w:nsid w:val="1887578D"/>
    <w:multiLevelType w:val="hybridMultilevel"/>
    <w:lvl w:ilvl="0">
      <w:lvlJc w:val="left"/>
      <w:lvlText w:val="%1."/>
      <w:numFmt w:val="decimal"/>
      <w:start w:val="1"/>
    </w:lvl>
  </w:abstractNum>
  <w:abstractNum w:abstractNumId="458">
    <w:nsid w:val="58C05B8A"/>
    <w:multiLevelType w:val="hybridMultilevel"/>
    <w:lvl w:ilvl="0">
      <w:lvlJc w:val="left"/>
      <w:lvlText w:val="%1."/>
      <w:numFmt w:val="decimal"/>
      <w:start w:val="2"/>
    </w:lvl>
  </w:abstractNum>
  <w:abstractNum w:abstractNumId="459">
    <w:nsid w:val="38D82E71"/>
    <w:multiLevelType w:val="hybridMultilevel"/>
    <w:lvl w:ilvl="0">
      <w:lvlJc w:val="left"/>
      <w:lvlText w:val="%1."/>
      <w:numFmt w:val="decimal"/>
      <w:start w:val="3"/>
    </w:lvl>
  </w:abstractNum>
  <w:abstractNum w:abstractNumId="460">
    <w:nsid w:val="1E41098A"/>
    <w:multiLevelType w:val="hybridMultilevel"/>
    <w:lvl w:ilvl="0">
      <w:lvlJc w:val="left"/>
      <w:lvlText w:val="%1)"/>
      <w:numFmt w:val="lowerLetter"/>
      <w:start w:val="1"/>
    </w:lvl>
  </w:abstractNum>
  <w:abstractNum w:abstractNumId="461">
    <w:nsid w:val="5398582C"/>
    <w:multiLevelType w:val="hybridMultilevel"/>
    <w:lvl w:ilvl="0">
      <w:lvlJc w:val="left"/>
      <w:lvlText w:val="%1."/>
      <w:numFmt w:val="decimal"/>
      <w:start w:val="4"/>
    </w:lvl>
  </w:abstractNum>
  <w:abstractNum w:abstractNumId="462">
    <w:nsid w:val="1C0D4475"/>
    <w:multiLevelType w:val="hybridMultilevel"/>
    <w:lvl w:ilvl="0">
      <w:lvlJc w:val="left"/>
      <w:lvlText w:val="%1)"/>
      <w:numFmt w:val="lowerLetter"/>
      <w:start w:val="1"/>
    </w:lvl>
  </w:abstractNum>
  <w:abstractNum w:abstractNumId="463">
    <w:nsid w:val="2CB6A6A4"/>
    <w:multiLevelType w:val="hybridMultilevel"/>
    <w:lvl w:ilvl="0">
      <w:lvlJc w:val="left"/>
      <w:lvlText w:val="%1)"/>
      <w:numFmt w:val="lowerLetter"/>
      <w:start w:val="2"/>
    </w:lvl>
  </w:abstractNum>
  <w:abstractNum w:abstractNumId="464">
    <w:nsid w:val="41D646BC"/>
    <w:multiLevelType w:val="hybridMultilevel"/>
    <w:lvl w:ilvl="0">
      <w:lvlJc w:val="left"/>
      <w:lvlText w:val="%1)"/>
      <w:numFmt w:val="lowerLetter"/>
      <w:start w:val="1"/>
    </w:lvl>
  </w:abstractNum>
  <w:abstractNum w:abstractNumId="465">
    <w:nsid w:val="3694A76A"/>
    <w:multiLevelType w:val="hybridMultilevel"/>
    <w:lvl w:ilvl="0">
      <w:lvlJc w:val="left"/>
      <w:lvlText w:val="%1)"/>
      <w:numFmt w:val="lowerLetter"/>
      <w:start w:val="3"/>
    </w:lvl>
  </w:abstractNum>
  <w:abstractNum w:abstractNumId="466">
    <w:nsid w:val="2BF876EE"/>
    <w:multiLevelType w:val="hybridMultilevel"/>
    <w:lvl w:ilvl="0">
      <w:lvlJc w:val="left"/>
      <w:lvlText w:val="%1)"/>
      <w:numFmt w:val="lowerLetter"/>
      <w:start w:val="1"/>
    </w:lvl>
  </w:abstractNum>
  <w:abstractNum w:abstractNumId="467">
    <w:nsid w:val="675ADBA"/>
    <w:multiLevelType w:val="hybridMultilevel"/>
    <w:lvl w:ilvl="0">
      <w:lvlJc w:val="left"/>
      <w:lvlText w:val="%1)"/>
      <w:numFmt w:val="lowerLetter"/>
      <w:start w:val="5"/>
    </w:lvl>
  </w:abstractNum>
  <w:abstractNum w:abstractNumId="468">
    <w:nsid w:val="C12AC7F"/>
    <w:multiLevelType w:val="hybridMultilevel"/>
    <w:lvl w:ilvl="0">
      <w:lvlJc w:val="left"/>
      <w:lvlText w:val="%1."/>
      <w:numFmt w:val="decimal"/>
      <w:start w:val="6"/>
    </w:lvl>
    <w:lvl w:ilvl="1">
      <w:lvlJc w:val="left"/>
      <w:lvlText w:val="%2)"/>
      <w:numFmt w:val="lowerLetter"/>
      <w:start w:val="1"/>
    </w:lvl>
  </w:abstractNum>
  <w:abstractNum w:abstractNumId="469">
    <w:nsid w:val="6798F039"/>
    <w:multiLevelType w:val="hybridMultilevel"/>
    <w:lvl w:ilvl="0">
      <w:lvlJc w:val="left"/>
      <w:lvlText w:val="%1."/>
      <w:numFmt w:val="decimal"/>
      <w:start w:val="7"/>
    </w:lvl>
  </w:abstractNum>
  <w:abstractNum w:abstractNumId="470">
    <w:nsid w:val="70837C02"/>
    <w:multiLevelType w:val="hybridMultilevel"/>
    <w:lvl w:ilvl="0">
      <w:lvlJc w:val="left"/>
      <w:lvlText w:val="%1."/>
      <w:numFmt w:val="decimal"/>
      <w:start w:val="8"/>
    </w:lvl>
  </w:abstractNum>
  <w:abstractNum w:abstractNumId="471">
    <w:nsid w:val="7E4A5715"/>
    <w:multiLevelType w:val="hybridMultilevel"/>
    <w:lvl w:ilvl="0">
      <w:lvlJc w:val="left"/>
      <w:lvlText w:val="%1)"/>
      <w:numFmt w:val="lowerLetter"/>
      <w:start w:val="1"/>
    </w:lvl>
  </w:abstractNum>
  <w:abstractNum w:abstractNumId="472">
    <w:nsid w:val="42B8AC67"/>
    <w:multiLevelType w:val="hybridMultilevel"/>
    <w:lvl w:ilvl="0">
      <w:lvlJc w:val="left"/>
      <w:lvlText w:val="%1)"/>
      <w:numFmt w:val="lowerLetter"/>
      <w:start w:val="1"/>
    </w:lvl>
  </w:abstractNum>
  <w:abstractNum w:abstractNumId="473">
    <w:nsid w:val="246348EA"/>
    <w:multiLevelType w:val="hybridMultilevel"/>
    <w:lvl w:ilvl="0">
      <w:lvlJc w:val="left"/>
      <w:lvlText w:val="%1."/>
      <w:numFmt w:val="decimal"/>
      <w:start w:val="9"/>
    </w:lvl>
  </w:abstractNum>
  <w:abstractNum w:abstractNumId="474">
    <w:nsid w:val="170EB52B"/>
    <w:multiLevelType w:val="hybridMultilevel"/>
    <w:lvl w:ilvl="0">
      <w:lvlJc w:val="left"/>
      <w:lvlText w:val="%1)"/>
      <w:numFmt w:val="lowerLetter"/>
      <w:start w:val="1"/>
    </w:lvl>
  </w:abstractNum>
  <w:abstractNum w:abstractNumId="475">
    <w:nsid w:val="2DFBCB8C"/>
    <w:multiLevelType w:val="hybridMultilevel"/>
    <w:lvl w:ilvl="0">
      <w:lvlJc w:val="left"/>
      <w:lvlText w:val="%1)"/>
      <w:numFmt w:val="lowerLetter"/>
      <w:start w:val="2"/>
    </w:lvl>
  </w:abstractNum>
  <w:abstractNum w:abstractNumId="476">
    <w:nsid w:val="3830D6B6"/>
    <w:multiLevelType w:val="hybridMultilevel"/>
    <w:lvl w:ilvl="0">
      <w:lvlJc w:val="left"/>
      <w:lvlText w:val="%1."/>
      <w:numFmt w:val="decimal"/>
      <w:start w:val="10"/>
    </w:lvl>
  </w:abstractNum>
  <w:abstractNum w:abstractNumId="477">
    <w:nsid w:val="6D48CF87"/>
    <w:multiLevelType w:val="hybridMultilevel"/>
    <w:lvl w:ilvl="0">
      <w:lvlJc w:val="left"/>
      <w:lvlText w:val="%1."/>
      <w:numFmt w:val="decimal"/>
      <w:start w:val="1"/>
    </w:lvl>
  </w:abstractNum>
  <w:abstractNum w:abstractNumId="478">
    <w:nsid w:val="576FC41B"/>
    <w:multiLevelType w:val="hybridMultilevel"/>
    <w:lvl w:ilvl="0">
      <w:lvlJc w:val="left"/>
      <w:lvlText w:val="%1."/>
      <w:numFmt w:val="decimal"/>
      <w:start w:val="2"/>
    </w:lvl>
  </w:abstractNum>
  <w:abstractNum w:abstractNumId="479">
    <w:nsid w:val="64A1C464"/>
    <w:multiLevelType w:val="hybridMultilevel"/>
    <w:lvl w:ilvl="0">
      <w:lvlJc w:val="left"/>
      <w:lvlText w:val="%1."/>
      <w:numFmt w:val="decimal"/>
      <w:start w:val="3"/>
    </w:lvl>
  </w:abstractNum>
  <w:abstractNum w:abstractNumId="480">
    <w:nsid w:val="31723BF5"/>
    <w:multiLevelType w:val="hybridMultilevel"/>
    <w:lvl w:ilvl="0">
      <w:lvlJc w:val="left"/>
      <w:lvlText w:val="☐"/>
      <w:numFmt w:val="bullet"/>
      <w:start w:val="1"/>
    </w:lvl>
  </w:abstractNum>
  <w:abstractNum w:abstractNumId="481">
    <w:nsid w:val="11F69861"/>
    <w:multiLevelType w:val="hybridMultilevel"/>
    <w:lvl w:ilvl="0">
      <w:lvlJc w:val="left"/>
      <w:lvlText w:val="(%1)"/>
      <w:numFmt w:val="lowerRoman"/>
      <w:start w:val="1"/>
    </w:lvl>
  </w:abstractNum>
  <w:abstractNum w:abstractNumId="482">
    <w:nsid w:val="369956AB"/>
    <w:multiLevelType w:val="hybridMultilevel"/>
    <w:lvl w:ilvl="0">
      <w:lvlJc w:val="left"/>
      <w:lvlText w:val="1"/>
      <w:numFmt w:val="bullet"/>
      <w:start w:val="1"/>
    </w:lvl>
  </w:abstractNum>
  <w:abstractNum w:abstractNumId="483">
    <w:nsid w:val="D3BE41C"/>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484">
    <w:nsid w:val="4CDA15E7"/>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485">
    <w:nsid w:val="7BDD669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486">
    <w:nsid w:val="DFB5C5B"/>
    <w:multiLevelType w:val="hybridMultilevel"/>
    <w:lvl w:ilvl="0">
      <w:lvlJc w:val="left"/>
      <w:lvlText w:val="(%1)"/>
      <w:numFmt w:val="lowerLetter"/>
      <w:start w:val="1"/>
    </w:lvl>
    <w:lvl w:ilvl="1">
      <w:lvlJc w:val="left"/>
      <w:lvlText w:val="(%2)"/>
      <w:numFmt w:val="lowerLetter"/>
      <w:start w:val="5"/>
    </w:lvl>
  </w:abstractNum>
  <w:abstractNum w:abstractNumId="487">
    <w:nsid w:val="6F3E5490"/>
    <w:multiLevelType w:val="hybridMultilevel"/>
    <w:lvl w:ilvl="0">
      <w:lvlJc w:val="left"/>
      <w:lvlText w:val="2"/>
      <w:numFmt w:val="bullet"/>
      <w:start w:val="1"/>
    </w:lvl>
    <w:lvl w:ilvl="1">
      <w:lvlJc w:val="left"/>
      <w:lvlText w:val="(%2)"/>
      <w:numFmt w:val="lowerLetter"/>
      <w:start w:val="1"/>
    </w:lvl>
  </w:abstractNum>
  <w:abstractNum w:abstractNumId="488">
    <w:nsid w:val="1464BE1E"/>
    <w:multiLevelType w:val="hybridMultilevel"/>
    <w:lvl w:ilvl="0">
      <w:lvlJc w:val="left"/>
      <w:lvlText w:val="(%1)"/>
      <w:numFmt w:val="decimal"/>
      <w:start w:val="2"/>
    </w:lvl>
    <w:lvl w:ilvl="1">
      <w:lvlJc w:val="left"/>
      <w:lvlText w:val="•"/>
      <w:numFmt w:val="bullet"/>
      <w:start w:val="1"/>
    </w:lvl>
  </w:abstractNum>
  <w:abstractNum w:abstractNumId="489">
    <w:nsid w:val="66BBB7E5"/>
    <w:multiLevelType w:val="hybridMultilevel"/>
    <w:lvl w:ilvl="0">
      <w:lvlJc w:val="left"/>
      <w:lvlText w:val="3"/>
      <w:numFmt w:val="bullet"/>
      <w:start w:val="1"/>
    </w:lvl>
    <w:lvl w:ilvl="1">
      <w:lvlJc w:val="left"/>
      <w:lvlText w:val="•"/>
      <w:numFmt w:val="bullet"/>
      <w:start w:val="1"/>
    </w:lvl>
  </w:abstractNum>
  <w:abstractNum w:abstractNumId="490">
    <w:nsid w:val="28168302"/>
    <w:multiLevelType w:val="hybridMultilevel"/>
    <w:lvl w:ilvl="0">
      <w:lvlJc w:val="left"/>
      <w:lvlText w:val="%1)"/>
      <w:numFmt w:val="lowerLetter"/>
      <w:start w:val="1"/>
    </w:lvl>
  </w:abstractNum>
  <w:abstractNum w:abstractNumId="491">
    <w:nsid w:val="32A5C7A8"/>
    <w:multiLevelType w:val="hybridMultilevel"/>
    <w:lvl w:ilvl="0">
      <w:lvlJc w:val="left"/>
      <w:lvlText w:val="%1)"/>
      <w:numFmt w:val="lowerLetter"/>
      <w:start w:val="7"/>
    </w:lvl>
  </w:abstractNum>
  <w:abstractNum w:abstractNumId="492">
    <w:nsid w:val="3A541011"/>
    <w:multiLevelType w:val="hybridMultilevel"/>
    <w:lvl w:ilvl="0">
      <w:lvlJc w:val="left"/>
      <w:lvlText w:val="%1)"/>
      <w:numFmt w:val="lowerLetter"/>
      <w:start w:val="10"/>
    </w:lvl>
  </w:abstractNum>
  <w:abstractNum w:abstractNumId="493">
    <w:nsid w:val="4423C777"/>
    <w:multiLevelType w:val="hybridMultilevel"/>
    <w:lvl w:ilvl="0">
      <w:lvlJc w:val="left"/>
      <w:lvlText w:val="%1."/>
      <w:numFmt w:val="decimal"/>
      <w:start w:val="1"/>
    </w:lvl>
  </w:abstractNum>
  <w:abstractNum w:abstractNumId="494">
    <w:nsid w:val="5F5C6E4D"/>
    <w:multiLevelType w:val="hybridMultilevel"/>
    <w:lvl w:ilvl="0">
      <w:lvlJc w:val="left"/>
      <w:lvlText w:val="%1."/>
      <w:numFmt w:val="decimal"/>
      <w:start w:val="4"/>
    </w:lvl>
  </w:abstractNum>
  <w:abstractNum w:abstractNumId="495">
    <w:nsid w:val="7C2A56CD"/>
    <w:multiLevelType w:val="hybridMultilevel"/>
    <w:lvl w:ilvl="0">
      <w:lvlJc w:val="left"/>
      <w:lvlText w:val="%1."/>
      <w:numFmt w:val="decimal"/>
      <w:start w:val="8"/>
    </w:lvl>
  </w:abstractNum>
  <w:abstractNum w:abstractNumId="496">
    <w:nsid w:val="7AB86EE1"/>
    <w:multiLevelType w:val="hybridMultilevel"/>
    <w:lvl w:ilvl="0">
      <w:lvlJc w:val="left"/>
      <w:lvlText w:val="%1."/>
      <w:numFmt w:val="decimal"/>
      <w:start w:val="11"/>
    </w:lvl>
  </w:abstractNum>
  <w:abstractNum w:abstractNumId="497">
    <w:nsid w:val="B54E53B"/>
    <w:multiLevelType w:val="hybridMultilevel"/>
    <w:lvl w:ilvl="0">
      <w:lvlJc w:val="left"/>
      <w:lvlText w:val="%1."/>
      <w:numFmt w:val="decimal"/>
      <w:start w:val="17"/>
    </w:lvl>
    <w:lvl w:ilvl="1">
      <w:lvlJc w:val="left"/>
      <w:lvlText w:val="%2)"/>
      <w:numFmt w:val="lowerLetter"/>
      <w:start w:val="1"/>
    </w:lvl>
  </w:abstractNum>
  <w:abstractNum w:abstractNumId="498">
    <w:nsid w:val="2A00487"/>
    <w:multiLevelType w:val="hybridMultilevel"/>
    <w:lvl w:ilvl="0">
      <w:lvlJc w:val="left"/>
      <w:lvlText w:val="%1."/>
      <w:numFmt w:val="decimal"/>
      <w:start w:val="18"/>
    </w:lvl>
    <w:lvl w:ilvl="1">
      <w:lvlJc w:val="left"/>
      <w:lvlText w:val="%2)"/>
      <w:numFmt w:val="lowerLetter"/>
      <w:start w:val="1"/>
    </w:lvl>
  </w:abstractNum>
  <w:abstractNum w:abstractNumId="499">
    <w:nsid w:val="6CB1B60"/>
    <w:multiLevelType w:val="hybridMultilevel"/>
    <w:lvl w:ilvl="0">
      <w:lvlJc w:val="left"/>
      <w:lvlText w:val="%1."/>
      <w:numFmt w:val="decimal"/>
      <w:start w:val="20"/>
    </w:lvl>
  </w:abstractNum>
  <w:abstractNum w:abstractNumId="500">
    <w:nsid w:val="72EDD574"/>
    <w:multiLevelType w:val="hybridMultilevel"/>
    <w:lvl w:ilvl="0">
      <w:lvlJc w:val="left"/>
      <w:lvlText w:val="%1."/>
      <w:numFmt w:val="decimal"/>
      <w:start w:val="23"/>
    </w:lvl>
  </w:abstractNum>
  <w:abstractNum w:abstractNumId="501">
    <w:nsid w:val="7323808A"/>
    <w:multiLevelType w:val="hybridMultilevel"/>
    <w:lvl w:ilvl="0">
      <w:lvlJc w:val="left"/>
      <w:lvlText w:val="%1."/>
      <w:numFmt w:val="decimal"/>
      <w:start w:val="1"/>
    </w:lvl>
  </w:abstractNum>
  <w:abstractNum w:abstractNumId="502">
    <w:nsid w:val="5157276"/>
    <w:multiLevelType w:val="hybridMultilevel"/>
    <w:lvl w:ilvl="0">
      <w:lvlJc w:val="left"/>
      <w:lvlText w:val="%1."/>
      <w:numFmt w:val="decimal"/>
      <w:start w:val="5"/>
    </w:lvl>
    <w:lvl w:ilvl="1">
      <w:lvlJc w:val="left"/>
      <w:lvlText w:val="%2)"/>
      <w:numFmt w:val="lowerLetter"/>
      <w:start w:val="1"/>
    </w:lvl>
  </w:abstractNum>
  <w:abstractNum w:abstractNumId="503">
    <w:nsid w:val="35A681DB"/>
    <w:multiLevelType w:val="hybridMultilevel"/>
    <w:lvl w:ilvl="0">
      <w:lvlJc w:val="left"/>
      <w:lvlText w:val="%1."/>
      <w:numFmt w:val="decimal"/>
      <w:start w:val="9"/>
    </w:lvl>
  </w:abstractNum>
  <w:abstractNum w:abstractNumId="504">
    <w:nsid w:val="1786C974"/>
    <w:multiLevelType w:val="hybridMultilevel"/>
    <w:lvl w:ilvl="0">
      <w:lvlJc w:val="left"/>
      <w:lvlText w:val="%1."/>
      <w:numFmt w:val="decimal"/>
      <w:start w:val="1"/>
    </w:lvl>
  </w:abstractNum>
  <w:abstractNum w:abstractNumId="505">
    <w:nsid w:val="1C2427A1"/>
    <w:multiLevelType w:val="hybridMultilevel"/>
    <w:lvl w:ilvl="0">
      <w:lvlJc w:val="left"/>
      <w:lvlText w:val="%1."/>
      <w:numFmt w:val="decimal"/>
      <w:start w:val="1"/>
    </w:lvl>
  </w:abstractNum>
  <w:abstractNum w:abstractNumId="506">
    <w:nsid w:val="63A24D68"/>
    <w:multiLevelType w:val="hybridMultilevel"/>
    <w:lvl w:ilvl="0">
      <w:lvlJc w:val="left"/>
      <w:lvlText w:val="%1."/>
      <w:numFmt w:val="decimal"/>
      <w:start w:val="2"/>
    </w:lvl>
  </w:abstractNum>
  <w:abstractNum w:abstractNumId="507">
    <w:nsid w:val="4FB7A02A"/>
    <w:multiLevelType w:val="hybridMultilevel"/>
    <w:lvl w:ilvl="0">
      <w:lvlJc w:val="left"/>
      <w:lvlText w:val="%1."/>
      <w:numFmt w:val="decimal"/>
      <w:start w:val="3"/>
    </w:lvl>
  </w:abstractNum>
  <w:abstractNum w:abstractNumId="508">
    <w:nsid w:val="96CF728"/>
    <w:multiLevelType w:val="hybridMultilevel"/>
    <w:lvl w:ilvl="0">
      <w:lvlJc w:val="left"/>
      <w:lvlText w:val="%1)"/>
      <w:numFmt w:val="lowerLetter"/>
      <w:start w:val="1"/>
    </w:lvl>
  </w:abstractNum>
  <w:abstractNum w:abstractNumId="509">
    <w:nsid w:val="3B121183"/>
    <w:multiLevelType w:val="hybridMultilevel"/>
    <w:lvl w:ilvl="0">
      <w:lvlJc w:val="left"/>
      <w:lvlText w:val="%1."/>
      <w:numFmt w:val="decimal"/>
      <w:start w:val="4"/>
    </w:lvl>
  </w:abstractNum>
  <w:abstractNum w:abstractNumId="510">
    <w:nsid w:val="3459648F"/>
    <w:multiLevelType w:val="hybridMultilevel"/>
    <w:lvl w:ilvl="0">
      <w:lvlJc w:val="left"/>
      <w:lvlText w:val="%1."/>
      <w:numFmt w:val="decimal"/>
      <w:start w:val="5"/>
    </w:lvl>
  </w:abstractNum>
  <w:abstractNum w:abstractNumId="511">
    <w:nsid w:val="3ADF331D"/>
    <w:multiLevelType w:val="hybridMultilevel"/>
    <w:lvl w:ilvl="0">
      <w:lvlJc w:val="left"/>
      <w:lvlText w:val="%1)"/>
      <w:numFmt w:val="lowerLetter"/>
      <w:start w:val="1"/>
    </w:lvl>
  </w:abstractNum>
  <w:abstractNum w:abstractNumId="512">
    <w:nsid w:val="4D08A9E4"/>
    <w:multiLevelType w:val="hybridMultilevel"/>
    <w:lvl w:ilvl="0">
      <w:lvlJc w:val="left"/>
      <w:lvlText w:val="%1)"/>
      <w:numFmt w:val="lowerLetter"/>
      <w:start w:val="1"/>
    </w:lvl>
  </w:abstractNum>
  <w:abstractNum w:abstractNumId="513">
    <w:nsid w:val="6AF2BB3A"/>
    <w:multiLevelType w:val="hybridMultilevel"/>
    <w:lvl w:ilvl="0">
      <w:lvlJc w:val="left"/>
      <w:lvlText w:val="%1)"/>
      <w:numFmt w:val="lowerLetter"/>
      <w:start w:val="1"/>
    </w:lvl>
  </w:abstractNum>
  <w:abstractNum w:abstractNumId="514">
    <w:nsid w:val="481B1739"/>
    <w:multiLevelType w:val="hybridMultilevel"/>
    <w:lvl w:ilvl="0">
      <w:lvlJc w:val="left"/>
      <w:lvlText w:val="%1)"/>
      <w:numFmt w:val="lowerLetter"/>
      <w:start w:val="5"/>
    </w:lvl>
  </w:abstractNum>
  <w:abstractNum w:abstractNumId="515">
    <w:nsid w:val="19E2BFCC"/>
    <w:multiLevelType w:val="hybridMultilevel"/>
    <w:lvl w:ilvl="0">
      <w:lvlJc w:val="left"/>
      <w:lvlText w:val="%1."/>
      <w:numFmt w:val="decimal"/>
      <w:start w:val="6"/>
    </w:lvl>
    <w:lvl w:ilvl="1">
      <w:lvlJc w:val="left"/>
      <w:lvlText w:val="%2)"/>
      <w:numFmt w:val="lowerLetter"/>
      <w:start w:val="1"/>
    </w:lvl>
  </w:abstractNum>
  <w:abstractNum w:abstractNumId="516">
    <w:nsid w:val="66D021CA"/>
    <w:multiLevelType w:val="hybridMultilevel"/>
    <w:lvl w:ilvl="0">
      <w:lvlJc w:val="left"/>
      <w:lvlText w:val="%1."/>
      <w:numFmt w:val="decimal"/>
      <w:start w:val="7"/>
    </w:lvl>
  </w:abstractNum>
  <w:abstractNum w:abstractNumId="517">
    <w:nsid w:val="56167394"/>
    <w:multiLevelType w:val="hybridMultilevel"/>
    <w:lvl w:ilvl="0">
      <w:lvlJc w:val="left"/>
      <w:lvlText w:val="%1."/>
      <w:numFmt w:val="decimal"/>
      <w:start w:val="8"/>
    </w:lvl>
  </w:abstractNum>
  <w:abstractNum w:abstractNumId="518">
    <w:nsid w:val="921145C"/>
    <w:multiLevelType w:val="hybridMultilevel"/>
    <w:lvl w:ilvl="0">
      <w:lvlJc w:val="left"/>
      <w:lvlText w:val="%1)"/>
      <w:numFmt w:val="lowerLetter"/>
      <w:start w:val="1"/>
    </w:lvl>
  </w:abstractNum>
  <w:abstractNum w:abstractNumId="519">
    <w:nsid w:val="7B34DFE8"/>
    <w:multiLevelType w:val="hybridMultilevel"/>
    <w:lvl w:ilvl="0">
      <w:lvlJc w:val="left"/>
      <w:lvlText w:val="%1)"/>
      <w:numFmt w:val="lowerLetter"/>
      <w:start w:val="1"/>
    </w:lvl>
  </w:abstractNum>
  <w:abstractNum w:abstractNumId="520">
    <w:nsid w:val="3CD22B79"/>
    <w:multiLevelType w:val="hybridMultilevel"/>
    <w:lvl w:ilvl="0">
      <w:lvlJc w:val="left"/>
      <w:lvlText w:val="%1."/>
      <w:numFmt w:val="decimal"/>
      <w:start w:val="9"/>
    </w:lvl>
  </w:abstractNum>
  <w:abstractNum w:abstractNumId="521">
    <w:nsid w:val="3137975E"/>
    <w:multiLevelType w:val="hybridMultilevel"/>
    <w:lvl w:ilvl="0">
      <w:lvlJc w:val="left"/>
      <w:lvlText w:val="%1)"/>
      <w:numFmt w:val="lowerLetter"/>
      <w:start w:val="1"/>
    </w:lvl>
  </w:abstractNum>
  <w:abstractNum w:abstractNumId="522">
    <w:nsid w:val="2DDAA791"/>
    <w:multiLevelType w:val="hybridMultilevel"/>
    <w:lvl w:ilvl="0">
      <w:lvlJc w:val="left"/>
      <w:lvlText w:val="%1."/>
      <w:numFmt w:val="decimal"/>
      <w:start w:val="10"/>
    </w:lvl>
  </w:abstractNum>
  <w:abstractNum w:abstractNumId="523">
    <w:nsid w:val="77263B8A"/>
    <w:multiLevelType w:val="hybridMultilevel"/>
    <w:lvl w:ilvl="0">
      <w:lvlJc w:val="left"/>
      <w:lvlText w:val="%1."/>
      <w:numFmt w:val="decimal"/>
      <w:start w:val="11"/>
    </w:lvl>
  </w:abstractNum>
  <w:abstractNum w:abstractNumId="524">
    <w:nsid w:val="755B5ED6"/>
    <w:multiLevelType w:val="hybridMultilevel"/>
    <w:lvl w:ilvl="0">
      <w:lvlJc w:val="left"/>
      <w:lvlText w:val="%1."/>
      <w:numFmt w:val="decimal"/>
      <w:start w:val="1"/>
    </w:lvl>
  </w:abstractNum>
  <w:abstractNum w:abstractNumId="525">
    <w:nsid w:val="D3715DE"/>
    <w:multiLevelType w:val="hybridMultilevel"/>
    <w:lvl w:ilvl="0">
      <w:lvlJc w:val="left"/>
      <w:lvlText w:val="%1."/>
      <w:numFmt w:val="decimal"/>
      <w:start w:val="2"/>
    </w:lvl>
  </w:abstractNum>
  <w:abstractNum w:abstractNumId="526">
    <w:nsid w:val="73509257"/>
    <w:multiLevelType w:val="hybridMultilevel"/>
    <w:lvl w:ilvl="0">
      <w:lvlJc w:val="left"/>
      <w:lvlText w:val="%1."/>
      <w:numFmt w:val="decimal"/>
      <w:start w:val="3"/>
    </w:lvl>
  </w:abstractNum>
  <w:abstractNum w:abstractNumId="527">
    <w:nsid w:val="7013CDB7"/>
    <w:multiLevelType w:val="hybridMultilevel"/>
    <w:lvl w:ilvl="0">
      <w:lvlJc w:val="left"/>
      <w:lvlText w:val="☐"/>
      <w:numFmt w:val="bullet"/>
      <w:start w:val="1"/>
    </w:lvl>
  </w:abstractNum>
  <w:abstractNum w:abstractNumId="528">
    <w:nsid w:val="188BFB19"/>
    <w:multiLevelType w:val="hybridMultilevel"/>
    <w:lvl w:ilvl="0">
      <w:lvlJc w:val="left"/>
      <w:lvlText w:val="(%1)"/>
      <w:numFmt w:val="lowerRoman"/>
      <w:start w:val="1"/>
    </w:lvl>
  </w:abstractNum>
  <w:abstractNum w:abstractNumId="529">
    <w:nsid w:val="75F096DF"/>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530">
    <w:nsid w:val="76DEE918"/>
    <w:multiLevelType w:val="hybridMultilevel"/>
    <w:lvl w:ilvl="0">
      <w:lvlJc w:val="left"/>
      <w:lvlText w:val="%1."/>
      <w:numFmt w:val="lowerLetter"/>
      <w:start w:val="35"/>
    </w:lvl>
    <w:lvl w:ilvl="1">
      <w:lvlJc w:val="left"/>
      <w:lvlText w:val="%2."/>
      <w:numFmt w:val="lowerLetter"/>
      <w:start w:val="1"/>
    </w:lvl>
  </w:abstractNum>
  <w:abstractNum w:abstractNumId="531">
    <w:nsid w:val="B79D08D"/>
    <w:multiLevelType w:val="hybridMultilevel"/>
    <w:lvl w:ilvl="0">
      <w:lvlJc w:val="left"/>
      <w:lvlText w:val="%1."/>
      <w:numFmt w:val="decimal"/>
      <w:start w:val="6"/>
    </w:lvl>
  </w:abstractNum>
  <w:abstractNum w:abstractNumId="532">
    <w:nsid w:val="69141769"/>
    <w:multiLevelType w:val="hybridMultilevel"/>
    <w:lvl w:ilvl="0">
      <w:lvlJc w:val="left"/>
      <w:lvlText w:val="(%1)"/>
      <w:numFmt w:val="lowerLetter"/>
      <w:start w:val="1"/>
    </w:lvl>
    <w:lvl w:ilvl="1">
      <w:lvlJc w:val="left"/>
      <w:lvlText w:val="(%2)"/>
      <w:numFmt w:val="lowerLetter"/>
      <w:start w:val="5"/>
    </w:lvl>
  </w:abstractNum>
  <w:abstractNum w:abstractNumId="533">
    <w:nsid w:val="7BF45B8E"/>
    <w:multiLevelType w:val="hybridMultilevel"/>
    <w:lvl w:ilvl="0">
      <w:lvlJc w:val="left"/>
      <w:lvlText w:val="1"/>
      <w:numFmt w:val="bullet"/>
      <w:start w:val="1"/>
    </w:lvl>
    <w:lvl w:ilvl="1">
      <w:lvlJc w:val="left"/>
      <w:lvlText w:val="(%2)"/>
      <w:numFmt w:val="lowerLetter"/>
      <w:start w:val="1"/>
    </w:lvl>
  </w:abstractNum>
  <w:abstractNum w:abstractNumId="534">
    <w:nsid w:val="41205269"/>
    <w:multiLevelType w:val="hybridMultilevel"/>
    <w:lvl w:ilvl="0">
      <w:lvlJc w:val="left"/>
      <w:lvlText w:val="(%1)"/>
      <w:numFmt w:val="decimal"/>
      <w:start w:val="2"/>
    </w:lvl>
    <w:lvl w:ilvl="1">
      <w:lvlJc w:val="left"/>
      <w:lvlText w:val="•"/>
      <w:numFmt w:val="bullet"/>
      <w:start w:val="1"/>
    </w:lvl>
  </w:abstractNum>
  <w:abstractNum w:abstractNumId="535">
    <w:nsid w:val="9AE0DD"/>
    <w:multiLevelType w:val="hybridMultilevel"/>
    <w:lvl w:ilvl="0">
      <w:lvlJc w:val="left"/>
      <w:lvlText w:val="2"/>
      <w:numFmt w:val="bullet"/>
      <w:start w:val="1"/>
    </w:lvl>
    <w:lvl w:ilvl="1">
      <w:lvlJc w:val="left"/>
      <w:lvlText w:val="•"/>
      <w:numFmt w:val="bullet"/>
      <w:start w:val="1"/>
    </w:lvl>
  </w:abstractNum>
  <w:abstractNum w:abstractNumId="536">
    <w:nsid w:val="1818832F"/>
    <w:multiLevelType w:val="hybridMultilevel"/>
    <w:lvl w:ilvl="0">
      <w:lvlJc w:val="left"/>
      <w:lvlText w:val="%1)"/>
      <w:numFmt w:val="lowerLetter"/>
      <w:start w:val="1"/>
    </w:lvl>
  </w:abstractNum>
  <w:abstractNum w:abstractNumId="537">
    <w:nsid w:val="24C29FD1"/>
    <w:multiLevelType w:val="hybridMultilevel"/>
    <w:lvl w:ilvl="0">
      <w:lvlJc w:val="left"/>
      <w:lvlText w:val="%1)"/>
      <w:numFmt w:val="lowerLetter"/>
      <w:start w:val="7"/>
    </w:lvl>
  </w:abstractNum>
  <w:abstractNum w:abstractNumId="538">
    <w:nsid w:val="50528108"/>
    <w:multiLevelType w:val="hybridMultilevel"/>
    <w:lvl w:ilvl="0">
      <w:lvlJc w:val="left"/>
      <w:lvlText w:val="%1)"/>
      <w:numFmt w:val="lowerLetter"/>
      <w:start w:val="10"/>
    </w:lvl>
  </w:abstractNum>
  <w:abstractNum w:abstractNumId="539">
    <w:nsid w:val="21857A57"/>
    <w:multiLevelType w:val="hybridMultilevel"/>
    <w:lvl w:ilvl="0">
      <w:lvlJc w:val="left"/>
      <w:lvlText w:val="%1."/>
      <w:numFmt w:val="decimal"/>
      <w:start w:val="1"/>
    </w:lvl>
  </w:abstractNum>
  <w:abstractNum w:abstractNumId="540">
    <w:nsid w:val="5FD4B154"/>
    <w:multiLevelType w:val="hybridMultilevel"/>
    <w:lvl w:ilvl="0">
      <w:lvlJc w:val="left"/>
      <w:lvlText w:val="%1."/>
      <w:numFmt w:val="decimal"/>
      <w:start w:val="4"/>
    </w:lvl>
  </w:abstractNum>
  <w:abstractNum w:abstractNumId="541">
    <w:nsid w:val="4ABE597"/>
    <w:multiLevelType w:val="hybridMultilevel"/>
    <w:lvl w:ilvl="0">
      <w:lvlJc w:val="left"/>
      <w:lvlText w:val="%1."/>
      <w:numFmt w:val="decimal"/>
      <w:start w:val="8"/>
    </w:lvl>
  </w:abstractNum>
  <w:abstractNum w:abstractNumId="542">
    <w:nsid w:val="5C64AD75"/>
    <w:multiLevelType w:val="hybridMultilevel"/>
    <w:lvl w:ilvl="0">
      <w:lvlJc w:val="left"/>
      <w:lvlText w:val="%1."/>
      <w:numFmt w:val="decimal"/>
      <w:start w:val="11"/>
    </w:lvl>
  </w:abstractNum>
  <w:abstractNum w:abstractNumId="543">
    <w:nsid w:val="2CDD5B39"/>
    <w:multiLevelType w:val="hybridMultilevel"/>
    <w:lvl w:ilvl="0">
      <w:lvlJc w:val="left"/>
      <w:lvlText w:val="%1."/>
      <w:numFmt w:val="decimal"/>
      <w:start w:val="17"/>
    </w:lvl>
    <w:lvl w:ilvl="1">
      <w:lvlJc w:val="left"/>
      <w:lvlText w:val="%2)"/>
      <w:numFmt w:val="lowerLetter"/>
      <w:start w:val="1"/>
    </w:lvl>
  </w:abstractNum>
  <w:abstractNum w:abstractNumId="544">
    <w:nsid w:val="6F9EA0D1"/>
    <w:multiLevelType w:val="hybridMultilevel"/>
    <w:lvl w:ilvl="0">
      <w:lvlJc w:val="left"/>
      <w:lvlText w:val="%1."/>
      <w:numFmt w:val="decimal"/>
      <w:start w:val="18"/>
    </w:lvl>
    <w:lvl w:ilvl="1">
      <w:lvlJc w:val="left"/>
      <w:lvlText w:val="%2)"/>
      <w:numFmt w:val="lowerLetter"/>
      <w:start w:val="1"/>
    </w:lvl>
  </w:abstractNum>
  <w:abstractNum w:abstractNumId="545">
    <w:nsid w:val="247FC4AE"/>
    <w:multiLevelType w:val="hybridMultilevel"/>
    <w:lvl w:ilvl="0">
      <w:lvlJc w:val="left"/>
      <w:lvlText w:val="%1."/>
      <w:numFmt w:val="decimal"/>
      <w:start w:val="20"/>
    </w:lvl>
  </w:abstractNum>
  <w:abstractNum w:abstractNumId="546">
    <w:nsid w:val="46C01B05"/>
    <w:multiLevelType w:val="hybridMultilevel"/>
    <w:lvl w:ilvl="0">
      <w:lvlJc w:val="left"/>
      <w:lvlText w:val="%1."/>
      <w:numFmt w:val="decimal"/>
      <w:start w:val="23"/>
    </w:lvl>
  </w:abstractNum>
  <w:abstractNum w:abstractNumId="547">
    <w:nsid w:val="566EC29B"/>
    <w:multiLevelType w:val="hybridMultilevel"/>
    <w:lvl w:ilvl="0">
      <w:lvlJc w:val="left"/>
      <w:lvlText w:val="%1."/>
      <w:numFmt w:val="decimal"/>
      <w:start w:val="1"/>
    </w:lvl>
  </w:abstractNum>
  <w:abstractNum w:abstractNumId="548">
    <w:nsid w:val="7A963843"/>
    <w:multiLevelType w:val="hybridMultilevel"/>
    <w:lvl w:ilvl="0">
      <w:lvlJc w:val="left"/>
      <w:lvlText w:val="%1."/>
      <w:numFmt w:val="decimal"/>
      <w:start w:val="5"/>
    </w:lvl>
    <w:lvl w:ilvl="1">
      <w:lvlJc w:val="left"/>
      <w:lvlText w:val="%2)"/>
      <w:numFmt w:val="lowerLetter"/>
      <w:start w:val="1"/>
    </w:lvl>
  </w:abstractNum>
  <w:abstractNum w:abstractNumId="549">
    <w:nsid w:val="4FE12F61"/>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jpeg"/><Relationship Id="rId731" Type="http://schemas.openxmlformats.org/officeDocument/2006/relationships/image" Target="media/image724.png"/><Relationship Id="rId732" Type="http://schemas.openxmlformats.org/officeDocument/2006/relationships/image" Target="media/image725.jpeg"/><Relationship Id="rId733" Type="http://schemas.openxmlformats.org/officeDocument/2006/relationships/image" Target="media/image726.png"/><Relationship Id="rId734" Type="http://schemas.openxmlformats.org/officeDocument/2006/relationships/image" Target="media/image727.jpeg"/><Relationship Id="rId735" Type="http://schemas.openxmlformats.org/officeDocument/2006/relationships/image" Target="media/image728.png"/><Relationship Id="rId736" Type="http://schemas.openxmlformats.org/officeDocument/2006/relationships/image" Target="media/image729.jpeg"/><Relationship Id="rId737" Type="http://schemas.openxmlformats.org/officeDocument/2006/relationships/image" Target="media/image730.png"/><Relationship Id="rId738" Type="http://schemas.openxmlformats.org/officeDocument/2006/relationships/image" Target="media/image731.jpeg"/><Relationship Id="rId739" Type="http://schemas.openxmlformats.org/officeDocument/2006/relationships/image" Target="media/image732.png"/><Relationship Id="rId740" Type="http://schemas.openxmlformats.org/officeDocument/2006/relationships/image" Target="media/image733.jpeg"/><Relationship Id="rId741" Type="http://schemas.openxmlformats.org/officeDocument/2006/relationships/image" Target="media/image734.png"/><Relationship Id="rId742" Type="http://schemas.openxmlformats.org/officeDocument/2006/relationships/image" Target="media/image735.jpeg"/><Relationship Id="rId743" Type="http://schemas.openxmlformats.org/officeDocument/2006/relationships/image" Target="media/image736.png"/><Relationship Id="rId744" Type="http://schemas.openxmlformats.org/officeDocument/2006/relationships/image" Target="media/image737.jpeg"/><Relationship Id="rId745" Type="http://schemas.openxmlformats.org/officeDocument/2006/relationships/image" Target="media/image738.png"/><Relationship Id="rId746" Type="http://schemas.openxmlformats.org/officeDocument/2006/relationships/image" Target="media/image739.jpeg"/><Relationship Id="rId747" Type="http://schemas.openxmlformats.org/officeDocument/2006/relationships/image" Target="media/image740.png"/><Relationship Id="rId748" Type="http://schemas.openxmlformats.org/officeDocument/2006/relationships/image" Target="media/image741.jpeg"/><Relationship Id="rId749" Type="http://schemas.openxmlformats.org/officeDocument/2006/relationships/image" Target="media/image742.png"/><Relationship Id="rId750" Type="http://schemas.openxmlformats.org/officeDocument/2006/relationships/image" Target="media/image743.jpe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jpe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jpe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jpe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2019-12-09T02:51:12Z</dcterms:created>
  <dcterms:modified xsi:type="dcterms:W3CDTF">2019-12-09T02:51:12Z</dcterms:modified>
</cp:coreProperties>
</file>