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Times;Serif" w:hAnsi="Times New Roman;Times;Serif"/>
          <w:b/>
          <w:i w:val="false"/>
          <w:caps w:val="false"/>
          <w:smallCaps w:val="false"/>
          <w:sz w:val="28"/>
        </w:rPr>
      </w:pPr>
      <w:bookmarkStart w:id="0" w:name="dp148807_6k-2.htm"/>
      <w:bookmarkStart w:id="1" w:name="ksdp148807_6k2"/>
      <w:bookmarkEnd w:id="0"/>
      <w:bookmarkEnd w:id="1"/>
      <w:r>
        <w:rPr>
          <w:rFonts w:ascii="Times New Roman;Times;Serif" w:hAnsi="Times New Roman;Times;Serif"/>
          <w:b/>
          <w:i w:val="false"/>
          <w:caps w:val="false"/>
          <w:smallCaps w:val="false"/>
          <w:sz w:val="28"/>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6-K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137" w:right="0" w:hanging="137"/>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 13a-16 OR 15d-16 UNDER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For the month of March,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Commission File Number: 001-37891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56"/>
        </w:rPr>
      </w:pPr>
      <w:r>
        <w:rPr>
          <w:rFonts w:ascii="Times New Roman;Times;Serif" w:hAnsi="Times New Roman;Times;Serif"/>
          <w:b/>
          <w:i w:val="false"/>
          <w:caps w:val="false"/>
          <w:smallCaps w:val="false"/>
          <w:sz w:val="56"/>
        </w:rPr>
        <w:t>AC IMMUNE SA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EPFL Innovation Park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Building B</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1015 Lausanne, Switzerland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jc w:val="center"/>
        <w:rPr>
          <w:caps w:val="false"/>
          <w:smallCaps w:val="false"/>
        </w:rPr>
      </w:pPr>
      <w:r>
        <w:rPr>
          <w:caps w:val="false"/>
          <w:smallCaps w:val="false"/>
        </w:rPr>
        <w:t> </w:t>
      </w:r>
    </w:p>
    <w:tbl>
      <w:tblPr>
        <w:tblW w:w="2025" w:type="dxa"/>
        <w:jc w:val="center"/>
        <w:tblInd w:w="0" w:type="dxa"/>
        <w:tblCellMar>
          <w:top w:w="0" w:type="dxa"/>
          <w:left w:w="0" w:type="dxa"/>
          <w:bottom w:w="0" w:type="dxa"/>
          <w:right w:w="0" w:type="dxa"/>
        </w:tblCellMar>
      </w:tblPr>
      <w:tblGrid>
        <w:gridCol w:w="875"/>
        <w:gridCol w:w="155"/>
        <w:gridCol w:w="60"/>
        <w:gridCol w:w="860"/>
        <w:gridCol w:w="75"/>
      </w:tblGrid>
      <w:tr>
        <w:trPr/>
        <w:tc>
          <w:tcPr>
            <w:tcW w:w="875" w:type="dxa"/>
            <w:tcBorders/>
            <w:shd w:fill="auto" w:val="clear"/>
            <w:vAlign w:val="center"/>
          </w:tcPr>
          <w:p>
            <w:pPr>
              <w:pStyle w:val="TableContents"/>
              <w:spacing w:before="0" w:after="283"/>
              <w:jc w:val="center"/>
              <w:rPr>
                <w:sz w:val="20"/>
              </w:rPr>
            </w:pPr>
            <w:r>
              <w:rPr>
                <w:sz w:val="20"/>
              </w:rPr>
              <w:t>Form 20-F</w:t>
            </w:r>
          </w:p>
        </w:tc>
        <w:tc>
          <w:tcPr>
            <w:tcW w:w="155"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center"/>
              <w:rPr>
                <w:sz w:val="20"/>
              </w:rPr>
            </w:pPr>
            <w:r>
              <w:rPr>
                <w:sz w:val="20"/>
              </w:rPr>
              <w:t>Form 40-F</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w:t>
      </w:r>
    </w:p>
    <w:p>
      <w:pPr>
        <w:pStyle w:val="TextBody"/>
        <w:spacing w:before="0" w:after="0"/>
        <w:ind w:left="0" w:right="0" w:hanging="0"/>
        <w:jc w:val="center"/>
        <w:rPr>
          <w:caps w:val="false"/>
          <w:smallCaps w:val="false"/>
        </w:rPr>
      </w:pPr>
      <w:r>
        <w:rPr>
          <w:caps w:val="false"/>
          <w:smallCaps w:val="false"/>
        </w:rPr>
        <w:t> </w:t>
      </w:r>
    </w:p>
    <w:tbl>
      <w:tblPr>
        <w:tblW w:w="885" w:type="dxa"/>
        <w:jc w:val="center"/>
        <w:tblInd w:w="0" w:type="dxa"/>
        <w:tblCellMar>
          <w:top w:w="0" w:type="dxa"/>
          <w:left w:w="0" w:type="dxa"/>
          <w:bottom w:w="0" w:type="dxa"/>
          <w:right w:w="0" w:type="dxa"/>
        </w:tblCellMar>
      </w:tblPr>
      <w:tblGrid>
        <w:gridCol w:w="335"/>
        <w:gridCol w:w="60"/>
        <w:gridCol w:w="60"/>
        <w:gridCol w:w="260"/>
        <w:gridCol w:w="170"/>
      </w:tblGrid>
      <w:tr>
        <w:trPr/>
        <w:tc>
          <w:tcPr>
            <w:tcW w:w="335" w:type="dxa"/>
            <w:tcBorders/>
            <w:shd w:fill="auto" w:val="clear"/>
            <w:vAlign w:val="center"/>
          </w:tcPr>
          <w:p>
            <w:pPr>
              <w:pStyle w:val="TableContents"/>
              <w:spacing w:before="0" w:after="283"/>
              <w:jc w:val="center"/>
              <w:rPr>
                <w:sz w:val="20"/>
              </w:rPr>
            </w:pPr>
            <w:r>
              <w:rPr>
                <w:sz w:val="20"/>
              </w:rPr>
              <w:t>Yes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sz w:val="20"/>
              </w:rPr>
            </w:pPr>
            <w:r>
              <w:rPr>
                <w:sz w:val="20"/>
              </w:rPr>
              <w:t>No</w:t>
            </w:r>
          </w:p>
        </w:tc>
        <w:tc>
          <w:tcPr>
            <w:tcW w:w="170"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w:t>
      </w:r>
    </w:p>
    <w:p>
      <w:pPr>
        <w:pStyle w:val="TextBody"/>
        <w:spacing w:before="0" w:after="0"/>
        <w:ind w:left="0" w:right="0" w:hanging="0"/>
        <w:jc w:val="center"/>
        <w:rPr>
          <w:caps w:val="false"/>
          <w:smallCaps w:val="false"/>
        </w:rPr>
      </w:pPr>
      <w:r>
        <w:rPr>
          <w:caps w:val="false"/>
          <w:smallCaps w:val="false"/>
        </w:rPr>
        <w:t> </w:t>
      </w:r>
    </w:p>
    <w:tbl>
      <w:tblPr>
        <w:tblW w:w="885" w:type="dxa"/>
        <w:jc w:val="center"/>
        <w:tblInd w:w="0" w:type="dxa"/>
        <w:tblCellMar>
          <w:top w:w="0" w:type="dxa"/>
          <w:left w:w="0" w:type="dxa"/>
          <w:bottom w:w="0" w:type="dxa"/>
          <w:right w:w="0" w:type="dxa"/>
        </w:tblCellMar>
      </w:tblPr>
      <w:tblGrid>
        <w:gridCol w:w="335"/>
        <w:gridCol w:w="60"/>
        <w:gridCol w:w="60"/>
        <w:gridCol w:w="260"/>
        <w:gridCol w:w="170"/>
      </w:tblGrid>
      <w:tr>
        <w:trPr/>
        <w:tc>
          <w:tcPr>
            <w:tcW w:w="335" w:type="dxa"/>
            <w:tcBorders/>
            <w:shd w:fill="auto" w:val="clear"/>
            <w:vAlign w:val="center"/>
          </w:tcPr>
          <w:p>
            <w:pPr>
              <w:pStyle w:val="TableContents"/>
              <w:spacing w:before="0" w:after="283"/>
              <w:jc w:val="center"/>
              <w:rPr>
                <w:sz w:val="20"/>
              </w:rPr>
            </w:pPr>
            <w:r>
              <w:rPr>
                <w:sz w:val="20"/>
              </w:rPr>
              <w:t>Yes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sz w:val="20"/>
              </w:rPr>
            </w:pPr>
            <w:r>
              <w:rPr>
                <w:sz w:val="20"/>
              </w:rPr>
              <w:t>No</w:t>
            </w:r>
          </w:p>
        </w:tc>
        <w:tc>
          <w:tcPr>
            <w:tcW w:w="170"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2021, AC Immune SA (“</w:t>
      </w:r>
      <w:r>
        <w:rPr>
          <w:rFonts w:ascii="Times New Roman;Times;Serif" w:hAnsi="Times New Roman;Times;Serif"/>
          <w:b/>
          <w:i w:val="false"/>
          <w:caps w:val="false"/>
          <w:smallCaps w:val="false"/>
          <w:sz w:val="20"/>
        </w:rPr>
        <w:t>AC Immune</w:t>
      </w:r>
      <w:r>
        <w:rPr>
          <w:rFonts w:ascii="Times New Roman;Times;Serif" w:hAnsi="Times New Roman;Times;Serif"/>
          <w:b w:val="false"/>
          <w:i w:val="false"/>
          <w:caps w:val="false"/>
          <w:smallCaps w:val="false"/>
          <w:sz w:val="20"/>
        </w:rPr>
        <w:t>”) held an Extraordinary General Meeting. The press release relating to the results of the extraordinary shareholders’ meeting is attached hereto as Exhibit 99.1.</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withdrew Agenda Item 2 “Amendments of the Articles of Association” prior to the Extraordinary General Meeting.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results of the remaining agenda item submitted to a vote of the shareholders is as follows: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 Item 1: Election of Alan Colowick as Member of the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shareholders approved the election of Alan Colowick as a member of the Board of Directors until the end of the next Annual General Meeting.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firstLine="360"/>
        <w:rPr>
          <w:caps w:val="false"/>
          <w:smallCaps w:val="false"/>
        </w:rPr>
      </w:pPr>
      <w:r>
        <w:rPr>
          <w:caps w:val="false"/>
          <w:smallCaps w:val="false"/>
        </w:rPr>
        <w:t> </w:t>
      </w:r>
    </w:p>
    <w:tbl>
      <w:tblPr>
        <w:tblW w:w="3015" w:type="dxa"/>
        <w:jc w:val="left"/>
        <w:tblInd w:w="0" w:type="dxa"/>
        <w:tblCellMar>
          <w:top w:w="0" w:type="dxa"/>
          <w:left w:w="0" w:type="dxa"/>
          <w:bottom w:w="0" w:type="dxa"/>
          <w:right w:w="0" w:type="dxa"/>
        </w:tblCellMar>
      </w:tblPr>
      <w:tblGrid>
        <w:gridCol w:w="75"/>
        <w:gridCol w:w="60"/>
        <w:gridCol w:w="320"/>
        <w:gridCol w:w="545"/>
        <w:gridCol w:w="1940"/>
        <w:gridCol w:w="75"/>
      </w:tblGrid>
      <w:tr>
        <w:trPr/>
        <w:tc>
          <w:tcPr>
            <w:tcW w:w="135" w:type="dxa"/>
            <w:gridSpan w:val="2"/>
            <w:tcBorders/>
            <w:shd w:fill="auto" w:val="clear"/>
            <w:vAlign w:val="center"/>
          </w:tcPr>
          <w:p>
            <w:pPr>
              <w:pStyle w:val="TableContents"/>
              <w:spacing w:before="0" w:after="283"/>
              <w:rPr/>
            </w:pPr>
            <w:r>
              <w:rPr/>
              <w:t> </w:t>
            </w:r>
          </w:p>
        </w:tc>
        <w:tc>
          <w:tcPr>
            <w:tcW w:w="2805" w:type="dxa"/>
            <w:gridSpan w:val="3"/>
            <w:tcBorders/>
            <w:shd w:fill="auto" w:val="clear"/>
            <w:vAlign w:val="center"/>
          </w:tcPr>
          <w:p>
            <w:pPr>
              <w:pStyle w:val="TableContents"/>
              <w:spacing w:before="0" w:after="283"/>
              <w:rPr>
                <w:b/>
                <w:sz w:val="20"/>
              </w:rPr>
            </w:pPr>
            <w:r>
              <w:rPr>
                <w:b/>
                <w:sz w:val="20"/>
              </w:rPr>
              <w:t>AC IMMUNE SA</w:t>
            </w:r>
          </w:p>
        </w:tc>
        <w:tc>
          <w:tcPr>
            <w:tcW w:w="75" w:type="dxa"/>
            <w:tcBorders/>
            <w:shd w:fill="auto" w:val="clear"/>
            <w:vAlign w:val="center"/>
          </w:tcPr>
          <w:p>
            <w:pPr>
              <w:pStyle w:val="TableContents"/>
              <w:spacing w:before="0" w:after="283"/>
              <w:rPr/>
            </w:pPr>
            <w:r>
              <w:rPr/>
              <w:t> </w:t>
            </w:r>
          </w:p>
        </w:tc>
      </w:tr>
      <w:tr>
        <w:trPr/>
        <w:tc>
          <w:tcPr>
            <w:tcW w:w="135" w:type="dxa"/>
            <w:gridSpan w:val="2"/>
            <w:tcBorders/>
            <w:shd w:fill="auto" w:val="clear"/>
            <w:vAlign w:val="center"/>
          </w:tcPr>
          <w:p>
            <w:pPr>
              <w:pStyle w:val="TableContents"/>
              <w:spacing w:before="0" w:after="283"/>
              <w:rPr/>
            </w:pPr>
            <w:r>
              <w:rPr/>
              <w:t> </w:t>
            </w:r>
          </w:p>
        </w:tc>
        <w:tc>
          <w:tcPr>
            <w:tcW w:w="2805" w:type="dxa"/>
            <w:gridSpan w:val="3"/>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35" w:type="dxa"/>
            <w:gridSpan w:val="2"/>
            <w:tcBorders/>
            <w:shd w:fill="auto" w:val="clear"/>
            <w:vAlign w:val="center"/>
          </w:tcPr>
          <w:p>
            <w:pPr>
              <w:pStyle w:val="TableContents"/>
              <w:spacing w:before="0" w:after="283"/>
              <w:rPr/>
            </w:pPr>
            <w:r>
              <w:rPr/>
              <w:t> </w:t>
            </w:r>
          </w:p>
        </w:tc>
        <w:tc>
          <w:tcPr>
            <w:tcW w:w="2805" w:type="dxa"/>
            <w:gridSpan w:val="3"/>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485" w:type="dxa"/>
            <w:gridSpan w:val="2"/>
            <w:tcBorders>
              <w:bottom w:val="single" w:sz="8" w:space="0" w:color="000000"/>
            </w:tcBorders>
            <w:shd w:fill="auto" w:val="clear"/>
            <w:tcMar>
              <w:bottom w:w="28" w:type="dxa"/>
            </w:tcMar>
            <w:vAlign w:val="center"/>
          </w:tcPr>
          <w:p>
            <w:pPr>
              <w:pStyle w:val="TableContents"/>
              <w:spacing w:before="0" w:after="283"/>
              <w:rPr>
                <w:sz w:val="20"/>
              </w:rPr>
            </w:pPr>
            <w:r>
              <w:rPr>
                <w:sz w:val="20"/>
              </w:rPr>
              <w:t>/s/ Andrea Pfeifer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940" w:type="dxa"/>
            <w:tcBorders/>
            <w:shd w:fill="auto" w:val="clear"/>
            <w:vAlign w:val="center"/>
          </w:tcPr>
          <w:p>
            <w:pPr>
              <w:pStyle w:val="TableContents"/>
              <w:spacing w:before="0" w:after="283"/>
              <w:rPr>
                <w:sz w:val="20"/>
              </w:rPr>
            </w:pPr>
            <w:r>
              <w:rPr>
                <w:sz w:val="20"/>
              </w:rPr>
              <w:t>Andrea Pfeifer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940" w:type="dxa"/>
            <w:tcBorders/>
            <w:shd w:fill="auto" w:val="clear"/>
            <w:vAlign w:val="center"/>
          </w:tcPr>
          <w:p>
            <w:pPr>
              <w:pStyle w:val="TableContents"/>
              <w:spacing w:before="0" w:after="283"/>
              <w:rPr>
                <w:sz w:val="20"/>
              </w:rPr>
            </w:pPr>
            <w:r>
              <w:rPr>
                <w:sz w:val="20"/>
              </w:rPr>
              <w:t>Chief Executive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r>
    </w:p>
    <w:tbl>
      <w:tblPr>
        <w:tblW w:w="2955" w:type="dxa"/>
        <w:jc w:val="left"/>
        <w:tblInd w:w="0" w:type="dxa"/>
        <w:tblCellMar>
          <w:top w:w="0" w:type="dxa"/>
          <w:left w:w="0" w:type="dxa"/>
          <w:bottom w:w="0" w:type="dxa"/>
          <w:right w:w="0" w:type="dxa"/>
        </w:tblCellMar>
      </w:tblPr>
      <w:tblGrid>
        <w:gridCol w:w="75"/>
        <w:gridCol w:w="60"/>
        <w:gridCol w:w="320"/>
        <w:gridCol w:w="545"/>
        <w:gridCol w:w="188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425" w:type="dxa"/>
            <w:gridSpan w:val="2"/>
            <w:tcBorders>
              <w:bottom w:val="single" w:sz="8" w:space="0" w:color="000000"/>
            </w:tcBorders>
            <w:shd w:fill="auto" w:val="clear"/>
            <w:tcMar>
              <w:bottom w:w="28" w:type="dxa"/>
            </w:tcMar>
            <w:vAlign w:val="center"/>
          </w:tcPr>
          <w:p>
            <w:pPr>
              <w:pStyle w:val="TableContents"/>
              <w:spacing w:before="0" w:after="283"/>
              <w:rPr>
                <w:sz w:val="20"/>
              </w:rPr>
            </w:pPr>
            <w:r>
              <w:rPr>
                <w:sz w:val="20"/>
              </w:rPr>
              <w:t>/s/ Joerg Hornstein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880" w:type="dxa"/>
            <w:tcBorders/>
            <w:shd w:fill="auto" w:val="clear"/>
            <w:vAlign w:val="center"/>
          </w:tcPr>
          <w:p>
            <w:pPr>
              <w:pStyle w:val="TableContents"/>
              <w:spacing w:before="0" w:after="283"/>
              <w:rPr>
                <w:sz w:val="20"/>
              </w:rPr>
            </w:pPr>
            <w:r>
              <w:rPr>
                <w:sz w:val="20"/>
              </w:rPr>
              <w:t>Joerg Hornstein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880" w:type="dxa"/>
            <w:tcBorders/>
            <w:shd w:fill="auto" w:val="clear"/>
            <w:vAlign w:val="center"/>
          </w:tcPr>
          <w:p>
            <w:pPr>
              <w:pStyle w:val="TableContents"/>
              <w:spacing w:before="0" w:after="283"/>
              <w:rPr>
                <w:sz w:val="20"/>
              </w:rPr>
            </w:pPr>
            <w:r>
              <w:rPr>
                <w:sz w:val="20"/>
              </w:rPr>
              <w:t>Chief Financial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jc w:val="center"/>
        <w:rPr>
          <w:caps w:val="false"/>
          <w:smallCaps w:val="false"/>
        </w:rPr>
      </w:pPr>
      <w:r>
        <w:rPr>
          <w:caps w:val="false"/>
          <w:smallCaps w:val="false"/>
        </w:rPr>
        <w:t> </w:t>
      </w:r>
    </w:p>
    <w:tbl>
      <w:tblPr>
        <w:tblW w:w="3670" w:type="dxa"/>
        <w:jc w:val="left"/>
        <w:tblInd w:w="0" w:type="dxa"/>
        <w:tblCellMar>
          <w:top w:w="0" w:type="dxa"/>
          <w:left w:w="0" w:type="dxa"/>
          <w:bottom w:w="28" w:type="dxa"/>
          <w:right w:w="0" w:type="dxa"/>
        </w:tblCellMar>
      </w:tblPr>
      <w:tblGrid>
        <w:gridCol w:w="725"/>
        <w:gridCol w:w="2945"/>
      </w:tblGrid>
      <w:tr>
        <w:trPr/>
        <w:tc>
          <w:tcPr>
            <w:tcW w:w="725"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2945" w:type="dxa"/>
            <w:tcBorders>
              <w:bottom w:val="single" w:sz="8" w:space="0" w:color="000000"/>
            </w:tcBorders>
            <w:shd w:fill="auto" w:val="clear"/>
            <w:vAlign w:val="center"/>
          </w:tcPr>
          <w:p>
            <w:pPr>
              <w:pStyle w:val="TableContents"/>
              <w:spacing w:before="0" w:after="283"/>
              <w:jc w:val="center"/>
              <w:rPr>
                <w:b/>
                <w:sz w:val="20"/>
              </w:rPr>
            </w:pPr>
            <w:r>
              <w:rPr>
                <w:b/>
                <w:sz w:val="20"/>
              </w:rPr>
              <w:t>Description</w:t>
            </w:r>
          </w:p>
        </w:tc>
      </w:tr>
      <w:tr>
        <w:trPr/>
        <w:tc>
          <w:tcPr>
            <w:tcW w:w="725" w:type="dxa"/>
            <w:tcBorders/>
            <w:shd w:fill="auto" w:val="clear"/>
            <w:tcMar>
              <w:bottom w:w="0" w:type="dxa"/>
            </w:tcMar>
            <w:vAlign w:val="center"/>
          </w:tcPr>
          <w:p>
            <w:pPr>
              <w:pStyle w:val="TableContents"/>
              <w:spacing w:before="0" w:after="283"/>
              <w:rPr/>
            </w:pPr>
            <w:r>
              <w:rPr/>
              <w:t> </w:t>
            </w:r>
          </w:p>
        </w:tc>
        <w:tc>
          <w:tcPr>
            <w:tcW w:w="2945" w:type="dxa"/>
            <w:tcBorders/>
            <w:shd w:fill="auto" w:val="clear"/>
            <w:tcMar>
              <w:bottom w:w="0" w:type="dxa"/>
            </w:tcMar>
            <w:vAlign w:val="center"/>
          </w:tcPr>
          <w:p>
            <w:pPr>
              <w:pStyle w:val="TableContents"/>
              <w:spacing w:before="0" w:after="283"/>
              <w:rPr/>
            </w:pPr>
            <w:r>
              <w:rPr/>
              <w:t> </w:t>
            </w:r>
          </w:p>
        </w:tc>
      </w:tr>
      <w:tr>
        <w:trPr/>
        <w:tc>
          <w:tcPr>
            <w:tcW w:w="725" w:type="dxa"/>
            <w:tcBorders/>
            <w:shd w:fill="auto" w:val="clear"/>
            <w:tcMar>
              <w:bottom w:w="0" w:type="dxa"/>
            </w:tcMar>
            <w:vAlign w:val="center"/>
          </w:tcPr>
          <w:p>
            <w:pPr>
              <w:pStyle w:val="TableContents"/>
              <w:spacing w:before="0" w:after="283"/>
              <w:jc w:val="center"/>
              <w:rPr>
                <w:sz w:val="20"/>
              </w:rPr>
            </w:pPr>
            <w:r>
              <w:rPr>
                <w:sz w:val="20"/>
              </w:rPr>
              <w:t>99.1</w:t>
            </w:r>
          </w:p>
        </w:tc>
        <w:tc>
          <w:tcPr>
            <w:tcW w:w="2945" w:type="dxa"/>
            <w:tcBorders/>
            <w:shd w:fill="auto" w:val="clear"/>
            <w:tcMar>
              <w:bottom w:w="0" w:type="dxa"/>
            </w:tcMar>
            <w:vAlign w:val="center"/>
          </w:tcPr>
          <w:p>
            <w:pPr>
              <w:pStyle w:val="TableContents"/>
              <w:spacing w:before="0" w:after="283"/>
              <w:jc w:val="both"/>
              <w:rPr>
                <w:sz w:val="20"/>
              </w:rPr>
            </w:pPr>
            <w:r>
              <w:rPr>
                <w:sz w:val="20"/>
              </w:rPr>
              <w:t>Press Release dated March 31, 2021</w:t>
            </w:r>
          </w:p>
        </w:tc>
      </w:tr>
    </w:tbl>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rPr/>
      </w:pPr>
      <w:r>
        <w:rPr/>
        <w:t> </w:t>
      </w:r>
      <w:r>
        <w:br w:type="page"/>
      </w:r>
    </w:p>
    <w:p>
      <w:pPr>
        <w:pStyle w:val="TextBody"/>
        <w:jc w:val="right"/>
        <w:rPr>
          <w:rFonts w:ascii="Arial;Helvetica;Sans-Serif" w:hAnsi="Arial;Helvetica;Sans-Serif"/>
          <w:b/>
          <w:sz w:val="20"/>
        </w:rPr>
      </w:pPr>
      <w:bookmarkStart w:id="2" w:name="dp148807_ex9901.htm"/>
      <w:bookmarkStart w:id="3" w:name="ksdp148807_ex9901"/>
      <w:bookmarkEnd w:id="2"/>
      <w:bookmarkEnd w:id="3"/>
      <w:r>
        <w:rPr>
          <w:rFonts w:ascii="Arial;Helvetica;Sans-Serif" w:hAnsi="Arial;Helvetica;Sans-Serif"/>
          <w:b/>
          <w:sz w:val="20"/>
        </w:rPr>
        <w:t>Exhibit 99.1</w:t>
      </w:r>
    </w:p>
    <w:p>
      <w:pPr>
        <w:pStyle w:val="TextBody"/>
        <w:jc w:val="right"/>
        <w:rPr/>
      </w:pPr>
      <w:r>
        <w:rPr/>
        <w:t> </w:t>
      </w:r>
    </w:p>
    <w:tbl>
      <w:tblPr>
        <w:tblW w:w="5113" w:type="dxa"/>
        <w:jc w:val="left"/>
        <w:tblInd w:w="0" w:type="dxa"/>
        <w:tblCellMar>
          <w:top w:w="0" w:type="dxa"/>
          <w:left w:w="0" w:type="dxa"/>
          <w:bottom w:w="0" w:type="dxa"/>
          <w:right w:w="0" w:type="dxa"/>
        </w:tblCellMar>
      </w:tblPr>
      <w:tblGrid>
        <w:gridCol w:w="2775"/>
        <w:gridCol w:w="60"/>
        <w:gridCol w:w="2278"/>
      </w:tblGrid>
      <w:tr>
        <w:trPr/>
        <w:tc>
          <w:tcPr>
            <w:tcW w:w="2775" w:type="dxa"/>
            <w:tcBorders/>
            <w:shd w:fill="auto" w:val="clear"/>
            <w:vAlign w:val="center"/>
          </w:tcPr>
          <w:p>
            <w:pPr>
              <w:pStyle w:val="TableContents"/>
              <w:spacing w:before="0" w:after="283"/>
              <w:jc w:val="left"/>
              <w:rPr/>
            </w:pPr>
            <w:r>
              <w:rPr/>
              <w:drawing>
                <wp:inline distT="0" distB="0" distL="0" distR="0">
                  <wp:extent cx="17526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438150"/>
                          </a:xfrm>
                          <a:prstGeom prst="rect">
                            <a:avLst/>
                          </a:prstGeom>
                        </pic:spPr>
                      </pic:pic>
                    </a:graphicData>
                  </a:graphic>
                </wp:inline>
              </w:drawing>
            </w:r>
          </w:p>
        </w:tc>
        <w:tc>
          <w:tcPr>
            <w:tcW w:w="60" w:type="dxa"/>
            <w:tcBorders/>
            <w:shd w:fill="auto" w:val="clear"/>
            <w:vAlign w:val="center"/>
          </w:tcPr>
          <w:p>
            <w:pPr>
              <w:pStyle w:val="TableContents"/>
              <w:spacing w:before="0" w:after="283"/>
              <w:jc w:val="left"/>
              <w:rPr/>
            </w:pPr>
            <w:r>
              <w:rPr/>
              <w:t> </w:t>
            </w:r>
          </w:p>
        </w:tc>
        <w:tc>
          <w:tcPr>
            <w:tcW w:w="2278" w:type="dxa"/>
            <w:tcBorders/>
            <w:shd w:fill="auto" w:val="clear"/>
            <w:vAlign w:val="center"/>
          </w:tcPr>
          <w:p>
            <w:pPr>
              <w:pStyle w:val="TableContents"/>
              <w:spacing w:before="0" w:after="0"/>
              <w:ind w:left="113" w:right="113" w:hanging="0"/>
              <w:jc w:val="right"/>
              <w:rPr>
                <w:rFonts w:ascii="Arial;Helvetica;Sans-Serif" w:hAnsi="Arial;Helvetica;Sans-Serif"/>
                <w:b/>
                <w:i w:val="false"/>
                <w:caps w:val="false"/>
                <w:smallCaps w:val="false"/>
                <w:sz w:val="24"/>
              </w:rPr>
            </w:pPr>
            <w:r>
              <w:rPr>
                <w:rFonts w:ascii="Arial;Helvetica;Sans-Serif" w:hAnsi="Arial;Helvetica;Sans-Serif"/>
                <w:b/>
                <w:i w:val="false"/>
                <w:caps/>
                <w:sz w:val="24"/>
              </w:rPr>
              <w:t>Press Release</w:t>
            </w:r>
            <w:r>
              <w:rPr>
                <w:rFonts w:ascii="Arial;Helvetica;Sans-Serif" w:hAnsi="Arial;Helvetica;Sans-Serif"/>
                <w:b/>
                <w:i w:val="false"/>
                <w:caps w:val="false"/>
                <w:smallCaps w:val="false"/>
                <w:sz w:val="24"/>
              </w:rPr>
              <w:t> </w:t>
            </w:r>
          </w:p>
        </w:tc>
      </w:tr>
    </w:tbl>
    <w:p>
      <w:pPr>
        <w:pStyle w:val="TextBody"/>
        <w:jc w:val="right"/>
        <w:rPr/>
      </w:pPr>
      <w:r>
        <w:rPr/>
        <w:t> </w:t>
      </w:r>
    </w:p>
    <w:p>
      <w:pPr>
        <w:pStyle w:val="TextBody"/>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AC Immune Appoints Experienced Biotech and Investment</w:t>
      </w:r>
    </w:p>
    <w:p>
      <w:pPr>
        <w:pStyle w:val="TextBody"/>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Executive Dr. Alan Colowick to Board of Directors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Dr. Colowick has more than 20 years of experience in large and emerging biotech companies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Led investments for several clinical-stage companies as a Partner at Sofinnova Investments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Lausanne, Switzerland, March 31, 2021</w:t>
      </w:r>
      <w:r>
        <w:rPr>
          <w:rFonts w:ascii="Arial;Helvetica;Sans-Serif" w:hAnsi="Arial;Helvetica;Sans-Serif"/>
          <w:b w:val="false"/>
          <w:i w:val="false"/>
          <w:caps w:val="false"/>
          <w:smallCaps w:val="false"/>
          <w:sz w:val="20"/>
        </w:rPr>
        <w:t xml:space="preserve"> – AC Immune SA (NASDAQ: ACIU), a clinical-stage biopharmaceutical company pioneering precision medicine for neurodegenerative diseases, today announced that Alan Colowick, MD, MPH, a deeply experienced biotech and investment executive, was elected to the Company’s Board of Directors at an extraordinary shareholders’ meeting today.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Colowick has more than 20 years of industry experience in both large and emerging biotech companies, serving in a broad array of board, senior executive, clinical, regulatory, and commercial positions. He has a deep understanding of value creation and growth strategies, serving as a Partner at Sofinnova Investments, where he led investments for several clinical-stage companies.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Douglas Williams, Ph.D., Chairman of AC Immune SA, commented: </w:t>
      </w:r>
      <w:r>
        <w:rPr>
          <w:rFonts w:ascii="Arial;Helvetica;Sans-Serif" w:hAnsi="Arial;Helvetica;Sans-Serif"/>
          <w:b w:val="false"/>
          <w:i w:val="false"/>
          <w:caps w:val="false"/>
          <w:smallCaps w:val="false"/>
          <w:sz w:val="20"/>
        </w:rPr>
        <w:t>“The wealth of experience and credibility Dr. Colowick brings to AC Immune’s Board will be invaluable as we continue to execute on our corporate strategy and reinforce our scientific leadership in the field of neurodegenerative diseases. His extensive expertise in biotech from both industry and investment standpoints – including from Celgene, Amgen and Sofinnova – will bring an important perspective to our pipeline and corporate development. We are thrilled to welcome him as our newest Director.”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Dr. Colowick commented: </w:t>
      </w:r>
      <w:r>
        <w:rPr>
          <w:rFonts w:ascii="Arial;Helvetica;Sans-Serif" w:hAnsi="Arial;Helvetica;Sans-Serif"/>
          <w:b w:val="false"/>
          <w:i w:val="false"/>
          <w:caps w:val="false"/>
          <w:smallCaps w:val="false"/>
          <w:sz w:val="20"/>
        </w:rPr>
        <w:t>“I am delighted to be elected to the Board of Directors at what is a particularly exciting moment for AC Immune. By pioneering a personalized medicine approach that properly recognizes the complexity of neurodegenerative disease, the Company has positioned itself at the forefront of the field, poised for sustained growth. I look forward to working with my new colleagues as we continue to advance one of the industry’s broadest and most diversified pipelines in neurodegeneration.”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Prior to his time at Sofinnova, Dr. Colowick was Executive Vice President and served in various leadership roles at Celgene Corporation, including as President for Celgene's Europe, Mid-East, and Africa regions and as Senior Vice President of Global Medical Affairs. Before joining Celgene, he was the Chief Executive Officer at Gloucester Pharmaceuticals, Inc. where he led a private round of financing prior to the company’s acquisition by Celgene in 2010. Dr. Colowick has also served as the President of Oncology at Geron Corporation, as Chief Medical Officer of Threshold Pharmaceuticals, and in numerous positions of increasing responsibility at Amgen culminating with his role as VP, Medical Affairs Europe.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bdr w:val="single" w:sz="8" w:space="1" w:color="000000"/>
        </w:rPr>
      </w:pPr>
      <w:r>
        <w:rPr>
          <w:rFonts w:ascii="Arial;Helvetica;Sans-Serif" w:hAnsi="Arial;Helvetica;Sans-Serif"/>
          <w:b w:val="false"/>
          <w:i w:val="false"/>
          <w:caps w:val="false"/>
          <w:smallCaps w:val="false"/>
          <w:sz w:val="18"/>
          <w:bdr w:val="single" w:sz="8" w:space="1" w:color="000000"/>
        </w:rPr>
        <w:t>1 / 2</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Dr. Colowick also has extensive Board experience that includes current roles on the Board of Directors for Personalis, Inc., XyloCor Therapeutics, and InCarda Therapeutics, and prior roles as Chairman of the Board including VelosBio (sold to Merck in 2020 for $2.75 billion) and Principia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Biopharma (sold to Sanofi in 2020 for $3.7 billion). He received his medical degree from Stanford University, a Master’s in Public Health from Harvard University, and a B.S. in Molecular Biology from the University of Colorado. Additionally, Dr. Colowick has completed specialty training in Hematology-Oncology at Harvard Medical School, the Dana Farber Cancer Institute, and Brigham and Women’s Hospital in Boston, USA.</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Prior to the meeting, the Board withdrew agenda item 2.</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About AC Immune SA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AC</w:t>
      </w:r>
      <w:r>
        <w:rPr>
          <w:rFonts w:ascii="Arial;Helvetica;Sans-Serif" w:hAnsi="Arial;Helvetica;Sans-Serif"/>
          <w:b w:val="false"/>
          <w:i w:val="false"/>
          <w:caps w:val="false"/>
          <w:smallCaps w:val="false"/>
          <w:sz w:val="20"/>
        </w:rPr>
        <w:t xml:space="preserve"> Immune SA is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w:t>
      </w:r>
      <w:r>
        <w:rPr>
          <w:rFonts w:ascii="Arial;Helvetica;Sans-Serif" w:hAnsi="Arial;Helvetica;Sans-Serif"/>
          <w:b w:val="false"/>
          <w:i w:val="false"/>
          <w:caps w:val="false"/>
          <w:smallCaps w:val="false"/>
          <w:position w:val="7"/>
          <w:sz w:val="16"/>
          <w:sz w:val="20"/>
        </w:rPr>
        <w:t>TM</w:t>
      </w:r>
      <w:r>
        <w:rPr>
          <w:rFonts w:ascii="Arial;Helvetica;Sans-Serif" w:hAnsi="Arial;Helvetica;Sans-Serif"/>
          <w:b w:val="false"/>
          <w:i w:val="false"/>
          <w:caps w:val="false"/>
          <w:smallCaps w:val="false"/>
          <w:sz w:val="20"/>
        </w:rPr>
        <w:t> and Morphomer</w:t>
      </w:r>
      <w:r>
        <w:rPr>
          <w:rFonts w:ascii="Arial;Helvetica;Sans-Serif" w:hAnsi="Arial;Helvetica;Sans-Serif"/>
          <w:b w:val="false"/>
          <w:i w:val="false"/>
          <w:caps w:val="false"/>
          <w:smallCaps w:val="false"/>
          <w:position w:val="7"/>
          <w:sz w:val="16"/>
          <w:sz w:val="20"/>
        </w:rPr>
        <w:t>TM</w:t>
      </w:r>
      <w:r>
        <w:rPr>
          <w:rFonts w:ascii="Arial;Helvetica;Sans-Serif" w:hAnsi="Arial;Helvetica;Sans-Serif"/>
          <w:b w:val="false"/>
          <w:i w:val="false"/>
          <w:caps w:val="false"/>
          <w:smallCaps w:val="false"/>
          <w:sz w:val="20"/>
        </w:rPr>
        <w:t>, fuel its broad and diversified pipeline of first- and best-in-class assets, which currently features nine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resulting in substantial non-dilutive funding to advance its proprietary programs and &gt;$3 billion in potential milestone payments.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7345" w:type="dxa"/>
        <w:jc w:val="left"/>
        <w:tblInd w:w="0" w:type="dxa"/>
        <w:tblCellMar>
          <w:top w:w="0" w:type="dxa"/>
          <w:left w:w="0" w:type="dxa"/>
          <w:bottom w:w="0" w:type="dxa"/>
          <w:right w:w="0" w:type="dxa"/>
        </w:tblCellMar>
      </w:tblPr>
      <w:tblGrid>
        <w:gridCol w:w="3410"/>
        <w:gridCol w:w="3935"/>
      </w:tblGrid>
      <w:tr>
        <w:trPr/>
        <w:tc>
          <w:tcPr>
            <w:tcW w:w="3410" w:type="dxa"/>
            <w:tcBorders/>
            <w:shd w:fill="auto" w:val="clear"/>
            <w:vAlign w:val="center"/>
          </w:tcPr>
          <w:p>
            <w:pPr>
              <w:pStyle w:val="TableContents"/>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Head of Investor Relations</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Joshua Drumm, Ph.D. </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 Immune</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Phone: +1 917 809 0814 </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Email: </w:t>
            </w:r>
            <w:r>
              <w:rPr>
                <w:rFonts w:ascii="Arial;Helvetica;Sans-Serif" w:hAnsi="Arial;Helvetica;Sans-Serif"/>
                <w:b w:val="false"/>
                <w:i w:val="false"/>
                <w:caps w:val="false"/>
                <w:smallCaps w:val="false"/>
                <w:color w:val="0000FF"/>
                <w:sz w:val="20"/>
                <w:u w:val="single"/>
              </w:rPr>
              <w:t>joshua.drumm@acimmune.com</w:t>
            </w:r>
          </w:p>
        </w:tc>
        <w:tc>
          <w:tcPr>
            <w:tcW w:w="3935" w:type="dxa"/>
            <w:tcBorders/>
            <w:shd w:fill="auto" w:val="clear"/>
            <w:vAlign w:val="center"/>
          </w:tcPr>
          <w:p>
            <w:pPr>
              <w:pStyle w:val="TableContents"/>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US Media</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Katie Gallagher</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LaVoie Health Science</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Phone: +1 617 792 3937</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Email: </w:t>
            </w:r>
            <w:r>
              <w:rPr>
                <w:rFonts w:ascii="Arial;Helvetica;Sans-Serif" w:hAnsi="Arial;Helvetica;Sans-Serif"/>
                <w:b w:val="false"/>
                <w:i w:val="false"/>
                <w:caps w:val="false"/>
                <w:smallCaps w:val="false"/>
                <w:color w:val="0000FF"/>
                <w:sz w:val="20"/>
                <w:u w:val="single"/>
              </w:rPr>
              <w:t>kgallagher@lavoiehealthscience.com </w:t>
            </w:r>
          </w:p>
        </w:tc>
      </w:tr>
      <w:tr>
        <w:trPr/>
        <w:tc>
          <w:tcPr>
            <w:tcW w:w="3410"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283"/>
              <w:rPr/>
            </w:pPr>
            <w:r>
              <w:rPr/>
              <w:t> </w:t>
            </w:r>
          </w:p>
        </w:tc>
      </w:tr>
      <w:tr>
        <w:trPr/>
        <w:tc>
          <w:tcPr>
            <w:tcW w:w="3410" w:type="dxa"/>
            <w:tcBorders/>
            <w:shd w:fill="auto" w:val="clear"/>
            <w:vAlign w:val="center"/>
          </w:tcPr>
          <w:p>
            <w:pPr>
              <w:pStyle w:val="TableContents"/>
              <w:spacing w:before="0" w:after="283"/>
              <w:jc w:val="left"/>
              <w:rPr/>
            </w:pPr>
            <w:r>
              <w:rPr/>
              <w:t> </w:t>
            </w:r>
          </w:p>
        </w:tc>
        <w:tc>
          <w:tcPr>
            <w:tcW w:w="3935" w:type="dxa"/>
            <w:tcBorders/>
            <w:shd w:fill="auto" w:val="clear"/>
            <w:vAlign w:val="center"/>
          </w:tcPr>
          <w:p>
            <w:pPr>
              <w:pStyle w:val="TableContents"/>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European Investors &amp; Media</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Chris Maggos</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LifeSci Advisors</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Phone: +41 79 367 6254</w:t>
            </w:r>
          </w:p>
          <w:p>
            <w:pPr>
              <w:pStyle w:val="TableContents"/>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Email: </w:t>
            </w:r>
            <w:r>
              <w:rPr>
                <w:rFonts w:ascii="Arial;Helvetica;Sans-Serif" w:hAnsi="Arial;Helvetica;Sans-Serif"/>
                <w:b w:val="false"/>
                <w:i w:val="false"/>
                <w:caps w:val="false"/>
                <w:smallCaps w:val="false"/>
                <w:color w:val="0000FF"/>
                <w:sz w:val="20"/>
                <w:u w:val="single"/>
              </w:rPr>
              <w:t>chris@lifesciadvisors.com</w:t>
            </w:r>
            <w:r>
              <w:rPr>
                <w:rFonts w:ascii="Arial;Helvetica;Sans-Serif" w:hAnsi="Arial;Helvetica;Sans-Serif"/>
                <w:b w:val="false"/>
                <w:i w:val="false"/>
                <w:caps w:val="false"/>
                <w:smallCaps w:val="false"/>
                <w:sz w:val="20"/>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 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right"/>
        <w:rPr>
          <w:rFonts w:ascii="Arial;Helvetica;Sans-Serif" w:hAnsi="Arial;Helvetica;Sans-Serif"/>
          <w:b w:val="false"/>
          <w:i w:val="false"/>
          <w:caps w:val="false"/>
          <w:smallCaps w:val="false"/>
          <w:sz w:val="18"/>
          <w:bdr w:val="single" w:sz="8" w:space="1" w:color="000000"/>
        </w:rPr>
      </w:pPr>
      <w:r>
        <w:rPr>
          <w:rFonts w:ascii="Arial;Helvetica;Sans-Serif" w:hAnsi="Arial;Helvetica;Sans-Serif"/>
          <w:b w:val="false"/>
          <w:i w:val="false"/>
          <w:caps w:val="false"/>
          <w:smallCaps w:val="false"/>
          <w:sz w:val="18"/>
          <w:bdr w:val="single" w:sz="8" w:space="1" w:color="000000"/>
        </w:rPr>
        <w:t>2 / 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283"/>
        <w:jc w:val="righ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1269</Words>
  <CharactersWithSpaces>8606</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