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May,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1900"/>
        <w:spacing w:after="0"/>
        <w:tabs>
          <w:tab w:leader="none" w:pos="3540" w:val="left"/>
          <w:tab w:leader="none" w:pos="55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14605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23495</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160"/>
        <w:spacing w:after="0"/>
        <w:tabs>
          <w:tab w:leader="none" w:pos="5780" w:val="left"/>
          <w:tab w:leader="none" w:pos="71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23495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14605</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160"/>
        <w:spacing w:after="0"/>
        <w:tabs>
          <w:tab w:leader="none" w:pos="5780" w:val="left"/>
          <w:tab w:leader="none" w:pos="71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23495</wp:posOffset>
            </wp:positionV>
            <wp:extent cx="557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14605</wp:posOffset>
            </wp:positionV>
            <wp:extent cx="548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4500" w:type="dxa"/>
            <w:vAlign w:val="bottom"/>
          </w:tcPr>
          <w:p>
            <w:pPr>
              <w:spacing w:after="0"/>
              <w:rPr>
                <w:sz w:val="20"/>
                <w:szCs w:val="20"/>
                <w:color w:val="auto"/>
              </w:rPr>
            </w:pP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86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1166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6"/>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24"/>
                <w:szCs w:val="24"/>
                <w:color w:val="auto"/>
              </w:rPr>
            </w:pPr>
          </w:p>
        </w:tc>
        <w:tc>
          <w:tcPr>
            <w:tcW w:w="10600" w:type="dxa"/>
            <w:vAlign w:val="bottom"/>
            <w:vMerge w:val="restart"/>
          </w:tcPr>
          <w:p>
            <w:pPr>
              <w:ind w:left="4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Interim Condensed Financial Statements (Unaudited) (IFRS) as of and for the Three Months Ended March 31, 2018</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Interim Condensed Financial</w:t>
      </w:r>
    </w:p>
    <w:p>
      <w:pPr>
        <w:spacing w:after="0" w:line="32" w:lineRule="exact"/>
        <w:rPr>
          <w:sz w:val="20"/>
          <w:szCs w:val="20"/>
          <w:color w:val="auto"/>
        </w:rPr>
      </w:pPr>
    </w:p>
    <w:p>
      <w:pPr>
        <w:ind w:right="960"/>
        <w:spacing w:after="0" w:line="239" w:lineRule="auto"/>
        <w:rPr>
          <w:sz w:val="20"/>
          <w:szCs w:val="20"/>
          <w:color w:val="auto"/>
        </w:rPr>
      </w:pPr>
      <w:r>
        <w:rPr>
          <w:rFonts w:ascii="Arial" w:cs="Arial" w:eastAsia="Arial" w:hAnsi="Arial"/>
          <w:sz w:val="40"/>
          <w:szCs w:val="40"/>
          <w:b w:val="1"/>
          <w:bCs w:val="1"/>
          <w:color w:val="auto"/>
        </w:rPr>
        <w:t>Statements (Unaudited) (IFRS) as of and for the three months ended March 31, 2018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Balance Sheets</w:t>
      </w:r>
    </w:p>
    <w:p>
      <w:pPr>
        <w:spacing w:after="0" w:line="208" w:lineRule="exact"/>
        <w:rPr>
          <w:sz w:val="20"/>
          <w:szCs w:val="20"/>
          <w:color w:val="auto"/>
        </w:rPr>
      </w:pPr>
    </w:p>
    <w:tbl>
      <w:tblPr>
        <w:tblLayout w:type="fixed"/>
        <w:tblInd w:w="82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220" w:type="dxa"/>
            <w:vAlign w:val="bottom"/>
          </w:tcPr>
          <w:p>
            <w:pPr>
              <w:ind w:left="500"/>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As of December</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Notes</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78"/>
        </w:trPr>
        <w:tc>
          <w:tcPr>
            <w:tcW w:w="720" w:type="dxa"/>
            <w:vAlign w:val="bottom"/>
            <w:vMerge w:val="continue"/>
          </w:tcPr>
          <w:p>
            <w:pPr>
              <w:spacing w:after="0"/>
              <w:rPr>
                <w:sz w:val="15"/>
                <w:szCs w:val="15"/>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-3810</wp:posOffset>
            </wp:positionV>
            <wp:extent cx="2306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4"/>
          <w:szCs w:val="14"/>
          <w:color w:val="auto"/>
        </w:rPr>
        <w:t>in CHF thousands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420"/>
          </w:cols>
          <w:pgMar w:left="240" w:top="472"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5</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30"/>
        </w:trPr>
        <w:tc>
          <w:tcPr>
            <w:tcW w:w="76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10"/>
        </w:trPr>
        <w:tc>
          <w:tcPr>
            <w:tcW w:w="76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3,564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-574040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-299720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00" w:space="720"/>
            <w:col w:w="3100"/>
          </w:cols>
          <w:pgMar w:left="240" w:top="47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100" w:type="dxa"/>
            <w:vAlign w:val="bottom"/>
            <w:shd w:val="clear" w:color="auto" w:fill="D5EAEA"/>
          </w:tcPr>
          <w:p>
            <w:pPr>
              <w:spacing w:after="0"/>
              <w:rPr>
                <w:sz w:val="17"/>
                <w:szCs w:val="17"/>
                <w:color w:val="auto"/>
              </w:rPr>
            </w:pPr>
          </w:p>
        </w:tc>
        <w:tc>
          <w:tcPr>
            <w:tcW w:w="2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2960" w:type="dxa"/>
            <w:vAlign w:val="bottom"/>
            <w:shd w:val="clear" w:color="auto" w:fill="D5EAEA"/>
          </w:tcPr>
          <w:p>
            <w:pPr>
              <w:jc w:val="right"/>
              <w:ind w:right="57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Accrued income</w:t>
            </w:r>
          </w:p>
        </w:tc>
        <w:tc>
          <w:tcPr>
            <w:tcW w:w="29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Finance receivable</w:t>
            </w:r>
          </w:p>
        </w:tc>
        <w:tc>
          <w:tcPr>
            <w:tcW w:w="2960" w:type="dxa"/>
            <w:vAlign w:val="bottom"/>
            <w:shd w:val="clear" w:color="auto" w:fill="D5EAEA"/>
          </w:tcPr>
          <w:p>
            <w:pPr>
              <w:jc w:val="right"/>
              <w:ind w:right="570"/>
              <w:spacing w:after="0"/>
              <w:rPr>
                <w:sz w:val="20"/>
                <w:szCs w:val="20"/>
                <w:color w:val="auto"/>
              </w:rPr>
            </w:pPr>
            <w:r>
              <w:rPr>
                <w:rFonts w:ascii="Arial" w:cs="Arial" w:eastAsia="Arial" w:hAnsi="Arial"/>
                <w:sz w:val="18"/>
                <w:szCs w:val="18"/>
                <w:color w:val="auto"/>
              </w:rPr>
              <w:t>7</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2960" w:type="dxa"/>
            <w:vAlign w:val="bottom"/>
          </w:tcPr>
          <w:p>
            <w:pPr>
              <w:jc w:val="right"/>
              <w:ind w:right="57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109,669</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96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116,450</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120,014</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Share capital</w:t>
            </w:r>
          </w:p>
        </w:tc>
        <w:tc>
          <w:tcPr>
            <w:tcW w:w="29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Share premium</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188,357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188,299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296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(83,676)</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296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105,828</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116,839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Accrued interest – long-term</w:t>
            </w:r>
          </w:p>
        </w:tc>
        <w:tc>
          <w:tcPr>
            <w:tcW w:w="296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financing obligation</w:t>
            </w:r>
          </w:p>
        </w:tc>
        <w:tc>
          <w:tcPr>
            <w:tcW w:w="2960" w:type="dxa"/>
            <w:vAlign w:val="bottom"/>
            <w:shd w:val="clear" w:color="auto" w:fill="D5EAEA"/>
          </w:tcPr>
          <w:p>
            <w:pPr>
              <w:jc w:val="right"/>
              <w:ind w:right="570"/>
              <w:spacing w:after="0"/>
              <w:rPr>
                <w:sz w:val="20"/>
                <w:szCs w:val="20"/>
                <w:color w:val="auto"/>
              </w:rPr>
            </w:pPr>
            <w:r>
              <w:rPr>
                <w:rFonts w:ascii="Arial" w:cs="Arial" w:eastAsia="Arial" w:hAnsi="Arial"/>
                <w:sz w:val="18"/>
                <w:szCs w:val="18"/>
                <w:color w:val="auto"/>
              </w:rPr>
              <w:t>7</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employee defined benefit liabilities</w:t>
            </w:r>
          </w:p>
        </w:tc>
        <w:tc>
          <w:tcPr>
            <w:tcW w:w="296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296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5,608</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5,420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9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296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Deferred income</w:t>
            </w:r>
          </w:p>
        </w:tc>
        <w:tc>
          <w:tcPr>
            <w:tcW w:w="296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296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8,578</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14,186</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296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120,014</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Statement of Income/(Loss)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Notes</w:t>
            </w:r>
          </w:p>
        </w:tc>
        <w:tc>
          <w:tcPr>
            <w:tcW w:w="23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6"/>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in CHF thousands except for share and per share data</w:t>
            </w:r>
          </w:p>
        </w:tc>
        <w:tc>
          <w:tcPr>
            <w:tcW w:w="1300" w:type="dxa"/>
            <w:vAlign w:val="bottom"/>
            <w:gridSpan w:val="2"/>
            <w:vMerge w:val="continue"/>
          </w:tcPr>
          <w:p>
            <w:pPr>
              <w:spacing w:after="0"/>
              <w:rPr>
                <w:sz w:val="13"/>
                <w:szCs w:val="13"/>
                <w:color w:val="auto"/>
              </w:rPr>
            </w:pPr>
          </w:p>
        </w:tc>
        <w:tc>
          <w:tcPr>
            <w:tcW w:w="11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2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24"/>
        </w:trPr>
        <w:tc>
          <w:tcPr>
            <w:tcW w:w="7780" w:type="dxa"/>
            <w:vAlign w:val="bottom"/>
            <w:gridSpan w:val="2"/>
            <w:vMerge w:val="continue"/>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3"/>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116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1,458</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&amp; administrative expenses</w:t>
            </w:r>
          </w:p>
        </w:tc>
        <w:tc>
          <w:tcPr>
            <w:tcW w:w="1160" w:type="dxa"/>
            <w:vAlign w:val="bottom"/>
            <w:tcBorders>
              <w:bottom w:val="single" w:sz="8" w:color="D5EAEA"/>
            </w:tcBorders>
          </w:tcPr>
          <w:p>
            <w:pPr>
              <w:spacing w:after="0"/>
              <w:rPr>
                <w:sz w:val="19"/>
                <w:szCs w:val="19"/>
                <w:color w:val="auto"/>
              </w:rPr>
            </w:pPr>
          </w:p>
        </w:tc>
        <w:tc>
          <w:tcPr>
            <w:tcW w:w="14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(12,780)</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(11,322)</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D5EAEA"/>
            </w:tcBorders>
          </w:tcPr>
          <w:p>
            <w:pPr>
              <w:spacing w:after="0"/>
              <w:rPr>
                <w:sz w:val="19"/>
                <w:szCs w:val="19"/>
                <w:color w:val="auto"/>
              </w:rPr>
            </w:pPr>
          </w:p>
        </w:tc>
        <w:tc>
          <w:tcPr>
            <w:tcW w:w="14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160" w:type="dxa"/>
            <w:vAlign w:val="bottom"/>
            <w:shd w:val="clear" w:color="auto" w:fill="D5EAEA"/>
          </w:tcPr>
          <w:p>
            <w:pPr>
              <w:jc w:val="center"/>
              <w:spacing w:after="0"/>
              <w:rPr>
                <w:sz w:val="20"/>
                <w:szCs w:val="20"/>
                <w:color w:val="auto"/>
              </w:rPr>
            </w:pPr>
            <w:r>
              <w:rPr>
                <w:rFonts w:ascii="Arial" w:cs="Arial" w:eastAsia="Arial" w:hAnsi="Arial"/>
                <w:sz w:val="18"/>
                <w:szCs w:val="18"/>
                <w:b w:val="1"/>
                <w:bCs w:val="1"/>
                <w:color w:val="auto"/>
                <w:w w:val="99"/>
              </w:rPr>
              <w:t>9</w:t>
            </w:r>
          </w:p>
        </w:tc>
        <w:tc>
          <w:tcPr>
            <w:tcW w:w="14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 before tax</w:t>
            </w:r>
          </w:p>
        </w:tc>
        <w:tc>
          <w:tcPr>
            <w:tcW w:w="1160" w:type="dxa"/>
            <w:vAlign w:val="bottom"/>
            <w:shd w:val="clear" w:color="auto" w:fill="D5EAEA"/>
          </w:tcPr>
          <w:p>
            <w:pPr>
              <w:spacing w:after="0"/>
              <w:rPr>
                <w:sz w:val="19"/>
                <w:szCs w:val="19"/>
                <w:color w:val="auto"/>
              </w:rPr>
            </w:pPr>
          </w:p>
        </w:tc>
        <w:tc>
          <w:tcPr>
            <w:tcW w:w="14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(11,614)</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 tax expense</w:t>
            </w:r>
          </w:p>
        </w:tc>
        <w:tc>
          <w:tcPr>
            <w:tcW w:w="116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11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(11,614)</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Loss per share (EPS):</w:t>
            </w:r>
          </w:p>
        </w:tc>
        <w:tc>
          <w:tcPr>
            <w:tcW w:w="34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120"/>
        <w:spacing w:after="0" w:line="323" w:lineRule="auto"/>
        <w:rPr>
          <w:sz w:val="20"/>
          <w:szCs w:val="20"/>
          <w:color w:val="auto"/>
        </w:rPr>
      </w:pPr>
      <w:r>
        <w:rPr>
          <w:rFonts w:ascii="Arial" w:cs="Arial" w:eastAsia="Arial" w:hAnsi="Arial"/>
          <w:sz w:val="16"/>
          <w:szCs w:val="16"/>
          <w:color w:val="auto"/>
        </w:rPr>
        <w:t>Basic and diluted loss for the period attributable to equity holders Weighted-average number of shares used to compute EPS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659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for the period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Re-measurement losses on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(0.20)</w:t>
      </w:r>
      <w:r>
        <w:rPr>
          <w:sz w:val="20"/>
          <w:szCs w:val="20"/>
          <w:color w:val="auto"/>
        </w:rPr>
        <w:tab/>
      </w:r>
      <w:r>
        <w:rPr>
          <w:rFonts w:ascii="Arial" w:cs="Arial" w:eastAsia="Arial" w:hAnsi="Arial"/>
          <w:sz w:val="16"/>
          <w:szCs w:val="16"/>
          <w:color w:val="auto"/>
        </w:rPr>
        <w:t>(0.17)</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57,368,015</w:t>
      </w:r>
      <w:r>
        <w:rPr>
          <w:sz w:val="20"/>
          <w:szCs w:val="20"/>
          <w:color w:val="auto"/>
        </w:rPr>
        <w:tab/>
      </w:r>
      <w:r>
        <w:rPr>
          <w:rFonts w:ascii="Arial" w:cs="Arial" w:eastAsia="Arial" w:hAnsi="Arial"/>
          <w:sz w:val="17"/>
          <w:szCs w:val="17"/>
          <w:color w:val="auto"/>
        </w:rPr>
        <w:t>56,855,987</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-3175</wp:posOffset>
            </wp:positionV>
            <wp:extent cx="1509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-3175</wp:posOffset>
            </wp:positionV>
            <wp:extent cx="15093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18" w:lineRule="exact"/>
        <w:rPr>
          <w:sz w:val="20"/>
          <w:szCs w:val="20"/>
          <w:color w:val="auto"/>
        </w:rPr>
      </w:pPr>
    </w:p>
    <w:p>
      <w:pPr>
        <w:jc w:val="both"/>
        <w:ind w:left="260"/>
        <w:spacing w:after="0"/>
        <w:tabs>
          <w:tab w:leader="none" w:pos="1540" w:val="left"/>
        </w:tabs>
        <w:rPr>
          <w:sz w:val="20"/>
          <w:szCs w:val="20"/>
          <w:color w:val="auto"/>
        </w:rPr>
      </w:pPr>
      <w:r>
        <w:rPr>
          <w:rFonts w:ascii="Arial" w:cs="Arial" w:eastAsia="Arial" w:hAnsi="Arial"/>
          <w:sz w:val="18"/>
          <w:szCs w:val="18"/>
          <w:b w:val="1"/>
          <w:bCs w:val="1"/>
          <w:color w:val="auto"/>
        </w:rPr>
        <w:t>(11,614)</w:t>
      </w:r>
      <w:r>
        <w:rPr>
          <w:sz w:val="20"/>
          <w:szCs w:val="20"/>
          <w:color w:val="auto"/>
        </w:rPr>
        <w:tab/>
      </w:r>
      <w:r>
        <w:rPr>
          <w:rFonts w:ascii="Arial" w:cs="Arial" w:eastAsia="Arial" w:hAnsi="Arial"/>
          <w:sz w:val="18"/>
          <w:szCs w:val="18"/>
          <w:b w:val="1"/>
          <w:bCs w:val="1"/>
          <w:color w:val="auto"/>
        </w:rPr>
        <w:t>(9,455)</w:t>
      </w:r>
    </w:p>
    <w:p>
      <w:pPr>
        <w:spacing w:after="0" w:line="243" w:lineRule="exact"/>
        <w:rPr>
          <w:sz w:val="20"/>
          <w:szCs w:val="20"/>
          <w:color w:val="auto"/>
        </w:rPr>
      </w:pPr>
    </w:p>
    <w:p>
      <w:pPr>
        <w:ind w:left="740"/>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14605</wp:posOffset>
            </wp:positionV>
            <wp:extent cx="1509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2" w:lineRule="exact"/>
        <w:rPr>
          <w:sz w:val="20"/>
          <w:szCs w:val="20"/>
          <w:color w:val="auto"/>
        </w:rPr>
      </w:pPr>
    </w:p>
    <w:p>
      <w:pPr>
        <w:jc w:val="both"/>
        <w:ind w:left="260"/>
        <w:spacing w:after="0"/>
        <w:tabs>
          <w:tab w:leader="none" w:pos="1540" w:val="left"/>
        </w:tabs>
        <w:rPr>
          <w:sz w:val="20"/>
          <w:szCs w:val="20"/>
          <w:color w:val="auto"/>
        </w:rPr>
      </w:pPr>
      <w:r>
        <w:rPr>
          <w:rFonts w:ascii="Arial" w:cs="Arial" w:eastAsia="Arial" w:hAnsi="Arial"/>
          <w:sz w:val="18"/>
          <w:szCs w:val="18"/>
          <w:b w:val="1"/>
          <w:bCs w:val="1"/>
          <w:color w:val="auto"/>
        </w:rPr>
        <w:t>(11,614)</w:t>
      </w:r>
      <w:r>
        <w:rPr>
          <w:sz w:val="20"/>
          <w:szCs w:val="20"/>
          <w:color w:val="auto"/>
        </w:rPr>
        <w:tab/>
      </w:r>
      <w:r>
        <w:rPr>
          <w:rFonts w:ascii="Arial" w:cs="Arial" w:eastAsia="Arial" w:hAnsi="Arial"/>
          <w:sz w:val="18"/>
          <w:szCs w:val="18"/>
          <w:b w:val="1"/>
          <w:bCs w:val="1"/>
          <w:color w:val="auto"/>
        </w:rPr>
        <w:t>(9,455)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17145</wp:posOffset>
            </wp:positionV>
            <wp:extent cx="15093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904" w:right="239" w:bottom="1440" w:gutter="0" w:footer="0" w:header="0"/>
          <w:type w:val="continuous"/>
        </w:sect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Statements of Changes in Equity</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in CHF thousands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January 1,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1,135</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188,166</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(46,921)</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142,380</w:t>
            </w:r>
          </w:p>
        </w:tc>
        <w:tc>
          <w:tcPr>
            <w:tcW w:w="0" w:type="dxa"/>
            <w:vAlign w:val="bottom"/>
          </w:tcPr>
          <w:p>
            <w:pPr>
              <w:spacing w:after="0"/>
              <w:rPr>
                <w:sz w:val="1"/>
                <w:szCs w:val="1"/>
                <w:color w:val="auto"/>
              </w:rPr>
            </w:pPr>
          </w:p>
        </w:tc>
      </w:tr>
      <w:tr>
        <w:trPr>
          <w:trHeight w:val="209"/>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-591185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-299720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20" w:space="720"/>
            <w:col w:w="48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54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30"/>
        </w:trPr>
        <w:tc>
          <w:tcPr>
            <w:tcW w:w="654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as of March 31, 2017</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188,191</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(56,276)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133,054</w:t>
            </w:r>
          </w:p>
        </w:tc>
      </w:tr>
      <w:tr>
        <w:trPr>
          <w:trHeight w:val="20"/>
        </w:trPr>
        <w:tc>
          <w:tcPr>
            <w:tcW w:w="6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in CHF thousands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January 1, 2018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188,299</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116,839</w:t>
            </w:r>
          </w:p>
        </w:tc>
        <w:tc>
          <w:tcPr>
            <w:tcW w:w="0" w:type="dxa"/>
            <w:vAlign w:val="bottom"/>
          </w:tcPr>
          <w:p>
            <w:pPr>
              <w:spacing w:after="0"/>
              <w:rPr>
                <w:sz w:val="1"/>
                <w:szCs w:val="1"/>
                <w:color w:val="auto"/>
              </w:rPr>
            </w:pPr>
          </w:p>
        </w:tc>
      </w:tr>
      <w:tr>
        <w:trPr>
          <w:trHeight w:val="209"/>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-591185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-299720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20" w:space="720"/>
            <w:col w:w="48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54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16"/>
        </w:trPr>
        <w:tc>
          <w:tcPr>
            <w:tcW w:w="654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654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as of March 31, 2018</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188,357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105,828</w:t>
            </w:r>
          </w:p>
        </w:tc>
      </w:tr>
      <w:tr>
        <w:trPr>
          <w:trHeight w:val="20"/>
        </w:trPr>
        <w:tc>
          <w:tcPr>
            <w:tcW w:w="6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Statements of Cash Flows</w:t>
      </w:r>
    </w:p>
    <w:p>
      <w:pPr>
        <w:spacing w:after="0" w:line="221"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For the Three Months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71"/>
              <w:spacing w:after="0" w:line="159"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6"/>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CHF thousands</w:t>
            </w:r>
          </w:p>
        </w:tc>
        <w:tc>
          <w:tcPr>
            <w:tcW w:w="11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Finance result, net</w:t>
            </w:r>
          </w:p>
        </w:tc>
        <w:tc>
          <w:tcPr>
            <w:tcW w:w="1160" w:type="dxa"/>
            <w:vAlign w:val="bottom"/>
            <w:shd w:val="clear" w:color="auto" w:fill="D5EAEA"/>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Changes in pensions</w:t>
            </w:r>
          </w:p>
        </w:tc>
        <w:tc>
          <w:tcPr>
            <w:tcW w:w="1160" w:type="dxa"/>
            <w:vAlign w:val="bottom"/>
            <w:shd w:val="clear" w:color="auto" w:fill="D5EAEA"/>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Accrued interest on long-term debt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1160" w:type="dxa"/>
            <w:vAlign w:val="bottom"/>
            <w:shd w:val="clear" w:color="auto" w:fill="D5EAEA"/>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116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(Decrease) of deferred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Increase / (decrease) trade and other payables</w:t>
            </w:r>
          </w:p>
        </w:tc>
        <w:tc>
          <w:tcPr>
            <w:tcW w:w="1160" w:type="dxa"/>
            <w:vAlign w:val="bottom"/>
            <w:tcBorders>
              <w:bottom w:val="single" w:sz="8" w:color="auto"/>
            </w:tcBorders>
            <w:shd w:val="clear" w:color="auto" w:fill="D5EAEA"/>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D5EAEA"/>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(costs)/income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(13,347)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(11,884)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Rent deposit</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(1,160)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1160" w:type="dxa"/>
            <w:vAlign w:val="bottom"/>
            <w:tcBorders>
              <w:bottom w:val="single" w:sz="8" w:color="auto"/>
            </w:tcBorders>
            <w:shd w:val="clear" w:color="auto" w:fill="D5EAEA"/>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(14,506)</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rPr>
          <w:sz w:val="20"/>
          <w:szCs w:val="20"/>
          <w:color w:val="auto"/>
        </w:rPr>
      </w:pPr>
      <w:r>
        <w:rPr>
          <w:rFonts w:ascii="Arial" w:cs="Arial" w:eastAsia="Arial" w:hAnsi="Arial"/>
          <w:sz w:val="17"/>
          <w:szCs w:val="17"/>
          <w:color w:val="auto"/>
        </w:rPr>
        <w:t>Cash and cash equivalents at January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loss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March 31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Arial" w:cs="Arial" w:eastAsia="Arial" w:hAnsi="Arial"/>
          <w:sz w:val="18"/>
          <w:szCs w:val="18"/>
          <w:color w:val="auto"/>
        </w:rPr>
        <w:t>124,377</w:t>
      </w:r>
      <w:r>
        <w:rPr>
          <w:sz w:val="20"/>
          <w:szCs w:val="20"/>
          <w:color w:val="auto"/>
        </w:rPr>
        <w:tab/>
      </w:r>
      <w:r>
        <w:rPr>
          <w:rFonts w:ascii="Arial" w:cs="Arial" w:eastAsia="Arial" w:hAnsi="Arial"/>
          <w:sz w:val="18"/>
          <w:szCs w:val="18"/>
          <w:color w:val="auto"/>
        </w:rPr>
        <w:t>152,210</w:t>
      </w:r>
    </w:p>
    <w:p>
      <w:pPr>
        <w:spacing w:after="0" w:line="9" w:lineRule="exact"/>
        <w:rPr>
          <w:sz w:val="20"/>
          <w:szCs w:val="20"/>
          <w:color w:val="auto"/>
        </w:rPr>
      </w:pPr>
    </w:p>
    <w:p>
      <w:pPr>
        <w:ind w:left="1340" w:hanging="1087"/>
        <w:spacing w:after="0"/>
        <w:tabs>
          <w:tab w:leader="none" w:pos="1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(1,630)</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109,669</w:t>
      </w:r>
      <w:r>
        <w:rPr>
          <w:rFonts w:ascii="Arial" w:cs="Arial" w:eastAsia="Arial" w:hAnsi="Arial"/>
          <w:sz w:val="16"/>
          <w:szCs w:val="16"/>
          <w:color w:val="auto"/>
        </w:rPr>
        <w:t>138,084</w:t>
      </w:r>
    </w:p>
    <w:p>
      <w:pPr>
        <w:spacing w:after="0" w:line="31"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8"/>
          <w:szCs w:val="18"/>
          <w:b w:val="1"/>
          <w:bCs w:val="1"/>
          <w:color w:val="auto"/>
        </w:rPr>
        <w:t>(14,506)</w:t>
      </w:r>
      <w:r>
        <w:rPr>
          <w:rFonts w:ascii="Arial" w:cs="Arial" w:eastAsia="Arial" w:hAnsi="Arial"/>
          <w:sz w:val="16"/>
          <w:szCs w:val="16"/>
          <w:b w:val="1"/>
          <w:bCs w:val="1"/>
          <w:color w:val="auto"/>
        </w:rPr>
        <w:t>(12,496)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34290</wp:posOffset>
            </wp:positionV>
            <wp:extent cx="15093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0" w:space="720"/>
            <w:col w:w="1920"/>
          </w:cols>
          <w:pgMar w:left="240" w:top="688"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non-cash increase to long-term financing obligation totaling CHF 48 thousand was recognized in the Balance Sheet with a corresponding increase to finance receivable. Please see Note 7 for further discussion. Furthermore, the acquisition of CHF 122 thousand of property, plant and equipment purchases was non-cash and recorded within Trade and other payables and Accrued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months ended March 31, 2018 were authorized for issuance by the Company’s Audit Committee on April 26, 2018.</w:t>
      </w:r>
    </w:p>
    <w:p>
      <w:pPr>
        <w:spacing w:after="0" w:line="166" w:lineRule="exact"/>
        <w:rPr>
          <w:sz w:val="20"/>
          <w:szCs w:val="20"/>
          <w:color w:val="auto"/>
        </w:rPr>
      </w:pPr>
    </w:p>
    <w:p>
      <w:pPr>
        <w:ind w:right="5640" w:firstLine="8"/>
        <w:spacing w:after="0" w:line="503"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months ended March 31, 2018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2017,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Effective January 1, 2018, the Company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without though deeming any adjustments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contract revenue, see Note 3, “Revenues.”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Non-vested Shares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licensing and collaboration agreements, (ii) clinical development accruals, (iii) net employee defined benefit liability,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Consistent with prior years, the Company has not recognized any deferred tax assets relating to tax losses available as the recognition criteria have not been met at the balance sheet date.</w:t>
      </w:r>
    </w:p>
    <w:p>
      <w:pPr>
        <w:spacing w:after="0" w:line="187"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estimated tax expense for the three months ended March 31, 2018 is zero. The estimated tax expense is based on the best estimate of the weighted average annual income tax rate expected for the full financial year to December 31, 2018. As we expect to incur a loss for the full year, we do not anticipate any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2017, except for the adoption of new standards and interpretations effective as of January 1, 2018. The Company has not adopted any other standard, interpretation or amendment that has been issued but is not yet effective.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ind w:right="680" w:firstLine="324"/>
        <w:spacing w:after="0" w:line="277" w:lineRule="auto"/>
        <w:rPr>
          <w:sz w:val="20"/>
          <w:szCs w:val="20"/>
          <w:color w:val="auto"/>
        </w:rPr>
      </w:pPr>
      <w:r>
        <w:rPr>
          <w:rFonts w:ascii="Arial" w:cs="Arial" w:eastAsia="Arial" w:hAnsi="Arial"/>
          <w:sz w:val="18"/>
          <w:szCs w:val="18"/>
          <w:color w:val="auto"/>
        </w:rPr>
        <w:t>The following pronouncements from the IASB will become effective for future financial reporting periods and have not yet been adopted by AC Immune.</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provides a new model for lessee accounting in which all leases, other than short-term and small-ticket-item leases, will be accounted for by the recognition on the balance sheet of a right-to-use asset and a lease liability, and the subsequent amortization of the right-to-use asset over the lease term. IFRS 16 will be effective for annual periods beginning on or after January 1, 2019 with early adoption permitted. AC Immune is currently assessing the impact of this standard on its financial statements and intends to adopt this standard as of the effective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recently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May 2014, the International Accounting Standards Board (IASB) issued IFRS 15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 </w:t>
      </w:r>
      <w:r>
        <w:rPr>
          <w:rFonts w:ascii="Arial" w:cs="Arial" w:eastAsia="Arial" w:hAnsi="Arial"/>
          <w:sz w:val="18"/>
          <w:szCs w:val="18"/>
          <w:i w:val="1"/>
          <w:iCs w:val="1"/>
          <w:color w:val="auto"/>
        </w:rPr>
        <w:t>Construction Contracts</w:t>
      </w:r>
      <w:r>
        <w:rPr>
          <w:rFonts w:ascii="Arial" w:cs="Arial" w:eastAsia="Arial" w:hAnsi="Arial"/>
          <w:sz w:val="18"/>
          <w:szCs w:val="18"/>
          <w:color w:val="auto"/>
        </w:rPr>
        <w:t>, IAS 18 –</w:t>
      </w:r>
      <w:r>
        <w:rPr>
          <w:rFonts w:ascii="Arial" w:cs="Arial" w:eastAsia="Arial" w:hAnsi="Arial"/>
          <w:sz w:val="18"/>
          <w:szCs w:val="18"/>
          <w:i w:val="1"/>
          <w:iCs w:val="1"/>
          <w:color w:val="auto"/>
        </w:rPr>
        <w:t xml:space="preserve"> Revenue </w:t>
      </w:r>
      <w:r>
        <w:rPr>
          <w:rFonts w:ascii="Arial" w:cs="Arial" w:eastAsia="Arial" w:hAnsi="Arial"/>
          <w:sz w:val="18"/>
          <w:szCs w:val="18"/>
          <w:color w:val="auto"/>
        </w:rPr>
        <w:t>and various interpretations. The Company adopted this new standard on January 1, 2018, and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 cumulative effect of initially applying the new revenue standard as an adjustment to the opening balance of accumulated losses; however, the Company did not deem any adjustments required in the transition to the new standard. The comparative information has not been restated and continues to be reported under the accounting standards in effect for those periods. We expect the impact of the adoption of the new standard to be immaterial to our net loss on an ongoing basis.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9 Financial Instruments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supersedes IAS 39 </w:t>
      </w:r>
      <w:r>
        <w:rPr>
          <w:rFonts w:ascii="Arial" w:cs="Arial" w:eastAsia="Arial" w:hAnsi="Arial"/>
          <w:sz w:val="18"/>
          <w:szCs w:val="18"/>
          <w:i w:val="1"/>
          <w:iCs w:val="1"/>
          <w:color w:val="auto"/>
        </w:rPr>
        <w:t>Financial Instruments: Recognition and Measurement</w:t>
      </w:r>
      <w:r>
        <w:rPr>
          <w:rFonts w:ascii="Arial" w:cs="Arial" w:eastAsia="Arial" w:hAnsi="Arial"/>
          <w:sz w:val="18"/>
          <w:szCs w:val="18"/>
          <w:color w:val="auto"/>
        </w:rPr>
        <w:t xml:space="preserve"> and was adopted by the Company on January 1, 2018. IFRS 9 covers classification and measurement of financial assets and financial liabilities, impairment of financial assets and hedge accounting. The Company noted no impact to its financial statements upon adoption of this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March 31, 2018, hence, the unaudited interim condensed financial statements have been prepared on a going concern basis.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the proceeds of its initial public offering and share issuances, and revenues from collaboration agreements. AC Immune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AC Immune generated revenues of CHF 1.5 million in the three months ended March 31, 2018 a decrease of CHF 0.5 million over the comparable period in 2017.</w:t>
      </w:r>
    </w:p>
    <w:p>
      <w:pPr>
        <w:spacing w:after="0" w:line="162"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For the Three Months</w:t>
      </w:r>
    </w:p>
    <w:tbl>
      <w:tblPr>
        <w:tblLayout w:type="fixed"/>
        <w:tblInd w:w="0" w:type="dxa"/>
        <w:tblCellMar>
          <w:top w:w="0" w:type="dxa"/>
          <w:left w:w="0" w:type="dxa"/>
          <w:bottom w:w="0" w:type="dxa"/>
          <w:right w:w="0" w:type="dxa"/>
        </w:tblCellMar>
      </w:tblPr>
      <w:tr>
        <w:trPr>
          <w:trHeight w:val="159"/>
        </w:trPr>
        <w:tc>
          <w:tcPr>
            <w:tcW w:w="40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96"/>
              <w:spacing w:after="0" w:line="159" w:lineRule="exact"/>
              <w:rPr>
                <w:sz w:val="20"/>
                <w:szCs w:val="20"/>
                <w:color w:val="auto"/>
              </w:rPr>
            </w:pPr>
            <w:r>
              <w:rPr>
                <w:rFonts w:ascii="Arial" w:cs="Arial" w:eastAsia="Arial" w:hAnsi="Arial"/>
                <w:sz w:val="14"/>
                <w:szCs w:val="14"/>
                <w:b w:val="1"/>
                <w:bCs w:val="1"/>
                <w:color w:val="auto"/>
              </w:rPr>
              <w:t>ended March 31,</w:t>
            </w:r>
          </w:p>
        </w:tc>
      </w:tr>
      <w:tr>
        <w:trPr>
          <w:trHeight w:val="210"/>
        </w:trPr>
        <w:tc>
          <w:tcPr>
            <w:tcW w:w="40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10"/>
        </w:trPr>
        <w:tc>
          <w:tcPr>
            <w:tcW w:w="9040" w:type="dxa"/>
            <w:vAlign w:val="bottom"/>
            <w:gridSpan w:val="2"/>
          </w:tcPr>
          <w:p>
            <w:pPr>
              <w:spacing w:after="0"/>
              <w:rPr>
                <w:sz w:val="20"/>
                <w:szCs w:val="20"/>
                <w:color w:val="auto"/>
              </w:rPr>
            </w:pPr>
            <w:r>
              <w:rPr>
                <w:rFonts w:ascii="Arial" w:cs="Arial" w:eastAsia="Arial" w:hAnsi="Arial"/>
                <w:sz w:val="14"/>
                <w:szCs w:val="14"/>
                <w:color w:val="auto"/>
              </w:rPr>
              <w:t>in CHF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90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60" w:type="dxa"/>
            <w:vAlign w:val="bottom"/>
            <w:tcBorders>
              <w:bottom w:val="single" w:sz="8" w:color="auto"/>
            </w:tcBorders>
            <w:shd w:val="clear" w:color="auto" w:fill="D5EAEA"/>
          </w:tcPr>
          <w:p>
            <w:pPr>
              <w:jc w:val="right"/>
              <w:ind w:right="39"/>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6"/>
              <w:spacing w:after="0"/>
              <w:rPr>
                <w:sz w:val="20"/>
                <w:szCs w:val="20"/>
                <w:color w:val="auto"/>
              </w:rPr>
            </w:pPr>
            <w:r>
              <w:rPr>
                <w:rFonts w:ascii="Arial" w:cs="Arial" w:eastAsia="Arial" w:hAnsi="Arial"/>
                <w:sz w:val="18"/>
                <w:szCs w:val="18"/>
                <w:color w:val="auto"/>
              </w:rPr>
              <w:t>2,006</w:t>
            </w:r>
          </w:p>
        </w:tc>
      </w:tr>
      <w:tr>
        <w:trPr>
          <w:trHeight w:val="263"/>
        </w:trPr>
        <w:tc>
          <w:tcPr>
            <w:tcW w:w="90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2,006</w:t>
            </w:r>
          </w:p>
        </w:tc>
      </w:tr>
      <w:tr>
        <w:trPr>
          <w:trHeight w:val="197"/>
        </w:trPr>
        <w:tc>
          <w:tcPr>
            <w:tcW w:w="400" w:type="dxa"/>
            <w:vAlign w:val="bottom"/>
            <w:shd w:val="clear" w:color="auto" w:fill="D5EAEA"/>
          </w:tcPr>
          <w:p>
            <w:pPr>
              <w:spacing w:after="0"/>
              <w:rPr>
                <w:sz w:val="17"/>
                <w:szCs w:val="17"/>
                <w:color w:val="auto"/>
              </w:rPr>
            </w:pPr>
          </w:p>
        </w:tc>
        <w:tc>
          <w:tcPr>
            <w:tcW w:w="864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640" w:type="dxa"/>
            <w:vAlign w:val="bottom"/>
          </w:tcPr>
          <w:p>
            <w:pPr>
              <w:ind w:left="140"/>
              <w:spacing w:after="0"/>
              <w:rPr>
                <w:sz w:val="20"/>
                <w:szCs w:val="20"/>
                <w:color w:val="auto"/>
              </w:rPr>
            </w:pPr>
            <w:r>
              <w:rPr>
                <w:rFonts w:ascii="Arial" w:cs="Arial" w:eastAsia="Arial" w:hAnsi="Arial"/>
                <w:sz w:val="18"/>
                <w:szCs w:val="18"/>
                <w:b w:val="1"/>
                <w:bCs w:val="1"/>
                <w:color w:val="auto"/>
              </w:rPr>
              <w:t>Licensing and collaboration agreements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enters into licensing agreements which are within the scope of IFRS 15, under which it licenses certain rights to its product candidates and IP to third parties. The terms of these arrangements typically include payment to the Company of one or more of the following: non-refundable, up-front license fees; development,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right="20"/>
        <w:spacing w:after="0" w:line="259" w:lineRule="auto"/>
        <w:rPr>
          <w:sz w:val="20"/>
          <w:szCs w:val="20"/>
          <w:color w:val="auto"/>
        </w:rPr>
      </w:pPr>
      <w:r>
        <w:rPr>
          <w:rFonts w:ascii="Arial" w:cs="Arial" w:eastAsia="Arial" w:hAnsi="Arial"/>
          <w:sz w:val="18"/>
          <w:szCs w:val="18"/>
          <w:color w:val="auto"/>
        </w:rPr>
        <w:t>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 of income/(loss), except for revenues from royalties on net sales of products commercialized from the Company’s IP, which are classified as royalty revenues.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changes in the Company’s contract assets and liabilities during the three months ended March 31, 2018 and 2017 (in CHF thousands):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at the</w:t>
            </w:r>
          </w:p>
        </w:tc>
        <w:tc>
          <w:tcPr>
            <w:tcW w:w="2280" w:type="dxa"/>
            <w:vAlign w:val="bottom"/>
            <w:tcBorders>
              <w:top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Additions</w:t>
            </w:r>
          </w:p>
        </w:tc>
        <w:tc>
          <w:tcPr>
            <w:tcW w:w="228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Deductions</w:t>
            </w:r>
          </w:p>
        </w:tc>
        <w:tc>
          <w:tcPr>
            <w:tcW w:w="226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Balance at the end of the</w:t>
            </w: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beginning of the</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reporting period</w:t>
            </w:r>
          </w:p>
        </w:tc>
      </w:tr>
      <w:tr>
        <w:trPr>
          <w:trHeight w:val="234"/>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reporting period</w:t>
            </w: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660" w:type="dxa"/>
            <w:vAlign w:val="bottom"/>
            <w:tcBorders>
              <w:left w:val="single" w:sz="8" w:color="auto"/>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Three months ended</w:t>
            </w:r>
          </w:p>
        </w:tc>
        <w:tc>
          <w:tcPr>
            <w:tcW w:w="19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r>
      <w:tr>
        <w:trPr>
          <w:trHeight w:val="234"/>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March 31, 2018:</w:t>
            </w:r>
          </w:p>
        </w:tc>
        <w:tc>
          <w:tcPr>
            <w:tcW w:w="19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Accrued Income</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1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Deferred Revenue</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191"/>
        </w:trPr>
        <w:tc>
          <w:tcPr>
            <w:tcW w:w="2660" w:type="dxa"/>
            <w:vAlign w:val="bottom"/>
            <w:tcBorders>
              <w:left w:val="single" w:sz="8" w:color="auto"/>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Three months ended</w:t>
            </w:r>
          </w:p>
        </w:tc>
        <w:tc>
          <w:tcPr>
            <w:tcW w:w="19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r>
      <w:tr>
        <w:trPr>
          <w:trHeight w:val="234"/>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March 31, 2017:</w:t>
            </w:r>
          </w:p>
        </w:tc>
        <w:tc>
          <w:tcPr>
            <w:tcW w:w="19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Accrued Income</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1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Deferred Revenue</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March 31, 2018 and 2017, the Company recognized the following revenues as a result of changes in the contract asset and the contract liability balances in the respective periods (in CHF thousands):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7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660" w:type="dxa"/>
            <w:vAlign w:val="bottom"/>
            <w:tcBorders>
              <w:top w:val="single" w:sz="8" w:color="auto"/>
              <w:bottom w:val="single" w:sz="8" w:color="auto"/>
            </w:tcBorders>
            <w:gridSpan w:val="2"/>
          </w:tcPr>
          <w:p>
            <w:pPr>
              <w:ind w:left="2020"/>
              <w:spacing w:after="0"/>
              <w:rPr>
                <w:sz w:val="20"/>
                <w:szCs w:val="20"/>
                <w:color w:val="auto"/>
              </w:rPr>
            </w:pPr>
            <w:r>
              <w:rPr>
                <w:rFonts w:ascii="Arial" w:cs="Arial" w:eastAsia="Arial" w:hAnsi="Arial"/>
                <w:sz w:val="18"/>
                <w:szCs w:val="18"/>
                <w:b w:val="1"/>
                <w:bCs w:val="1"/>
                <w:color w:val="auto"/>
                <w:w w:val="90"/>
              </w:rPr>
              <w:t>Three Months Ended</w:t>
            </w:r>
          </w:p>
        </w:tc>
        <w:tc>
          <w:tcPr>
            <w:tcW w:w="2040" w:type="dxa"/>
            <w:vAlign w:val="bottom"/>
            <w:tcBorders>
              <w:top w:val="single" w:sz="8" w:color="auto"/>
              <w:bottom w:val="single" w:sz="8" w:color="auto"/>
              <w:right w:val="single" w:sz="8" w:color="auto"/>
            </w:tcBorders>
          </w:tcPr>
          <w:p>
            <w:pPr>
              <w:spacing w:after="0"/>
              <w:rPr>
                <w:sz w:val="21"/>
                <w:szCs w:val="21"/>
                <w:color w:val="auto"/>
              </w:rPr>
            </w:pPr>
          </w:p>
        </w:tc>
      </w:tr>
      <w:tr>
        <w:trPr>
          <w:trHeight w:val="214"/>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Revenue recognized in the period from:</w:t>
            </w:r>
          </w:p>
        </w:tc>
        <w:tc>
          <w:tcPr>
            <w:tcW w:w="286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March 31, 2018</w:t>
            </w: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2"/>
              </w:rPr>
              <w:t>March 31, 2017</w:t>
            </w:r>
          </w:p>
        </w:tc>
      </w:tr>
      <w:tr>
        <w:trPr>
          <w:trHeight w:val="195"/>
        </w:trPr>
        <w:tc>
          <w:tcPr>
            <w:tcW w:w="5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Amounts included in the contract liability at the</w:t>
            </w:r>
          </w:p>
        </w:tc>
        <w:tc>
          <w:tcPr>
            <w:tcW w:w="28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302</w:t>
            </w:r>
          </w:p>
        </w:tc>
        <w:tc>
          <w:tcPr>
            <w:tcW w:w="800" w:type="dxa"/>
            <w:vAlign w:val="bottom"/>
          </w:tcPr>
          <w:p>
            <w:pPr>
              <w:spacing w:after="0"/>
              <w:rPr>
                <w:sz w:val="16"/>
                <w:szCs w:val="16"/>
                <w:color w:val="auto"/>
              </w:rPr>
            </w:pPr>
          </w:p>
        </w:tc>
        <w:tc>
          <w:tcPr>
            <w:tcW w:w="20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384</w:t>
            </w:r>
          </w:p>
        </w:tc>
      </w:tr>
      <w:tr>
        <w:trPr>
          <w:trHeight w:val="230"/>
        </w:trPr>
        <w:tc>
          <w:tcPr>
            <w:tcW w:w="5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beginning of the period</w:t>
            </w:r>
          </w:p>
        </w:tc>
        <w:tc>
          <w:tcPr>
            <w:tcW w:w="2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Performance obligations satisfied in previous periods</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The value of this partnership is potentially greater than CHF 340 million.</w:t>
      </w:r>
    </w:p>
    <w:p>
      <w:pPr>
        <w:spacing w:after="0" w:line="17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Genentech commenced a first Phase 3 clinical study in the first quarter of fiscal 2016 for crenezumab. In February 2017, Genentech started a second Phase 3 clinical trial. 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5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the upfront license fee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265.7)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2018 and March 31, 2017, we have recognized no revenues from this arrangement.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 single digits to the high single digits. The agreement also provides for collaboration on two additional indications built on the same anti-Tau antibody program as well as potential anti-Tau diagnostic products.</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recognized and payment received in the fourth quarter of 2017 associated with the first patient dosing in a Phase 2 clinical trial for Alzheimer’s disease with an anti-Tau monoclonal body known as RO7105705,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w:t>
      </w:r>
    </w:p>
    <w:p>
      <w:pPr>
        <w:spacing w:after="0" w:line="19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the upfront license fee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more than CHF 344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2018 and March 31, 2017,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one of the Janssen Pharmaceutical Companies of Johnson and Johnson, to develop and commercialize therapeutic anti-Tau vaccines for the treatment of AD and potentially other Tauopathies. The value of this partnership is potentially up to CHF 500 million and includes upfront and clinical, regulatory and commercial milestones.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In July 2017, AC Immune and Janssen entered into a Second Amendment to the December 2014 License, Development and Commercialization Agreement. The Amendment allows for the alignment of certain payment provisions with the new Development Plan and Research Plan activities. AC Immune and Janssen will jointly share R&amp;D costs until the completion of the first Phase 2. Under the terms of the agreement, Janssen may terminate the agreement at any time after completion of the Phase 1b clinical study by providing 90 days’ notice to us.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jc w:val="both"/>
        <w:ind w:right="14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intellectual property related to this program.</w:t>
      </w:r>
    </w:p>
    <w:p>
      <w:pPr>
        <w:spacing w:after="0" w:line="17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have recognized this income as revenue.</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the upfront license fee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the arrangement, which were deemed to be distinct in the context of the contract.</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phase 1b study in May 2016. The Company could also receive up to more than CHF 458 million in clinical, regulatory and commercial milestones as well as tiered, high-single digit to mid-double digit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the three months ended March 31, 2018 and March 31, 2017, we have recognized CHF 0.2 million and less than CHF 0.1 million, respectively for research and development services provided incremental to the amounts shared in the cost split.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Piramal Imaging</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May 2014, AC Immune SA entered into an agreement, our first diagnostic partnership with Piramal Imaging (“Piramal”), a subsidiary of Piramal Enterprises, Ltd. The partnership with Piramal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million, plus royalties on sales at a percentage rate ranging from mid-single digits to low double digits.</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March 2017, we invoiced Piramal for a EUR 1.0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 The Company is eligible to receive variable consideration related to the achievement of certain clinical milestones totaling EUR</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6 million should the compound make it through to Phase 3 clinical studies. We are also eligible to receive potential regulatory and sales based milestones totaling EUR 150 million. The Company is also eligible for royalties from the mid-single digits to low-double digits.</w:t>
      </w:r>
    </w:p>
    <w:p>
      <w:pPr>
        <w:spacing w:after="0" w:line="184"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Piramal is a customer. The Company has identified that the upfront license fee as the only performance obligation. The Company determined that transaction price based on the defined terms allocated to each performance obligation specified in the contract.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firstLine="324"/>
        <w:spacing w:after="0" w:line="270"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fee. None of the clinical, regulatory and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these amounts have been determined to relate predominantly to the license granted to Piramal and therefore are recognized at the later of when the performance obligation is satisfied or the related sales occur. The Company considered Piramal’s right to sublicense and develop the Tau Protein PET tracers, and the fact that Piramal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For the three months ended March 31, 2018 and March 31, 2017, the Company has nil and CHF 1.1 million in revenues, respectively from its arrangement with Piramal.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6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CROs,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work is performed, which correspond with, and best depict the transfer of control to the customer in line with the terms outlined in the contract.</w:t>
      </w:r>
    </w:p>
    <w:p>
      <w:pPr>
        <w:spacing w:after="0" w:line="19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will start a Phase 1 clinical study of our alpha-synuclein PET tracer in the second half of 2018 and began the second year of our collaboration in 2017 and will begin the third year in April 2018. As of March 31, 2018, the Company has fully recognized revenues associated with the technology access fee. For the three months ended March 31, 2018 and 2017, we have recognized CHF 0.9 million and CHF 0.9 million for research and development services, respectively. The Company estimates to recognize CHF 2.6 million for additional research and development services contributions through the end of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60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(“bFGF”) as a therapeutic for the treatment of neurodegenerative diseases and to generate novel antibody therapeutics.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 Time Employees to provide research support.</w:t>
      </w:r>
    </w:p>
    <w:p>
      <w:pPr>
        <w:spacing w:after="0" w:line="170"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 The Company recognized CHF 185 thousand and nil for the three months ended March 31, 2018 and March 31, 2017, respectively. The length of the initial contract is two years through May 2019. Subject to the progress of the project, the Company may expect to recognize approximately CHF 0.8 million as revenues over the next 14 months.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Continuation of 2015 Grant from the Michael J. Fox Foundation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September 16, 2017, AC Immune formally signed a grant continuation with the Michael J. Fox Foundation for Parkinson’s Disease research (“MJFF”). This grant provides funds for the development of Positron Emission Tomography (PET) tracers for the alpha-synuclein protein, to support the early diagnosis and clinical management of Parkinson’s disease.</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part of this agreement, the MJFF expects that AC Immune will complete tasks according to the agreed timeline. AC Immune’s funding is variable depending on the satisfactory achievement of specific tasks. The Company identified four milestones to achieve but these are outputs of the Company’s services to perform and develop its PET tracer over a 12 month period. The services themselves over time are considered the performance obligation and not each a unique obligation. Therefore, AC Immune has determined it has one performance obligation in the arrangement: the research services in support of the development of the alpha-synuclein PET tracer.</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transaction price consists of the contractual amount of CHF 380 thousand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 No such constraint was necessary as of March 31, 2018.</w:t>
      </w:r>
    </w:p>
    <w:p>
      <w:pPr>
        <w:spacing w:after="0" w:line="15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 recorded CHF 0.1 million in revenues for the three months ended March 31, 2018 and expects to record CHF 0.2 million over the remaining 12 months as services are performed and milestones are obtained.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Loss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3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For the Three Months</w:t>
            </w:r>
          </w:p>
        </w:tc>
      </w:tr>
      <w:tr>
        <w:trPr>
          <w:trHeight w:val="171"/>
        </w:trPr>
        <w:tc>
          <w:tcPr>
            <w:tcW w:w="904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9040" w:type="dxa"/>
            <w:vAlign w:val="bottom"/>
          </w:tcPr>
          <w:p>
            <w:pPr>
              <w:spacing w:after="0"/>
              <w:rPr>
                <w:sz w:val="13"/>
                <w:szCs w:val="13"/>
                <w:color w:val="auto"/>
              </w:rPr>
            </w:pPr>
          </w:p>
        </w:tc>
        <w:tc>
          <w:tcPr>
            <w:tcW w:w="116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r>
      <w:tr>
        <w:trPr>
          <w:trHeight w:val="210"/>
        </w:trPr>
        <w:tc>
          <w:tcPr>
            <w:tcW w:w="9040" w:type="dxa"/>
            <w:vAlign w:val="bottom"/>
          </w:tcPr>
          <w:p>
            <w:pPr>
              <w:spacing w:after="0"/>
              <w:rPr>
                <w:sz w:val="20"/>
                <w:szCs w:val="20"/>
                <w:color w:val="auto"/>
              </w:rPr>
            </w:pPr>
            <w:r>
              <w:rPr>
                <w:rFonts w:ascii="Arial" w:cs="Arial" w:eastAsia="Arial" w:hAnsi="Arial"/>
                <w:sz w:val="14"/>
                <w:szCs w:val="14"/>
                <w:color w:val="auto"/>
              </w:rPr>
              <w:t>in CHF thousands except share and per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(9,455)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Loss per share (EPS):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 and diluted o equity holders</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57,368,015</w:t>
            </w:r>
          </w:p>
        </w:tc>
        <w:tc>
          <w:tcPr>
            <w:tcW w:w="10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56,855,987</w:t>
            </w:r>
          </w:p>
        </w:tc>
      </w:tr>
      <w:tr>
        <w:trPr>
          <w:trHeight w:val="634"/>
        </w:trPr>
        <w:tc>
          <w:tcPr>
            <w:tcW w:w="904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7" w:name="page18"/>
    <w:bookmarkEnd w:id="17"/>
    <w:p>
      <w:pPr>
        <w:jc w:val="both"/>
        <w:ind w:right="420" w:firstLine="324"/>
        <w:spacing w:after="0" w:line="259" w:lineRule="auto"/>
        <w:rPr>
          <w:sz w:val="20"/>
          <w:szCs w:val="20"/>
          <w:color w:val="auto"/>
        </w:rPr>
      </w:pPr>
      <w:r>
        <w:rPr>
          <w:rFonts w:ascii="Arial" w:cs="Arial" w:eastAsia="Arial" w:hAnsi="Arial"/>
          <w:sz w:val="18"/>
          <w:szCs w:val="18"/>
          <w:color w:val="auto"/>
        </w:rPr>
        <w:t>For the three months ended March 31, 2018 and 2017 basic and diluted loss per share is based on the weighted average number of shares issued and outstanding. Weighted-average shares outstanding excludes antidilutive shares underlying options, non-vested restricted shares and non-vested restricted share units that totaled 1,443,225 and 1,611,547 from the computation of diluted loss per common share for the three months ended March 31, 2018 and 2017,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5.  Property, plant and equipment</w:t>
            </w: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b w:val="1"/>
                <w:bCs w:val="1"/>
                <w:color w:val="auto"/>
                <w:w w:val="95"/>
              </w:rPr>
              <w:t>As of March 31, 2018</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Furniture</w:t>
            </w:r>
          </w:p>
        </w:tc>
        <w:tc>
          <w:tcPr>
            <w:tcW w:w="10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Computers</w:t>
            </w:r>
          </w:p>
        </w:tc>
        <w:tc>
          <w:tcPr>
            <w:tcW w:w="11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Lab</w:t>
            </w:r>
          </w:p>
        </w:tc>
        <w:tc>
          <w:tcPr>
            <w:tcW w:w="168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Leasehold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Cost:</w:t>
            </w:r>
          </w:p>
        </w:tc>
        <w:tc>
          <w:tcPr>
            <w:tcW w:w="1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/IT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Equipment</w:t>
            </w: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Improvements</w:t>
            </w: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569</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4,161</w:t>
            </w:r>
          </w:p>
        </w:tc>
        <w:tc>
          <w:tcPr>
            <w:tcW w:w="168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272</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Acquisitions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end</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125</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678</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5,173</w:t>
            </w:r>
          </w:p>
        </w:tc>
        <w:tc>
          <w:tcPr>
            <w:tcW w:w="168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309</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08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68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1100" w:type="dxa"/>
            <w:vAlign w:val="bottom"/>
          </w:tcPr>
          <w:p>
            <w:pPr>
              <w:jc w:val="right"/>
              <w:spacing w:after="0"/>
              <w:rPr>
                <w:sz w:val="20"/>
                <w:szCs w:val="20"/>
                <w:color w:val="auto"/>
              </w:rPr>
            </w:pPr>
            <w:r>
              <w:rPr>
                <w:rFonts w:ascii="Arial" w:cs="Arial" w:eastAsia="Arial" w:hAnsi="Arial"/>
                <w:sz w:val="18"/>
                <w:szCs w:val="18"/>
                <w:color w:val="auto"/>
              </w:rPr>
              <w:t>(2,311)</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(105)</w:t>
            </w:r>
          </w:p>
        </w:tc>
        <w:tc>
          <w:tcPr>
            <w:tcW w:w="132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(144)</w:t>
            </w:r>
          </w:p>
        </w:tc>
        <w:tc>
          <w:tcPr>
            <w:tcW w:w="1680" w:type="dxa"/>
            <w:vAlign w:val="bottom"/>
            <w:tcBorders>
              <w:bottom w:val="single" w:sz="8" w:color="auto"/>
            </w:tcBorders>
            <w:shd w:val="clear" w:color="auto" w:fill="D5EAEA"/>
          </w:tcPr>
          <w:p>
            <w:pPr>
              <w:jc w:val="right"/>
              <w:ind w:right="27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 at end</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100" w:type="dxa"/>
            <w:vAlign w:val="bottom"/>
          </w:tcPr>
          <w:p>
            <w:pPr>
              <w:jc w:val="right"/>
              <w:spacing w:after="0"/>
              <w:rPr>
                <w:sz w:val="20"/>
                <w:szCs w:val="20"/>
                <w:color w:val="auto"/>
              </w:rPr>
            </w:pPr>
            <w:r>
              <w:rPr>
                <w:rFonts w:ascii="Arial" w:cs="Arial" w:eastAsia="Arial" w:hAnsi="Arial"/>
                <w:sz w:val="18"/>
                <w:szCs w:val="18"/>
                <w:color w:val="auto"/>
              </w:rPr>
              <w:t>(2,455)</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(118)</w:t>
            </w:r>
          </w:p>
        </w:tc>
        <w:tc>
          <w:tcPr>
            <w:tcW w:w="132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68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2017</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26</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310</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b w:val="1"/>
                <w:bCs w:val="1"/>
                <w:color w:val="auto"/>
              </w:rPr>
              <w:t>1,850</w:t>
            </w:r>
          </w:p>
        </w:tc>
        <w:tc>
          <w:tcPr>
            <w:tcW w:w="1680" w:type="dxa"/>
            <w:vAlign w:val="bottom"/>
            <w:shd w:val="clear" w:color="auto" w:fill="D5EAEA"/>
          </w:tcPr>
          <w:p>
            <w:pPr>
              <w:jc w:val="right"/>
              <w:ind w:right="270"/>
              <w:spacing w:after="0"/>
              <w:rPr>
                <w:sz w:val="20"/>
                <w:szCs w:val="20"/>
                <w:color w:val="auto"/>
              </w:rPr>
            </w:pPr>
            <w:r>
              <w:rPr>
                <w:rFonts w:ascii="Arial" w:cs="Arial" w:eastAsia="Arial" w:hAnsi="Arial"/>
                <w:sz w:val="18"/>
                <w:szCs w:val="18"/>
                <w:b w:val="1"/>
                <w:bCs w:val="1"/>
                <w:color w:val="auto"/>
              </w:rPr>
              <w:t>167</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2,353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March 31, 2018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2,718</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191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3,354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accelerated since the year ended December 31, 2017, with CHF 1.0 million invested in lab equipment representing a 24% increase. This is consistent with the Company’s long term strategic plan. Additionally, the Company’s investments in computers and IT have increased by CHF 109 thousand or 19% with the enhancements to its infrastructure.</w:t>
      </w:r>
    </w:p>
    <w:p>
      <w:pPr>
        <w:spacing w:after="0" w:line="18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pension expenses totaling CHF 2.5 million and CHF 1.4 million as of March 31, 2018 and December 31, 2017, respectively.</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financing obligation</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 AC Immune has accordingly recorded a long-term financing obligation for the total USD 450 thousand (CHF 435 thousand) committed and a corresponding interest accrual of USD 113 thousand (CHF 109 thousand). As AC Immune is yet to receive USD 50 thousand (CHF 48 thousand) as of March 31, 2018 from LuMind, this amount is recorded as a finance receivable within current assets; these outstanding funds are committed for 2018.</w:t>
      </w:r>
    </w:p>
    <w:p>
      <w:pPr>
        <w:spacing w:after="0" w:line="1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receivables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 recorded CHF 3.0 million in other current receivables as of March 31, 2018 compared to CHF 0.9 million as of December 31, 2017. The Company had more than CHF 2.8 million outstanding but not yet due from two of its customers as of March 31, 2018 and CHF 0.7 million due from one those customers as of December 31, 2017.</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Finance result, net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three months ended March 31, 2018, the Company recorded CHF 0.3 million in net financial loss compared to CHF 1.6 million in net financial loss for the three month period ended March 31, 2017. CHF 0.2 million related to foreign currency remeasurement losses for the three months ended March 31, 2018 compared to CHF 1.6 million for the three months ended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Management has evaluated subsequent events after the balance sheet date, through the issuance of the financial statements, for appropriate accounting and disclosure. The Company has determined that there were no such events that warrant disclosure or recognition in the financial statements.</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months ended March 31, 2018 included as Exhibit 99.1 to this Report on Form 6-K. We also recommend that you read our management’s discussion and analysis and our audited financial statements and the notes thereto, which appear in our Annual Report on Form 20-F for the year ended December 31, 2017 on file with the U.S. Securities and Exchange Commission (the “SEC”).</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May 2,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AC Immune generated revenues of CHF 1.5 million in the three months ended March 31, 2018, a decrease of CHF 0.5 million over the comparable period in 2017. The following table summarizes our revenues during the three months ended March 31,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5"/>
          </w:tcPr>
          <w:p>
            <w:pPr>
              <w:ind w:left="500"/>
              <w:spacing w:after="0"/>
              <w:rPr>
                <w:sz w:val="20"/>
                <w:szCs w:val="20"/>
                <w:color w:val="auto"/>
              </w:rPr>
            </w:pPr>
            <w:r>
              <w:rPr>
                <w:rFonts w:ascii="Arial" w:cs="Arial" w:eastAsia="Arial" w:hAnsi="Arial"/>
                <w:sz w:val="14"/>
                <w:szCs w:val="14"/>
                <w:b w:val="1"/>
                <w:bCs w:val="1"/>
                <w:color w:val="auto"/>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820" w:type="dxa"/>
            <w:vAlign w:val="bottom"/>
            <w:gridSpan w:val="5"/>
          </w:tcPr>
          <w:p>
            <w:pPr>
              <w:ind w:left="68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820" w:type="dxa"/>
            <w:vAlign w:val="bottom"/>
            <w:gridSpan w:val="5"/>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60" w:type="dxa"/>
            <w:vAlign w:val="bottom"/>
            <w:tcBorders>
              <w:bottom w:val="single" w:sz="8" w:color="auto"/>
            </w:tcBorders>
            <w:shd w:val="clear" w:color="auto" w:fill="D5EAEA"/>
          </w:tcPr>
          <w:p>
            <w:pPr>
              <w:jc w:val="right"/>
              <w:ind w:right="42"/>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6"/>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the three months ended March 31, 2018, the decrease in collaboration revenues compared to the three months ended March 31, 2017 was principally due to recognition of a CHF 1.1 million milestone payment invoiced to Piramal Imaging for the initiation of “Part B” of the first-in-man phase 1 clinical trial for PSP (Progressive Supranuclear Palsy) and a CHF 382 thousand from the technology access fee paid by Biogen that was not repeated in the current fiscal quarter. In the three months ended March 31, 2018, the Company recognized CHF 0.9 million in research contribution revenues related to the alpha synuclein and TDP-43 PET Imaging tracers from the Biogen collaboration and CHF 0.2 million in its agreement with Essex.</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Research and development activities are essential to our business and represent the majority of our costs incurred. Costs for certain development activities, such as clinical trials, are recognized based on an evaluation of</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line="257" w:lineRule="auto"/>
        <w:rPr>
          <w:sz w:val="20"/>
          <w:szCs w:val="20"/>
          <w:color w:val="auto"/>
        </w:rPr>
      </w:pPr>
      <w:r>
        <w:rPr>
          <w:rFonts w:ascii="Arial" w:cs="Arial" w:eastAsia="Arial" w:hAnsi="Arial"/>
          <w:sz w:val="18"/>
          <w:szCs w:val="18"/>
          <w:color w:val="auto"/>
        </w:rPr>
        <w:t>the progress to completion of specific tasks using information from the clinical sites and our vendors. Our collaboration arrangements share costs for the development of our product candidates differently. We have largely completed our research and development spending for both of our Genentech collaborations. Janssen will be responsible for the full development cost from the completion of the first Phase 2.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8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For the three months ended March 31, 2018, research and development expenses totaled CHF 10.1 million compared with CHF 7.5 million for the three months ended March 31, 2017. This represents an increase of CHF 2.6 million. The following table presents the research and development expenses during the three months ended March 31, 2018 and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8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Ended March 31,</w:t>
            </w: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820" w:type="dxa"/>
            <w:vAlign w:val="bottom"/>
            <w:gridSpan w:val="5"/>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160" w:type="dxa"/>
            <w:vAlign w:val="bottom"/>
            <w:shd w:val="clear" w:color="auto" w:fill="D5EAEA"/>
          </w:tcPr>
          <w:p>
            <w:pPr>
              <w:jc w:val="right"/>
              <w:ind w:right="40"/>
              <w:spacing w:after="0"/>
              <w:rPr>
                <w:sz w:val="20"/>
                <w:szCs w:val="20"/>
                <w:color w:val="auto"/>
              </w:rPr>
            </w:pPr>
            <w:r>
              <w:rPr>
                <w:rFonts w:ascii="Arial" w:cs="Arial" w:eastAsia="Arial" w:hAnsi="Arial"/>
                <w:sz w:val="18"/>
                <w:szCs w:val="18"/>
                <w:color w:val="auto"/>
              </w:rPr>
              <w:t>7,534</w:t>
            </w: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4"/>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2,535</w:t>
            </w:r>
          </w:p>
        </w:tc>
        <w:tc>
          <w:tcPr>
            <w:tcW w:w="14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bottom w:val="single" w:sz="8" w:color="auto"/>
            </w:tcBorders>
            <w:shd w:val="clear" w:color="auto" w:fill="D5EAEA"/>
          </w:tcPr>
          <w:p>
            <w:pPr>
              <w:jc w:val="right"/>
              <w:ind w:right="40"/>
              <w:spacing w:after="0"/>
              <w:rPr>
                <w:sz w:val="20"/>
                <w:szCs w:val="20"/>
                <w:color w:val="auto"/>
              </w:rPr>
            </w:pPr>
            <w:r>
              <w:rPr>
                <w:rFonts w:ascii="Arial" w:cs="Arial" w:eastAsia="Arial" w:hAnsi="Arial"/>
                <w:sz w:val="18"/>
                <w:szCs w:val="18"/>
                <w:color w:val="auto"/>
              </w:rPr>
              <w:t>10,069</w:t>
            </w:r>
          </w:p>
        </w:tc>
        <w:tc>
          <w:tcPr>
            <w:tcW w:w="14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increase in research and development programs is primarily driven by increased investments in our two ACI 24 programs in Alzheimer’s disease and Down syndrome, our Anti-Tau vaccines for the treatment of AD, our Anti-Tau Morphomers small molecule and our alpha-synuclein Antibody program. The following tables present the research and development expenses by major development program during the three months ended March 31, 2018 and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820" w:type="dxa"/>
            <w:vAlign w:val="bottom"/>
            <w:gridSpan w:val="5"/>
          </w:tcPr>
          <w:p>
            <w:pPr>
              <w:ind w:left="68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820" w:type="dxa"/>
            <w:vAlign w:val="bottom"/>
            <w:gridSpan w:val="5"/>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160" w:type="dxa"/>
            <w:vAlign w:val="bottom"/>
            <w:shd w:val="clear" w:color="auto" w:fill="D5EAEA"/>
          </w:tcPr>
          <w:p>
            <w:pPr>
              <w:jc w:val="right"/>
              <w:ind w:right="37"/>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2"/>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2"/>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160" w:type="dxa"/>
            <w:vAlign w:val="bottom"/>
            <w:shd w:val="clear" w:color="auto" w:fill="D5EAEA"/>
          </w:tcPr>
          <w:p>
            <w:pPr>
              <w:jc w:val="right"/>
              <w:ind w:right="37"/>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2,960</w:t>
            </w:r>
          </w:p>
        </w:tc>
        <w:tc>
          <w:tcPr>
            <w:tcW w:w="14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0"/>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160" w:type="dxa"/>
            <w:vAlign w:val="bottom"/>
            <w:tcBorders>
              <w:bottom w:val="single" w:sz="8" w:color="auto"/>
            </w:tcBorders>
            <w:shd w:val="clear" w:color="auto" w:fill="D5EAEA"/>
          </w:tcPr>
          <w:p>
            <w:pPr>
              <w:jc w:val="right"/>
              <w:ind w:right="37"/>
              <w:spacing w:after="0"/>
              <w:rPr>
                <w:sz w:val="20"/>
                <w:szCs w:val="20"/>
                <w:color w:val="auto"/>
              </w:rPr>
            </w:pPr>
            <w:r>
              <w:rPr>
                <w:rFonts w:ascii="Arial" w:cs="Arial" w:eastAsia="Arial" w:hAnsi="Arial"/>
                <w:sz w:val="18"/>
                <w:szCs w:val="18"/>
                <w:color w:val="auto"/>
              </w:rPr>
              <w:t>7,138</w:t>
            </w:r>
          </w:p>
        </w:tc>
        <w:tc>
          <w:tcPr>
            <w:tcW w:w="14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2"/>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820" w:type="dxa"/>
            <w:vAlign w:val="bottom"/>
            <w:tcBorders>
              <w:bottom w:val="single" w:sz="8" w:color="auto"/>
            </w:tcBorders>
            <w:shd w:val="clear" w:color="auto" w:fill="D5EAEA"/>
          </w:tcPr>
          <w:p>
            <w:pPr>
              <w:jc w:val="right"/>
              <w:ind w:right="12"/>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2,931</w:t>
            </w:r>
          </w:p>
        </w:tc>
        <w:tc>
          <w:tcPr>
            <w:tcW w:w="14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D5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D5EAEA"/>
          </w:tcPr>
          <w:p>
            <w:pPr>
              <w:jc w:val="right"/>
              <w:ind w:right="37"/>
              <w:spacing w:after="0"/>
              <w:rPr>
                <w:sz w:val="20"/>
                <w:szCs w:val="20"/>
                <w:color w:val="auto"/>
              </w:rPr>
            </w:pPr>
            <w:r>
              <w:rPr>
                <w:rFonts w:ascii="Arial" w:cs="Arial" w:eastAsia="Arial" w:hAnsi="Arial"/>
                <w:sz w:val="18"/>
                <w:szCs w:val="18"/>
                <w:color w:val="auto"/>
              </w:rPr>
              <w:t>10,069</w:t>
            </w:r>
          </w:p>
        </w:tc>
        <w:tc>
          <w:tcPr>
            <w:tcW w:w="14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2"/>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2"/>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CHF 0.8 million increase in investments in Alzheimer’s disease programs for the three months ended March 31, 2018 predominantly relates to a CHF 0.6 million increase in set-up fees such as site selection, administration and related manufacturing costs associated with the Phase 2 study for ACI-24-AD. The increase in our new discovery programs of CHF 1.4 million was driven by CHF 0.8 million related to the continued proof of concept studies of our lead compounds in the Anti-Tau Morphomers and CHF 0.6 million increase in our other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0" w:firstLine="324"/>
        <w:spacing w:after="0" w:line="259" w:lineRule="auto"/>
        <w:rPr>
          <w:sz w:val="20"/>
          <w:szCs w:val="20"/>
          <w:color w:val="auto"/>
        </w:rPr>
      </w:pPr>
      <w:r>
        <w:rPr>
          <w:rFonts w:ascii="Arial" w:cs="Arial" w:eastAsia="Arial" w:hAnsi="Arial"/>
          <w:sz w:val="18"/>
          <w:szCs w:val="18"/>
          <w:color w:val="auto"/>
        </w:rPr>
        <w:t>General and administrative expenses amounted to CHF 2.7 million for the three months ended March 31, 2018 compared with CHF 2.4 million for the three months ended March 31, 2017. This represents an increase of CHF 0.3 million. The increase is predominantly associated with increases in our payroll expense due to an increase from 10 to 15 FTEs. The following tables present the general and administrative expenses for the three months ended March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820" w:type="dxa"/>
            <w:vAlign w:val="bottom"/>
            <w:gridSpan w:val="5"/>
          </w:tcPr>
          <w:p>
            <w:pPr>
              <w:ind w:left="68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820" w:type="dxa"/>
            <w:vAlign w:val="bottom"/>
            <w:gridSpan w:val="5"/>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160" w:type="dxa"/>
            <w:vAlign w:val="bottom"/>
            <w:shd w:val="clear" w:color="auto" w:fill="D5EAEA"/>
          </w:tcPr>
          <w:p>
            <w:pPr>
              <w:jc w:val="right"/>
              <w:ind w:right="40"/>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4"/>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1,749</w:t>
            </w:r>
          </w:p>
        </w:tc>
        <w:tc>
          <w:tcPr>
            <w:tcW w:w="14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general and administrative expenses</w:t>
            </w:r>
          </w:p>
        </w:tc>
        <w:tc>
          <w:tcPr>
            <w:tcW w:w="1160" w:type="dxa"/>
            <w:vAlign w:val="bottom"/>
            <w:tcBorders>
              <w:bottom w:val="single" w:sz="8" w:color="auto"/>
            </w:tcBorders>
            <w:shd w:val="clear" w:color="auto" w:fill="D5EAEA"/>
          </w:tcPr>
          <w:p>
            <w:pPr>
              <w:jc w:val="right"/>
              <w:ind w:right="40"/>
              <w:spacing w:after="0"/>
              <w:rPr>
                <w:sz w:val="20"/>
                <w:szCs w:val="20"/>
                <w:color w:val="auto"/>
              </w:rPr>
            </w:pPr>
            <w:r>
              <w:rPr>
                <w:rFonts w:ascii="Arial" w:cs="Arial" w:eastAsia="Arial" w:hAnsi="Arial"/>
                <w:sz w:val="18"/>
                <w:szCs w:val="18"/>
                <w:color w:val="auto"/>
              </w:rPr>
              <w:t>2,711</w:t>
            </w:r>
          </w:p>
        </w:tc>
        <w:tc>
          <w:tcPr>
            <w:tcW w:w="14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right="7980" w:hanging="332"/>
        <w:spacing w:after="0" w:line="501" w:lineRule="auto"/>
        <w:tabs>
          <w:tab w:leader="none" w:pos="2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results, net</w:t>
      </w: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presents the net financial income and expenses during the three months ended March 31, 2018 and 2017:</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result, net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Three Months</w:t>
      </w:r>
    </w:p>
    <w:tbl>
      <w:tblPr>
        <w:tblLayout w:type="fixed"/>
        <w:tblInd w:w="0" w:type="dxa"/>
        <w:tblCellMar>
          <w:top w:w="0" w:type="dxa"/>
          <w:left w:w="0" w:type="dxa"/>
          <w:bottom w:w="0" w:type="dxa"/>
          <w:right w:w="0" w:type="dxa"/>
        </w:tblCellMar>
      </w:tblPr>
      <w:tr>
        <w:trPr>
          <w:trHeight w:val="159"/>
        </w:trPr>
        <w:tc>
          <w:tcPr>
            <w:tcW w:w="2820" w:type="dxa"/>
            <w:vAlign w:val="bottom"/>
            <w:gridSpan w:val="5"/>
          </w:tcPr>
          <w:p>
            <w:pPr>
              <w:ind w:left="680"/>
              <w:spacing w:after="0" w:line="159" w:lineRule="exact"/>
              <w:rPr>
                <w:sz w:val="20"/>
                <w:szCs w:val="20"/>
                <w:color w:val="auto"/>
              </w:rPr>
            </w:pPr>
            <w:r>
              <w:rPr>
                <w:rFonts w:ascii="Arial" w:cs="Arial" w:eastAsia="Arial" w:hAnsi="Arial"/>
                <w:sz w:val="14"/>
                <w:szCs w:val="14"/>
                <w:b w:val="1"/>
                <w:bCs w:val="1"/>
                <w:color w:val="auto"/>
              </w:rPr>
              <w:t>Ended March 31,</w:t>
            </w: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11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gridSpan w:val="5"/>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-599440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908" w:right="2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three months ended March 31, 2018 and 2017, the Company reported CHF 0.3 million and CHF 1.6 million in net financial losses, respectively.</w:t>
      </w:r>
    </w:p>
    <w:p>
      <w:pPr>
        <w:spacing w:after="0" w:line="24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key driver for the reduced financial loss during the three months ended March 31, 2018 is the change in net foreign currency remeasurement gains and losses. The Company reduced its foreign currency loss by CHF 1.4 million in the first quarter of 2018 by reducing its foreign currency cash balances. The Company held more than 72% of its cash in local currency from 22% in the prior period.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operations have been financed primarily by proceeds from our initial public offering in September 2016, net proceeds from the issuance of preferred shares, and from collaboration and license agreements we have with a number of partners. At March 31, 2018, we had cash and cash equivalents of CHF 109.7 million.</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tracer candidates focused on alpha-synuclein and TDP-43 which we are developing together with Biogen and a number of research initiatives focused on neurodegenerative orphan diseases other than AD.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2" w:name="page23"/>
    <w:bookmarkEnd w:id="22"/>
    <w:p>
      <w:pPr>
        <w:jc w:val="both"/>
        <w:ind w:firstLine="324"/>
        <w:spacing w:after="0" w:line="264"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420"/>
          </w:cols>
          <w:pgMar w:left="240" w:top="908"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Three Months</w:t>
      </w:r>
    </w:p>
    <w:tbl>
      <w:tblPr>
        <w:tblLayout w:type="fixed"/>
        <w:tblInd w:w="0" w:type="dxa"/>
        <w:tblCellMar>
          <w:top w:w="0" w:type="dxa"/>
          <w:left w:w="0" w:type="dxa"/>
          <w:bottom w:w="0" w:type="dxa"/>
          <w:right w:w="0" w:type="dxa"/>
        </w:tblCellMar>
      </w:tblPr>
      <w:tr>
        <w:trPr>
          <w:trHeight w:val="159"/>
        </w:trPr>
        <w:tc>
          <w:tcPr>
            <w:tcW w:w="2820" w:type="dxa"/>
            <w:vAlign w:val="bottom"/>
            <w:gridSpan w:val="5"/>
          </w:tcPr>
          <w:p>
            <w:pPr>
              <w:ind w:left="680"/>
              <w:spacing w:after="0" w:line="159" w:lineRule="exact"/>
              <w:rPr>
                <w:sz w:val="20"/>
                <w:szCs w:val="20"/>
                <w:color w:val="auto"/>
              </w:rPr>
            </w:pPr>
            <w:r>
              <w:rPr>
                <w:rFonts w:ascii="Arial" w:cs="Arial" w:eastAsia="Arial" w:hAnsi="Arial"/>
                <w:sz w:val="14"/>
                <w:szCs w:val="14"/>
                <w:b w:val="1"/>
                <w:bCs w:val="1"/>
                <w:color w:val="auto"/>
              </w:rPr>
              <w:t>Ended March 31,</w:t>
            </w: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11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gridSpan w:val="5"/>
          </w:tcPr>
          <w:p>
            <w:pPr>
              <w:ind w:left="860"/>
              <w:spacing w:after="0"/>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160" w:type="dxa"/>
            <w:vAlign w:val="bottom"/>
          </w:tcPr>
          <w:p>
            <w:pPr>
              <w:jc w:val="right"/>
              <w:spacing w:after="0"/>
              <w:rPr>
                <w:sz w:val="20"/>
                <w:szCs w:val="20"/>
                <w:color w:val="auto"/>
              </w:rPr>
            </w:pPr>
            <w:r>
              <w:rPr>
                <w:rFonts w:ascii="Arial" w:cs="Arial" w:eastAsia="Arial" w:hAnsi="Arial"/>
                <w:sz w:val="18"/>
                <w:szCs w:val="18"/>
                <w:color w:val="auto"/>
              </w:rPr>
              <w:t>(13,347)</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(14,506)</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60" w:space="720"/>
            <w:col w:w="3640"/>
          </w:cols>
          <w:pgMar w:left="240" w:top="908" w:right="239" w:bottom="1440" w:gutter="0" w:footer="0" w:header="0"/>
          <w:type w:val="continuous"/>
        </w:sectPr>
      </w:pPr>
    </w:p>
    <w:p>
      <w:pPr>
        <w:spacing w:after="0" w:line="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Net cash used in operating activities was CHF 13.3 million for the three months ended March 31, 2018 compared with net cash used in operating activities of CHF 11.9 million for the three months ended March 31, 2017. The change in cash used in operating activities for the three months ended March 31, 2018 was due to the Company’s reporting net loss of CHF 11.6 million for the three months ended March 31, 2018 compared with net loss of CHF 9.5 million for the same period in 2017 driven by (i) reduced revenues compared to 2017 (ii) the increase in research and development costs in the quarter ended March 31, 2018, and (iii) the net increase in other current receivables and accrued income due to the timing of our services performed and billing in line with our contracts.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Net cash used in investing activities rose to CHF 1.2 million for the three months ended March 31, 2018 compared with net cash used in investing activities of CHF 0.6 million for the three months ended March 31, 2017 due to increased capital expenditures to strengthen our manufacturing and research infrastructure.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Net cash provided by financing activities was CHF 1 thousand for the three months ended March 31, 2018 compared with net cash provided by financing activities of CHF 29 thousand for the three months ended March 31, 2017. The decrease is driven by reduced cash inflows from option exercises.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successfully commercialize, our current or any future product candidates. As of March 31, 2018, we had cash balances totaling CHF 109.7 million. The decrease relative to December 31, 2017 is due to an increase in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second quarter of 2019.</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3" w:name="page24"/>
    <w:bookmarkEnd w:id="23"/>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During the three months ended March 31, 2018,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(1) we have more than USD 1.07 billion in annual revenue, (2) we are deemed to be a “large accelerated filer” under the rules of the SEC, which means the market value of our common shares that are held by non-affiliates exceeds USD700 million as of the most recently completed second fiscal quarter, or (3) we have issued more than USD 1.0 billion in non-convertible debt during the prior three-year period.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6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23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6"/>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CHF thousands except for share and per share data</w:t>
            </w:r>
          </w:p>
        </w:tc>
        <w:tc>
          <w:tcPr>
            <w:tcW w:w="11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(11,614)</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ind w:left="40"/>
              <w:spacing w:after="0"/>
              <w:rPr>
                <w:sz w:val="20"/>
                <w:szCs w:val="20"/>
                <w:color w:val="auto"/>
              </w:rPr>
            </w:pPr>
            <w:r>
              <w:rPr>
                <w:rFonts w:ascii="Arial" w:cs="Arial" w:eastAsia="Arial" w:hAnsi="Arial"/>
                <w:sz w:val="18"/>
                <w:szCs w:val="18"/>
                <w:color w:val="auto"/>
              </w:rPr>
              <w:t>Non-cash share-based payments (a)</w:t>
            </w:r>
          </w:p>
        </w:tc>
        <w:tc>
          <w:tcPr>
            <w:tcW w:w="1160" w:type="dxa"/>
            <w:vAlign w:val="bottom"/>
            <w:shd w:val="clear" w:color="auto" w:fill="D5EAEA"/>
          </w:tcPr>
          <w:p>
            <w:pPr>
              <w:jc w:val="right"/>
              <w:ind w:right="35"/>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ind w:left="40"/>
              <w:spacing w:after="0"/>
              <w:rPr>
                <w:sz w:val="20"/>
                <w:szCs w:val="20"/>
                <w:color w:val="auto"/>
              </w:rPr>
            </w:pPr>
            <w:r>
              <w:rPr>
                <w:rFonts w:ascii="Arial" w:cs="Arial" w:eastAsia="Arial" w:hAnsi="Arial"/>
                <w:sz w:val="18"/>
                <w:szCs w:val="18"/>
                <w:color w:val="auto"/>
              </w:rPr>
              <w:t>Foreign currency losses (b)</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Loss</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(10,810)</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(7,725)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Adjustment to loss per share – basic and diluted</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loss per share – basic and diluted</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(0.19)</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Weighted-average number of shares used to compute Adjusted loss per share – basic and diluted</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57,368,015</w:t>
            </w:r>
          </w:p>
        </w:tc>
        <w:tc>
          <w:tcPr>
            <w:tcW w:w="1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56,855,987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400" w:hanging="321"/>
        <w:spacing w:after="0" w:line="34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right="120" w:firstLine="168"/>
        <w:spacing w:after="0" w:line="279" w:lineRule="auto"/>
        <w:rPr>
          <w:sz w:val="20"/>
          <w:szCs w:val="20"/>
          <w:color w:val="auto"/>
        </w:rPr>
      </w:pPr>
      <w:r>
        <w:rPr>
          <w:rFonts w:ascii="Arial" w:cs="Arial" w:eastAsia="Arial" w:hAnsi="Arial"/>
          <w:sz w:val="17"/>
          <w:szCs w:val="17"/>
          <w:color w:val="auto"/>
        </w:rPr>
        <w:t>Adjustments for the three months ended March 31, 2018 and March 31, 2017 were CHF 0.8 million and CHF 1.7 million in net losses, respectively. These were largely due to foreign currency remeasurement gains and losses of CHF 202 thousand and CHF 1.6 million, respectively, predominantly related to the reduced foreign currency cash balance of the Company and reduced exposure to foreign currency fluctuations. The Company also recorded CHF 0.6 million and CHF 0.1 million for the three months, respectively, for share-based compensation expenses.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This discussion and analysis contains statements that constitute forward-looking statements. All statements other than statements of historical facts contained in this discussion and analysis, including statements regarding our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line="285" w:lineRule="auto"/>
        <w:rPr>
          <w:sz w:val="20"/>
          <w:szCs w:val="20"/>
          <w:color w:val="auto"/>
        </w:rPr>
      </w:pPr>
      <w:r>
        <w:rPr>
          <w:rFonts w:ascii="Arial" w:cs="Arial" w:eastAsia="Arial" w:hAnsi="Arial"/>
          <w:sz w:val="16"/>
          <w:szCs w:val="16"/>
          <w:color w:val="auto"/>
        </w:rPr>
        <w:t>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ind w:left="10420"/>
        <w:spacing w:after="0"/>
        <w:rPr>
          <w:sz w:val="20"/>
          <w:szCs w:val="20"/>
          <w:color w:val="auto"/>
        </w:rPr>
      </w:pPr>
      <w:r>
        <w:rPr>
          <w:rFonts w:ascii="Arial" w:cs="Arial" w:eastAsia="Arial" w:hAnsi="Arial"/>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697990" cy="531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95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First Quarter 2018 Financial Results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Corporate Update</w:t>
      </w:r>
    </w:p>
    <w:p>
      <w:pPr>
        <w:spacing w:after="0" w:line="17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Announced first-in-human study for an alpha-synuclein PET tracer for Parkinson’s disease</w:t>
      </w:r>
    </w:p>
    <w:p>
      <w:pPr>
        <w:spacing w:after="0" w:line="31" w:lineRule="exact"/>
        <w:rPr>
          <w:rFonts w:ascii="Arial" w:cs="Arial" w:eastAsia="Arial" w:hAnsi="Arial"/>
          <w:sz w:val="18"/>
          <w:szCs w:val="18"/>
          <w:color w:val="C00000"/>
        </w:rPr>
      </w:pPr>
    </w:p>
    <w:p>
      <w:pPr>
        <w:ind w:left="340" w:right="140" w:hanging="332"/>
        <w:spacing w:after="0" w:line="182" w:lineRule="auto"/>
        <w:tabs>
          <w:tab w:leader="none" w:pos="340" w:val="left"/>
        </w:tabs>
        <w:numPr>
          <w:ilvl w:val="0"/>
          <w:numId w:val="13"/>
        </w:numPr>
        <w:rPr>
          <w:rFonts w:ascii="Arial" w:cs="Arial" w:eastAsia="Arial" w:hAnsi="Arial"/>
          <w:sz w:val="34"/>
          <w:szCs w:val="34"/>
          <w:color w:val="C00000"/>
          <w:vertAlign w:val="superscript"/>
        </w:rPr>
      </w:pPr>
      <w:r>
        <w:rPr>
          <w:rFonts w:ascii="Arial" w:cs="Arial" w:eastAsia="Arial" w:hAnsi="Arial"/>
          <w:sz w:val="17"/>
          <w:szCs w:val="17"/>
          <w:b w:val="1"/>
          <w:bCs w:val="1"/>
          <w:color w:val="auto"/>
        </w:rPr>
        <w:t>Selected Tau small molecules (Tau Morphomers) have entered into IND/CTA</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enabling studies; Phase 1 to commence by the end of 2018</w:t>
      </w:r>
    </w:p>
    <w:p>
      <w:pPr>
        <w:ind w:left="340" w:hanging="332"/>
        <w:spacing w:after="0"/>
        <w:tabs>
          <w:tab w:leader="none" w:pos="34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Increased R&amp;D investment and resources across our key programs</w:t>
      </w:r>
    </w:p>
    <w:p>
      <w:pPr>
        <w:spacing w:after="0" w:line="9" w:lineRule="exact"/>
        <w:rPr>
          <w:rFonts w:ascii="Arial" w:cs="Arial" w:eastAsia="Arial" w:hAnsi="Arial"/>
          <w:sz w:val="18"/>
          <w:szCs w:val="18"/>
          <w:color w:val="C00000"/>
        </w:rPr>
      </w:pPr>
    </w:p>
    <w:p>
      <w:pPr>
        <w:ind w:left="340" w:right="360" w:hanging="332"/>
        <w:spacing w:after="0" w:line="246" w:lineRule="auto"/>
        <w:tabs>
          <w:tab w:leader="none" w:pos="34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Financial position remains strong with CHF 109.7 million in cash, allowing the Company to be fully financed through Q2 2019, excluding potential incoming milestones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Lausanne, Switzerland, May 2, 2018 </w:t>
      </w:r>
      <w:r>
        <w:rPr>
          <w:rFonts w:ascii="Arial" w:cs="Arial" w:eastAsia="Arial" w:hAnsi="Arial"/>
          <w:sz w:val="18"/>
          <w:szCs w:val="18"/>
          <w:color w:val="auto"/>
        </w:rPr>
        <w:t>– AC Immune SA (NASDAQ: ACIU), a Swiss-based, clinical stage biopharmaceutical company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broad pipeline focused on neurodegenerative diseases, today announced financial results for the first-quarter ended March 31, 2018.</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Prof. Andrea Pfeifer, CEO of AC Immune, commented</w:t>
      </w:r>
      <w:r>
        <w:rPr>
          <w:rFonts w:ascii="Arial" w:cs="Arial" w:eastAsia="Arial" w:hAnsi="Arial"/>
          <w:sz w:val="18"/>
          <w:szCs w:val="18"/>
          <w:color w:val="auto"/>
        </w:rPr>
        <w:t>: “During the first quarter we announced plans to start the first in human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the first selective alpha-synuclein PET tracer for earlier and more accurate diagnosis of Parkinson’s disease. Furthermore, our Tau small molecules (Tau Morphomers) demonstrated target-specific reduction of pathological Tau as well as cognitive and functional improvement. We also presented a number of scientific updates on our programs at a prestigious scientific conference, demonstrating progress in our key areas. The Company’s financial position remains strong, while we continue to invest in our highly-valued R&amp;D resources as we pursue our mission of being a leader in precision medicine for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Data – Unaudited (CHF million</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1844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Borders>
              <w:top w:val="single" w:sz="8" w:color="auto"/>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For the three months ended March 31,</w:t>
            </w:r>
          </w:p>
        </w:tc>
        <w:tc>
          <w:tcPr>
            <w:tcW w:w="1500" w:type="dxa"/>
            <w:vAlign w:val="bottom"/>
            <w:tcBorders>
              <w:top w:val="single" w:sz="8" w:color="auto"/>
              <w:bottom w:val="single" w:sz="8" w:color="auto"/>
            </w:tcBorders>
          </w:tcPr>
          <w:p>
            <w:pPr>
              <w:spacing w:after="0"/>
              <w:rPr>
                <w:sz w:val="18"/>
                <w:szCs w:val="18"/>
                <w:color w:val="auto"/>
              </w:rPr>
            </w:pPr>
          </w:p>
        </w:tc>
      </w:tr>
      <w:tr>
        <w:trPr>
          <w:trHeight w:val="196"/>
        </w:trPr>
        <w:tc>
          <w:tcPr>
            <w:tcW w:w="7380" w:type="dxa"/>
            <w:vAlign w:val="bottom"/>
            <w:tcBorders>
              <w:bottom w:val="single" w:sz="8" w:color="auto"/>
            </w:tcBorders>
          </w:tcPr>
          <w:p>
            <w:pPr>
              <w:ind w:left="6920"/>
              <w:spacing w:after="0" w:line="196" w:lineRule="exact"/>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2017</w:t>
            </w:r>
          </w:p>
        </w:tc>
        <w:tc>
          <w:tcPr>
            <w:tcW w:w="15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Change</w:t>
            </w:r>
          </w:p>
        </w:tc>
      </w:tr>
      <w:tr>
        <w:trPr>
          <w:trHeight w:val="196"/>
        </w:trPr>
        <w:tc>
          <w:tcPr>
            <w:tcW w:w="9920" w:type="dxa"/>
            <w:vAlign w:val="bottom"/>
            <w:tcBorders>
              <w:bottom w:val="single" w:sz="8" w:color="auto"/>
            </w:tcBorders>
            <w:gridSpan w:val="3"/>
          </w:tcPr>
          <w:p>
            <w:pPr>
              <w:jc w:val="right"/>
              <w:ind w:right="350"/>
              <w:spacing w:after="0" w:line="196" w:lineRule="exact"/>
              <w:rPr>
                <w:sz w:val="20"/>
                <w:szCs w:val="20"/>
                <w:color w:val="auto"/>
              </w:rPr>
            </w:pPr>
            <w:r>
              <w:rPr>
                <w:rFonts w:ascii="Arial" w:cs="Arial" w:eastAsia="Arial" w:hAnsi="Arial"/>
                <w:sz w:val="18"/>
                <w:szCs w:val="18"/>
                <w:color w:val="auto"/>
              </w:rPr>
              <w:t>(in CHF million except per share data)</w:t>
            </w:r>
          </w:p>
        </w:tc>
        <w:tc>
          <w:tcPr>
            <w:tcW w:w="150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Contract revenue</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w:t>
            </w:r>
          </w:p>
        </w:tc>
      </w:tr>
      <w:tr>
        <w:trPr>
          <w:trHeight w:val="196"/>
        </w:trPr>
        <w:tc>
          <w:tcPr>
            <w:tcW w:w="7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R&amp;D expenses</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(7.5)</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G&amp;A expenses</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(2.4)</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r>
      <w:tr>
        <w:trPr>
          <w:trHeight w:val="196"/>
        </w:trPr>
        <w:tc>
          <w:tcPr>
            <w:tcW w:w="7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IFRS (Loss) for the period</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(9.4)</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IFRS EPS – basic and diluted</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9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(0.17)</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r>
      <w:tr>
        <w:trPr>
          <w:trHeight w:val="196"/>
        </w:trPr>
        <w:tc>
          <w:tcPr>
            <w:tcW w:w="7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37"/>
        </w:trPr>
        <w:tc>
          <w:tcPr>
            <w:tcW w:w="7380" w:type="dxa"/>
            <w:vAlign w:val="bottom"/>
            <w:tcBorders>
              <w:bottom w:val="single" w:sz="8" w:color="auto"/>
            </w:tcBorders>
          </w:tcPr>
          <w:p>
            <w:pPr>
              <w:ind w:left="100"/>
              <w:spacing w:after="0" w:line="236" w:lineRule="exact"/>
              <w:rPr>
                <w:sz w:val="20"/>
                <w:szCs w:val="20"/>
                <w:color w:val="auto"/>
              </w:rPr>
            </w:pPr>
            <w:r>
              <w:rPr>
                <w:rFonts w:ascii="Arial" w:cs="Arial" w:eastAsia="Arial" w:hAnsi="Arial"/>
                <w:sz w:val="17"/>
                <w:szCs w:val="17"/>
                <w:color w:val="auto"/>
              </w:rPr>
              <w:t>Non-IFRS (Loss) for the period</w:t>
            </w:r>
            <w:r>
              <w:rPr>
                <w:rFonts w:ascii="Arial" w:cs="Arial" w:eastAsia="Arial" w:hAnsi="Arial"/>
                <w:sz w:val="27"/>
                <w:szCs w:val="27"/>
                <w:color w:val="auto"/>
                <w:vertAlign w:val="superscript"/>
              </w:rPr>
              <w:t>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7380" w:type="dxa"/>
            <w:vAlign w:val="bottom"/>
          </w:tcPr>
          <w:p>
            <w:pPr>
              <w:ind w:left="100"/>
              <w:spacing w:after="0" w:line="250" w:lineRule="exact"/>
              <w:rPr>
                <w:sz w:val="20"/>
                <w:szCs w:val="20"/>
                <w:color w:val="auto"/>
              </w:rPr>
            </w:pPr>
            <w:r>
              <w:rPr>
                <w:rFonts w:ascii="Arial" w:cs="Arial" w:eastAsia="Arial" w:hAnsi="Arial"/>
                <w:sz w:val="17"/>
                <w:szCs w:val="17"/>
                <w:color w:val="auto"/>
              </w:rPr>
              <w:t>Non-IFRS EPS – basic and diluted</w:t>
            </w:r>
            <w:r>
              <w:rPr>
                <w:rFonts w:ascii="Arial" w:cs="Arial" w:eastAsia="Arial" w:hAnsi="Arial"/>
                <w:sz w:val="28"/>
                <w:szCs w:val="2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(0.19)</w:t>
            </w:r>
          </w:p>
        </w:tc>
        <w:tc>
          <w:tcPr>
            <w:tcW w:w="1900" w:type="dxa"/>
            <w:vAlign w:val="bottom"/>
          </w:tcPr>
          <w:p>
            <w:pPr>
              <w:jc w:val="right"/>
              <w:ind w:right="190"/>
              <w:spacing w:after="0"/>
              <w:rPr>
                <w:sz w:val="20"/>
                <w:szCs w:val="20"/>
                <w:color w:val="auto"/>
              </w:rPr>
            </w:pPr>
            <w:r>
              <w:rPr>
                <w:rFonts w:ascii="Arial" w:cs="Arial" w:eastAsia="Arial" w:hAnsi="Arial"/>
                <w:sz w:val="18"/>
                <w:szCs w:val="18"/>
                <w:color w:val="auto"/>
              </w:rPr>
              <w:t>(0.14)</w:t>
            </w:r>
          </w:p>
        </w:tc>
        <w:tc>
          <w:tcPr>
            <w:tcW w:w="150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32" w:lineRule="exact"/>
        <w:rPr>
          <w:sz w:val="20"/>
          <w:szCs w:val="20"/>
          <w:color w:val="auto"/>
        </w:rPr>
      </w:pPr>
    </w:p>
    <w:p>
      <w:pPr>
        <w:ind w:left="340" w:right="700" w:hanging="332"/>
        <w:spacing w:after="0" w:line="183" w:lineRule="auto"/>
        <w:tabs>
          <w:tab w:leader="none" w:pos="308"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Adjusted (Loss) and Adjusted EPS are non-IFRS measures. See “Non-IFRS Financial Measures” below for further information and reconciliation to the most directly comparable IFRS measures.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IND: Investigational New Drug; CTA: Clinical Trial Application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193"/>
        </w:trPr>
        <w:tc>
          <w:tcPr>
            <w:tcW w:w="6300" w:type="dxa"/>
            <w:vAlign w:val="bottom"/>
            <w:tcBorders>
              <w:top w:val="single" w:sz="8" w:color="auto"/>
              <w:left w:val="single" w:sz="8" w:color="auto"/>
              <w:right w:val="single" w:sz="8" w:color="auto"/>
            </w:tcBorders>
          </w:tcPr>
          <w:p>
            <w:pPr>
              <w:spacing w:after="0"/>
              <w:rPr>
                <w:sz w:val="16"/>
                <w:szCs w:val="16"/>
                <w:color w:val="auto"/>
              </w:rPr>
            </w:pP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As of</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7"/>
              </w:rPr>
              <w:t>As of</w:t>
            </w:r>
          </w:p>
        </w:tc>
        <w:tc>
          <w:tcPr>
            <w:tcW w:w="1700" w:type="dxa"/>
            <w:vAlign w:val="bottom"/>
            <w:tcBorders>
              <w:top w:val="single" w:sz="8" w:color="auto"/>
              <w:right w:val="single" w:sz="8" w:color="auto"/>
            </w:tcBorders>
          </w:tcPr>
          <w:p>
            <w:pPr>
              <w:spacing w:after="0"/>
              <w:rPr>
                <w:sz w:val="16"/>
                <w:szCs w:val="16"/>
                <w:color w:val="auto"/>
              </w:rPr>
            </w:pPr>
          </w:p>
        </w:tc>
      </w:tr>
      <w:tr>
        <w:trPr>
          <w:trHeight w:val="225"/>
        </w:trPr>
        <w:tc>
          <w:tcPr>
            <w:tcW w:w="63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March 31,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700" w:type="dxa"/>
            <w:vAlign w:val="bottom"/>
            <w:tcBorders>
              <w:bottom w:val="single" w:sz="8" w:color="auto"/>
              <w:right w:val="single" w:sz="8" w:color="auto"/>
            </w:tcBorders>
          </w:tcPr>
          <w:p>
            <w:pPr>
              <w:spacing w:after="0"/>
              <w:rPr>
                <w:sz w:val="19"/>
                <w:szCs w:val="19"/>
                <w:color w:val="auto"/>
              </w:rPr>
            </w:pPr>
          </w:p>
        </w:tc>
      </w:tr>
      <w:tr>
        <w:trPr>
          <w:trHeight w:val="196"/>
        </w:trPr>
        <w:tc>
          <w:tcPr>
            <w:tcW w:w="630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2018</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2017</w:t>
            </w:r>
          </w:p>
        </w:tc>
        <w:tc>
          <w:tcPr>
            <w:tcW w:w="1700" w:type="dxa"/>
            <w:vAlign w:val="bottom"/>
            <w:tcBorders>
              <w:bottom w:val="single" w:sz="8" w:color="auto"/>
              <w:right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Change</w:t>
            </w:r>
          </w:p>
        </w:tc>
      </w:tr>
      <w:tr>
        <w:trPr>
          <w:trHeight w:val="196"/>
        </w:trPr>
        <w:tc>
          <w:tcPr>
            <w:tcW w:w="6300" w:type="dxa"/>
            <w:vAlign w:val="bottom"/>
            <w:tcBorders>
              <w:left w:val="single" w:sz="8" w:color="auto"/>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2"/>
          </w:tcPr>
          <w:p>
            <w:pPr>
              <w:jc w:val="right"/>
              <w:ind w:right="1010"/>
              <w:spacing w:after="0" w:line="196" w:lineRule="exact"/>
              <w:rPr>
                <w:sz w:val="20"/>
                <w:szCs w:val="20"/>
                <w:color w:val="auto"/>
              </w:rPr>
            </w:pPr>
            <w:r>
              <w:rPr>
                <w:rFonts w:ascii="Arial" w:cs="Arial" w:eastAsia="Arial" w:hAnsi="Arial"/>
                <w:sz w:val="18"/>
                <w:szCs w:val="18"/>
                <w:color w:val="auto"/>
              </w:rPr>
              <w:t>(in CHF million)</w:t>
            </w: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shareholder’s equity</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105.8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Company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potential PET tracer for Parkinson’s disease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announced the first in human study for potentially the first alpha-synuclein positron emission tomography (PET) tracer for earlier and more accurate diagnosis of Parkinson’s disease. This new compound is highly selective for alpha-synuclein aggregates, a recognized and known target for Parkinson’s disease and diseases involving alpha-synuclein pathologies. Data was presented at the AAT-AD/PD Focus Meeting 2018 in Torino, Italy on March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updates at AAT- AD/PD Focus Meeting</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and its partners provided updates at the AAT-AD/PD Focus Meeting in Torino, Italy, in March 2018: Several posters and oral presentations covered the alpha-synuclein PET tracer being developed together with Biogen; the Company’s in-house SupraAntigen™ vaccine technology; the anti-amyloid-β antibody crenezumab currently in Phase 3 development with our collaboration partner Genentech, a member of the Roche Group; and the Tau-PET imaging agent PI-2620 being developed with Piramal Imaging.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Tau Small Molecules for Clinical Development in Alzheimer’s disease</w:t>
      </w:r>
    </w:p>
    <w:p>
      <w:pPr>
        <w:spacing w:after="0" w:line="1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AC Immune has one of the largest Tau pipeline in the industry. Several Tau small molecule candidates, derived from AC Immune’s proprietary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and designed to cross the blood brain barrier, have demonstrated target-specific reduction of pathological Tau and cognitive and functional improvement in proof-of-concept studies in Alzheimer’s disease. IND/CTA enabling studies have started and a Phase 1 study will commence by the end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 to invest in our key R&amp;D programs and resources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quarter we added 7.3 FTEs to our R&amp;D operations, as we continue to invest in our non-Alzheimer’s disease research, diagnostics and new discovery programs as we seek to position the Company clearly as a leader in precision medicine for neurodegenerative diseases.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First Quarter 2018 Financial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revenues fluctuate as a result of our collaborations with current and potentially new partners, the timing of milestone achievements, and the size of each milestone payment.</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 generated revenues of CHF 1.5 million in the three months ended March 31, 2018, a decrease of CHF 0.5 million over the comparable period in 2017. The decrease in collaboration revenues was principally due to the recognition of a EUR 1 million (CHF 1.1 million) milestone from Piramal for the initiation of the Phase 1 clinical trial in an orphan indication, Progressive Supranuclear Palsy (PSP), which did not reoccur in Q1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first quarter of 2018, AC Immune invested CHF 10.1 million in research and development, compared with CHF 7.5 million for the same period in 2017. The increase in R&amp;D programs is primarily driven by increased investments in our two ACI 24 programs in Alzheimer’s disease (AD) and Down syndrome, our Anti-Tau vaccines for the treatment of AD, our Anti-Tau Morphomers small molecules and alpha-synuclein Antibody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amounted to CHF 2.7 million in the three months ended March 31, 2018, compared with CHF 2.4 million in the same period in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March 31, 2018, the Company had a net loss of CHF 11.6 million compared with net loss of CHF 9.4 million for the same period in 2017. The decline in profitability is attributable to the decreased revenues for the periods as a result of prior milestone achievements and an increase in R&amp;D and G&amp;A expenses as outlined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March 31, 2018, AC Immune had total cash of CHF 109.7 million compared to CHF 124.4 million as of December 31, 2017. The decrease of CHF 14.7 million is principally due to the net loss of CHF 11.6 million for the three month period. Net cash flows used in operating activities were CHF 13.3 million, due to the higher investments in our major discovery and development programs, and the continued strengthening of the Company’s infrastructure, systems and organization as a publicly-traded company.</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Non-IFRS Financial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 The following table reconciles net loss to Adjusted Loss and Adjusted Loss per Share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 (unaudited)</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300" w:type="dxa"/>
            <w:vAlign w:val="bottom"/>
            <w:tcBorders>
              <w:top w:val="single" w:sz="8" w:color="auto"/>
              <w:left w:val="single" w:sz="8" w:color="auto"/>
              <w:right w:val="single" w:sz="8" w:color="auto"/>
            </w:tcBorders>
          </w:tcPr>
          <w:p>
            <w:pPr>
              <w:spacing w:after="0"/>
              <w:rPr>
                <w:sz w:val="16"/>
                <w:szCs w:val="16"/>
                <w:color w:val="auto"/>
              </w:rPr>
            </w:pPr>
          </w:p>
        </w:tc>
        <w:tc>
          <w:tcPr>
            <w:tcW w:w="3420" w:type="dxa"/>
            <w:vAlign w:val="bottom"/>
            <w:tcBorders>
              <w:top w:val="single" w:sz="8" w:color="auto"/>
              <w:right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9"/>
              </w:rPr>
              <w:t>For the quarter ended</w:t>
            </w:r>
          </w:p>
        </w:tc>
        <w:tc>
          <w:tcPr>
            <w:tcW w:w="1700" w:type="dxa"/>
            <w:vAlign w:val="bottom"/>
            <w:tcBorders>
              <w:top w:val="single" w:sz="8" w:color="auto"/>
              <w:right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Change</w:t>
            </w:r>
          </w:p>
        </w:tc>
      </w:tr>
      <w:tr>
        <w:trPr>
          <w:trHeight w:val="225"/>
        </w:trPr>
        <w:tc>
          <w:tcPr>
            <w:tcW w:w="630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gridSpan w:val="2"/>
          </w:tcPr>
          <w:p>
            <w:pPr>
              <w:jc w:val="center"/>
              <w:ind w:left="1110"/>
              <w:spacing w:after="0"/>
              <w:rPr>
                <w:sz w:val="20"/>
                <w:szCs w:val="20"/>
                <w:color w:val="auto"/>
              </w:rPr>
            </w:pPr>
            <w:r>
              <w:rPr>
                <w:rFonts w:ascii="Arial" w:cs="Arial" w:eastAsia="Arial" w:hAnsi="Arial"/>
                <w:sz w:val="18"/>
                <w:szCs w:val="18"/>
                <w:b w:val="1"/>
                <w:bCs w:val="1"/>
                <w:color w:val="auto"/>
                <w:w w:val="99"/>
              </w:rPr>
              <w:t>March 31</w:t>
            </w:r>
          </w:p>
        </w:tc>
        <w:tc>
          <w:tcPr>
            <w:tcW w:w="12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96"/>
        </w:trPr>
        <w:tc>
          <w:tcPr>
            <w:tcW w:w="630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2017</w:t>
            </w:r>
          </w:p>
        </w:tc>
        <w:tc>
          <w:tcPr>
            <w:tcW w:w="1700" w:type="dxa"/>
            <w:vAlign w:val="bottom"/>
            <w:tcBorders>
              <w:bottom w:val="single" w:sz="8" w:color="auto"/>
              <w:right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CHF</w:t>
            </w:r>
          </w:p>
        </w:tc>
      </w:tr>
      <w:tr>
        <w:trPr>
          <w:trHeight w:val="196"/>
        </w:trPr>
        <w:tc>
          <w:tcPr>
            <w:tcW w:w="6300" w:type="dxa"/>
            <w:vAlign w:val="bottom"/>
            <w:tcBorders>
              <w:left w:val="single" w:sz="8" w:color="auto"/>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9"/>
              </w:rPr>
              <w:t>(in CHF millions except per share data)</w:t>
            </w: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Net Income/(Loss)</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5"/>
        </w:trPr>
        <w:tc>
          <w:tcPr>
            <w:tcW w:w="63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Adjustments:</w:t>
            </w:r>
          </w:p>
        </w:tc>
        <w:tc>
          <w:tcPr>
            <w:tcW w:w="17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44"/>
        </w:trPr>
        <w:tc>
          <w:tcPr>
            <w:tcW w:w="6300" w:type="dxa"/>
            <w:vAlign w:val="bottom"/>
            <w:tcBorders>
              <w:left w:val="single" w:sz="8" w:color="auto"/>
              <w:bottom w:val="single" w:sz="8" w:color="auto"/>
              <w:right w:val="single" w:sz="8" w:color="auto"/>
            </w:tcBorders>
          </w:tcPr>
          <w:p>
            <w:pPr>
              <w:ind w:left="300"/>
              <w:spacing w:after="0" w:line="243" w:lineRule="exact"/>
              <w:rPr>
                <w:sz w:val="20"/>
                <w:szCs w:val="20"/>
                <w:color w:val="auto"/>
              </w:rPr>
            </w:pPr>
            <w:r>
              <w:rPr>
                <w:rFonts w:ascii="Arial" w:cs="Arial" w:eastAsia="Arial" w:hAnsi="Arial"/>
                <w:sz w:val="17"/>
                <w:szCs w:val="17"/>
                <w:color w:val="auto"/>
              </w:rPr>
              <w:t>Non-Cash share-based compensation</w:t>
            </w:r>
            <w:r>
              <w:rPr>
                <w:rFonts w:ascii="Arial" w:cs="Arial" w:eastAsia="Arial" w:hAnsi="Arial"/>
                <w:sz w:val="28"/>
                <w:szCs w:val="28"/>
                <w:color w:val="auto"/>
                <w:vertAlign w:val="superscript"/>
              </w:rPr>
              <w:t>1</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300" w:type="dxa"/>
            <w:vAlign w:val="bottom"/>
            <w:tcBorders>
              <w:left w:val="single" w:sz="8" w:color="auto"/>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Foreign currency remeasurement (Gains)/Losses</w:t>
            </w:r>
            <w:r>
              <w:rPr>
                <w:rFonts w:ascii="Arial" w:cs="Arial" w:eastAsia="Arial" w:hAnsi="Arial"/>
                <w:sz w:val="27"/>
                <w:szCs w:val="27"/>
                <w:color w:val="auto"/>
                <w:vertAlign w:val="superscript"/>
              </w:rPr>
              <w:t>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Income (Loss) for the period</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630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EPS – basic and diluted</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r>
      <w:tr>
        <w:trPr>
          <w:trHeight w:val="196"/>
        </w:trPr>
        <w:tc>
          <w:tcPr>
            <w:tcW w:w="63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Adjustment to EPS – basic and diluted</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r>
      <w:tr>
        <w:trPr>
          <w:trHeight w:val="237"/>
        </w:trPr>
        <w:tc>
          <w:tcPr>
            <w:tcW w:w="6300" w:type="dxa"/>
            <w:vAlign w:val="bottom"/>
            <w:tcBorders>
              <w:left w:val="single" w:sz="8" w:color="auto"/>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Adjusted EPS – basic and diluted</w:t>
            </w:r>
            <w:r>
              <w:rPr>
                <w:rFonts w:ascii="Arial" w:cs="Arial" w:eastAsia="Arial" w:hAnsi="Arial"/>
                <w:sz w:val="27"/>
                <w:szCs w:val="27"/>
                <w:color w:val="auto"/>
                <w:vertAlign w:val="superscript"/>
              </w:rPr>
              <w:t>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195"/>
        </w:trPr>
        <w:tc>
          <w:tcPr>
            <w:tcW w:w="63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Weighted-average number of shares used to compute Adjusted Earnings</w:t>
            </w:r>
          </w:p>
        </w:tc>
        <w:tc>
          <w:tcPr>
            <w:tcW w:w="17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03"/>
        </w:trPr>
        <w:tc>
          <w:tcPr>
            <w:tcW w:w="630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(Loss) per share – basic and diluted</w:t>
            </w:r>
          </w:p>
        </w:tc>
        <w:tc>
          <w:tcPr>
            <w:tcW w:w="172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57,368,015</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56,855,987</w:t>
            </w:r>
          </w:p>
        </w:tc>
        <w:tc>
          <w:tcPr>
            <w:tcW w:w="170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512,028</w:t>
            </w:r>
          </w:p>
        </w:tc>
      </w:tr>
    </w:tbl>
    <w:p>
      <w:pPr>
        <w:spacing w:after="0" w:line="207" w:lineRule="exact"/>
        <w:rPr>
          <w:sz w:val="20"/>
          <w:szCs w:val="20"/>
          <w:color w:val="auto"/>
        </w:rPr>
      </w:pPr>
    </w:p>
    <w:p>
      <w:pPr>
        <w:ind w:left="340" w:right="200" w:hanging="332"/>
        <w:spacing w:after="0" w:line="183"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53" w:lineRule="exact"/>
        <w:rPr>
          <w:sz w:val="20"/>
          <w:szCs w:val="20"/>
          <w:color w:val="auto"/>
        </w:rPr>
      </w:pPr>
    </w:p>
    <w:p>
      <w:pPr>
        <w:ind w:left="340" w:right="140" w:hanging="332"/>
        <w:spacing w:after="0" w:line="183"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Reflects foreign currency remeasurement gains and losses for the period, predominantly impacted by the change in the exchange rate between the US Dollar and the Swiss Franc.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Expenditures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Adjustments for the three ended March 31, 2018 and 2017 were CHF 0.8 million and CHF 1.7 million in net losses, respectively. These were largely due to foreign currency remeasurement losses of CHF 0.2 million and CHF 1.6 million, respectively, predominantly related to the cash balance of the Company as a result of a weakening of the US Dollar against the Swiss Franc for most of the first half of the year offset by gains in the third quarter.</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18"/>
          <w:szCs w:val="18"/>
          <w:color w:val="auto"/>
        </w:rPr>
        <w:t>The Company also recorded CHF 0.6 million and CHF 0.1 million for share-based compensation expenses during the three months ended March 31, 2018 and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 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Phase 3 clinical studies for AD, under a global program conducted by the collaboration partner Genentech (a member of the Roche group). Other collaborations include Biogen, Janssen Pharmaceuticals, Nestlé Institute of Health Sciences, Piramal Imaging and Essex Bio-Technology.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520" w:type="dxa"/>
            <w:vAlign w:val="bottom"/>
            <w:tcBorders>
              <w:top w:val="single" w:sz="8" w:color="auto"/>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 Europe</w:t>
            </w:r>
          </w:p>
        </w:tc>
        <w:tc>
          <w:tcPr>
            <w:tcW w:w="590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55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Beatrix Benz</w:t>
            </w:r>
          </w:p>
        </w:tc>
        <w:tc>
          <w:tcPr>
            <w:tcW w:w="590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55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AC Immune Corporate Communications</w:t>
            </w:r>
          </w:p>
        </w:tc>
        <w:tc>
          <w:tcPr>
            <w:tcW w:w="590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55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Phone: +41 21 345 91 34</w:t>
            </w:r>
          </w:p>
        </w:tc>
        <w:tc>
          <w:tcPr>
            <w:tcW w:w="590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Phone: +1 970 987 26 54</w:t>
            </w:r>
          </w:p>
        </w:tc>
      </w:tr>
      <w:tr>
        <w:trPr>
          <w:trHeight w:val="176"/>
        </w:trPr>
        <w:tc>
          <w:tcPr>
            <w:tcW w:w="5520" w:type="dxa"/>
            <w:vAlign w:val="bottom"/>
            <w:tcBorders>
              <w:left w:val="single" w:sz="8" w:color="auto"/>
              <w:right w:val="single" w:sz="8" w:color="auto"/>
            </w:tcBorders>
            <w:gridSpan w:val="5"/>
          </w:tcPr>
          <w:p>
            <w:pPr>
              <w:ind w:left="10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beatrix.benz@acimmune.co</w:t>
            </w:r>
            <w:r>
              <w:rPr>
                <w:rFonts w:ascii="Arial" w:cs="Arial" w:eastAsia="Arial" w:hAnsi="Arial"/>
                <w:sz w:val="18"/>
                <w:szCs w:val="18"/>
                <w:color w:val="auto"/>
              </w:rPr>
              <w:t>m</w:t>
            </w:r>
          </w:p>
        </w:tc>
        <w:tc>
          <w:tcPr>
            <w:tcW w:w="5900" w:type="dxa"/>
            <w:vAlign w:val="bottom"/>
            <w:tcBorders>
              <w:right w:val="single" w:sz="8" w:color="auto"/>
            </w:tcBorders>
            <w:gridSpan w:val="4"/>
          </w:tcPr>
          <w:p>
            <w:pPr>
              <w:ind w:left="6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lisa.sher@acimmune.com</w:t>
            </w:r>
          </w:p>
        </w:tc>
      </w:tr>
      <w:tr>
        <w:trPr>
          <w:trHeight w:val="75"/>
        </w:trPr>
        <w:tc>
          <w:tcPr>
            <w:tcW w:w="700" w:type="dxa"/>
            <w:vAlign w:val="bottom"/>
            <w:tcBorders>
              <w:left w:val="single" w:sz="8" w:color="auto"/>
              <w:bottom w:val="single" w:sz="8" w:color="auto"/>
            </w:tcBorders>
          </w:tcPr>
          <w:p>
            <w:pPr>
              <w:spacing w:after="0"/>
              <w:rPr>
                <w:sz w:val="6"/>
                <w:szCs w:val="6"/>
                <w:color w:val="auto"/>
              </w:rPr>
            </w:pPr>
          </w:p>
        </w:tc>
        <w:tc>
          <w:tcPr>
            <w:tcW w:w="134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760" w:type="dxa"/>
            <w:vAlign w:val="bottom"/>
            <w:tcBorders>
              <w:top w:val="single" w:sz="8" w:color="0000FF"/>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80" w:type="dxa"/>
            <w:vAlign w:val="bottom"/>
            <w:tcBorders>
              <w:top w:val="single" w:sz="8" w:color="0000FF"/>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263"/>
        </w:trPr>
        <w:tc>
          <w:tcPr>
            <w:tcW w:w="55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Nick Miles/Toomas Kull</w:t>
            </w:r>
          </w:p>
        </w:tc>
        <w:tc>
          <w:tcPr>
            <w:tcW w:w="5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Ted Agne</w:t>
            </w:r>
          </w:p>
        </w:tc>
      </w:tr>
      <w:tr>
        <w:trPr>
          <w:trHeight w:val="203"/>
        </w:trPr>
        <w:tc>
          <w:tcPr>
            <w:tcW w:w="55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Cabinet Privé de Conseils s.a.</w:t>
            </w:r>
          </w:p>
        </w:tc>
        <w:tc>
          <w:tcPr>
            <w:tcW w:w="590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The Communications Strategy Group Inc.</w:t>
            </w:r>
          </w:p>
        </w:tc>
      </w:tr>
      <w:tr>
        <w:trPr>
          <w:trHeight w:val="203"/>
        </w:trPr>
        <w:tc>
          <w:tcPr>
            <w:tcW w:w="5520" w:type="dxa"/>
            <w:vAlign w:val="bottom"/>
            <w:tcBorders>
              <w:left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Phone: +41 22 552 46 46</w:t>
            </w:r>
          </w:p>
        </w:tc>
        <w:tc>
          <w:tcPr>
            <w:tcW w:w="590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Phone: +1 781 631 3117</w:t>
            </w:r>
          </w:p>
        </w:tc>
      </w:tr>
      <w:tr>
        <w:trPr>
          <w:trHeight w:val="176"/>
        </w:trPr>
        <w:tc>
          <w:tcPr>
            <w:tcW w:w="5520" w:type="dxa"/>
            <w:vAlign w:val="bottom"/>
            <w:tcBorders>
              <w:left w:val="single" w:sz="8" w:color="auto"/>
              <w:right w:val="single" w:sz="8" w:color="auto"/>
            </w:tcBorders>
            <w:gridSpan w:val="5"/>
          </w:tcPr>
          <w:p>
            <w:pPr>
              <w:ind w:left="100"/>
              <w:spacing w:after="0" w:line="157"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5900" w:type="dxa"/>
            <w:vAlign w:val="bottom"/>
            <w:tcBorders>
              <w:right w:val="single" w:sz="8" w:color="auto"/>
            </w:tcBorders>
            <w:gridSpan w:val="4"/>
          </w:tcPr>
          <w:p>
            <w:pPr>
              <w:ind w:left="60"/>
              <w:spacing w:after="0" w:line="157"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40" w:type="dxa"/>
            <w:vAlign w:val="bottom"/>
            <w:tcBorders>
              <w:right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176"/>
        </w:trPr>
        <w:tc>
          <w:tcPr>
            <w:tcW w:w="5520" w:type="dxa"/>
            <w:vAlign w:val="bottom"/>
            <w:tcBorders>
              <w:left w:val="single" w:sz="8" w:color="auto"/>
              <w:right w:val="single" w:sz="8" w:color="auto"/>
            </w:tcBorders>
            <w:gridSpan w:val="5"/>
          </w:tcPr>
          <w:p>
            <w:pPr>
              <w:ind w:left="700"/>
              <w:spacing w:after="0" w:line="176" w:lineRule="exact"/>
              <w:rPr>
                <w:sz w:val="20"/>
                <w:szCs w:val="20"/>
                <w:color w:val="auto"/>
              </w:rPr>
            </w:pPr>
            <w:r>
              <w:rPr>
                <w:rFonts w:ascii="Arial" w:cs="Arial" w:eastAsia="Arial" w:hAnsi="Arial"/>
                <w:sz w:val="18"/>
                <w:szCs w:val="18"/>
                <w:color w:val="0000FF"/>
              </w:rPr>
              <w:t>kull@cpc-pr.com</w:t>
            </w:r>
          </w:p>
        </w:tc>
        <w:tc>
          <w:tcPr>
            <w:tcW w:w="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tcBorders>
              <w:right w:val="single" w:sz="8" w:color="auto"/>
            </w:tcBorders>
          </w:tcPr>
          <w:p>
            <w:pPr>
              <w:spacing w:after="0"/>
              <w:rPr>
                <w:sz w:val="15"/>
                <w:szCs w:val="15"/>
                <w:color w:val="auto"/>
              </w:rPr>
            </w:pPr>
          </w:p>
        </w:tc>
      </w:tr>
      <w:tr>
        <w:trPr>
          <w:trHeight w:val="75"/>
        </w:trPr>
        <w:tc>
          <w:tcPr>
            <w:tcW w:w="700" w:type="dxa"/>
            <w:vAlign w:val="bottom"/>
            <w:tcBorders>
              <w:left w:val="single" w:sz="8" w:color="auto"/>
              <w:bottom w:val="single" w:sz="8" w:color="auto"/>
            </w:tcBorders>
          </w:tcPr>
          <w:p>
            <w:pPr>
              <w:spacing w:after="0"/>
              <w:rPr>
                <w:sz w:val="6"/>
                <w:szCs w:val="6"/>
                <w:color w:val="auto"/>
              </w:rPr>
            </w:pPr>
          </w:p>
        </w:tc>
        <w:tc>
          <w:tcPr>
            <w:tcW w:w="1340" w:type="dxa"/>
            <w:vAlign w:val="bottom"/>
            <w:tcBorders>
              <w:top w:val="single" w:sz="8" w:color="0000FF"/>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202"/>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2019-12-08T14:04:58Z</dcterms:created>
  <dcterms:modified xsi:type="dcterms:W3CDTF">2019-12-08T14:04:58Z</dcterms:modified>
</cp:coreProperties>
</file>