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72390</wp:posOffset>
            </wp:positionH>
            <wp:positionV relativeFrom="page">
              <wp:posOffset>144780</wp:posOffset>
            </wp:positionV>
            <wp:extent cx="762508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180975</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Washington, D.C. 20549</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FORM 6-K</w:t>
      </w:r>
    </w:p>
    <w:p>
      <w:pPr>
        <w:spacing w:after="0" w:line="400" w:lineRule="exact"/>
        <w:rPr>
          <w:sz w:val="24"/>
          <w:szCs w:val="24"/>
          <w:color w:val="auto"/>
        </w:rPr>
      </w:pPr>
    </w:p>
    <w:p>
      <w:pPr>
        <w:ind w:left="880" w:right="400" w:hanging="488"/>
        <w:spacing w:after="0" w:line="290" w:lineRule="auto"/>
        <w:rPr>
          <w:sz w:val="20"/>
          <w:szCs w:val="20"/>
          <w:color w:val="auto"/>
        </w:rPr>
      </w:pPr>
      <w:r>
        <w:rPr>
          <w:rFonts w:ascii="Arial" w:cs="Arial" w:eastAsia="Arial" w:hAnsi="Arial"/>
          <w:sz w:val="26"/>
          <w:szCs w:val="26"/>
          <w:b w:val="1"/>
          <w:bCs w:val="1"/>
          <w:color w:val="auto"/>
        </w:rPr>
        <w:t>REPORT OF FOREIGN PRIVATE ISSUER PURSUANT TO RULE 13a-16 OR 15d-16 UNDER THE SECURITIES EXCHANGE ACT OF 1934</w:t>
      </w:r>
    </w:p>
    <w:p>
      <w:pPr>
        <w:spacing w:after="0" w:line="227" w:lineRule="exact"/>
        <w:rPr>
          <w:sz w:val="24"/>
          <w:szCs w:val="24"/>
          <w:color w:val="auto"/>
        </w:rPr>
      </w:pPr>
    </w:p>
    <w:p>
      <w:pPr>
        <w:jc w:val="center"/>
        <w:ind w:right="80"/>
        <w:spacing w:after="0"/>
        <w:rPr>
          <w:sz w:val="20"/>
          <w:szCs w:val="20"/>
          <w:color w:val="auto"/>
        </w:rPr>
      </w:pPr>
      <w:r>
        <w:rPr>
          <w:rFonts w:ascii="Arial" w:cs="Arial" w:eastAsia="Arial" w:hAnsi="Arial"/>
          <w:sz w:val="27"/>
          <w:szCs w:val="27"/>
          <w:color w:val="auto"/>
        </w:rPr>
        <w:t>For the month of February,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-815975</wp:posOffset>
            </wp:positionH>
            <wp:positionV relativeFrom="paragraph">
              <wp:posOffset>220980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Commission File Number: 001-37891</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53"/>
          <w:szCs w:val="53"/>
          <w:b w:val="1"/>
          <w:bCs w:val="1"/>
          <w:color w:val="auto"/>
        </w:rPr>
        <w:t>AC IMMUNE SA</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11" w:lineRule="exact"/>
        <w:rPr>
          <w:sz w:val="24"/>
          <w:szCs w:val="24"/>
          <w:color w:val="auto"/>
        </w:rPr>
      </w:pPr>
    </w:p>
    <w:p>
      <w:pPr>
        <w:jc w:val="center"/>
        <w:ind w:right="80"/>
        <w:spacing w:after="0"/>
        <w:rPr>
          <w:sz w:val="20"/>
          <w:szCs w:val="20"/>
          <w:color w:val="auto"/>
        </w:rPr>
      </w:pPr>
      <w:r>
        <w:rPr>
          <w:rFonts w:ascii="Arial" w:cs="Arial" w:eastAsia="Arial" w:hAnsi="Arial"/>
          <w:sz w:val="27"/>
          <w:szCs w:val="27"/>
          <w:b w:val="1"/>
          <w:bCs w:val="1"/>
          <w:color w:val="auto"/>
        </w:rPr>
        <w:t>EPFL Innovation Park</w:t>
      </w:r>
    </w:p>
    <w:p>
      <w:pPr>
        <w:spacing w:after="0" w:line="33" w:lineRule="exact"/>
        <w:rPr>
          <w:sz w:val="24"/>
          <w:szCs w:val="24"/>
          <w:color w:val="auto"/>
        </w:rPr>
      </w:pPr>
    </w:p>
    <w:p>
      <w:pPr>
        <w:jc w:val="center"/>
        <w:ind w:right="80"/>
        <w:spacing w:after="0"/>
        <w:rPr>
          <w:sz w:val="20"/>
          <w:szCs w:val="20"/>
          <w:color w:val="auto"/>
        </w:rPr>
      </w:pPr>
      <w:r>
        <w:rPr>
          <w:rFonts w:ascii="Arial" w:cs="Arial" w:eastAsia="Arial" w:hAnsi="Arial"/>
          <w:sz w:val="27"/>
          <w:szCs w:val="27"/>
          <w:b w:val="1"/>
          <w:bCs w:val="1"/>
          <w:color w:val="auto"/>
        </w:rPr>
        <w:t>Building B</w:t>
      </w:r>
    </w:p>
    <w:p>
      <w:pPr>
        <w:spacing w:after="0" w:line="3" w:lineRule="exact"/>
        <w:rPr>
          <w:sz w:val="24"/>
          <w:szCs w:val="24"/>
          <w:color w:val="auto"/>
        </w:rPr>
      </w:pPr>
    </w:p>
    <w:p>
      <w:pPr>
        <w:jc w:val="center"/>
        <w:ind w:right="80"/>
        <w:spacing w:after="0"/>
        <w:rPr>
          <w:sz w:val="20"/>
          <w:szCs w:val="20"/>
          <w:color w:val="auto"/>
        </w:rPr>
      </w:pPr>
      <w:r>
        <w:rPr>
          <w:rFonts w:ascii="Arial" w:cs="Arial" w:eastAsia="Arial" w:hAnsi="Arial"/>
          <w:sz w:val="27"/>
          <w:szCs w:val="27"/>
          <w:b w:val="1"/>
          <w:bCs w:val="1"/>
          <w:color w:val="auto"/>
        </w:rPr>
        <w:t>1015 Lausanne, Switzerland</w:t>
      </w:r>
    </w:p>
    <w:p>
      <w:pPr>
        <w:jc w:val="center"/>
        <w:spacing w:after="0"/>
        <w:rPr>
          <w:sz w:val="20"/>
          <w:szCs w:val="20"/>
          <w:color w:val="auto"/>
        </w:rPr>
      </w:pPr>
      <w:r>
        <w:rPr>
          <w:rFonts w:ascii="Arial" w:cs="Arial" w:eastAsia="Arial" w:hAnsi="Arial"/>
          <w:sz w:val="19"/>
          <w:szCs w:val="19"/>
          <w:b w:val="1"/>
          <w:bCs w:val="1"/>
          <w:color w:val="auto"/>
        </w:rPr>
        <w:t>(Address of principal executive office)</w:t>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49" w:lineRule="exact"/>
        <w:rPr>
          <w:sz w:val="24"/>
          <w:szCs w:val="24"/>
          <w:color w:val="auto"/>
        </w:rPr>
      </w:pPr>
    </w:p>
    <w:p>
      <w:pPr>
        <w:ind w:left="2180"/>
        <w:spacing w:after="0"/>
        <w:tabs>
          <w:tab w:leader="none" w:pos="3780" w:val="left"/>
          <w:tab w:leader="none" w:pos="5620" w:val="left"/>
        </w:tabs>
        <w:rPr>
          <w:sz w:val="20"/>
          <w:szCs w:val="20"/>
          <w:color w:val="auto"/>
        </w:rPr>
      </w:pPr>
      <w:r>
        <w:rPr>
          <w:rFonts w:ascii="Arial" w:cs="Arial" w:eastAsia="Arial" w:hAnsi="Arial"/>
          <w:sz w:val="19"/>
          <w:szCs w:val="19"/>
          <w:color w:val="auto"/>
        </w:rPr>
        <w:t>Form 20-F</w:t>
      </w:r>
      <w:r>
        <w:rPr>
          <w:sz w:val="20"/>
          <w:szCs w:val="20"/>
          <w:color w:val="auto"/>
        </w:rPr>
        <w:tab/>
      </w:r>
      <w:r>
        <w:rPr>
          <w:rFonts w:ascii="Arial" w:cs="Arial" w:eastAsia="Arial" w:hAnsi="Arial"/>
          <w:sz w:val="19"/>
          <w:szCs w:val="19"/>
          <w:color w:val="auto"/>
        </w:rPr>
        <w:t>X</w:t>
      </w:r>
      <w:r>
        <w:rPr>
          <w:sz w:val="20"/>
          <w:szCs w:val="20"/>
          <w:color w:val="auto"/>
        </w:rPr>
        <w:tab/>
      </w:r>
      <w:r>
        <w:rPr>
          <w:rFonts w:ascii="Arial" w:cs="Arial" w:eastAsia="Arial" w:hAnsi="Arial"/>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2207895</wp:posOffset>
            </wp:positionH>
            <wp:positionV relativeFrom="paragraph">
              <wp:posOffset>15240</wp:posOffset>
            </wp:positionV>
            <wp:extent cx="534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035" cy="8890"/>
                    </a:xfrm>
                    <a:prstGeom prst="rect">
                      <a:avLst/>
                    </a:prstGeom>
                    <a:noFill/>
                  </pic:spPr>
                </pic:pic>
              </a:graphicData>
            </a:graphic>
          </wp:anchor>
        </w:drawing>
        <w:drawing>
          <wp:anchor simplePos="0" relativeHeight="251657728" behindDoc="1" locked="0" layoutInCell="0" allowOverlap="1">
            <wp:simplePos x="0" y="0"/>
            <wp:positionH relativeFrom="column">
              <wp:posOffset>4381500</wp:posOffset>
            </wp:positionH>
            <wp:positionV relativeFrom="paragraph">
              <wp:posOffset>24130</wp:posOffset>
            </wp:positionV>
            <wp:extent cx="525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5145"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w:t>
      </w:r>
    </w:p>
    <w:p>
      <w:pPr>
        <w:spacing w:after="0" w:line="261" w:lineRule="exact"/>
        <w:rPr>
          <w:sz w:val="24"/>
          <w:szCs w:val="24"/>
          <w:color w:val="auto"/>
        </w:rPr>
      </w:pPr>
    </w:p>
    <w:p>
      <w:pPr>
        <w:ind w:left="2460"/>
        <w:spacing w:after="0"/>
        <w:tabs>
          <w:tab w:leader="none" w:pos="5920" w:val="left"/>
          <w:tab w:leader="none" w:pos="7200" w:val="left"/>
        </w:tabs>
        <w:rPr>
          <w:sz w:val="20"/>
          <w:szCs w:val="20"/>
          <w:color w:val="auto"/>
        </w:rPr>
      </w:pPr>
      <w:r>
        <w:rPr>
          <w:rFonts w:ascii="Arial" w:cs="Arial" w:eastAsia="Arial" w:hAnsi="Arial"/>
          <w:sz w:val="19"/>
          <w:szCs w:val="19"/>
          <w:color w:val="auto"/>
        </w:rPr>
        <w:t>Yes</w:t>
      </w:r>
      <w:r>
        <w:rPr>
          <w:sz w:val="20"/>
          <w:szCs w:val="20"/>
          <w:color w:val="auto"/>
        </w:rPr>
        <w:tab/>
      </w: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4381500</wp:posOffset>
            </wp:positionH>
            <wp:positionV relativeFrom="paragraph">
              <wp:posOffset>15240</wp:posOffset>
            </wp:positionV>
            <wp:extent cx="525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5145"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24130</wp:posOffset>
            </wp:positionV>
            <wp:extent cx="534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035"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w:t>
      </w:r>
    </w:p>
    <w:p>
      <w:pPr>
        <w:spacing w:after="0" w:line="261" w:lineRule="exact"/>
        <w:rPr>
          <w:sz w:val="24"/>
          <w:szCs w:val="24"/>
          <w:color w:val="auto"/>
        </w:rPr>
      </w:pPr>
    </w:p>
    <w:p>
      <w:pPr>
        <w:ind w:left="2460"/>
        <w:spacing w:after="0"/>
        <w:tabs>
          <w:tab w:leader="none" w:pos="5920" w:val="left"/>
          <w:tab w:leader="none" w:pos="7200" w:val="left"/>
        </w:tabs>
        <w:rPr>
          <w:sz w:val="20"/>
          <w:szCs w:val="20"/>
          <w:color w:val="auto"/>
        </w:rPr>
      </w:pPr>
      <w:r>
        <w:rPr>
          <w:rFonts w:ascii="Arial" w:cs="Arial" w:eastAsia="Arial" w:hAnsi="Arial"/>
          <w:sz w:val="19"/>
          <w:szCs w:val="19"/>
          <w:color w:val="auto"/>
        </w:rPr>
        <w:t>Yes</w:t>
      </w:r>
      <w:r>
        <w:rPr>
          <w:sz w:val="20"/>
          <w:szCs w:val="20"/>
          <w:color w:val="auto"/>
        </w:rPr>
        <w:tab/>
      </w: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4381500</wp:posOffset>
            </wp:positionH>
            <wp:positionV relativeFrom="paragraph">
              <wp:posOffset>15240</wp:posOffset>
            </wp:positionV>
            <wp:extent cx="525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145"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24130</wp:posOffset>
            </wp:positionV>
            <wp:extent cx="534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035" cy="889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232410</wp:posOffset>
            </wp:positionV>
            <wp:extent cx="7625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250825</wp:posOffset>
            </wp:positionV>
            <wp:extent cx="762508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ectPr>
          <w:pgSz w:w="12240" w:h="15840" w:orient="portrait"/>
          <w:cols w:equalWidth="0" w:num="1">
            <w:col w:w="9440"/>
          </w:cols>
          <w:pgMar w:left="1400" w:top="645" w:right="1400"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9"/>
          <w:szCs w:val="19"/>
          <w:b w:val="1"/>
          <w:bCs w:val="1"/>
          <w:color w:val="auto"/>
        </w:rPr>
        <w:t>INCORPORATION BY REFERENCE</w:t>
      </w:r>
    </w:p>
    <w:p>
      <w:pPr>
        <w:spacing w:after="0" w:line="244" w:lineRule="exact"/>
        <w:rPr>
          <w:sz w:val="20"/>
          <w:szCs w:val="20"/>
          <w:color w:val="auto"/>
        </w:rPr>
      </w:pPr>
    </w:p>
    <w:p>
      <w:pPr>
        <w:ind w:firstLine="342"/>
        <w:spacing w:after="0" w:line="259" w:lineRule="auto"/>
        <w:rPr>
          <w:sz w:val="20"/>
          <w:szCs w:val="20"/>
          <w:color w:val="auto"/>
        </w:rPr>
      </w:pPr>
      <w:r>
        <w:rPr>
          <w:rFonts w:ascii="Arial" w:cs="Arial" w:eastAsia="Arial" w:hAnsi="Arial"/>
          <w:sz w:val="19"/>
          <w:szCs w:val="19"/>
          <w:color w:val="auto"/>
        </w:rPr>
        <w:t>This report on Form 6-K and exhibit 99.1 hereto shall be deemed to be incorporated by reference into the registration statement on Form F-3 (Registration Number: 333-224694), the registration statement on Form F-3 (Registration Number: 333-227016) and the registration statement on Form S-8 (Registration Number: 333-216539)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625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860"/>
          </w:cols>
          <w:pgMar w:left="120" w:top="350" w:right="260" w:bottom="1440" w:gutter="0" w:footer="0" w:header="0"/>
        </w:sectPr>
      </w:pPr>
    </w:p>
    <w:bookmarkStart w:id="2" w:name="page3"/>
    <w:bookmarkEnd w:id="2"/>
    <w:p>
      <w:pPr>
        <w:jc w:val="center"/>
        <w:ind w:right="-799"/>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ind w:firstLine="342"/>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p>
      <w:pPr>
        <w:ind w:left="7800"/>
        <w:spacing w:after="0"/>
        <w:rPr>
          <w:sz w:val="20"/>
          <w:szCs w:val="20"/>
          <w:color w:val="auto"/>
        </w:rPr>
      </w:pPr>
      <w:r>
        <w:rPr>
          <w:rFonts w:ascii="Arial" w:cs="Arial" w:eastAsia="Arial" w:hAnsi="Arial"/>
          <w:sz w:val="19"/>
          <w:szCs w:val="19"/>
          <w:b w:val="1"/>
          <w:bCs w:val="1"/>
          <w:color w:val="auto"/>
        </w:rPr>
        <w:t>AC IMMUNE SA</w:t>
      </w:r>
    </w:p>
    <w:p>
      <w:pPr>
        <w:spacing w:after="0" w:line="200" w:lineRule="exact"/>
        <w:rPr>
          <w:sz w:val="20"/>
          <w:szCs w:val="20"/>
          <w:color w:val="auto"/>
        </w:rPr>
      </w:pPr>
    </w:p>
    <w:p>
      <w:pPr>
        <w:spacing w:after="0" w:line="272" w:lineRule="exact"/>
        <w:rPr>
          <w:sz w:val="20"/>
          <w:szCs w:val="20"/>
          <w:color w:val="auto"/>
        </w:rPr>
      </w:pPr>
    </w:p>
    <w:p>
      <w:pPr>
        <w:ind w:left="7800"/>
        <w:spacing w:after="0"/>
        <w:rPr>
          <w:sz w:val="20"/>
          <w:szCs w:val="20"/>
          <w:color w:val="auto"/>
        </w:rPr>
      </w:pPr>
      <w:r>
        <w:rPr>
          <w:rFonts w:ascii="Arial" w:cs="Arial" w:eastAsia="Arial" w:hAnsi="Arial"/>
          <w:sz w:val="19"/>
          <w:szCs w:val="19"/>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5175885</wp:posOffset>
            </wp:positionH>
            <wp:positionV relativeFrom="paragraph">
              <wp:posOffset>15240</wp:posOffset>
            </wp:positionV>
            <wp:extent cx="2444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44750" cy="8890"/>
                    </a:xfrm>
                    <a:prstGeom prst="rect">
                      <a:avLst/>
                    </a:prstGeom>
                    <a:noFill/>
                  </pic:spPr>
                </pic:pic>
              </a:graphicData>
            </a:graphic>
          </wp:anchor>
        </w:drawing>
      </w:r>
    </w:p>
    <w:p>
      <w:pPr>
        <w:spacing w:after="0" w:line="4" w:lineRule="exact"/>
        <w:rPr>
          <w:sz w:val="20"/>
          <w:szCs w:val="20"/>
          <w:color w:val="auto"/>
        </w:rPr>
      </w:pPr>
    </w:p>
    <w:p>
      <w:pPr>
        <w:ind w:left="8160"/>
        <w:spacing w:after="0"/>
        <w:rPr>
          <w:sz w:val="20"/>
          <w:szCs w:val="20"/>
          <w:color w:val="auto"/>
        </w:rPr>
      </w:pPr>
      <w:r>
        <w:rPr>
          <w:rFonts w:ascii="Arial" w:cs="Arial" w:eastAsia="Arial" w:hAnsi="Arial"/>
          <w:sz w:val="19"/>
          <w:szCs w:val="19"/>
          <w:color w:val="auto"/>
        </w:rPr>
        <w:t>Name:  Andrea Pfeifer</w:t>
      </w:r>
    </w:p>
    <w:p>
      <w:pPr>
        <w:spacing w:after="0" w:line="23" w:lineRule="exact"/>
        <w:rPr>
          <w:sz w:val="20"/>
          <w:szCs w:val="20"/>
          <w:color w:val="auto"/>
        </w:rPr>
      </w:pPr>
    </w:p>
    <w:p>
      <w:pPr>
        <w:ind w:left="8160"/>
        <w:spacing w:after="0"/>
        <w:tabs>
          <w:tab w:leader="none" w:pos="8760" w:val="left"/>
        </w:tabs>
        <w:rPr>
          <w:sz w:val="20"/>
          <w:szCs w:val="20"/>
          <w:color w:val="auto"/>
        </w:rPr>
      </w:pPr>
      <w:r>
        <w:rPr>
          <w:rFonts w:ascii="Arial" w:cs="Arial" w:eastAsia="Arial" w:hAnsi="Arial"/>
          <w:sz w:val="19"/>
          <w:szCs w:val="19"/>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800"/>
        <w:spacing w:after="0"/>
        <w:rPr>
          <w:sz w:val="20"/>
          <w:szCs w:val="20"/>
          <w:color w:val="auto"/>
        </w:rPr>
      </w:pPr>
      <w:r>
        <w:rPr>
          <w:rFonts w:ascii="Arial" w:cs="Arial" w:eastAsia="Arial" w:hAnsi="Arial"/>
          <w:sz w:val="19"/>
          <w:szCs w:val="19"/>
          <w:color w:val="auto"/>
        </w:rPr>
        <w:t>By: /s/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15240</wp:posOffset>
            </wp:positionV>
            <wp:extent cx="24358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35860" cy="8890"/>
                    </a:xfrm>
                    <a:prstGeom prst="rect">
                      <a:avLst/>
                    </a:prstGeom>
                    <a:noFill/>
                  </pic:spPr>
                </pic:pic>
              </a:graphicData>
            </a:graphic>
          </wp:anchor>
        </w:drawing>
      </w:r>
    </w:p>
    <w:p>
      <w:pPr>
        <w:spacing w:after="0" w:line="4" w:lineRule="exact"/>
        <w:rPr>
          <w:sz w:val="20"/>
          <w:szCs w:val="20"/>
          <w:color w:val="auto"/>
        </w:rPr>
      </w:pPr>
    </w:p>
    <w:p>
      <w:pPr>
        <w:ind w:left="8160"/>
        <w:spacing w:after="0"/>
        <w:rPr>
          <w:sz w:val="20"/>
          <w:szCs w:val="20"/>
          <w:color w:val="auto"/>
        </w:rPr>
      </w:pPr>
      <w:r>
        <w:rPr>
          <w:rFonts w:ascii="Arial" w:cs="Arial" w:eastAsia="Arial" w:hAnsi="Arial"/>
          <w:sz w:val="19"/>
          <w:szCs w:val="19"/>
          <w:color w:val="auto"/>
        </w:rPr>
        <w:t>Name: Joerg Hornstein</w:t>
      </w:r>
    </w:p>
    <w:p>
      <w:pPr>
        <w:spacing w:after="0" w:line="23" w:lineRule="exact"/>
        <w:rPr>
          <w:sz w:val="20"/>
          <w:szCs w:val="20"/>
          <w:color w:val="auto"/>
        </w:rPr>
      </w:pPr>
    </w:p>
    <w:p>
      <w:pPr>
        <w:ind w:left="8160"/>
        <w:spacing w:after="0"/>
        <w:tabs>
          <w:tab w:leader="none" w:pos="8740" w:val="left"/>
        </w:tabs>
        <w:rPr>
          <w:sz w:val="20"/>
          <w:szCs w:val="20"/>
          <w:color w:val="auto"/>
        </w:rPr>
      </w:pPr>
      <w:r>
        <w:rPr>
          <w:rFonts w:ascii="Arial" w:cs="Arial" w:eastAsia="Arial" w:hAnsi="Arial"/>
          <w:sz w:val="19"/>
          <w:szCs w:val="19"/>
          <w:color w:val="auto"/>
        </w:rPr>
        <w:t>Title:</w:t>
        <w:tab/>
        <w:t>Chief Financial Officer</w:t>
      </w:r>
    </w:p>
    <w:p>
      <w:pPr>
        <w:spacing w:after="0" w:line="10" w:lineRule="exact"/>
        <w:rPr>
          <w:sz w:val="20"/>
          <w:szCs w:val="20"/>
          <w:color w:val="auto"/>
        </w:rPr>
      </w:pPr>
    </w:p>
    <w:p>
      <w:pPr>
        <w:spacing w:after="0"/>
        <w:tabs>
          <w:tab w:leader="none" w:pos="70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February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6985</wp:posOffset>
            </wp:positionV>
            <wp:extent cx="2218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1869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396240</wp:posOffset>
            </wp:positionV>
            <wp:extent cx="7625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180"/>
          </w:cols>
          <w:pgMar w:left="120" w:top="464" w:right="9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0" w:type="dxa"/>
            <w:vAlign w:val="bottom"/>
          </w:tcPr>
          <w:p>
            <w:pPr>
              <w:ind w:left="4320"/>
              <w:spacing w:after="0"/>
              <w:rPr>
                <w:sz w:val="20"/>
                <w:szCs w:val="20"/>
                <w:color w:val="auto"/>
              </w:rPr>
            </w:pPr>
            <w:r>
              <w:rPr>
                <w:rFonts w:ascii="Arial" w:cs="Arial" w:eastAsia="Arial" w:hAnsi="Arial"/>
                <w:sz w:val="19"/>
                <w:szCs w:val="19"/>
                <w:b w:val="1"/>
                <w:bCs w:val="1"/>
                <w:color w:val="auto"/>
              </w:rPr>
              <w:t>EXHIBIT INDEX</w:t>
            </w:r>
          </w:p>
        </w:tc>
        <w:tc>
          <w:tcPr>
            <w:tcW w:w="60" w:type="dxa"/>
            <w:vAlign w:val="bottom"/>
          </w:tcPr>
          <w:p>
            <w:pPr>
              <w:spacing w:after="0"/>
              <w:rPr>
                <w:sz w:val="21"/>
                <w:szCs w:val="21"/>
                <w:color w:val="auto"/>
              </w:rPr>
            </w:pPr>
          </w:p>
        </w:tc>
      </w:tr>
      <w:tr>
        <w:trPr>
          <w:trHeight w:val="508"/>
        </w:trPr>
        <w:tc>
          <w:tcPr>
            <w:tcW w:w="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9"/>
                <w:szCs w:val="19"/>
                <w:b w:val="1"/>
                <w:bCs w:val="1"/>
                <w:color w:val="auto"/>
              </w:rPr>
              <w:t>Exhibit</w:t>
            </w:r>
          </w:p>
        </w:tc>
        <w:tc>
          <w:tcPr>
            <w:tcW w:w="140" w:type="dxa"/>
            <w:vAlign w:val="bottom"/>
          </w:tcPr>
          <w:p>
            <w:pPr>
              <w:spacing w:after="0"/>
              <w:rPr>
                <w:sz w:val="24"/>
                <w:szCs w:val="24"/>
                <w:color w:val="auto"/>
              </w:rPr>
            </w:pPr>
          </w:p>
        </w:tc>
        <w:tc>
          <w:tcPr>
            <w:tcW w:w="1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8"/>
        </w:trPr>
        <w:tc>
          <w:tcPr>
            <w:tcW w:w="60" w:type="dxa"/>
            <w:vAlign w:val="bottom"/>
          </w:tcPr>
          <w:p>
            <w:pPr>
              <w:spacing w:after="0"/>
              <w:rPr>
                <w:sz w:val="21"/>
                <w:szCs w:val="21"/>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Number</w:t>
            </w:r>
          </w:p>
        </w:tc>
        <w:tc>
          <w:tcPr>
            <w:tcW w:w="140" w:type="dxa"/>
            <w:vAlign w:val="bottom"/>
          </w:tcPr>
          <w:p>
            <w:pPr>
              <w:spacing w:after="0"/>
              <w:rPr>
                <w:sz w:val="21"/>
                <w:szCs w:val="21"/>
                <w:color w:val="auto"/>
              </w:rPr>
            </w:pPr>
          </w:p>
        </w:tc>
        <w:tc>
          <w:tcPr>
            <w:tcW w:w="11000" w:type="dxa"/>
            <w:vAlign w:val="bottom"/>
            <w:tcBorders>
              <w:bottom w:val="single" w:sz="8" w:color="auto"/>
            </w:tcBorders>
          </w:tcPr>
          <w:p>
            <w:pPr>
              <w:ind w:left="5000"/>
              <w:spacing w:after="0"/>
              <w:rPr>
                <w:sz w:val="20"/>
                <w:szCs w:val="20"/>
                <w:color w:val="auto"/>
              </w:rPr>
            </w:pPr>
            <w:r>
              <w:rPr>
                <w:rFonts w:ascii="Arial" w:cs="Arial" w:eastAsia="Arial" w:hAnsi="Arial"/>
                <w:sz w:val="19"/>
                <w:szCs w:val="19"/>
                <w:b w:val="1"/>
                <w:bCs w:val="1"/>
                <w:color w:val="auto"/>
              </w:rPr>
              <w:t>Description</w:t>
            </w:r>
          </w:p>
        </w:tc>
        <w:tc>
          <w:tcPr>
            <w:tcW w:w="60" w:type="dxa"/>
            <w:vAlign w:val="bottom"/>
          </w:tcPr>
          <w:p>
            <w:pPr>
              <w:spacing w:after="0"/>
              <w:rPr>
                <w:sz w:val="21"/>
                <w:szCs w:val="21"/>
                <w:color w:val="auto"/>
              </w:rPr>
            </w:pPr>
          </w:p>
        </w:tc>
      </w:tr>
      <w:tr>
        <w:trPr>
          <w:trHeight w:val="365"/>
        </w:trPr>
        <w:tc>
          <w:tcPr>
            <w:tcW w:w="6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9"/>
                <w:szCs w:val="19"/>
                <w:color w:val="auto"/>
              </w:rPr>
              <w:t>99.1</w:t>
            </w:r>
          </w:p>
        </w:tc>
        <w:tc>
          <w:tcPr>
            <w:tcW w:w="140" w:type="dxa"/>
            <w:vAlign w:val="bottom"/>
          </w:tcPr>
          <w:p>
            <w:pPr>
              <w:spacing w:after="0"/>
              <w:rPr>
                <w:sz w:val="24"/>
                <w:szCs w:val="24"/>
                <w:color w:val="auto"/>
              </w:rPr>
            </w:pPr>
          </w:p>
        </w:tc>
        <w:tc>
          <w:tcPr>
            <w:tcW w:w="11000" w:type="dxa"/>
            <w:vAlign w:val="bottom"/>
          </w:tcPr>
          <w:p>
            <w:pPr>
              <w:spacing w:after="0"/>
              <w:rPr>
                <w:sz w:val="20"/>
                <w:szCs w:val="20"/>
                <w:color w:val="auto"/>
              </w:rPr>
            </w:pPr>
            <w:r>
              <w:rPr>
                <w:rFonts w:ascii="Arial" w:cs="Arial" w:eastAsia="Arial" w:hAnsi="Arial"/>
                <w:sz w:val="19"/>
                <w:szCs w:val="19"/>
                <w:color w:val="auto"/>
              </w:rPr>
              <w:t>Press Release dated February 20, 2019</w:t>
            </w:r>
          </w:p>
        </w:tc>
        <w:tc>
          <w:tcPr>
            <w:tcW w:w="60" w:type="dxa"/>
            <w:vAlign w:val="bottom"/>
          </w:tcPr>
          <w:p>
            <w:pPr>
              <w:spacing w:after="0"/>
              <w:rPr>
                <w:sz w:val="24"/>
                <w:szCs w:val="24"/>
                <w:color w:val="auto"/>
              </w:rPr>
            </w:pPr>
          </w:p>
        </w:tc>
      </w:tr>
      <w:tr>
        <w:trPr>
          <w:trHeight w:val="1071"/>
        </w:trPr>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2240" w:h="15840" w:orient="portrait"/>
          <w:cols w:equalWidth="0" w:num="1">
            <w:col w:w="12000"/>
          </w:cols>
          <w:pgMar w:left="120" w:top="464" w:right="120" w:bottom="1440" w:gutter="0" w:footer="0" w:header="0"/>
        </w:sectPr>
      </w:pPr>
    </w:p>
    <w:bookmarkStart w:id="4" w:name="page5"/>
    <w:bookmarkEnd w:id="4"/>
    <w:p>
      <w:pPr>
        <w:jc w:val="right"/>
        <w:spacing w:after="0"/>
        <w:rPr>
          <w:sz w:val="20"/>
          <w:szCs w:val="20"/>
          <w:color w:val="auto"/>
        </w:rPr>
      </w:pPr>
      <w:r>
        <w:rPr>
          <w:rFonts w:ascii="Arial" w:cs="Arial" w:eastAsia="Arial" w:hAnsi="Arial"/>
          <w:sz w:val="23"/>
          <w:szCs w:val="2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1729740" cy="579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29740" cy="579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23"/>
          <w:szCs w:val="23"/>
          <w:b w:val="1"/>
          <w:bCs w:val="1"/>
          <w:color w:val="auto"/>
        </w:rPr>
        <w:t>PRESS RELEASE</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AC Immune Announces Anti-Tau Monoclonal Antibody Entering Second Phase 2 Trial in Moderate Alzheimer’s</w:t>
      </w:r>
    </w:p>
    <w:p>
      <w:pPr>
        <w:spacing w:after="0" w:line="32" w:lineRule="exact"/>
        <w:rPr>
          <w:sz w:val="20"/>
          <w:szCs w:val="20"/>
          <w:color w:val="auto"/>
        </w:rPr>
      </w:pPr>
    </w:p>
    <w:p>
      <w:pPr>
        <w:ind w:left="5560"/>
        <w:spacing w:after="0"/>
        <w:rPr>
          <w:sz w:val="20"/>
          <w:szCs w:val="20"/>
          <w:color w:val="auto"/>
        </w:rPr>
      </w:pPr>
      <w:r>
        <w:rPr>
          <w:rFonts w:ascii="Arial" w:cs="Arial" w:eastAsia="Arial" w:hAnsi="Arial"/>
          <w:sz w:val="23"/>
          <w:szCs w:val="23"/>
          <w:b w:val="1"/>
          <w:bCs w:val="1"/>
          <w:color w:val="auto"/>
        </w:rPr>
        <w:t>Disease</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23"/>
          <w:szCs w:val="23"/>
          <w:i w:val="1"/>
          <w:iCs w:val="1"/>
          <w:color w:val="auto"/>
        </w:rPr>
        <w:t>Study complements ongoing trial in the prodromal to mild population</w:t>
      </w:r>
    </w:p>
    <w:p>
      <w:pPr>
        <w:spacing w:after="0" w:line="25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b w:val="1"/>
          <w:bCs w:val="1"/>
          <w:color w:val="auto"/>
        </w:rPr>
        <w:t xml:space="preserve">Lausanne, Switzerland, February 20, 2019 </w:t>
      </w:r>
      <w:r>
        <w:rPr>
          <w:rFonts w:ascii="Arial" w:cs="Arial" w:eastAsia="Arial" w:hAnsi="Arial"/>
          <w:sz w:val="19"/>
          <w:szCs w:val="19"/>
          <w:color w:val="auto"/>
        </w:rPr>
        <w:t>– AC Immune SA (NASDAQ: ACIU), a Swiss-based, clinical-stage biopharmaceutical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with a broad pipeline focused on neurodegenerative diseases, today announced that Genentech, a member of the Roche Group, is recruiting patients for a second Phase 2 trial for an anti-Tau monoclonal antibody, known as MTAU9937A, RO7105705, in moderate Alzheimer’s disease (AD). The same antibody, RG6100 (MTAU9937A, RO7105705), also is being studied by Genentech in a separate Phase 2 trial to evaluate its efficacy and safety in patients with prodromal-to-mild Alzheimer's disease. This anti-Tau monoclonal antibody was discovered and humanized as part of AC Immune’s collaboration with Genentech.</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b w:val="1"/>
          <w:bCs w:val="1"/>
          <w:color w:val="auto"/>
        </w:rPr>
        <w:t>Prof. Andrea Pfeifer, CEO of AC Immune SA, commented</w:t>
      </w:r>
      <w:r>
        <w:rPr>
          <w:rFonts w:ascii="Arial" w:cs="Arial" w:eastAsia="Arial" w:hAnsi="Arial"/>
          <w:sz w:val="19"/>
          <w:szCs w:val="19"/>
          <w:color w:val="auto"/>
        </w:rPr>
        <w:t>: "We are highly encouraged that Genentech is broadening its clinical evaluation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our anti-Tau antibody. Interest in targeting Tau was also recently demonstrated by our newest partnership with Eli Lilly, announced in early</w:t>
      </w:r>
    </w:p>
    <w:p>
      <w:pPr>
        <w:jc w:val="both"/>
        <w:spacing w:after="0" w:line="216" w:lineRule="auto"/>
        <w:rPr>
          <w:sz w:val="20"/>
          <w:szCs w:val="20"/>
          <w:color w:val="auto"/>
        </w:rPr>
      </w:pPr>
      <w:r>
        <w:rPr>
          <w:rFonts w:ascii="Arial" w:cs="Arial" w:eastAsia="Arial" w:hAnsi="Arial"/>
          <w:sz w:val="19"/>
          <w:szCs w:val="19"/>
          <w:color w:val="auto"/>
        </w:rPr>
        <w:t>January, to develop our small molecule Tau Morphomer</w:t>
      </w:r>
      <w:r>
        <w:rPr>
          <w:rFonts w:ascii="Arial" w:cs="Arial" w:eastAsia="Arial" w:hAnsi="Arial"/>
          <w:sz w:val="31"/>
          <w:szCs w:val="31"/>
          <w:color w:val="auto"/>
          <w:vertAlign w:val="superscript"/>
        </w:rPr>
        <w:t>TM</w:t>
      </w:r>
      <w:r>
        <w:rPr>
          <w:rFonts w:ascii="Arial" w:cs="Arial" w:eastAsia="Arial" w:hAnsi="Arial"/>
          <w:sz w:val="19"/>
          <w:szCs w:val="19"/>
          <w:color w:val="auto"/>
        </w:rPr>
        <w:t xml:space="preserve"> to treat Alzheimer’s. These projects illustrate AC Immune’s scientific leadership in the field and are an important part of our broad portfolio of three product candidates in Phase 2 clinical testing, complementary diagnostics in clinical development, a robust early-stage pipeline and an increasingly visible focus on early projects targeting neuro-orphan and neuro-inflammation indications.”</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 xml:space="preserve">The trial, posted </w:t>
      </w:r>
      <w:r>
        <w:rPr>
          <w:rFonts w:ascii="Arial" w:cs="Arial" w:eastAsia="Arial" w:hAnsi="Arial"/>
          <w:sz w:val="19"/>
          <w:szCs w:val="19"/>
          <w:u w:val="single" w:color="auto"/>
          <w:color w:val="0000FF"/>
        </w:rPr>
        <w:t>here</w:t>
      </w:r>
      <w:r>
        <w:rPr>
          <w:rFonts w:ascii="Arial" w:cs="Arial" w:eastAsia="Arial" w:hAnsi="Arial"/>
          <w:sz w:val="19"/>
          <w:szCs w:val="19"/>
          <w:color w:val="auto"/>
        </w:rPr>
        <w:t>, is a Phase 2, multicenter, randomized, double-blind, placebo-controlled, parallel-group study designed to evaluate the clinical efficacy, safety, pharmacokinetics, and pharmacodynamics of MTAU9937A, RO7105705 in an estimated 260 patients with moderate AD dementia. The study consists of a screening period, a double-blind treatment period, an optional open-label extension (OLE) period, and a safety follow-up period. The primary endpoints are change from baseline to Week 49 in cognitive function as measured by the Alzheimer's Disease Assessment Scale, Cognitive Subscale, 11-item version (ADAS-Cog11) and change from baseline to Week 49 in functional capacities as measured by the Alzheimer's Disease Cooperative Study-Daily Living Inventory (ADCS-ADL).</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This anti-Tau monoclonal antibody is part of the strategic collaboration with Genentech entered into in 2012 for the research, development and commercialization of monoclonal humanized antibodies against Tau protein. RO7105705 is a humanized anti-Tau monoclonal antibody with a high specificity for pathological Tau, designed to intercept the cell-to-cell spread of pathological Tau in the extracellular space of the brain.</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19"/>
          <w:szCs w:val="19"/>
          <w:color w:val="auto"/>
        </w:rPr>
        <w:t>Tau pathology spreads with a characteristic spatiotemporal pattern throughout the brain, coinciding with both clinical symptoms and disease progression in AD. Slowing the propagation of tau pathology may therefore slow disease progression and reduce cognitive decline, and anti-tau therapies have shown promise in slowing the progression of tau pathology in animal models of tauopathy.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625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19"/>
          <w:szCs w:val="19"/>
          <w:color w:val="auto"/>
        </w:rPr>
        <w:t>AC Immune has several product candidates addressing the Tau approach, including: ACI-35, an anti-pTau vaccine partnered with Janssen Pharmaceuticals, currently in a Phase 1b/2a trial, a small molecule Tau MorphomerTM, partnered with Eli Lilly and Company, that is scheduled to enter Phase 1 in 2019; and a Tau imaging agent, partnered with Life Molecular Imaging (formerly Piramal Imaging), currently in Phase 2 clinical testing.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AC Immune SA</w:t>
      </w:r>
    </w:p>
    <w:p>
      <w:pPr>
        <w:spacing w:after="0" w:line="2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AC Immune SA is a Nasdaq-listed clinical-stage biopharmaceutical company, which aims to become a global leader in precision medicine for Neurodegenerative Diseases. The Company designs, discovers and develops therapeutic as well as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(AD). The Company's pipeline features nine therapeutic and three diagnostic product candidates, with five currently in clinical trials. It has collaborations with major pharmaceutical companies including Roche/Genentech, Lilly, Biogen, Janssen Pharmaceuticals, Nestlé Institute of Health Sciences, Life Molecular Imaging (formerly Piramal Imaging) and Essex Bio-Technology.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540" w:type="dxa"/>
            <w:vAlign w:val="bottom"/>
            <w:gridSpan w:val="3"/>
          </w:tcPr>
          <w:p>
            <w:pPr>
              <w:spacing w:after="0"/>
              <w:rPr>
                <w:sz w:val="20"/>
                <w:szCs w:val="20"/>
                <w:color w:val="auto"/>
              </w:rPr>
            </w:pPr>
            <w:r>
              <w:rPr>
                <w:rFonts w:ascii="Arial" w:cs="Arial" w:eastAsia="Arial" w:hAnsi="Arial"/>
                <w:sz w:val="19"/>
                <w:szCs w:val="19"/>
                <w:b w:val="1"/>
                <w:bCs w:val="1"/>
                <w:color w:val="auto"/>
              </w:rPr>
              <w:t>For further information, please contact:</w:t>
            </w:r>
          </w:p>
        </w:tc>
        <w:tc>
          <w:tcPr>
            <w:tcW w:w="164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414"/>
        </w:trPr>
        <w:tc>
          <w:tcPr>
            <w:tcW w:w="4540" w:type="dxa"/>
            <w:vAlign w:val="bottom"/>
            <w:gridSpan w:val="3"/>
          </w:tcPr>
          <w:p>
            <w:pPr>
              <w:spacing w:after="0"/>
              <w:rPr>
                <w:sz w:val="20"/>
                <w:szCs w:val="20"/>
                <w:color w:val="auto"/>
              </w:rPr>
            </w:pPr>
            <w:r>
              <w:rPr>
                <w:rFonts w:ascii="Arial" w:cs="Arial" w:eastAsia="Arial" w:hAnsi="Arial"/>
                <w:sz w:val="19"/>
                <w:szCs w:val="19"/>
                <w:b w:val="1"/>
                <w:bCs w:val="1"/>
                <w:color w:val="auto"/>
              </w:rPr>
              <w:t>US Investors</w:t>
            </w:r>
          </w:p>
        </w:tc>
        <w:tc>
          <w:tcPr>
            <w:tcW w:w="4780" w:type="dxa"/>
            <w:vAlign w:val="bottom"/>
            <w:gridSpan w:val="2"/>
          </w:tcPr>
          <w:p>
            <w:pPr>
              <w:ind w:left="980"/>
              <w:spacing w:after="0"/>
              <w:rPr>
                <w:sz w:val="20"/>
                <w:szCs w:val="20"/>
                <w:color w:val="auto"/>
              </w:rPr>
            </w:pPr>
            <w:r>
              <w:rPr>
                <w:rFonts w:ascii="Arial" w:cs="Arial" w:eastAsia="Arial" w:hAnsi="Arial"/>
                <w:sz w:val="19"/>
                <w:szCs w:val="19"/>
                <w:b w:val="1"/>
                <w:bCs w:val="1"/>
                <w:color w:val="auto"/>
              </w:rPr>
              <w:t>US Media</w:t>
            </w:r>
          </w:p>
        </w:tc>
      </w:tr>
      <w:tr>
        <w:trPr>
          <w:trHeight w:val="214"/>
        </w:trPr>
        <w:tc>
          <w:tcPr>
            <w:tcW w:w="4540" w:type="dxa"/>
            <w:vAlign w:val="bottom"/>
            <w:gridSpan w:val="3"/>
          </w:tcPr>
          <w:p>
            <w:pPr>
              <w:spacing w:after="0" w:line="214" w:lineRule="exact"/>
              <w:rPr>
                <w:sz w:val="20"/>
                <w:szCs w:val="20"/>
                <w:color w:val="auto"/>
              </w:rPr>
            </w:pPr>
            <w:r>
              <w:rPr>
                <w:rFonts w:ascii="Arial" w:cs="Arial" w:eastAsia="Arial" w:hAnsi="Arial"/>
                <w:sz w:val="19"/>
                <w:szCs w:val="19"/>
                <w:color w:val="auto"/>
              </w:rPr>
              <w:t>Lisa Sher</w:t>
            </w:r>
          </w:p>
        </w:tc>
        <w:tc>
          <w:tcPr>
            <w:tcW w:w="4780" w:type="dxa"/>
            <w:vAlign w:val="bottom"/>
            <w:gridSpan w:val="2"/>
          </w:tcPr>
          <w:p>
            <w:pPr>
              <w:ind w:left="980"/>
              <w:spacing w:after="0" w:line="214" w:lineRule="exact"/>
              <w:rPr>
                <w:sz w:val="20"/>
                <w:szCs w:val="20"/>
                <w:color w:val="auto"/>
              </w:rPr>
            </w:pPr>
            <w:r>
              <w:rPr>
                <w:rFonts w:ascii="Arial" w:cs="Arial" w:eastAsia="Arial" w:hAnsi="Arial"/>
                <w:sz w:val="19"/>
                <w:szCs w:val="19"/>
                <w:color w:val="auto"/>
              </w:rPr>
              <w:t>Katie Gallagher</w:t>
            </w:r>
          </w:p>
        </w:tc>
      </w:tr>
      <w:tr>
        <w:trPr>
          <w:trHeight w:val="214"/>
        </w:trPr>
        <w:tc>
          <w:tcPr>
            <w:tcW w:w="4540" w:type="dxa"/>
            <w:vAlign w:val="bottom"/>
            <w:gridSpan w:val="3"/>
          </w:tcPr>
          <w:p>
            <w:pPr>
              <w:spacing w:after="0" w:line="214" w:lineRule="exact"/>
              <w:rPr>
                <w:sz w:val="20"/>
                <w:szCs w:val="20"/>
                <w:color w:val="auto"/>
              </w:rPr>
            </w:pPr>
            <w:r>
              <w:rPr>
                <w:rFonts w:ascii="Arial" w:cs="Arial" w:eastAsia="Arial" w:hAnsi="Arial"/>
                <w:sz w:val="19"/>
                <w:szCs w:val="19"/>
                <w:color w:val="auto"/>
              </w:rPr>
              <w:t>AC Immune Investor Relations</w:t>
            </w:r>
          </w:p>
        </w:tc>
        <w:tc>
          <w:tcPr>
            <w:tcW w:w="4780" w:type="dxa"/>
            <w:vAlign w:val="bottom"/>
            <w:gridSpan w:val="2"/>
          </w:tcPr>
          <w:p>
            <w:pPr>
              <w:ind w:left="980"/>
              <w:spacing w:after="0" w:line="214" w:lineRule="exact"/>
              <w:rPr>
                <w:sz w:val="20"/>
                <w:szCs w:val="20"/>
                <w:color w:val="auto"/>
              </w:rPr>
            </w:pPr>
            <w:r>
              <w:rPr>
                <w:rFonts w:ascii="Arial" w:cs="Arial" w:eastAsia="Arial" w:hAnsi="Arial"/>
                <w:sz w:val="19"/>
                <w:szCs w:val="19"/>
                <w:color w:val="auto"/>
              </w:rPr>
              <w:t>LaVoieHealthScience</w:t>
            </w:r>
          </w:p>
        </w:tc>
      </w:tr>
      <w:tr>
        <w:trPr>
          <w:trHeight w:val="214"/>
        </w:trPr>
        <w:tc>
          <w:tcPr>
            <w:tcW w:w="4540" w:type="dxa"/>
            <w:vAlign w:val="bottom"/>
            <w:gridSpan w:val="3"/>
          </w:tcPr>
          <w:p>
            <w:pPr>
              <w:spacing w:after="0" w:line="214" w:lineRule="exact"/>
              <w:rPr>
                <w:sz w:val="20"/>
                <w:szCs w:val="20"/>
                <w:color w:val="auto"/>
              </w:rPr>
            </w:pPr>
            <w:r>
              <w:rPr>
                <w:rFonts w:ascii="Arial" w:cs="Arial" w:eastAsia="Arial" w:hAnsi="Arial"/>
                <w:sz w:val="19"/>
                <w:szCs w:val="19"/>
                <w:color w:val="auto"/>
              </w:rPr>
              <w:t>Phone: +1 970 987 2654</w:t>
            </w:r>
          </w:p>
        </w:tc>
        <w:tc>
          <w:tcPr>
            <w:tcW w:w="4780" w:type="dxa"/>
            <w:vAlign w:val="bottom"/>
            <w:gridSpan w:val="2"/>
          </w:tcPr>
          <w:p>
            <w:pPr>
              <w:ind w:left="980"/>
              <w:spacing w:after="0" w:line="214" w:lineRule="exact"/>
              <w:rPr>
                <w:sz w:val="20"/>
                <w:szCs w:val="20"/>
                <w:color w:val="auto"/>
              </w:rPr>
            </w:pPr>
            <w:r>
              <w:rPr>
                <w:rFonts w:ascii="Arial" w:cs="Arial" w:eastAsia="Arial" w:hAnsi="Arial"/>
                <w:sz w:val="19"/>
                <w:szCs w:val="19"/>
                <w:color w:val="auto"/>
              </w:rPr>
              <w:t>Phone: +1 617 792 3937</w:t>
            </w:r>
          </w:p>
        </w:tc>
      </w:tr>
      <w:tr>
        <w:trPr>
          <w:trHeight w:val="186"/>
        </w:trPr>
        <w:tc>
          <w:tcPr>
            <w:tcW w:w="4540" w:type="dxa"/>
            <w:vAlign w:val="bottom"/>
            <w:gridSpan w:val="3"/>
          </w:tcPr>
          <w:p>
            <w:pPr>
              <w:spacing w:after="0" w:line="186" w:lineRule="exact"/>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color w:val="0000FF"/>
              </w:rPr>
              <w:t>lisa.sher@acimmune.com</w:t>
            </w:r>
          </w:p>
        </w:tc>
        <w:tc>
          <w:tcPr>
            <w:tcW w:w="4780" w:type="dxa"/>
            <w:vAlign w:val="bottom"/>
            <w:gridSpan w:val="2"/>
          </w:tcPr>
          <w:p>
            <w:pPr>
              <w:ind w:left="980"/>
              <w:spacing w:after="0" w:line="186" w:lineRule="exact"/>
              <w:rPr>
                <w:sz w:val="20"/>
                <w:szCs w:val="20"/>
                <w:color w:val="auto"/>
              </w:rPr>
            </w:pPr>
            <w:r>
              <w:rPr>
                <w:rFonts w:ascii="Arial" w:cs="Arial" w:eastAsia="Arial" w:hAnsi="Arial"/>
                <w:sz w:val="19"/>
                <w:szCs w:val="19"/>
                <w:color w:val="auto"/>
                <w:w w:val="99"/>
              </w:rPr>
              <w:t xml:space="preserve">E-mail: </w:t>
            </w:r>
            <w:r>
              <w:rPr>
                <w:rFonts w:ascii="Arial" w:cs="Arial" w:eastAsia="Arial" w:hAnsi="Arial"/>
                <w:sz w:val="19"/>
                <w:szCs w:val="19"/>
                <w:color w:val="0000FF"/>
                <w:w w:val="99"/>
              </w:rPr>
              <w:t>kgallagher@lavoiehealthscience.com</w:t>
            </w:r>
          </w:p>
        </w:tc>
      </w:tr>
      <w:tr>
        <w:trPr>
          <w:trHeight w:val="20"/>
        </w:trPr>
        <w:tc>
          <w:tcPr>
            <w:tcW w:w="64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r>
      <w:tr>
        <w:trPr>
          <w:trHeight w:val="435"/>
        </w:trPr>
        <w:tc>
          <w:tcPr>
            <w:tcW w:w="4540" w:type="dxa"/>
            <w:vAlign w:val="bottom"/>
            <w:gridSpan w:val="3"/>
          </w:tcPr>
          <w:p>
            <w:pPr>
              <w:spacing w:after="0"/>
              <w:rPr>
                <w:sz w:val="20"/>
                <w:szCs w:val="20"/>
                <w:color w:val="auto"/>
              </w:rPr>
            </w:pPr>
            <w:r>
              <w:rPr>
                <w:rFonts w:ascii="Arial" w:cs="Arial" w:eastAsia="Arial" w:hAnsi="Arial"/>
                <w:sz w:val="19"/>
                <w:szCs w:val="19"/>
                <w:b w:val="1"/>
                <w:bCs w:val="1"/>
                <w:color w:val="auto"/>
              </w:rPr>
              <w:t>European Investors &amp; Media</w:t>
            </w:r>
          </w:p>
        </w:tc>
        <w:tc>
          <w:tcPr>
            <w:tcW w:w="164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14"/>
        </w:trPr>
        <w:tc>
          <w:tcPr>
            <w:tcW w:w="4540" w:type="dxa"/>
            <w:vAlign w:val="bottom"/>
            <w:gridSpan w:val="3"/>
          </w:tcPr>
          <w:p>
            <w:pPr>
              <w:spacing w:after="0" w:line="214" w:lineRule="exact"/>
              <w:rPr>
                <w:sz w:val="20"/>
                <w:szCs w:val="20"/>
                <w:color w:val="auto"/>
              </w:rPr>
            </w:pPr>
            <w:r>
              <w:rPr>
                <w:rFonts w:ascii="Arial" w:cs="Arial" w:eastAsia="Arial" w:hAnsi="Arial"/>
                <w:sz w:val="19"/>
                <w:szCs w:val="19"/>
                <w:color w:val="auto"/>
              </w:rPr>
              <w:t>Chris Maggos</w:t>
            </w:r>
          </w:p>
        </w:tc>
        <w:tc>
          <w:tcPr>
            <w:tcW w:w="164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4"/>
        </w:trPr>
        <w:tc>
          <w:tcPr>
            <w:tcW w:w="4540" w:type="dxa"/>
            <w:vAlign w:val="bottom"/>
            <w:gridSpan w:val="3"/>
          </w:tcPr>
          <w:p>
            <w:pPr>
              <w:spacing w:after="0" w:line="214" w:lineRule="exact"/>
              <w:rPr>
                <w:sz w:val="20"/>
                <w:szCs w:val="20"/>
                <w:color w:val="auto"/>
              </w:rPr>
            </w:pPr>
            <w:r>
              <w:rPr>
                <w:rFonts w:ascii="Arial" w:cs="Arial" w:eastAsia="Arial" w:hAnsi="Arial"/>
                <w:sz w:val="19"/>
                <w:szCs w:val="19"/>
                <w:color w:val="auto"/>
              </w:rPr>
              <w:t>LifeSci Advisors</w:t>
            </w:r>
          </w:p>
        </w:tc>
        <w:tc>
          <w:tcPr>
            <w:tcW w:w="164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4"/>
        </w:trPr>
        <w:tc>
          <w:tcPr>
            <w:tcW w:w="4540" w:type="dxa"/>
            <w:vAlign w:val="bottom"/>
            <w:gridSpan w:val="3"/>
          </w:tcPr>
          <w:p>
            <w:pPr>
              <w:spacing w:after="0" w:line="214" w:lineRule="exact"/>
              <w:rPr>
                <w:sz w:val="20"/>
                <w:szCs w:val="20"/>
                <w:color w:val="auto"/>
              </w:rPr>
            </w:pPr>
            <w:r>
              <w:rPr>
                <w:rFonts w:ascii="Arial" w:cs="Arial" w:eastAsia="Arial" w:hAnsi="Arial"/>
                <w:sz w:val="19"/>
                <w:szCs w:val="19"/>
                <w:color w:val="auto"/>
              </w:rPr>
              <w:t>Phone: +41 79 367 6254</w:t>
            </w:r>
          </w:p>
        </w:tc>
        <w:tc>
          <w:tcPr>
            <w:tcW w:w="164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186"/>
        </w:trPr>
        <w:tc>
          <w:tcPr>
            <w:tcW w:w="4540" w:type="dxa"/>
            <w:vAlign w:val="bottom"/>
            <w:gridSpan w:val="3"/>
          </w:tcPr>
          <w:p>
            <w:pPr>
              <w:spacing w:after="0" w:line="186" w:lineRule="exact"/>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color w:val="0000FF"/>
              </w:rPr>
              <w:t>chris@lifesciadvisors.com</w:t>
            </w:r>
          </w:p>
        </w:tc>
        <w:tc>
          <w:tcPr>
            <w:tcW w:w="164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20"/>
        </w:trPr>
        <w:tc>
          <w:tcPr>
            <w:tcW w:w="64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 looking statements</w:t>
      </w:r>
    </w:p>
    <w:p>
      <w:pPr>
        <w:spacing w:after="0" w:line="2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492125</wp:posOffset>
            </wp:positionV>
            <wp:extent cx="7625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sectPr>
      <w:pgSz w:w="12240" w:h="15840" w:orient="portrait"/>
      <w:cols w:equalWidth="0" w:num="1">
        <w:col w:w="12000"/>
      </w:cols>
      <w:pgMar w:left="120" w:top="483"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2019-12-20T01:31:23Z</dcterms:created>
  <dcterms:modified xsi:type="dcterms:W3CDTF">2019-12-20T01:31:23Z</dcterms:modified>
</cp:coreProperties>
</file>